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F44D" w14:textId="4FE41A89" w:rsidR="00906BCE" w:rsidRDefault="001453F0" w:rsidP="142811D8">
      <w:pPr>
        <w:pStyle w:val="Heading1"/>
      </w:pPr>
      <w:r w:rsidRPr="00E42902">
        <w:rPr>
          <w:noProof/>
        </w:rPr>
        <w:drawing>
          <wp:anchor distT="0" distB="0" distL="114300" distR="114300" simplePos="0" relativeHeight="251658240" behindDoc="0" locked="0" layoutInCell="1" hidden="0" allowOverlap="1" wp14:anchorId="2B642DC8" wp14:editId="696E3B4B">
            <wp:simplePos x="0" y="0"/>
            <wp:positionH relativeFrom="page">
              <wp:align>left</wp:align>
            </wp:positionH>
            <wp:positionV relativeFrom="paragraph">
              <wp:posOffset>-898633</wp:posOffset>
            </wp:positionV>
            <wp:extent cx="8009741" cy="10657292"/>
            <wp:effectExtent l="0" t="0" r="0" b="0"/>
            <wp:wrapNone/>
            <wp:docPr id="36"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6" name="image7.png">
                      <a:extLst>
                        <a:ext uri="{C183D7F6-B498-43B3-948B-1728B52AA6E4}">
                          <adec:decorative xmlns:adec="http://schemas.microsoft.com/office/drawing/2017/decorative" val="1"/>
                        </a:ext>
                      </a:extLst>
                    </pic:cNvPr>
                    <pic:cNvPicPr preferRelativeResize="0"/>
                  </pic:nvPicPr>
                  <pic:blipFill>
                    <a:blip r:embed="rId9"/>
                    <a:srcRect l="7588" r="43591"/>
                    <a:stretch>
                      <a:fillRect/>
                    </a:stretch>
                  </pic:blipFill>
                  <pic:spPr>
                    <a:xfrm>
                      <a:off x="0" y="0"/>
                      <a:ext cx="8009741" cy="10657292"/>
                    </a:xfrm>
                    <a:prstGeom prst="rect">
                      <a:avLst/>
                    </a:prstGeom>
                    <a:ln/>
                  </pic:spPr>
                </pic:pic>
              </a:graphicData>
            </a:graphic>
            <wp14:sizeRelH relativeFrom="margin">
              <wp14:pctWidth>0</wp14:pctWidth>
            </wp14:sizeRelH>
            <wp14:sizeRelV relativeFrom="margin">
              <wp14:pctHeight>0</wp14:pctHeight>
            </wp14:sizeRelV>
          </wp:anchor>
        </w:drawing>
      </w:r>
      <w:r w:rsidR="00D75267" w:rsidRPr="00E42902">
        <w:rPr>
          <w:noProof/>
        </w:rPr>
        <w:drawing>
          <wp:anchor distT="0" distB="0" distL="114300" distR="114300" simplePos="0" relativeHeight="251658247" behindDoc="0" locked="0" layoutInCell="1" hidden="0" allowOverlap="1" wp14:anchorId="69D75367" wp14:editId="26E9FC5B">
            <wp:simplePos x="0" y="0"/>
            <wp:positionH relativeFrom="column">
              <wp:posOffset>-312420</wp:posOffset>
            </wp:positionH>
            <wp:positionV relativeFrom="paragraph">
              <wp:posOffset>-301625</wp:posOffset>
            </wp:positionV>
            <wp:extent cx="2724785" cy="1454150"/>
            <wp:effectExtent l="0" t="0" r="0" b="0"/>
            <wp:wrapNone/>
            <wp:docPr id="35" name="image3.png" descr="Inside Policy logo"/>
            <wp:cNvGraphicFramePr/>
            <a:graphic xmlns:a="http://schemas.openxmlformats.org/drawingml/2006/main">
              <a:graphicData uri="http://schemas.openxmlformats.org/drawingml/2006/picture">
                <pic:pic xmlns:pic="http://schemas.openxmlformats.org/drawingml/2006/picture">
                  <pic:nvPicPr>
                    <pic:cNvPr id="35" name="image3.png" descr="Inside Policy logo"/>
                    <pic:cNvPicPr preferRelativeResize="0"/>
                  </pic:nvPicPr>
                  <pic:blipFill>
                    <a:blip r:embed="rId10"/>
                    <a:srcRect/>
                    <a:stretch>
                      <a:fillRect/>
                    </a:stretch>
                  </pic:blipFill>
                  <pic:spPr>
                    <a:xfrm>
                      <a:off x="0" y="0"/>
                      <a:ext cx="2724785" cy="1454150"/>
                    </a:xfrm>
                    <a:prstGeom prst="rect">
                      <a:avLst/>
                    </a:prstGeom>
                    <a:ln/>
                  </pic:spPr>
                </pic:pic>
              </a:graphicData>
            </a:graphic>
          </wp:anchor>
        </w:drawing>
      </w:r>
      <w:r w:rsidR="00DB3D10" w:rsidRPr="00E42902">
        <w:rPr>
          <w:noProof/>
        </w:rPr>
        <mc:AlternateContent>
          <mc:Choice Requires="wps">
            <w:drawing>
              <wp:anchor distT="0" distB="0" distL="114300" distR="114300" simplePos="0" relativeHeight="251658241" behindDoc="0" locked="0" layoutInCell="1" hidden="0" allowOverlap="1" wp14:anchorId="0B4FA7EC" wp14:editId="74916E35">
                <wp:simplePos x="0" y="0"/>
                <wp:positionH relativeFrom="column">
                  <wp:posOffset>-871855</wp:posOffset>
                </wp:positionH>
                <wp:positionV relativeFrom="paragraph">
                  <wp:posOffset>-917790</wp:posOffset>
                </wp:positionV>
                <wp:extent cx="8199755" cy="11071225"/>
                <wp:effectExtent l="12700" t="12700" r="17145" b="15875"/>
                <wp:wrapNone/>
                <wp:docPr id="23" name="Rectangle 23"/>
                <wp:cNvGraphicFramePr/>
                <a:graphic xmlns:a="http://schemas.openxmlformats.org/drawingml/2006/main">
                  <a:graphicData uri="http://schemas.microsoft.com/office/word/2010/wordprocessingShape">
                    <wps:wsp>
                      <wps:cNvSpPr/>
                      <wps:spPr>
                        <a:xfrm>
                          <a:off x="0" y="0"/>
                          <a:ext cx="8199755" cy="11071225"/>
                        </a:xfrm>
                        <a:prstGeom prst="rect">
                          <a:avLst/>
                        </a:prstGeom>
                        <a:solidFill>
                          <a:srgbClr val="1E9995"/>
                        </a:solidFill>
                        <a:ln w="19050" cap="flat" cmpd="sng">
                          <a:solidFill>
                            <a:srgbClr val="477298"/>
                          </a:solidFill>
                          <a:prstDash val="solid"/>
                          <a:round/>
                          <a:headEnd type="none" w="sm" len="sm"/>
                          <a:tailEnd type="none" w="sm" len="sm"/>
                        </a:ln>
                      </wps:spPr>
                      <wps:txbx>
                        <w:txbxContent>
                          <w:p w14:paraId="7CB3FC28" w14:textId="77777777" w:rsidR="001A221F" w:rsidRDefault="001A221F" w:rsidP="00DA4528"/>
                        </w:txbxContent>
                      </wps:txbx>
                      <wps:bodyPr spcFirstLastPara="1" wrap="square" lIns="91425" tIns="91425" rIns="91425" bIns="91425" anchor="ctr" anchorCtr="0">
                        <a:noAutofit/>
                      </wps:bodyPr>
                    </wps:wsp>
                  </a:graphicData>
                </a:graphic>
              </wp:anchor>
            </w:drawing>
          </mc:Choice>
          <mc:Fallback>
            <w:pict>
              <v:rect w14:anchorId="0B4FA7EC" id="Rectangle 23" o:spid="_x0000_s1026" style="position:absolute;margin-left:-68.65pt;margin-top:-72.25pt;width:645.65pt;height:871.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" fillcolor="#1e9995" strokecolor="#477298" strokeweight="1.5pt">
                <v:stroke startarrowwidth="narrow" startarrowlength="short" endarrowwidth="narrow" endarrowlength="short" joinstyle="round"/>
                <v:textbox inset="2.53958mm,2.53958mm,2.53958mm,2.53958mm">
                  <w:txbxContent>
                    <w:p w14:paraId="7CB3FC28" w14:textId="77777777" w:rsidR="001A221F" w:rsidRDefault="001A221F" w:rsidP="00DA4528"/>
                  </w:txbxContent>
                </v:textbox>
              </v:rect>
            </w:pict>
          </mc:Fallback>
        </mc:AlternateContent>
      </w:r>
    </w:p>
    <w:p w14:paraId="6A5F2AD0" w14:textId="4B7AE4E2" w:rsidR="001A221F" w:rsidRPr="00E42902" w:rsidRDefault="001A221F" w:rsidP="00DA4528"/>
    <w:p w14:paraId="5FFA6DD7" w14:textId="4438BB1B" w:rsidR="001A221F" w:rsidRPr="00E42902" w:rsidRDefault="00D75267" w:rsidP="00DA4528">
      <w:r w:rsidRPr="00EC6311">
        <w:rPr>
          <w:noProof/>
        </w:rPr>
        <mc:AlternateContent>
          <mc:Choice Requires="wps">
            <w:drawing>
              <wp:anchor distT="0" distB="0" distL="114300" distR="114300" simplePos="0" relativeHeight="251658245" behindDoc="0" locked="0" layoutInCell="1" hidden="0" allowOverlap="1" wp14:anchorId="4BF7197B" wp14:editId="16517E64">
                <wp:simplePos x="0" y="0"/>
                <wp:positionH relativeFrom="column">
                  <wp:posOffset>-20955</wp:posOffset>
                </wp:positionH>
                <wp:positionV relativeFrom="paragraph">
                  <wp:posOffset>3945890</wp:posOffset>
                </wp:positionV>
                <wp:extent cx="5181600" cy="1017905"/>
                <wp:effectExtent l="0" t="0" r="0" b="0"/>
                <wp:wrapNone/>
                <wp:docPr id="1388011498" name="Rectangle 1388011498"/>
                <wp:cNvGraphicFramePr/>
                <a:graphic xmlns:a="http://schemas.openxmlformats.org/drawingml/2006/main">
                  <a:graphicData uri="http://schemas.microsoft.com/office/word/2010/wordprocessingShape">
                    <wps:wsp>
                      <wps:cNvSpPr/>
                      <wps:spPr>
                        <a:xfrm>
                          <a:off x="0" y="0"/>
                          <a:ext cx="5181600" cy="1017905"/>
                        </a:xfrm>
                        <a:prstGeom prst="rect">
                          <a:avLst/>
                        </a:prstGeom>
                        <a:noFill/>
                        <a:ln>
                          <a:noFill/>
                        </a:ln>
                      </wps:spPr>
                      <wps:txbx>
                        <w:txbxContent>
                          <w:p w14:paraId="2FF4FCC8" w14:textId="5CE44BFE" w:rsidR="009A7909" w:rsidRPr="00E23F04" w:rsidRDefault="00761591" w:rsidP="00DA4528">
                            <w:pPr>
                              <w:pStyle w:val="Title"/>
                              <w:rPr>
                                <w:sz w:val="72"/>
                                <w:szCs w:val="64"/>
                              </w:rPr>
                            </w:pPr>
                            <w:r w:rsidRPr="00E23F04">
                              <w:rPr>
                                <w:sz w:val="72"/>
                                <w:szCs w:val="64"/>
                              </w:rPr>
                              <w:t xml:space="preserve">An </w:t>
                            </w:r>
                            <w:r w:rsidR="003A3536" w:rsidRPr="00E23F04">
                              <w:rPr>
                                <w:sz w:val="72"/>
                                <w:szCs w:val="64"/>
                              </w:rPr>
                              <w:t>e</w:t>
                            </w:r>
                            <w:r w:rsidR="00410FCE" w:rsidRPr="00E23F04">
                              <w:rPr>
                                <w:sz w:val="72"/>
                                <w:szCs w:val="64"/>
                              </w:rPr>
                              <w:t>valuation of the</w:t>
                            </w:r>
                          </w:p>
                          <w:p w14:paraId="66CCE11A" w14:textId="7DCD9309" w:rsidR="009A7909" w:rsidRPr="00E23F04" w:rsidRDefault="00410FCE" w:rsidP="00DA4528">
                            <w:pPr>
                              <w:pStyle w:val="Title"/>
                              <w:rPr>
                                <w:sz w:val="72"/>
                                <w:szCs w:val="64"/>
                              </w:rPr>
                            </w:pPr>
                            <w:r w:rsidRPr="00E23F04">
                              <w:rPr>
                                <w:sz w:val="72"/>
                                <w:szCs w:val="64"/>
                              </w:rPr>
                              <w:t>Central Australia Plan</w:t>
                            </w:r>
                            <w:r w:rsidR="00761591">
                              <w:rPr>
                                <w:sz w:val="72"/>
                                <w:szCs w:val="64"/>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F7197B" id="Rectangle 1388011498" o:spid="_x0000_s1027" style="position:absolute;margin-left:-1.65pt;margin-top:310.7pt;width:408pt;height:8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" filled="f" stroked="f">
                <v:textbox inset="2.53958mm,1.2694mm,2.53958mm,1.2694mm">
                  <w:txbxContent>
                    <w:p w14:paraId="2FF4FCC8" w14:textId="5CE44BFE" w:rsidR="009A7909" w:rsidRPr="00E23F04" w:rsidRDefault="00761591" w:rsidP="00DA4528">
                      <w:pPr>
                        <w:pStyle w:val="Title"/>
                        <w:rPr>
                          <w:sz w:val="72"/>
                          <w:szCs w:val="64"/>
                        </w:rPr>
                      </w:pPr>
                      <w:r w:rsidRPr="00E23F04">
                        <w:rPr>
                          <w:sz w:val="72"/>
                          <w:szCs w:val="64"/>
                        </w:rPr>
                        <w:t xml:space="preserve">An </w:t>
                      </w:r>
                      <w:r w:rsidR="003A3536" w:rsidRPr="00E23F04">
                        <w:rPr>
                          <w:sz w:val="72"/>
                          <w:szCs w:val="64"/>
                        </w:rPr>
                        <w:t>e</w:t>
                      </w:r>
                      <w:r w:rsidR="00410FCE" w:rsidRPr="00E23F04">
                        <w:rPr>
                          <w:sz w:val="72"/>
                          <w:szCs w:val="64"/>
                        </w:rPr>
                        <w:t>valuation of the</w:t>
                      </w:r>
                    </w:p>
                    <w:p w14:paraId="66CCE11A" w14:textId="7DCD9309" w:rsidR="009A7909" w:rsidRPr="00E23F04" w:rsidRDefault="00410FCE" w:rsidP="00DA4528">
                      <w:pPr>
                        <w:pStyle w:val="Title"/>
                        <w:rPr>
                          <w:sz w:val="72"/>
                          <w:szCs w:val="64"/>
                        </w:rPr>
                      </w:pPr>
                      <w:r w:rsidRPr="00E23F04">
                        <w:rPr>
                          <w:sz w:val="72"/>
                          <w:szCs w:val="64"/>
                        </w:rPr>
                        <w:t>Central Australia Plan</w:t>
                      </w:r>
                      <w:r w:rsidR="00761591">
                        <w:rPr>
                          <w:sz w:val="72"/>
                          <w:szCs w:val="64"/>
                        </w:rPr>
                        <w:t>.</w:t>
                      </w:r>
                    </w:p>
                  </w:txbxContent>
                </v:textbox>
              </v:rect>
            </w:pict>
          </mc:Fallback>
        </mc:AlternateContent>
      </w:r>
      <w:r w:rsidRPr="00EC6311">
        <w:rPr>
          <w:noProof/>
        </w:rPr>
        <mc:AlternateContent>
          <mc:Choice Requires="wps">
            <w:drawing>
              <wp:anchor distT="0" distB="0" distL="114300" distR="114300" simplePos="0" relativeHeight="251658244" behindDoc="0" locked="0" layoutInCell="1" hidden="0" allowOverlap="1" wp14:anchorId="140513D9" wp14:editId="67D2A003">
                <wp:simplePos x="0" y="0"/>
                <wp:positionH relativeFrom="column">
                  <wp:posOffset>-20955</wp:posOffset>
                </wp:positionH>
                <wp:positionV relativeFrom="paragraph">
                  <wp:posOffset>4963795</wp:posOffset>
                </wp:positionV>
                <wp:extent cx="5572125" cy="539750"/>
                <wp:effectExtent l="0" t="0" r="0" b="0"/>
                <wp:wrapNone/>
                <wp:docPr id="2" name="Rectangle 2"/>
                <wp:cNvGraphicFramePr/>
                <a:graphic xmlns:a="http://schemas.openxmlformats.org/drawingml/2006/main">
                  <a:graphicData uri="http://schemas.microsoft.com/office/word/2010/wordprocessingShape">
                    <wps:wsp>
                      <wps:cNvSpPr/>
                      <wps:spPr>
                        <a:xfrm>
                          <a:off x="0" y="0"/>
                          <a:ext cx="5572125" cy="539750"/>
                        </a:xfrm>
                        <a:prstGeom prst="rect">
                          <a:avLst/>
                        </a:prstGeom>
                        <a:noFill/>
                        <a:ln>
                          <a:noFill/>
                        </a:ln>
                      </wps:spPr>
                      <wps:txbx>
                        <w:txbxContent>
                          <w:p w14:paraId="49B61D35" w14:textId="1657E0EE" w:rsidR="00EC5738" w:rsidRPr="00E23F04" w:rsidRDefault="003A3536" w:rsidP="00DA4528">
                            <w:pPr>
                              <w:pStyle w:val="Title"/>
                              <w:rPr>
                                <w:b w:val="0"/>
                                <w:bCs w:val="0"/>
                              </w:rPr>
                            </w:pPr>
                            <w:r w:rsidRPr="00E23F04">
                              <w:rPr>
                                <w:b w:val="0"/>
                                <w:bCs w:val="0"/>
                              </w:rPr>
                              <w:t>Final</w:t>
                            </w:r>
                            <w:r w:rsidR="0058396C" w:rsidRPr="00E23F04">
                              <w:rPr>
                                <w:b w:val="0"/>
                                <w:bCs w:val="0"/>
                              </w:rPr>
                              <w:t xml:space="preserve"> report</w:t>
                            </w:r>
                            <w:r w:rsidR="00C83E74" w:rsidRPr="00E23F04">
                              <w:rPr>
                                <w:b w:val="0"/>
                                <w:bCs w:val="0"/>
                              </w:rPr>
                              <w:t>.</w:t>
                            </w:r>
                            <w:r w:rsidR="006650CE" w:rsidRPr="00E23F04">
                              <w:rPr>
                                <w:b w:val="0"/>
                                <w:bCs w:val="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0513D9" id="Rectangle 2" o:spid="_x0000_s1028" style="position:absolute;margin-left:-1.65pt;margin-top:390.85pt;width:438.75pt;height:4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" filled="f" stroked="f">
                <v:textbox inset="2.53958mm,1.2694mm,2.53958mm,1.2694mm">
                  <w:txbxContent>
                    <w:p w14:paraId="49B61D35" w14:textId="1657E0EE" w:rsidR="00EC5738" w:rsidRPr="00E23F04" w:rsidRDefault="003A3536" w:rsidP="00DA4528">
                      <w:pPr>
                        <w:pStyle w:val="Title"/>
                        <w:rPr>
                          <w:b w:val="0"/>
                          <w:bCs w:val="0"/>
                        </w:rPr>
                      </w:pPr>
                      <w:r w:rsidRPr="00E23F04">
                        <w:rPr>
                          <w:b w:val="0"/>
                          <w:bCs w:val="0"/>
                        </w:rPr>
                        <w:t>Final</w:t>
                      </w:r>
                      <w:r w:rsidR="0058396C" w:rsidRPr="00E23F04">
                        <w:rPr>
                          <w:b w:val="0"/>
                          <w:bCs w:val="0"/>
                        </w:rPr>
                        <w:t xml:space="preserve"> report</w:t>
                      </w:r>
                      <w:r w:rsidR="00C83E74" w:rsidRPr="00E23F04">
                        <w:rPr>
                          <w:b w:val="0"/>
                          <w:bCs w:val="0"/>
                        </w:rPr>
                        <w:t>.</w:t>
                      </w:r>
                      <w:r w:rsidR="006650CE" w:rsidRPr="00E23F04">
                        <w:rPr>
                          <w:b w:val="0"/>
                          <w:bCs w:val="0"/>
                        </w:rPr>
                        <w:t xml:space="preserve"> </w:t>
                      </w:r>
                    </w:p>
                  </w:txbxContent>
                </v:textbox>
              </v:rect>
            </w:pict>
          </mc:Fallback>
        </mc:AlternateContent>
      </w:r>
      <w:r w:rsidRPr="00E42902">
        <w:rPr>
          <w:noProof/>
        </w:rPr>
        <mc:AlternateContent>
          <mc:Choice Requires="wps">
            <w:drawing>
              <wp:anchor distT="0" distB="0" distL="114300" distR="114300" simplePos="0" relativeHeight="251658242" behindDoc="0" locked="0" layoutInCell="1" hidden="0" allowOverlap="1" wp14:anchorId="5E3C41C3" wp14:editId="200E835F">
                <wp:simplePos x="0" y="0"/>
                <wp:positionH relativeFrom="column">
                  <wp:posOffset>-43180</wp:posOffset>
                </wp:positionH>
                <wp:positionV relativeFrom="paragraph">
                  <wp:posOffset>6711950</wp:posOffset>
                </wp:positionV>
                <wp:extent cx="6232525" cy="897255"/>
                <wp:effectExtent l="0" t="0" r="0" b="0"/>
                <wp:wrapNone/>
                <wp:docPr id="25" name="Rectangle 25"/>
                <wp:cNvGraphicFramePr/>
                <a:graphic xmlns:a="http://schemas.openxmlformats.org/drawingml/2006/main">
                  <a:graphicData uri="http://schemas.microsoft.com/office/word/2010/wordprocessingShape">
                    <wps:wsp>
                      <wps:cNvSpPr/>
                      <wps:spPr>
                        <a:xfrm>
                          <a:off x="0" y="0"/>
                          <a:ext cx="6232525" cy="897255"/>
                        </a:xfrm>
                        <a:prstGeom prst="rect">
                          <a:avLst/>
                        </a:prstGeom>
                        <a:noFill/>
                        <a:ln>
                          <a:noFill/>
                        </a:ln>
                      </wps:spPr>
                      <wps:txbx>
                        <w:txbxContent>
                          <w:p w14:paraId="65FEADB3" w14:textId="216C2513" w:rsidR="00EC5738" w:rsidRPr="00E23F04" w:rsidRDefault="00410FCE" w:rsidP="00DA4528">
                            <w:pPr>
                              <w:pStyle w:val="Title"/>
                              <w:rPr>
                                <w:b w:val="0"/>
                                <w:bCs w:val="0"/>
                                <w:sz w:val="10"/>
                                <w:szCs w:val="10"/>
                              </w:rPr>
                            </w:pPr>
                            <w:r w:rsidRPr="00E23F04">
                              <w:rPr>
                                <w:b w:val="0"/>
                                <w:bCs w:val="0"/>
                                <w:sz w:val="40"/>
                                <w:szCs w:val="54"/>
                              </w:rPr>
                              <w:t xml:space="preserve">Prepared by Inside Policy for the National Indigenous Australians Agency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3C41C3" id="Rectangle 25" o:spid="_x0000_s1029" style="position:absolute;margin-left:-3.4pt;margin-top:528.5pt;width:490.75pt;height:7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" filled="f" stroked="f">
                <v:textbox inset="2.53958mm,1.2694mm,2.53958mm,1.2694mm">
                  <w:txbxContent>
                    <w:p w14:paraId="65FEADB3" w14:textId="216C2513" w:rsidR="00EC5738" w:rsidRPr="00E23F04" w:rsidRDefault="00410FCE" w:rsidP="00DA4528">
                      <w:pPr>
                        <w:pStyle w:val="Title"/>
                        <w:rPr>
                          <w:b w:val="0"/>
                          <w:bCs w:val="0"/>
                          <w:sz w:val="10"/>
                          <w:szCs w:val="10"/>
                        </w:rPr>
                      </w:pPr>
                      <w:r w:rsidRPr="00E23F04">
                        <w:rPr>
                          <w:b w:val="0"/>
                          <w:bCs w:val="0"/>
                          <w:sz w:val="40"/>
                          <w:szCs w:val="54"/>
                        </w:rPr>
                        <w:t xml:space="preserve">Prepared by Inside Policy for the National Indigenous Australians Agency </w:t>
                      </w:r>
                    </w:p>
                  </w:txbxContent>
                </v:textbox>
              </v:rect>
            </w:pict>
          </mc:Fallback>
        </mc:AlternateContent>
      </w:r>
      <w:r w:rsidRPr="00E42902">
        <w:rPr>
          <w:noProof/>
        </w:rPr>
        <mc:AlternateContent>
          <mc:Choice Requires="wps">
            <w:drawing>
              <wp:anchor distT="0" distB="0" distL="114300" distR="114300" simplePos="0" relativeHeight="251658243" behindDoc="0" locked="0" layoutInCell="1" hidden="0" allowOverlap="1" wp14:anchorId="330AF97E" wp14:editId="1ED60C89">
                <wp:simplePos x="0" y="0"/>
                <wp:positionH relativeFrom="column">
                  <wp:posOffset>-43180</wp:posOffset>
                </wp:positionH>
                <wp:positionV relativeFrom="paragraph">
                  <wp:posOffset>8078470</wp:posOffset>
                </wp:positionV>
                <wp:extent cx="2768600" cy="711200"/>
                <wp:effectExtent l="0" t="0" r="0" b="0"/>
                <wp:wrapNone/>
                <wp:docPr id="30" name="Rectangle 30"/>
                <wp:cNvGraphicFramePr/>
                <a:graphic xmlns:a="http://schemas.openxmlformats.org/drawingml/2006/main">
                  <a:graphicData uri="http://schemas.microsoft.com/office/word/2010/wordprocessingShape">
                    <wps:wsp>
                      <wps:cNvSpPr/>
                      <wps:spPr>
                        <a:xfrm>
                          <a:off x="0" y="0"/>
                          <a:ext cx="2768600" cy="711200"/>
                        </a:xfrm>
                        <a:prstGeom prst="rect">
                          <a:avLst/>
                        </a:prstGeom>
                        <a:noFill/>
                        <a:ln>
                          <a:noFill/>
                        </a:ln>
                      </wps:spPr>
                      <wps:txbx>
                        <w:txbxContent>
                          <w:p w14:paraId="3BB86F4B" w14:textId="009CB1E1" w:rsidR="001A221F" w:rsidRPr="00E23F04" w:rsidRDefault="00181986" w:rsidP="00DA4528">
                            <w:pPr>
                              <w:pStyle w:val="Title"/>
                              <w:rPr>
                                <w:b w:val="0"/>
                                <w:bCs w:val="0"/>
                                <w:sz w:val="48"/>
                                <w:szCs w:val="58"/>
                              </w:rPr>
                            </w:pPr>
                            <w:r>
                              <w:rPr>
                                <w:b w:val="0"/>
                                <w:bCs w:val="0"/>
                                <w:sz w:val="48"/>
                                <w:szCs w:val="58"/>
                              </w:rPr>
                              <w:t>11 August</w:t>
                            </w:r>
                            <w:r w:rsidR="003A3536" w:rsidRPr="00E23F04">
                              <w:rPr>
                                <w:b w:val="0"/>
                                <w:bCs w:val="0"/>
                                <w:sz w:val="48"/>
                                <w:szCs w:val="58"/>
                              </w:rPr>
                              <w:t xml:space="preserve"> </w:t>
                            </w:r>
                            <w:r w:rsidR="00410FCE" w:rsidRPr="00E23F04">
                              <w:rPr>
                                <w:b w:val="0"/>
                                <w:bCs w:val="0"/>
                                <w:sz w:val="48"/>
                                <w:szCs w:val="58"/>
                              </w:rPr>
                              <w:t xml:space="preserve">2025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30AF97E" id="Rectangle 30" o:spid="_x0000_s1030" style="position:absolute;margin-left:-3.4pt;margin-top:636.1pt;width:218pt;height:5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" filled="f" stroked="f">
                <v:textbox inset="2.53958mm,1.2694mm,2.53958mm,1.2694mm">
                  <w:txbxContent>
                    <w:p w14:paraId="3BB86F4B" w14:textId="009CB1E1" w:rsidR="001A221F" w:rsidRPr="00E23F04" w:rsidRDefault="00181986" w:rsidP="00DA4528">
                      <w:pPr>
                        <w:pStyle w:val="Title"/>
                        <w:rPr>
                          <w:b w:val="0"/>
                          <w:bCs w:val="0"/>
                          <w:sz w:val="48"/>
                          <w:szCs w:val="58"/>
                        </w:rPr>
                      </w:pPr>
                      <w:r>
                        <w:rPr>
                          <w:b w:val="0"/>
                          <w:bCs w:val="0"/>
                          <w:sz w:val="48"/>
                          <w:szCs w:val="58"/>
                        </w:rPr>
                        <w:t>11 August</w:t>
                      </w:r>
                      <w:r w:rsidR="003A3536" w:rsidRPr="00E23F04">
                        <w:rPr>
                          <w:b w:val="0"/>
                          <w:bCs w:val="0"/>
                          <w:sz w:val="48"/>
                          <w:szCs w:val="58"/>
                        </w:rPr>
                        <w:t xml:space="preserve"> </w:t>
                      </w:r>
                      <w:r w:rsidR="00410FCE" w:rsidRPr="00E23F04">
                        <w:rPr>
                          <w:b w:val="0"/>
                          <w:bCs w:val="0"/>
                          <w:sz w:val="48"/>
                          <w:szCs w:val="58"/>
                        </w:rPr>
                        <w:t xml:space="preserve">2025 </w:t>
                      </w:r>
                    </w:p>
                  </w:txbxContent>
                </v:textbox>
              </v:rect>
            </w:pict>
          </mc:Fallback>
        </mc:AlternateContent>
      </w:r>
      <w:r w:rsidR="00FB2E9C" w:rsidRPr="00E42902">
        <w:br w:type="page"/>
      </w:r>
    </w:p>
    <w:p w14:paraId="1E164797" w14:textId="438EFC57" w:rsidR="00D75267" w:rsidRPr="00FA33B0" w:rsidRDefault="00D75267" w:rsidP="00896DC9">
      <w:pPr>
        <w:pStyle w:val="Heading4"/>
      </w:pPr>
      <w:r>
        <w:lastRenderedPageBreak/>
        <w:t>Disclaimer</w:t>
      </w:r>
    </w:p>
    <w:p w14:paraId="338E9CB8" w14:textId="77777777" w:rsidR="00AC4C79" w:rsidRPr="00210956" w:rsidRDefault="00AC4C79" w:rsidP="00DA4528">
      <w:r w:rsidRPr="00210956">
        <w:t>This document has been prepared by Inside Policy Pty Ltd on behalf of the National Indigenous Australians Agency (NIAA) for the sole use of NIAA and for the purposes for which it was commissioned. The contents of this document do not reflect the views of NIAA.</w:t>
      </w:r>
    </w:p>
    <w:p w14:paraId="011F1EE8" w14:textId="77777777" w:rsidR="00AC4C79" w:rsidRPr="00FA33B0" w:rsidRDefault="00AC4C79" w:rsidP="00896DC9">
      <w:pPr>
        <w:pStyle w:val="Heading4"/>
      </w:pPr>
      <w:r w:rsidRPr="00FA33B0">
        <w:t>Intellectual property</w:t>
      </w:r>
    </w:p>
    <w:p w14:paraId="21F15884" w14:textId="77777777" w:rsidR="00AC4C79" w:rsidRPr="00772C4F" w:rsidRDefault="00AC4C79" w:rsidP="00DA4528">
      <w:r w:rsidRPr="00772C4F">
        <w:t>Inside Policy grants NIAA a fee free, non-exclusive, irrevocable, world-wide licence to exercise the intellectual property rights in relation to this document. The licence granted to NIAA includes a right to sub-licence those rights, including to the public under an open access licence.</w:t>
      </w:r>
    </w:p>
    <w:p w14:paraId="42DD7634" w14:textId="77777777" w:rsidR="00AC4C79" w:rsidRPr="00772C4F" w:rsidRDefault="00AC4C79" w:rsidP="00DA4528">
      <w:r w:rsidRPr="00772C4F">
        <w:t>Inside Policy warrants that it is entitled to grant this licence; and that the provision of this document and its use by NIAA will not infringe any third party’s intellectual property rights.</w:t>
      </w:r>
    </w:p>
    <w:p w14:paraId="548CC177" w14:textId="77777777" w:rsidR="00FA33B0" w:rsidRDefault="00CB0B18" w:rsidP="00896DC9">
      <w:pPr>
        <w:pStyle w:val="Heading4"/>
        <w:rPr>
          <w:shd w:val="clear" w:color="auto" w:fill="FFFFFF"/>
        </w:rPr>
      </w:pPr>
      <w:r w:rsidRPr="00772C4F">
        <w:rPr>
          <w:shd w:val="clear" w:color="auto" w:fill="FFFFFF"/>
        </w:rPr>
        <w:t>Third Party Reliance </w:t>
      </w:r>
    </w:p>
    <w:p w14:paraId="599816FA" w14:textId="62B9E3F7" w:rsidR="00CB0B18" w:rsidRPr="00F178EE" w:rsidRDefault="00CB0B18" w:rsidP="00DA4528">
      <w:r w:rsidRPr="00F178EE">
        <w:t xml:space="preserve">The information, statements and commentary contained in this report (collectively, the “Information”) have been prepared by Inside Policy based on material publicly available, information provided by </w:t>
      </w:r>
      <w:r w:rsidR="00772C4F" w:rsidRPr="00F178EE">
        <w:t>NIAA</w:t>
      </w:r>
      <w:r w:rsidRPr="00F178EE">
        <w:t xml:space="preserve">, interviews, documents and data related to the </w:t>
      </w:r>
      <w:r w:rsidR="00772C4F" w:rsidRPr="00F178EE">
        <w:t>Central Australia Plan</w:t>
      </w:r>
      <w:r w:rsidRPr="00F178EE">
        <w:t xml:space="preserve"> and otherwise from sources indicated within this report.  Inside Policy has not sought to independently verify those sources unless otherwise noted within this report.  Inside Policy does not give any guarantee, undertaking or warranty in relation to the accuracy, reliability or completeness of the Information contained in this report, the assumptions made by the parties that provided the Information or any conclusions reached by those parties. Inside Policy does not accept or assume any liability arising from any actions taken in response to this report (including investment or strategic decisions made </w:t>
      </w:r>
      <w:r w:rsidR="003E592C" w:rsidRPr="00F178EE">
        <w:t>because of</w:t>
      </w:r>
      <w:r w:rsidRPr="00F178EE">
        <w:t xml:space="preserve"> the Information contained in the report).   </w:t>
      </w:r>
    </w:p>
    <w:p w14:paraId="3AB65C26" w14:textId="5AFDA71A" w:rsidR="00CB0B18" w:rsidRPr="00F178EE" w:rsidRDefault="00CB0B18" w:rsidP="00DA4528">
      <w:r>
        <w:t>Inside Policy does not accept or assume responsibility for any reliance that may be placed on this report by any third-party.  Any reliance placed is that party’s sole responsibility. </w:t>
      </w:r>
    </w:p>
    <w:p w14:paraId="473E116A" w14:textId="77777777" w:rsidR="000B5D38" w:rsidRDefault="000B5D38" w:rsidP="00DA4528">
      <w:pPr>
        <w:rPr>
          <w:shd w:val="clear" w:color="auto" w:fill="FFFFFF"/>
        </w:rPr>
      </w:pPr>
    </w:p>
    <w:p w14:paraId="54CE8B9A" w14:textId="4FC77016" w:rsidR="000B5D38" w:rsidRDefault="000B5D38" w:rsidP="00DA4528">
      <w:pPr>
        <w:rPr>
          <w:color w:val="009999"/>
          <w:sz w:val="32"/>
          <w:szCs w:val="32"/>
        </w:rPr>
      </w:pPr>
      <w:r>
        <w:br w:type="page"/>
      </w:r>
    </w:p>
    <w:p w14:paraId="0000229B" w14:textId="10C4466D" w:rsidR="000B5D38" w:rsidRPr="001347F2" w:rsidRDefault="000B5D38" w:rsidP="00DA4528">
      <w:pPr>
        <w:pStyle w:val="Heading1"/>
      </w:pPr>
      <w:bookmarkStart w:id="0" w:name="_Toc205475096"/>
      <w:r w:rsidRPr="001347F2">
        <w:lastRenderedPageBreak/>
        <w:t>Acknowledgements</w:t>
      </w:r>
      <w:bookmarkEnd w:id="0"/>
    </w:p>
    <w:p w14:paraId="203C5400" w14:textId="284E49F5" w:rsidR="000B5D38" w:rsidRDefault="000B5D38" w:rsidP="00DA4528">
      <w:bookmarkStart w:id="1" w:name="_Toc7303536"/>
      <w:r w:rsidRPr="002F32A7">
        <w:t>Inside Policy acknowledges the First Nations’ lands on which we live and work. We pay our respects to the Elders past and present of these Nations. We thank them for their ongoing custodianship of land, waters, air, and all aspects of Country and remind ourselves that it always was, and always will be, Aboriginal and Torres Strait Islander land.</w:t>
      </w:r>
      <w:bookmarkEnd w:id="1"/>
    </w:p>
    <w:p w14:paraId="6B0A7C69" w14:textId="3B998B03" w:rsidR="00102A35" w:rsidRPr="00102A35" w:rsidRDefault="00102A35" w:rsidP="00DA4528">
      <w:r w:rsidRPr="009526BB">
        <w:t xml:space="preserve">Inside Policy acknowledges and thanks the staff of </w:t>
      </w:r>
      <w:r w:rsidR="00F86CA3" w:rsidRPr="009526BB">
        <w:t xml:space="preserve">the National Indigenous Australians Agency, </w:t>
      </w:r>
      <w:r w:rsidR="006D09B3" w:rsidRPr="009526BB">
        <w:t xml:space="preserve">the Aboriginal </w:t>
      </w:r>
      <w:r w:rsidR="00291804">
        <w:t>Leadership</w:t>
      </w:r>
      <w:r w:rsidR="00291804" w:rsidRPr="009526BB">
        <w:t xml:space="preserve"> </w:t>
      </w:r>
      <w:r w:rsidR="009676A7" w:rsidRPr="009526BB">
        <w:t>G</w:t>
      </w:r>
      <w:r w:rsidR="006D09B3" w:rsidRPr="009526BB">
        <w:t>roup</w:t>
      </w:r>
      <w:r w:rsidR="009676A7" w:rsidRPr="009526BB">
        <w:t xml:space="preserve">, </w:t>
      </w:r>
      <w:r w:rsidR="006D09B3" w:rsidRPr="009526BB">
        <w:t>the Youth R</w:t>
      </w:r>
      <w:r w:rsidR="008B3CFF" w:rsidRPr="009526BB">
        <w:t>o</w:t>
      </w:r>
      <w:r w:rsidR="006D09B3" w:rsidRPr="009526BB">
        <w:t>und</w:t>
      </w:r>
      <w:r w:rsidR="009676A7" w:rsidRPr="009526BB">
        <w:t>t</w:t>
      </w:r>
      <w:r w:rsidR="006D09B3" w:rsidRPr="009526BB">
        <w:t>able</w:t>
      </w:r>
      <w:r w:rsidR="009676A7" w:rsidRPr="009526BB">
        <w:t xml:space="preserve">, </w:t>
      </w:r>
      <w:r w:rsidR="00D75267">
        <w:t xml:space="preserve">Central Australian </w:t>
      </w:r>
      <w:r w:rsidR="008B3CFF" w:rsidRPr="009526BB">
        <w:t>service</w:t>
      </w:r>
      <w:r w:rsidR="008B3CFF" w:rsidRPr="155722E8">
        <w:t xml:space="preserve"> providers and government stakeholders</w:t>
      </w:r>
      <w:r w:rsidR="002D3606">
        <w:t xml:space="preserve">. </w:t>
      </w:r>
      <w:r w:rsidRPr="155722E8">
        <w:t xml:space="preserve">We are grateful for all the rich and diverse contributions that have helped shape and inform this report. </w:t>
      </w:r>
    </w:p>
    <w:p w14:paraId="2B97F78A" w14:textId="77777777" w:rsidR="000B5D38" w:rsidRPr="00772C4F" w:rsidRDefault="000B5D38" w:rsidP="00DA4528">
      <w:pPr>
        <w:rPr>
          <w:shd w:val="clear" w:color="auto" w:fill="FFFFFF"/>
        </w:rPr>
      </w:pPr>
    </w:p>
    <w:p w14:paraId="7442EB3E" w14:textId="7AAB6001" w:rsidR="00BB4B48" w:rsidRDefault="00DE08B5" w:rsidP="1A31B231">
      <w:r>
        <w:br w:type="page"/>
      </w:r>
    </w:p>
    <w:p w14:paraId="068BE462" w14:textId="48C26FA0" w:rsidR="002A405C" w:rsidRPr="00D75267" w:rsidRDefault="00D75267" w:rsidP="00D75267">
      <w:pPr>
        <w:pStyle w:val="Heading2"/>
        <w:rPr>
          <w:sz w:val="32"/>
          <w:szCs w:val="32"/>
        </w:rPr>
      </w:pPr>
      <w:r w:rsidRPr="00D75267">
        <w:rPr>
          <w:sz w:val="32"/>
          <w:szCs w:val="32"/>
        </w:rPr>
        <w:lastRenderedPageBreak/>
        <w:t>Table of contents</w:t>
      </w:r>
    </w:p>
    <w:sdt>
      <w:sdtPr>
        <w:rPr>
          <w:sz w:val="21"/>
          <w:szCs w:val="21"/>
        </w:rPr>
        <w:id w:val="1498201836"/>
        <w:docPartObj>
          <w:docPartGallery w:val="Table of Contents"/>
          <w:docPartUnique/>
        </w:docPartObj>
      </w:sdtPr>
      <w:sdtEndPr>
        <w:rPr>
          <w:sz w:val="20"/>
          <w:szCs w:val="20"/>
        </w:rPr>
      </w:sdtEndPr>
      <w:sdtContent>
        <w:p w14:paraId="431631C9" w14:textId="005BD2B3" w:rsidR="002A6702" w:rsidRDefault="00D549EE">
          <w:pPr>
            <w:pStyle w:val="TOC1"/>
            <w:rPr>
              <w:rFonts w:asciiTheme="minorHAnsi" w:eastAsiaTheme="minorEastAsia" w:hAnsiTheme="minorHAnsi"/>
              <w:b w:val="0"/>
              <w:noProof/>
              <w:color w:val="auto"/>
              <w:kern w:val="2"/>
              <w:sz w:val="24"/>
              <w:szCs w:val="24"/>
              <w14:ligatures w14:val="standardContextual"/>
            </w:rPr>
          </w:pPr>
          <w:r>
            <w:rPr>
              <w:sz w:val="21"/>
              <w:szCs w:val="21"/>
            </w:rPr>
            <w:fldChar w:fldCharType="begin"/>
          </w:r>
          <w:r>
            <w:rPr>
              <w:sz w:val="21"/>
              <w:szCs w:val="21"/>
            </w:rPr>
            <w:instrText xml:space="preserve"> TOC \o "1-1" \h \z \u </w:instrText>
          </w:r>
          <w:r>
            <w:rPr>
              <w:sz w:val="21"/>
              <w:szCs w:val="21"/>
            </w:rPr>
            <w:fldChar w:fldCharType="separate"/>
          </w:r>
          <w:hyperlink w:anchor="_Toc205475096" w:history="1">
            <w:r w:rsidR="002A6702" w:rsidRPr="006D0F85">
              <w:rPr>
                <w:rStyle w:val="Hyperlink"/>
                <w:noProof/>
              </w:rPr>
              <w:t>Acknowledgements</w:t>
            </w:r>
            <w:r w:rsidR="002A6702">
              <w:rPr>
                <w:noProof/>
                <w:webHidden/>
              </w:rPr>
              <w:tab/>
            </w:r>
            <w:r w:rsidR="002A6702">
              <w:rPr>
                <w:noProof/>
                <w:webHidden/>
              </w:rPr>
              <w:fldChar w:fldCharType="begin"/>
            </w:r>
            <w:r w:rsidR="002A6702">
              <w:rPr>
                <w:noProof/>
                <w:webHidden/>
              </w:rPr>
              <w:instrText xml:space="preserve"> PAGEREF _Toc205475096 \h </w:instrText>
            </w:r>
            <w:r w:rsidR="002A6702">
              <w:rPr>
                <w:noProof/>
                <w:webHidden/>
              </w:rPr>
            </w:r>
            <w:r w:rsidR="002A6702">
              <w:rPr>
                <w:noProof/>
                <w:webHidden/>
              </w:rPr>
              <w:fldChar w:fldCharType="separate"/>
            </w:r>
            <w:r w:rsidR="006F7001">
              <w:rPr>
                <w:noProof/>
                <w:webHidden/>
              </w:rPr>
              <w:t>3</w:t>
            </w:r>
            <w:r w:rsidR="002A6702">
              <w:rPr>
                <w:noProof/>
                <w:webHidden/>
              </w:rPr>
              <w:fldChar w:fldCharType="end"/>
            </w:r>
          </w:hyperlink>
        </w:p>
        <w:p w14:paraId="4580C256" w14:textId="3DA01F5C"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097" w:history="1">
            <w:r w:rsidRPr="006D0F85">
              <w:rPr>
                <w:rStyle w:val="Hyperlink"/>
                <w:noProof/>
              </w:rPr>
              <w:t>Terminology</w:t>
            </w:r>
            <w:r>
              <w:rPr>
                <w:noProof/>
                <w:webHidden/>
              </w:rPr>
              <w:tab/>
            </w:r>
            <w:r>
              <w:rPr>
                <w:noProof/>
                <w:webHidden/>
              </w:rPr>
              <w:fldChar w:fldCharType="begin"/>
            </w:r>
            <w:r>
              <w:rPr>
                <w:noProof/>
                <w:webHidden/>
              </w:rPr>
              <w:instrText xml:space="preserve"> PAGEREF _Toc205475097 \h </w:instrText>
            </w:r>
            <w:r>
              <w:rPr>
                <w:noProof/>
                <w:webHidden/>
              </w:rPr>
            </w:r>
            <w:r>
              <w:rPr>
                <w:noProof/>
                <w:webHidden/>
              </w:rPr>
              <w:fldChar w:fldCharType="separate"/>
            </w:r>
            <w:r w:rsidR="006F7001">
              <w:rPr>
                <w:noProof/>
                <w:webHidden/>
              </w:rPr>
              <w:t>5</w:t>
            </w:r>
            <w:r>
              <w:rPr>
                <w:noProof/>
                <w:webHidden/>
              </w:rPr>
              <w:fldChar w:fldCharType="end"/>
            </w:r>
          </w:hyperlink>
        </w:p>
        <w:p w14:paraId="77AC40AB" w14:textId="22ED65E0"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098" w:history="1">
            <w:r w:rsidRPr="006D0F85">
              <w:rPr>
                <w:rStyle w:val="Hyperlink"/>
                <w:noProof/>
              </w:rPr>
              <w:t>Acronyms</w:t>
            </w:r>
            <w:r>
              <w:rPr>
                <w:noProof/>
                <w:webHidden/>
              </w:rPr>
              <w:tab/>
            </w:r>
            <w:r>
              <w:rPr>
                <w:noProof/>
                <w:webHidden/>
              </w:rPr>
              <w:fldChar w:fldCharType="begin"/>
            </w:r>
            <w:r>
              <w:rPr>
                <w:noProof/>
                <w:webHidden/>
              </w:rPr>
              <w:instrText xml:space="preserve"> PAGEREF _Toc205475098 \h </w:instrText>
            </w:r>
            <w:r>
              <w:rPr>
                <w:noProof/>
                <w:webHidden/>
              </w:rPr>
            </w:r>
            <w:r>
              <w:rPr>
                <w:noProof/>
                <w:webHidden/>
              </w:rPr>
              <w:fldChar w:fldCharType="separate"/>
            </w:r>
            <w:r w:rsidR="006F7001">
              <w:rPr>
                <w:noProof/>
                <w:webHidden/>
              </w:rPr>
              <w:t>7</w:t>
            </w:r>
            <w:r>
              <w:rPr>
                <w:noProof/>
                <w:webHidden/>
              </w:rPr>
              <w:fldChar w:fldCharType="end"/>
            </w:r>
          </w:hyperlink>
        </w:p>
        <w:p w14:paraId="2639E1C0" w14:textId="67341965"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099" w:history="1">
            <w:r w:rsidRPr="006D0F85">
              <w:rPr>
                <w:rStyle w:val="Hyperlink"/>
                <w:noProof/>
              </w:rPr>
              <w:t>Executive summary</w:t>
            </w:r>
            <w:r>
              <w:rPr>
                <w:noProof/>
                <w:webHidden/>
              </w:rPr>
              <w:tab/>
            </w:r>
            <w:r>
              <w:rPr>
                <w:noProof/>
                <w:webHidden/>
              </w:rPr>
              <w:fldChar w:fldCharType="begin"/>
            </w:r>
            <w:r>
              <w:rPr>
                <w:noProof/>
                <w:webHidden/>
              </w:rPr>
              <w:instrText xml:space="preserve"> PAGEREF _Toc205475099 \h </w:instrText>
            </w:r>
            <w:r>
              <w:rPr>
                <w:noProof/>
                <w:webHidden/>
              </w:rPr>
            </w:r>
            <w:r>
              <w:rPr>
                <w:noProof/>
                <w:webHidden/>
              </w:rPr>
              <w:fldChar w:fldCharType="separate"/>
            </w:r>
            <w:r w:rsidR="006F7001">
              <w:rPr>
                <w:noProof/>
                <w:webHidden/>
              </w:rPr>
              <w:t>8</w:t>
            </w:r>
            <w:r>
              <w:rPr>
                <w:noProof/>
                <w:webHidden/>
              </w:rPr>
              <w:fldChar w:fldCharType="end"/>
            </w:r>
          </w:hyperlink>
        </w:p>
        <w:p w14:paraId="15963F5F" w14:textId="450FB20A"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0" w:history="1">
            <w:r w:rsidRPr="006D0F85">
              <w:rPr>
                <w:rStyle w:val="Hyperlink"/>
                <w:noProof/>
              </w:rPr>
              <w:t>Introduction</w:t>
            </w:r>
            <w:r>
              <w:rPr>
                <w:noProof/>
                <w:webHidden/>
              </w:rPr>
              <w:tab/>
            </w:r>
            <w:r>
              <w:rPr>
                <w:noProof/>
                <w:webHidden/>
              </w:rPr>
              <w:fldChar w:fldCharType="begin"/>
            </w:r>
            <w:r>
              <w:rPr>
                <w:noProof/>
                <w:webHidden/>
              </w:rPr>
              <w:instrText xml:space="preserve"> PAGEREF _Toc205475100 \h </w:instrText>
            </w:r>
            <w:r>
              <w:rPr>
                <w:noProof/>
                <w:webHidden/>
              </w:rPr>
            </w:r>
            <w:r>
              <w:rPr>
                <w:noProof/>
                <w:webHidden/>
              </w:rPr>
              <w:fldChar w:fldCharType="separate"/>
            </w:r>
            <w:r w:rsidR="006F7001">
              <w:rPr>
                <w:noProof/>
                <w:webHidden/>
              </w:rPr>
              <w:t>12</w:t>
            </w:r>
            <w:r>
              <w:rPr>
                <w:noProof/>
                <w:webHidden/>
              </w:rPr>
              <w:fldChar w:fldCharType="end"/>
            </w:r>
          </w:hyperlink>
        </w:p>
        <w:p w14:paraId="4009D0F7" w14:textId="2CD25B71"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1" w:history="1">
            <w:r w:rsidRPr="006D0F85">
              <w:rPr>
                <w:rStyle w:val="Hyperlink"/>
                <w:noProof/>
              </w:rPr>
              <w:t>About the Central Australia Plan</w:t>
            </w:r>
            <w:r>
              <w:rPr>
                <w:noProof/>
                <w:webHidden/>
              </w:rPr>
              <w:tab/>
            </w:r>
            <w:r>
              <w:rPr>
                <w:noProof/>
                <w:webHidden/>
              </w:rPr>
              <w:fldChar w:fldCharType="begin"/>
            </w:r>
            <w:r>
              <w:rPr>
                <w:noProof/>
                <w:webHidden/>
              </w:rPr>
              <w:instrText xml:space="preserve"> PAGEREF _Toc205475101 \h </w:instrText>
            </w:r>
            <w:r>
              <w:rPr>
                <w:noProof/>
                <w:webHidden/>
              </w:rPr>
            </w:r>
            <w:r>
              <w:rPr>
                <w:noProof/>
                <w:webHidden/>
              </w:rPr>
              <w:fldChar w:fldCharType="separate"/>
            </w:r>
            <w:r w:rsidR="006F7001">
              <w:rPr>
                <w:noProof/>
                <w:webHidden/>
              </w:rPr>
              <w:t>13</w:t>
            </w:r>
            <w:r>
              <w:rPr>
                <w:noProof/>
                <w:webHidden/>
              </w:rPr>
              <w:fldChar w:fldCharType="end"/>
            </w:r>
          </w:hyperlink>
        </w:p>
        <w:p w14:paraId="53A26913" w14:textId="43C41A9B"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2" w:history="1">
            <w:r w:rsidRPr="006D0F85">
              <w:rPr>
                <w:rStyle w:val="Hyperlink"/>
                <w:noProof/>
              </w:rPr>
              <w:t>Evaluation methodology</w:t>
            </w:r>
            <w:r>
              <w:rPr>
                <w:noProof/>
                <w:webHidden/>
              </w:rPr>
              <w:tab/>
            </w:r>
            <w:r>
              <w:rPr>
                <w:noProof/>
                <w:webHidden/>
              </w:rPr>
              <w:fldChar w:fldCharType="begin"/>
            </w:r>
            <w:r>
              <w:rPr>
                <w:noProof/>
                <w:webHidden/>
              </w:rPr>
              <w:instrText xml:space="preserve"> PAGEREF _Toc205475102 \h </w:instrText>
            </w:r>
            <w:r>
              <w:rPr>
                <w:noProof/>
                <w:webHidden/>
              </w:rPr>
            </w:r>
            <w:r>
              <w:rPr>
                <w:noProof/>
                <w:webHidden/>
              </w:rPr>
              <w:fldChar w:fldCharType="separate"/>
            </w:r>
            <w:r w:rsidR="006F7001">
              <w:rPr>
                <w:noProof/>
                <w:webHidden/>
              </w:rPr>
              <w:t>15</w:t>
            </w:r>
            <w:r>
              <w:rPr>
                <w:noProof/>
                <w:webHidden/>
              </w:rPr>
              <w:fldChar w:fldCharType="end"/>
            </w:r>
          </w:hyperlink>
        </w:p>
        <w:p w14:paraId="18A5D379" w14:textId="31D20E30"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3" w:history="1">
            <w:r w:rsidRPr="006D0F85">
              <w:rPr>
                <w:rStyle w:val="Hyperlink"/>
                <w:noProof/>
              </w:rPr>
              <w:t>Key insights</w:t>
            </w:r>
            <w:r>
              <w:rPr>
                <w:noProof/>
                <w:webHidden/>
              </w:rPr>
              <w:tab/>
            </w:r>
            <w:r>
              <w:rPr>
                <w:noProof/>
                <w:webHidden/>
              </w:rPr>
              <w:fldChar w:fldCharType="begin"/>
            </w:r>
            <w:r>
              <w:rPr>
                <w:noProof/>
                <w:webHidden/>
              </w:rPr>
              <w:instrText xml:space="preserve"> PAGEREF _Toc205475103 \h </w:instrText>
            </w:r>
            <w:r>
              <w:rPr>
                <w:noProof/>
                <w:webHidden/>
              </w:rPr>
            </w:r>
            <w:r>
              <w:rPr>
                <w:noProof/>
                <w:webHidden/>
              </w:rPr>
              <w:fldChar w:fldCharType="separate"/>
            </w:r>
            <w:r w:rsidR="006F7001">
              <w:rPr>
                <w:noProof/>
                <w:webHidden/>
              </w:rPr>
              <w:t>19</w:t>
            </w:r>
            <w:r>
              <w:rPr>
                <w:noProof/>
                <w:webHidden/>
              </w:rPr>
              <w:fldChar w:fldCharType="end"/>
            </w:r>
          </w:hyperlink>
        </w:p>
        <w:p w14:paraId="2CAE8D11" w14:textId="0E52FD55"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4" w:history="1">
            <w:r w:rsidRPr="006D0F85">
              <w:rPr>
                <w:rStyle w:val="Hyperlink"/>
                <w:noProof/>
              </w:rPr>
              <w:t>Findings in detail</w:t>
            </w:r>
            <w:r>
              <w:rPr>
                <w:noProof/>
                <w:webHidden/>
              </w:rPr>
              <w:tab/>
            </w:r>
            <w:r>
              <w:rPr>
                <w:noProof/>
                <w:webHidden/>
              </w:rPr>
              <w:fldChar w:fldCharType="begin"/>
            </w:r>
            <w:r>
              <w:rPr>
                <w:noProof/>
                <w:webHidden/>
              </w:rPr>
              <w:instrText xml:space="preserve"> PAGEREF _Toc205475104 \h </w:instrText>
            </w:r>
            <w:r>
              <w:rPr>
                <w:noProof/>
                <w:webHidden/>
              </w:rPr>
            </w:r>
            <w:r>
              <w:rPr>
                <w:noProof/>
                <w:webHidden/>
              </w:rPr>
              <w:fldChar w:fldCharType="separate"/>
            </w:r>
            <w:r w:rsidR="006F7001">
              <w:rPr>
                <w:noProof/>
                <w:webHidden/>
              </w:rPr>
              <w:t>20</w:t>
            </w:r>
            <w:r>
              <w:rPr>
                <w:noProof/>
                <w:webHidden/>
              </w:rPr>
              <w:fldChar w:fldCharType="end"/>
            </w:r>
          </w:hyperlink>
        </w:p>
        <w:p w14:paraId="3F66A349" w14:textId="00FB08F5"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5" w:history="1">
            <w:r w:rsidRPr="006D0F85">
              <w:rPr>
                <w:rStyle w:val="Hyperlink"/>
                <w:noProof/>
              </w:rPr>
              <w:t>Case studies</w:t>
            </w:r>
            <w:r>
              <w:rPr>
                <w:noProof/>
                <w:webHidden/>
              </w:rPr>
              <w:tab/>
            </w:r>
            <w:r>
              <w:rPr>
                <w:noProof/>
                <w:webHidden/>
              </w:rPr>
              <w:fldChar w:fldCharType="begin"/>
            </w:r>
            <w:r>
              <w:rPr>
                <w:noProof/>
                <w:webHidden/>
              </w:rPr>
              <w:instrText xml:space="preserve"> PAGEREF _Toc205475105 \h </w:instrText>
            </w:r>
            <w:r>
              <w:rPr>
                <w:noProof/>
                <w:webHidden/>
              </w:rPr>
            </w:r>
            <w:r>
              <w:rPr>
                <w:noProof/>
                <w:webHidden/>
              </w:rPr>
              <w:fldChar w:fldCharType="separate"/>
            </w:r>
            <w:r w:rsidR="006F7001">
              <w:rPr>
                <w:noProof/>
                <w:webHidden/>
              </w:rPr>
              <w:t>61</w:t>
            </w:r>
            <w:r>
              <w:rPr>
                <w:noProof/>
                <w:webHidden/>
              </w:rPr>
              <w:fldChar w:fldCharType="end"/>
            </w:r>
          </w:hyperlink>
        </w:p>
        <w:p w14:paraId="5F9306C0" w14:textId="65C9F398"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6" w:history="1">
            <w:r w:rsidRPr="006D0F85">
              <w:rPr>
                <w:rStyle w:val="Hyperlink"/>
                <w:noProof/>
              </w:rPr>
              <w:t>Conclusions &amp; recommendations</w:t>
            </w:r>
            <w:r>
              <w:rPr>
                <w:noProof/>
                <w:webHidden/>
              </w:rPr>
              <w:tab/>
            </w:r>
            <w:r>
              <w:rPr>
                <w:noProof/>
                <w:webHidden/>
              </w:rPr>
              <w:fldChar w:fldCharType="begin"/>
            </w:r>
            <w:r>
              <w:rPr>
                <w:noProof/>
                <w:webHidden/>
              </w:rPr>
              <w:instrText xml:space="preserve"> PAGEREF _Toc205475106 \h </w:instrText>
            </w:r>
            <w:r>
              <w:rPr>
                <w:noProof/>
                <w:webHidden/>
              </w:rPr>
            </w:r>
            <w:r>
              <w:rPr>
                <w:noProof/>
                <w:webHidden/>
              </w:rPr>
              <w:fldChar w:fldCharType="separate"/>
            </w:r>
            <w:r w:rsidR="006F7001">
              <w:rPr>
                <w:noProof/>
                <w:webHidden/>
              </w:rPr>
              <w:t>70</w:t>
            </w:r>
            <w:r>
              <w:rPr>
                <w:noProof/>
                <w:webHidden/>
              </w:rPr>
              <w:fldChar w:fldCharType="end"/>
            </w:r>
          </w:hyperlink>
        </w:p>
        <w:p w14:paraId="2676EEC9" w14:textId="140DDFE8"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7" w:history="1">
            <w:r w:rsidRPr="006D0F85">
              <w:rPr>
                <w:rStyle w:val="Hyperlink"/>
                <w:noProof/>
              </w:rPr>
              <w:t>Appendix A: References</w:t>
            </w:r>
            <w:r>
              <w:rPr>
                <w:noProof/>
                <w:webHidden/>
              </w:rPr>
              <w:tab/>
            </w:r>
            <w:r>
              <w:rPr>
                <w:noProof/>
                <w:webHidden/>
              </w:rPr>
              <w:fldChar w:fldCharType="begin"/>
            </w:r>
            <w:r>
              <w:rPr>
                <w:noProof/>
                <w:webHidden/>
              </w:rPr>
              <w:instrText xml:space="preserve"> PAGEREF _Toc205475107 \h </w:instrText>
            </w:r>
            <w:r>
              <w:rPr>
                <w:noProof/>
                <w:webHidden/>
              </w:rPr>
            </w:r>
            <w:r>
              <w:rPr>
                <w:noProof/>
                <w:webHidden/>
              </w:rPr>
              <w:fldChar w:fldCharType="separate"/>
            </w:r>
            <w:r w:rsidR="006F7001">
              <w:rPr>
                <w:noProof/>
                <w:webHidden/>
              </w:rPr>
              <w:t>73</w:t>
            </w:r>
            <w:r>
              <w:rPr>
                <w:noProof/>
                <w:webHidden/>
              </w:rPr>
              <w:fldChar w:fldCharType="end"/>
            </w:r>
          </w:hyperlink>
        </w:p>
        <w:p w14:paraId="3BB3523D" w14:textId="64D5936E"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8" w:history="1">
            <w:r w:rsidRPr="006D0F85">
              <w:rPr>
                <w:rStyle w:val="Hyperlink"/>
                <w:noProof/>
              </w:rPr>
              <w:t>Appendix B: CAP Theory of Change</w:t>
            </w:r>
            <w:r>
              <w:rPr>
                <w:noProof/>
                <w:webHidden/>
              </w:rPr>
              <w:tab/>
            </w:r>
            <w:r>
              <w:rPr>
                <w:noProof/>
                <w:webHidden/>
              </w:rPr>
              <w:fldChar w:fldCharType="begin"/>
            </w:r>
            <w:r>
              <w:rPr>
                <w:noProof/>
                <w:webHidden/>
              </w:rPr>
              <w:instrText xml:space="preserve"> PAGEREF _Toc205475108 \h </w:instrText>
            </w:r>
            <w:r>
              <w:rPr>
                <w:noProof/>
                <w:webHidden/>
              </w:rPr>
            </w:r>
            <w:r>
              <w:rPr>
                <w:noProof/>
                <w:webHidden/>
              </w:rPr>
              <w:fldChar w:fldCharType="separate"/>
            </w:r>
            <w:r w:rsidR="006F7001">
              <w:rPr>
                <w:noProof/>
                <w:webHidden/>
              </w:rPr>
              <w:t>74</w:t>
            </w:r>
            <w:r>
              <w:rPr>
                <w:noProof/>
                <w:webHidden/>
              </w:rPr>
              <w:fldChar w:fldCharType="end"/>
            </w:r>
          </w:hyperlink>
        </w:p>
        <w:p w14:paraId="6966B0FE" w14:textId="59E1A584"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09" w:history="1">
            <w:r w:rsidRPr="006D0F85">
              <w:rPr>
                <w:rStyle w:val="Hyperlink"/>
                <w:bCs/>
                <w:noProof/>
              </w:rPr>
              <w:t xml:space="preserve">Appendix C: </w:t>
            </w:r>
            <w:r w:rsidRPr="006D0F85">
              <w:rPr>
                <w:rStyle w:val="Hyperlink"/>
                <w:noProof/>
              </w:rPr>
              <w:t>Focus areas of the final report</w:t>
            </w:r>
            <w:r>
              <w:rPr>
                <w:noProof/>
                <w:webHidden/>
              </w:rPr>
              <w:tab/>
            </w:r>
            <w:r>
              <w:rPr>
                <w:noProof/>
                <w:webHidden/>
              </w:rPr>
              <w:fldChar w:fldCharType="begin"/>
            </w:r>
            <w:r>
              <w:rPr>
                <w:noProof/>
                <w:webHidden/>
              </w:rPr>
              <w:instrText xml:space="preserve"> PAGEREF _Toc205475109 \h </w:instrText>
            </w:r>
            <w:r>
              <w:rPr>
                <w:noProof/>
                <w:webHidden/>
              </w:rPr>
            </w:r>
            <w:r>
              <w:rPr>
                <w:noProof/>
                <w:webHidden/>
              </w:rPr>
              <w:fldChar w:fldCharType="separate"/>
            </w:r>
            <w:r w:rsidR="006F7001">
              <w:rPr>
                <w:noProof/>
                <w:webHidden/>
              </w:rPr>
              <w:t>75</w:t>
            </w:r>
            <w:r>
              <w:rPr>
                <w:noProof/>
                <w:webHidden/>
              </w:rPr>
              <w:fldChar w:fldCharType="end"/>
            </w:r>
          </w:hyperlink>
        </w:p>
        <w:p w14:paraId="23A10160" w14:textId="155C9F97"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10" w:history="1">
            <w:r w:rsidRPr="006D0F85">
              <w:rPr>
                <w:rStyle w:val="Hyperlink"/>
                <w:noProof/>
              </w:rPr>
              <w:t>Appendix D: Government stakeholder interview guide</w:t>
            </w:r>
            <w:r>
              <w:rPr>
                <w:noProof/>
                <w:webHidden/>
              </w:rPr>
              <w:tab/>
            </w:r>
            <w:r>
              <w:rPr>
                <w:noProof/>
                <w:webHidden/>
              </w:rPr>
              <w:fldChar w:fldCharType="begin"/>
            </w:r>
            <w:r>
              <w:rPr>
                <w:noProof/>
                <w:webHidden/>
              </w:rPr>
              <w:instrText xml:space="preserve"> PAGEREF _Toc205475110 \h </w:instrText>
            </w:r>
            <w:r>
              <w:rPr>
                <w:noProof/>
                <w:webHidden/>
              </w:rPr>
            </w:r>
            <w:r>
              <w:rPr>
                <w:noProof/>
                <w:webHidden/>
              </w:rPr>
              <w:fldChar w:fldCharType="separate"/>
            </w:r>
            <w:r w:rsidR="006F7001">
              <w:rPr>
                <w:noProof/>
                <w:webHidden/>
              </w:rPr>
              <w:t>77</w:t>
            </w:r>
            <w:r>
              <w:rPr>
                <w:noProof/>
                <w:webHidden/>
              </w:rPr>
              <w:fldChar w:fldCharType="end"/>
            </w:r>
          </w:hyperlink>
        </w:p>
        <w:p w14:paraId="72BE9870" w14:textId="7CF33003"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11" w:history="1">
            <w:r w:rsidRPr="006D0F85">
              <w:rPr>
                <w:rStyle w:val="Hyperlink"/>
                <w:noProof/>
              </w:rPr>
              <w:t>Appendix E: YRT and ALG interview guide</w:t>
            </w:r>
            <w:r>
              <w:rPr>
                <w:noProof/>
                <w:webHidden/>
              </w:rPr>
              <w:tab/>
            </w:r>
            <w:r>
              <w:rPr>
                <w:noProof/>
                <w:webHidden/>
              </w:rPr>
              <w:fldChar w:fldCharType="begin"/>
            </w:r>
            <w:r>
              <w:rPr>
                <w:noProof/>
                <w:webHidden/>
              </w:rPr>
              <w:instrText xml:space="preserve"> PAGEREF _Toc205475111 \h </w:instrText>
            </w:r>
            <w:r>
              <w:rPr>
                <w:noProof/>
                <w:webHidden/>
              </w:rPr>
            </w:r>
            <w:r>
              <w:rPr>
                <w:noProof/>
                <w:webHidden/>
              </w:rPr>
              <w:fldChar w:fldCharType="separate"/>
            </w:r>
            <w:r w:rsidR="006F7001">
              <w:rPr>
                <w:noProof/>
                <w:webHidden/>
              </w:rPr>
              <w:t>79</w:t>
            </w:r>
            <w:r>
              <w:rPr>
                <w:noProof/>
                <w:webHidden/>
              </w:rPr>
              <w:fldChar w:fldCharType="end"/>
            </w:r>
          </w:hyperlink>
        </w:p>
        <w:p w14:paraId="14EAF55B" w14:textId="657E6E32"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12" w:history="1">
            <w:r w:rsidRPr="006D0F85">
              <w:rPr>
                <w:rStyle w:val="Hyperlink"/>
                <w:noProof/>
              </w:rPr>
              <w:t>Appendix F: Case study interview guide</w:t>
            </w:r>
            <w:r>
              <w:rPr>
                <w:noProof/>
                <w:webHidden/>
              </w:rPr>
              <w:tab/>
            </w:r>
            <w:r>
              <w:rPr>
                <w:noProof/>
                <w:webHidden/>
              </w:rPr>
              <w:fldChar w:fldCharType="begin"/>
            </w:r>
            <w:r>
              <w:rPr>
                <w:noProof/>
                <w:webHidden/>
              </w:rPr>
              <w:instrText xml:space="preserve"> PAGEREF _Toc205475112 \h </w:instrText>
            </w:r>
            <w:r>
              <w:rPr>
                <w:noProof/>
                <w:webHidden/>
              </w:rPr>
            </w:r>
            <w:r>
              <w:rPr>
                <w:noProof/>
                <w:webHidden/>
              </w:rPr>
              <w:fldChar w:fldCharType="separate"/>
            </w:r>
            <w:r w:rsidR="006F7001">
              <w:rPr>
                <w:noProof/>
                <w:webHidden/>
              </w:rPr>
              <w:t>81</w:t>
            </w:r>
            <w:r>
              <w:rPr>
                <w:noProof/>
                <w:webHidden/>
              </w:rPr>
              <w:fldChar w:fldCharType="end"/>
            </w:r>
          </w:hyperlink>
        </w:p>
        <w:p w14:paraId="14D3507E" w14:textId="124E5345"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13" w:history="1">
            <w:r w:rsidRPr="006D0F85">
              <w:rPr>
                <w:rStyle w:val="Hyperlink"/>
                <w:noProof/>
              </w:rPr>
              <w:t>Appendix G: Financial information tables</w:t>
            </w:r>
            <w:r>
              <w:rPr>
                <w:noProof/>
                <w:webHidden/>
              </w:rPr>
              <w:tab/>
            </w:r>
            <w:r>
              <w:rPr>
                <w:noProof/>
                <w:webHidden/>
              </w:rPr>
              <w:fldChar w:fldCharType="begin"/>
            </w:r>
            <w:r>
              <w:rPr>
                <w:noProof/>
                <w:webHidden/>
              </w:rPr>
              <w:instrText xml:space="preserve"> PAGEREF _Toc205475113 \h </w:instrText>
            </w:r>
            <w:r>
              <w:rPr>
                <w:noProof/>
                <w:webHidden/>
              </w:rPr>
            </w:r>
            <w:r>
              <w:rPr>
                <w:noProof/>
                <w:webHidden/>
              </w:rPr>
              <w:fldChar w:fldCharType="separate"/>
            </w:r>
            <w:r w:rsidR="006F7001">
              <w:rPr>
                <w:noProof/>
                <w:webHidden/>
              </w:rPr>
              <w:t>82</w:t>
            </w:r>
            <w:r>
              <w:rPr>
                <w:noProof/>
                <w:webHidden/>
              </w:rPr>
              <w:fldChar w:fldCharType="end"/>
            </w:r>
          </w:hyperlink>
        </w:p>
        <w:p w14:paraId="09C3C09A" w14:textId="7C556397" w:rsidR="002A6702" w:rsidRDefault="002A6702">
          <w:pPr>
            <w:pStyle w:val="TOC1"/>
            <w:rPr>
              <w:rFonts w:asciiTheme="minorHAnsi" w:eastAsiaTheme="minorEastAsia" w:hAnsiTheme="minorHAnsi"/>
              <w:b w:val="0"/>
              <w:noProof/>
              <w:color w:val="auto"/>
              <w:kern w:val="2"/>
              <w:sz w:val="24"/>
              <w:szCs w:val="24"/>
              <w14:ligatures w14:val="standardContextual"/>
            </w:rPr>
          </w:pPr>
          <w:hyperlink w:anchor="_Toc205475114" w:history="1">
            <w:r w:rsidRPr="006D0F85">
              <w:rPr>
                <w:rStyle w:val="Hyperlink"/>
                <w:noProof/>
              </w:rPr>
              <w:t>Appendix H: Stakeholders interviewed</w:t>
            </w:r>
            <w:r>
              <w:rPr>
                <w:noProof/>
                <w:webHidden/>
              </w:rPr>
              <w:tab/>
            </w:r>
            <w:r>
              <w:rPr>
                <w:noProof/>
                <w:webHidden/>
              </w:rPr>
              <w:fldChar w:fldCharType="begin"/>
            </w:r>
            <w:r>
              <w:rPr>
                <w:noProof/>
                <w:webHidden/>
              </w:rPr>
              <w:instrText xml:space="preserve"> PAGEREF _Toc205475114 \h </w:instrText>
            </w:r>
            <w:r>
              <w:rPr>
                <w:noProof/>
                <w:webHidden/>
              </w:rPr>
            </w:r>
            <w:r>
              <w:rPr>
                <w:noProof/>
                <w:webHidden/>
              </w:rPr>
              <w:fldChar w:fldCharType="separate"/>
            </w:r>
            <w:r w:rsidR="006F7001">
              <w:rPr>
                <w:noProof/>
                <w:webHidden/>
              </w:rPr>
              <w:t>86</w:t>
            </w:r>
            <w:r>
              <w:rPr>
                <w:noProof/>
                <w:webHidden/>
              </w:rPr>
              <w:fldChar w:fldCharType="end"/>
            </w:r>
          </w:hyperlink>
        </w:p>
        <w:p w14:paraId="5C0ECFE2" w14:textId="35C08AB8" w:rsidR="00D549EE" w:rsidRDefault="00D549EE">
          <w:pPr>
            <w:pStyle w:val="TOC1"/>
            <w:rPr>
              <w:rFonts w:asciiTheme="minorHAnsi" w:eastAsiaTheme="minorEastAsia" w:hAnsiTheme="minorHAnsi"/>
              <w:b w:val="0"/>
              <w:noProof/>
              <w:color w:val="auto"/>
              <w:kern w:val="2"/>
              <w:sz w:val="24"/>
              <w:szCs w:val="24"/>
              <w14:ligatures w14:val="standardContextual"/>
            </w:rPr>
          </w:pPr>
          <w:r>
            <w:rPr>
              <w:sz w:val="21"/>
              <w:szCs w:val="21"/>
            </w:rPr>
            <w:fldChar w:fldCharType="end"/>
          </w:r>
        </w:p>
        <w:p w14:paraId="1F9F4DB8" w14:textId="2B44784F" w:rsidR="00C83E74" w:rsidRPr="00210956" w:rsidRDefault="00000000" w:rsidP="00DA4528">
          <w:pPr>
            <w:pStyle w:val="TOC1"/>
            <w:rPr>
              <w:color w:val="9454C3" w:themeColor="hyperlink"/>
              <w:u w:val="single"/>
            </w:rPr>
          </w:pPr>
        </w:p>
      </w:sdtContent>
    </w:sdt>
    <w:p w14:paraId="36AA0C62" w14:textId="77777777" w:rsidR="00011F6A" w:rsidRDefault="00C83E74" w:rsidP="00DA4528">
      <w:pPr>
        <w:pStyle w:val="Heading1"/>
      </w:pPr>
      <w:r w:rsidRPr="00E42902">
        <w:br w:type="page"/>
      </w:r>
      <w:bookmarkStart w:id="2" w:name="_Toc205475097"/>
      <w:r w:rsidR="00222471" w:rsidRPr="00210956">
        <w:lastRenderedPageBreak/>
        <w:t>Terminology</w:t>
      </w:r>
      <w:bookmarkEnd w:id="2"/>
    </w:p>
    <w:p w14:paraId="34A9E511" w14:textId="77777777" w:rsidR="00011F6A" w:rsidRPr="0000192D" w:rsidRDefault="00011F6A" w:rsidP="00DA4528">
      <w:r w:rsidRPr="0000192D">
        <w:t>Indigenous, First Nations, Aboriginal and Aboriginal and Torres Strait Islander people(s) are used interchangeably within this report.  </w:t>
      </w:r>
    </w:p>
    <w:p w14:paraId="0A0B09B8" w14:textId="7385773B" w:rsidR="00222471" w:rsidRPr="00A7106A" w:rsidRDefault="00011F6A" w:rsidP="00DA4528">
      <w:r w:rsidRPr="0000192D">
        <w:t xml:space="preserve">In addition to the above, below </w:t>
      </w:r>
      <w:r w:rsidR="005A4291">
        <w:t>is</w:t>
      </w:r>
      <w:r w:rsidRPr="0000192D">
        <w:t xml:space="preserve"> </w:t>
      </w:r>
      <w:r w:rsidR="00A7106A">
        <w:t xml:space="preserve">common </w:t>
      </w:r>
      <w:r w:rsidR="005A4291">
        <w:t xml:space="preserve">terminology </w:t>
      </w:r>
      <w:r w:rsidR="0099219C">
        <w:t>related to</w:t>
      </w:r>
      <w:r w:rsidR="00FD00A3">
        <w:t xml:space="preserve"> the </w:t>
      </w:r>
      <w:r w:rsidR="00A7106A">
        <w:t>Central Australia Plan</w:t>
      </w:r>
      <w:r w:rsidRPr="0000192D">
        <w:t xml:space="preserve"> </w:t>
      </w:r>
      <w:r w:rsidR="00FD00A3">
        <w:t xml:space="preserve">and </w:t>
      </w:r>
      <w:r w:rsidRPr="0000192D">
        <w:t xml:space="preserve">used throughout this report: </w:t>
      </w:r>
    </w:p>
    <w:tbl>
      <w:tblPr>
        <w:tblStyle w:val="DPSTableGrid1"/>
        <w:tblW w:w="5000" w:type="pct"/>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CellMar>
          <w:top w:w="113" w:type="dxa"/>
          <w:bottom w:w="113" w:type="dxa"/>
        </w:tblCellMar>
        <w:tblLook w:val="04A0" w:firstRow="1" w:lastRow="0" w:firstColumn="1" w:lastColumn="0" w:noHBand="0" w:noVBand="1"/>
      </w:tblPr>
      <w:tblGrid>
        <w:gridCol w:w="2410"/>
        <w:gridCol w:w="7330"/>
      </w:tblGrid>
      <w:tr w:rsidR="00461D77" w:rsidRPr="005A4294" w14:paraId="1B35F79A" w14:textId="77777777" w:rsidTr="00D11DBE">
        <w:trPr>
          <w:trHeight w:val="300"/>
          <w:tblHeader/>
        </w:trPr>
        <w:tc>
          <w:tcPr>
            <w:tcW w:w="1237" w:type="pct"/>
          </w:tcPr>
          <w:p w14:paraId="5B44D648" w14:textId="560956D9" w:rsidR="00461D77" w:rsidRPr="00461D77" w:rsidRDefault="00461D77" w:rsidP="002366ED">
            <w:pPr>
              <w:pStyle w:val="Heading5"/>
            </w:pPr>
            <w:r w:rsidRPr="00461D77">
              <w:t>Term</w:t>
            </w:r>
          </w:p>
        </w:tc>
        <w:tc>
          <w:tcPr>
            <w:tcW w:w="3763" w:type="pct"/>
          </w:tcPr>
          <w:p w14:paraId="7ADD69EF" w14:textId="4BD199CB" w:rsidR="00461D77" w:rsidRPr="00461D77" w:rsidRDefault="00461D77" w:rsidP="002366ED">
            <w:pPr>
              <w:pStyle w:val="Heading5"/>
            </w:pPr>
            <w:r w:rsidRPr="00461D77">
              <w:t xml:space="preserve">Description </w:t>
            </w:r>
          </w:p>
        </w:tc>
      </w:tr>
      <w:tr w:rsidR="00E076BA" w:rsidRPr="005A4294" w14:paraId="111174F2" w14:textId="77777777" w:rsidTr="00D11DBE">
        <w:trPr>
          <w:trHeight w:val="300"/>
        </w:trPr>
        <w:tc>
          <w:tcPr>
            <w:tcW w:w="1237" w:type="pct"/>
          </w:tcPr>
          <w:p w14:paraId="4C47CAFA" w14:textId="715AF73F" w:rsidR="00E076BA" w:rsidRPr="005A4294" w:rsidRDefault="00E076BA" w:rsidP="00DA4528">
            <w:r w:rsidRPr="005A4294">
              <w:t>Central Australia</w:t>
            </w:r>
          </w:p>
        </w:tc>
        <w:tc>
          <w:tcPr>
            <w:tcW w:w="3763" w:type="pct"/>
          </w:tcPr>
          <w:p w14:paraId="2E013327" w14:textId="69394CAB" w:rsidR="00E076BA" w:rsidRPr="00023335" w:rsidRDefault="00E076BA" w:rsidP="00DA4528">
            <w:r w:rsidRPr="005A4294">
              <w:t>Central Australia is the Northern Territory’s largest region, covering</w:t>
            </w:r>
            <w:r w:rsidR="00367044">
              <w:t xml:space="preserve"> </w:t>
            </w:r>
            <w:r w:rsidR="004D32B6">
              <w:t>42</w:t>
            </w:r>
            <w:r w:rsidR="001D2ACD">
              <w:t>%</w:t>
            </w:r>
            <w:r w:rsidRPr="005A4294">
              <w:t xml:space="preserve"> of the total land area. The region includes the major centre of Alice Springs, as well as 26 communities, 16 town camps and over 200 outstations separated by long distances. It is home to around 41,400 people, with a population of around 29,200 living in Alice Springs.</w:t>
            </w:r>
            <w:r w:rsidRPr="005A4294">
              <w:rPr>
                <w:rStyle w:val="FootnoteReference"/>
                <w:rFonts w:cs="Arial"/>
                <w:color w:val="000000" w:themeColor="text1"/>
              </w:rPr>
              <w:footnoteReference w:id="2"/>
            </w:r>
            <w:r w:rsidRPr="005A4294">
              <w:t xml:space="preserve"> Across the region, approximately </w:t>
            </w:r>
            <w:r w:rsidR="2A91BE76">
              <w:t>41</w:t>
            </w:r>
            <w:r w:rsidR="001D2ACD">
              <w:t>%</w:t>
            </w:r>
            <w:r w:rsidRPr="005A4294">
              <w:t xml:space="preserve"> of the population identifies as Aboriginal with this increasing </w:t>
            </w:r>
            <w:r w:rsidRPr="00D56F2F">
              <w:t xml:space="preserve">to </w:t>
            </w:r>
            <w:r w:rsidR="00136A00" w:rsidRPr="00D56F2F">
              <w:t>80</w:t>
            </w:r>
            <w:r w:rsidR="001D2ACD">
              <w:t>%</w:t>
            </w:r>
            <w:r w:rsidRPr="005A4294">
              <w:t xml:space="preserve"> outside of Alice Springs.</w:t>
            </w:r>
            <w:r w:rsidRPr="005A4294">
              <w:rPr>
                <w:rStyle w:val="FootnoteReference"/>
                <w:rFonts w:cs="Arial"/>
                <w:color w:val="000000" w:themeColor="text1"/>
              </w:rPr>
              <w:footnoteReference w:id="3"/>
            </w:r>
            <w:r w:rsidRPr="005A4294">
              <w:t xml:space="preserve"> The region is also multi-cultural, with </w:t>
            </w:r>
            <w:r w:rsidR="008443A5" w:rsidRPr="00023335">
              <w:t>32.9</w:t>
            </w:r>
            <w:r w:rsidR="001D2ACD">
              <w:t>%</w:t>
            </w:r>
            <w:r w:rsidR="00932642" w:rsidRPr="005A4294">
              <w:t xml:space="preserve"> </w:t>
            </w:r>
            <w:r w:rsidRPr="005A4294">
              <w:t>of the population of Alice Springs being born outside Australia</w:t>
            </w:r>
            <w:r w:rsidRPr="00A27B25">
              <w:t xml:space="preserve">, and </w:t>
            </w:r>
            <w:r w:rsidR="00BB175F" w:rsidRPr="00A27B25">
              <w:t>31.9</w:t>
            </w:r>
            <w:r w:rsidR="001D2ACD">
              <w:t>%</w:t>
            </w:r>
            <w:r w:rsidR="00BB175F" w:rsidRPr="00A27B25">
              <w:t xml:space="preserve"> </w:t>
            </w:r>
            <w:r w:rsidRPr="00A27B25">
              <w:t>speaking a language other than English at home.</w:t>
            </w:r>
            <w:r w:rsidR="006D4239" w:rsidRPr="00A27B25">
              <w:rPr>
                <w:rStyle w:val="FootnoteReference"/>
              </w:rPr>
              <w:footnoteReference w:id="4"/>
            </w:r>
            <w:r w:rsidRPr="00023335">
              <w:t> </w:t>
            </w:r>
          </w:p>
          <w:p w14:paraId="78A203AB" w14:textId="77777777" w:rsidR="00E97B11" w:rsidRDefault="36EA535D">
            <w:pPr>
              <w:keepLines w:val="0"/>
              <w:widowControl/>
              <w:spacing w:before="0" w:after="0"/>
              <w:rPr>
                <w:b/>
                <w:color w:val="009999"/>
                <w:sz w:val="32"/>
                <w:szCs w:val="28"/>
              </w:rPr>
            </w:pPr>
            <w:r w:rsidRPr="00023335">
              <w:t xml:space="preserve">For the purposes of the Central Australia Plan, </w:t>
            </w:r>
            <w:r w:rsidR="52E8889D" w:rsidRPr="00023335">
              <w:t>the region of Central Australia</w:t>
            </w:r>
            <w:r w:rsidR="2C0B3D8C" w:rsidRPr="00023335">
              <w:t xml:space="preserve"> is defined as the Local Government Areas of Alice Springs, Central Desert </w:t>
            </w:r>
            <w:r w:rsidR="4E7ADFC3" w:rsidRPr="00023335">
              <w:t xml:space="preserve">(excluding the community of Lajamanu) </w:t>
            </w:r>
            <w:r w:rsidR="2C0B3D8C" w:rsidRPr="00023335">
              <w:t xml:space="preserve">and MacDonnell. It excludes the </w:t>
            </w:r>
            <w:r w:rsidR="583CDA79" w:rsidRPr="00023335">
              <w:t>Barkly region, as this area has a separate regional arrangement</w:t>
            </w:r>
            <w:r w:rsidR="565D3FC4">
              <w:t>.</w:t>
            </w:r>
            <w:r w:rsidR="583CDA79">
              <w:t xml:space="preserve"> </w:t>
            </w:r>
            <w:r w:rsidR="276E9368">
              <w:t xml:space="preserve">Please </w:t>
            </w:r>
            <w:r w:rsidR="583CDA79" w:rsidRPr="00023335">
              <w:t xml:space="preserve">see </w:t>
            </w:r>
            <w:r w:rsidR="276E9368">
              <w:t xml:space="preserve">the map </w:t>
            </w:r>
            <w:r w:rsidR="4F78E5AA">
              <w:t xml:space="preserve">in </w:t>
            </w:r>
            <w:r w:rsidR="4F78E5AA" w:rsidRPr="003415BB">
              <w:t xml:space="preserve">the </w:t>
            </w:r>
            <w:r w:rsidR="001D6378" w:rsidRPr="003415BB">
              <w:fldChar w:fldCharType="begin"/>
            </w:r>
            <w:r w:rsidR="001D6378" w:rsidRPr="003415BB">
              <w:instrText xml:space="preserve"> REF _Ref202342551 \h </w:instrText>
            </w:r>
            <w:r w:rsidR="001D6378" w:rsidRPr="003415BB">
              <w:fldChar w:fldCharType="separate"/>
            </w:r>
            <w:r w:rsidR="00C762CE">
              <w:br w:type="page"/>
            </w:r>
          </w:p>
          <w:p w14:paraId="7942C1CB" w14:textId="41D73926" w:rsidR="00E076BA" w:rsidRPr="00023335" w:rsidRDefault="00C762CE" w:rsidP="000021EA">
            <w:pPr>
              <w:keepLines w:val="0"/>
              <w:widowControl/>
              <w:spacing w:before="0" w:after="0"/>
            </w:pPr>
            <w:r w:rsidRPr="000521D1">
              <w:t>Introduction</w:t>
            </w:r>
            <w:r w:rsidR="001D6378" w:rsidRPr="003415BB">
              <w:fldChar w:fldCharType="end"/>
            </w:r>
            <w:r w:rsidR="003B3063" w:rsidRPr="003B3063">
              <w:rPr>
                <w:color w:val="5AA2AE" w:themeColor="accent5"/>
              </w:rPr>
              <w:t xml:space="preserve"> </w:t>
            </w:r>
            <w:r w:rsidR="003B3063" w:rsidRPr="009B6B26">
              <w:t>section.</w:t>
            </w:r>
            <w:r w:rsidR="003B3063" w:rsidRPr="003B3063">
              <w:rPr>
                <w:color w:val="5AA2AE" w:themeColor="accent5"/>
              </w:rPr>
              <w:t xml:space="preserve"> </w:t>
            </w:r>
          </w:p>
        </w:tc>
      </w:tr>
      <w:tr w:rsidR="00395CE0" w:rsidRPr="005A4294" w14:paraId="1335A878" w14:textId="77777777" w:rsidTr="00D11DBE">
        <w:trPr>
          <w:trHeight w:val="300"/>
        </w:trPr>
        <w:tc>
          <w:tcPr>
            <w:tcW w:w="1237" w:type="pct"/>
          </w:tcPr>
          <w:p w14:paraId="57717E4F" w14:textId="7441915F" w:rsidR="00395CE0" w:rsidRPr="00A27B25" w:rsidRDefault="00395CE0" w:rsidP="00DA4528">
            <w:r w:rsidRPr="00A27B25">
              <w:t>Central Australia Plan</w:t>
            </w:r>
          </w:p>
        </w:tc>
        <w:tc>
          <w:tcPr>
            <w:tcW w:w="3763" w:type="pct"/>
          </w:tcPr>
          <w:p w14:paraId="380782E7" w14:textId="7C215E8C" w:rsidR="00395CE0" w:rsidRPr="00A27B25" w:rsidRDefault="00F03EE4" w:rsidP="00DA4528">
            <w:pPr>
              <w:rPr>
                <w:rStyle w:val="normaltextrun"/>
                <w:rFonts w:cs="Arial"/>
              </w:rPr>
            </w:pPr>
            <w:r w:rsidRPr="1A31B231">
              <w:rPr>
                <w:rStyle w:val="normaltextrun"/>
                <w:rFonts w:cs="Arial"/>
              </w:rPr>
              <w:t xml:space="preserve">The </w:t>
            </w:r>
            <w:r w:rsidR="00395CE0" w:rsidRPr="1A31B231">
              <w:rPr>
                <w:rStyle w:val="normaltextrun"/>
                <w:rFonts w:cs="Arial"/>
              </w:rPr>
              <w:t xml:space="preserve">Australian Government </w:t>
            </w:r>
            <w:r w:rsidRPr="1A31B231">
              <w:rPr>
                <w:rStyle w:val="normaltextrun"/>
                <w:rFonts w:cs="Arial"/>
              </w:rPr>
              <w:t xml:space="preserve">has </w:t>
            </w:r>
            <w:r w:rsidR="00395CE0" w:rsidRPr="1A31B231">
              <w:rPr>
                <w:rStyle w:val="normaltextrun"/>
                <w:rFonts w:cs="Arial"/>
              </w:rPr>
              <w:t>commi</w:t>
            </w:r>
            <w:r w:rsidRPr="1A31B231">
              <w:rPr>
                <w:rStyle w:val="normaltextrun"/>
                <w:rFonts w:cs="Arial"/>
              </w:rPr>
              <w:t>tted $250 million</w:t>
            </w:r>
            <w:r w:rsidR="00395CE0" w:rsidRPr="1A31B231">
              <w:rPr>
                <w:rStyle w:val="normaltextrun"/>
                <w:rFonts w:cs="Arial"/>
              </w:rPr>
              <w:t xml:space="preserve"> to support </w:t>
            </w:r>
            <w:r w:rsidR="152DF66A" w:rsidRPr="1A31B231">
              <w:rPr>
                <w:rStyle w:val="normaltextrun"/>
                <w:rFonts w:cs="Arial"/>
              </w:rPr>
              <w:t>the plan for</w:t>
            </w:r>
            <w:r w:rsidR="00395CE0" w:rsidRPr="1A31B231">
              <w:rPr>
                <w:rStyle w:val="normaltextrun"/>
                <w:rFonts w:cs="Arial"/>
              </w:rPr>
              <w:t xml:space="preserve"> </w:t>
            </w:r>
            <w:r w:rsidR="00395CE0" w:rsidRPr="1A31B231">
              <w:rPr>
                <w:rStyle w:val="normaltextrun"/>
                <w:rFonts w:cs="Arial"/>
                <w:i/>
                <w:iCs/>
              </w:rPr>
              <w:t xml:space="preserve">A Better, Safer Future for Central Australia </w:t>
            </w:r>
            <w:r w:rsidR="00395CE0" w:rsidRPr="1A31B231">
              <w:rPr>
                <w:rStyle w:val="normaltextrun"/>
                <w:rFonts w:cs="Arial"/>
              </w:rPr>
              <w:t>(also known as the Central Australia Plan or CAP)</w:t>
            </w:r>
            <w:r w:rsidR="001A21CD" w:rsidRPr="1A31B231">
              <w:rPr>
                <w:rStyle w:val="normaltextrun"/>
                <w:rFonts w:cs="Arial"/>
              </w:rPr>
              <w:t xml:space="preserve">. </w:t>
            </w:r>
            <w:r w:rsidR="49D59D6C" w:rsidRPr="1A31B231">
              <w:rPr>
                <w:rStyle w:val="normaltextrun"/>
                <w:rFonts w:cs="Arial"/>
              </w:rPr>
              <w:t>This</w:t>
            </w:r>
            <w:r w:rsidR="3C356ECB" w:rsidRPr="1A31B231">
              <w:rPr>
                <w:rStyle w:val="normaltextrun"/>
                <w:rFonts w:cs="Arial"/>
              </w:rPr>
              <w:t xml:space="preserve"> was announced as a</w:t>
            </w:r>
            <w:r w:rsidR="64EA4B48" w:rsidRPr="1A31B231">
              <w:rPr>
                <w:rStyle w:val="normaltextrun"/>
                <w:rFonts w:cs="Arial"/>
              </w:rPr>
              <w:t xml:space="preserve"> </w:t>
            </w:r>
            <w:r w:rsidR="00395CE0" w:rsidRPr="1A31B231">
              <w:rPr>
                <w:rStyle w:val="normaltextrun"/>
                <w:rFonts w:cs="Arial"/>
              </w:rPr>
              <w:t>four-year plan</w:t>
            </w:r>
            <w:r w:rsidR="660B7DE8" w:rsidRPr="1A31B231">
              <w:rPr>
                <w:rStyle w:val="normaltextrun"/>
                <w:rFonts w:cs="Arial"/>
              </w:rPr>
              <w:t xml:space="preserve"> that has since been </w:t>
            </w:r>
            <w:r w:rsidR="00696FF5" w:rsidRPr="310BE6BC">
              <w:rPr>
                <w:rStyle w:val="normaltextrun"/>
                <w:rFonts w:cs="Arial"/>
              </w:rPr>
              <w:t>extended and</w:t>
            </w:r>
            <w:r w:rsidR="439DF53C" w:rsidRPr="1A31B231">
              <w:rPr>
                <w:rStyle w:val="normaltextrun"/>
                <w:rFonts w:cs="Arial"/>
              </w:rPr>
              <w:t xml:space="preserve"> </w:t>
            </w:r>
            <w:r w:rsidR="001A21CD" w:rsidRPr="1A31B231">
              <w:rPr>
                <w:rStyle w:val="normaltextrun"/>
                <w:rFonts w:cs="Arial"/>
              </w:rPr>
              <w:t xml:space="preserve">is </w:t>
            </w:r>
            <w:r w:rsidR="50E322CE" w:rsidRPr="1A31B231">
              <w:rPr>
                <w:rStyle w:val="normaltextrun"/>
                <w:rFonts w:cs="Arial"/>
              </w:rPr>
              <w:t xml:space="preserve">being </w:t>
            </w:r>
            <w:r w:rsidR="00395CE0" w:rsidRPr="1A31B231">
              <w:rPr>
                <w:rStyle w:val="normaltextrun"/>
                <w:rFonts w:cs="Arial"/>
              </w:rPr>
              <w:t>implemented in partnership with the Northern Territory Government (NTG), local governments, organisations and communities.</w:t>
            </w:r>
          </w:p>
        </w:tc>
      </w:tr>
      <w:tr w:rsidR="0025500F" w:rsidRPr="005A4294" w14:paraId="4D900F38" w14:textId="77777777" w:rsidTr="00D11DBE">
        <w:trPr>
          <w:trHeight w:val="300"/>
        </w:trPr>
        <w:tc>
          <w:tcPr>
            <w:tcW w:w="1237" w:type="pct"/>
          </w:tcPr>
          <w:p w14:paraId="19642664" w14:textId="77777777" w:rsidR="0025500F" w:rsidRPr="00A27B25" w:rsidRDefault="0025500F" w:rsidP="00DA4528">
            <w:r w:rsidRPr="00A27B25">
              <w:t>Community</w:t>
            </w:r>
          </w:p>
        </w:tc>
        <w:tc>
          <w:tcPr>
            <w:tcW w:w="3763" w:type="pct"/>
          </w:tcPr>
          <w:p w14:paraId="3221964E" w14:textId="77777777" w:rsidR="0025500F" w:rsidRPr="00A27B25" w:rsidRDefault="0025500F" w:rsidP="00DA4528">
            <w:r w:rsidRPr="00A27B25">
              <w:t>Community is defined in relation to Country, including family ties and shared experience. Community refers to Aboriginal and Torres Strait Islander people living in a geographical region. Community is about inter-relatedness and acknowledging that belonging is central to culture. There is diversity for those who form and live in communities, noting that Aboriginal and Torres Strait Islander people may belong to more than one community, including where they come from, where family is, where people live and what organisations they belong to.</w:t>
            </w:r>
            <w:r w:rsidRPr="00A27B25">
              <w:rPr>
                <w:vertAlign w:val="superscript"/>
              </w:rPr>
              <w:footnoteReference w:id="5"/>
            </w:r>
          </w:p>
        </w:tc>
      </w:tr>
      <w:tr w:rsidR="0025500F" w:rsidRPr="005A4294" w14:paraId="128AD308" w14:textId="77777777" w:rsidTr="00D11DBE">
        <w:trPr>
          <w:trHeight w:val="300"/>
        </w:trPr>
        <w:tc>
          <w:tcPr>
            <w:tcW w:w="1237" w:type="pct"/>
          </w:tcPr>
          <w:p w14:paraId="087CA24C" w14:textId="77777777" w:rsidR="00BA13D5" w:rsidRPr="00A27B25" w:rsidRDefault="0025500F" w:rsidP="00DA4528">
            <w:r w:rsidRPr="00A27B25">
              <w:t>National Agreement on Closing the Gap</w:t>
            </w:r>
          </w:p>
          <w:p w14:paraId="29642B20" w14:textId="2BA65894" w:rsidR="0025500F" w:rsidRPr="00A27B25" w:rsidRDefault="0025500F" w:rsidP="00DA4528"/>
        </w:tc>
        <w:tc>
          <w:tcPr>
            <w:tcW w:w="3763" w:type="pct"/>
          </w:tcPr>
          <w:p w14:paraId="02D723F3" w14:textId="77777777" w:rsidR="0025500F" w:rsidRPr="00A27B25" w:rsidRDefault="0025500F" w:rsidP="00DA4528">
            <w:pPr>
              <w:rPr>
                <w:rFonts w:cs="Segoe UI"/>
                <w:color w:val="404040"/>
              </w:rPr>
            </w:pPr>
            <w:r w:rsidRPr="00A27B25">
              <w:t>The current National Agreement, which took effect on 27 July 2020, includes for the first time, Indigenous representatives as parties to the agreement through the leadership of Coalition of Peaks. The National Agreement centres the voices and aspirations of Aboriginal and Torres Strait Islander people in the design and delivery of services that affect them for more impactful outcomes to be achieved.</w:t>
            </w:r>
            <w:r w:rsidRPr="00A27B25">
              <w:rPr>
                <w:vertAlign w:val="superscript"/>
              </w:rPr>
              <w:footnoteReference w:id="6"/>
            </w:r>
          </w:p>
        </w:tc>
      </w:tr>
      <w:tr w:rsidR="006F7F9A" w:rsidRPr="005A4294" w14:paraId="77FAC103" w14:textId="77777777" w:rsidTr="00D11DBE">
        <w:trPr>
          <w:trHeight w:val="300"/>
        </w:trPr>
        <w:tc>
          <w:tcPr>
            <w:tcW w:w="1237" w:type="pct"/>
          </w:tcPr>
          <w:p w14:paraId="558E9022" w14:textId="70FE5E9C" w:rsidR="006F7F9A" w:rsidRPr="00A27B25" w:rsidRDefault="00EF6DA3" w:rsidP="00DA4528">
            <w:r>
              <w:lastRenderedPageBreak/>
              <w:t>Allocated</w:t>
            </w:r>
          </w:p>
        </w:tc>
        <w:tc>
          <w:tcPr>
            <w:tcW w:w="3763" w:type="pct"/>
          </w:tcPr>
          <w:p w14:paraId="593C439D" w14:textId="3A56AA9A" w:rsidR="006F7F9A" w:rsidRPr="00A27B25" w:rsidRDefault="00A774C5" w:rsidP="00DA4528">
            <w:r>
              <w:t xml:space="preserve">The amount announced by the Government as a </w:t>
            </w:r>
            <w:r w:rsidR="00696FF5">
              <w:t>measure and</w:t>
            </w:r>
            <w:r>
              <w:t xml:space="preserve"> set aside for a specific purpose (as reported in the Portfolio Budget Statement or equivalent)</w:t>
            </w:r>
            <w:r w:rsidR="00DB5F3E">
              <w:t>.</w:t>
            </w:r>
            <w:r w:rsidR="00912326">
              <w:t xml:space="preserve"> </w:t>
            </w:r>
            <w:r w:rsidR="00DB5F3E">
              <w:t>F</w:t>
            </w:r>
            <w:r w:rsidR="00912326">
              <w:t xml:space="preserve">or example, when announced in February 2023, $155.9 million was allocated for measures managed by six </w:t>
            </w:r>
            <w:r w:rsidR="00924E0F">
              <w:t>g</w:t>
            </w:r>
            <w:r w:rsidR="00912326">
              <w:t>overnment departments</w:t>
            </w:r>
            <w:r w:rsidR="51283CDF">
              <w:t xml:space="preserve"> and since then, there ha</w:t>
            </w:r>
            <w:r w:rsidR="5E35D982">
              <w:t>ve</w:t>
            </w:r>
            <w:r w:rsidR="51283CDF">
              <w:t xml:space="preserve"> been announcements about how much of that funding will be spent on a specific service/project</w:t>
            </w:r>
            <w:r w:rsidR="0A17AE2F">
              <w:t xml:space="preserve"> such as On-Country Learning and Junior Rangers.</w:t>
            </w:r>
          </w:p>
        </w:tc>
      </w:tr>
      <w:tr w:rsidR="00912326" w:rsidRPr="005A4294" w14:paraId="22AB029A" w14:textId="77777777" w:rsidTr="00D11DBE">
        <w:trPr>
          <w:trHeight w:val="300"/>
        </w:trPr>
        <w:tc>
          <w:tcPr>
            <w:tcW w:w="1237" w:type="pct"/>
          </w:tcPr>
          <w:p w14:paraId="03D79E0A" w14:textId="17E9D7D9" w:rsidR="00912326" w:rsidRDefault="00912326" w:rsidP="00DA4528">
            <w:r>
              <w:t>Committed</w:t>
            </w:r>
          </w:p>
        </w:tc>
        <w:tc>
          <w:tcPr>
            <w:tcW w:w="3763" w:type="pct"/>
          </w:tcPr>
          <w:p w14:paraId="01D6A600" w14:textId="27A0F005" w:rsidR="00912326" w:rsidRDefault="00D53728" w:rsidP="00DA4528">
            <w:r>
              <w:t>Funding that has been reserved for a specific project or activity, and a financial arrangement is in place e.g. via contract, funding agreement, or F</w:t>
            </w:r>
            <w:r w:rsidR="00214581">
              <w:t xml:space="preserve">ederation </w:t>
            </w:r>
            <w:r>
              <w:t xml:space="preserve">Funding Agreement. </w:t>
            </w:r>
          </w:p>
        </w:tc>
      </w:tr>
      <w:tr w:rsidR="00D24216" w:rsidRPr="005A4294" w14:paraId="03CA0B90" w14:textId="77777777" w:rsidTr="00D11DBE">
        <w:trPr>
          <w:trHeight w:val="300"/>
        </w:trPr>
        <w:tc>
          <w:tcPr>
            <w:tcW w:w="1237" w:type="pct"/>
          </w:tcPr>
          <w:p w14:paraId="0A7B3279" w14:textId="4917351E" w:rsidR="00D24216" w:rsidRDefault="0071134B" w:rsidP="00DA4528">
            <w:r>
              <w:t>Funding paid-to-date</w:t>
            </w:r>
          </w:p>
        </w:tc>
        <w:tc>
          <w:tcPr>
            <w:tcW w:w="3763" w:type="pct"/>
          </w:tcPr>
          <w:p w14:paraId="334BF385" w14:textId="10AEBB35" w:rsidR="00D24216" w:rsidRPr="00F14F43" w:rsidRDefault="2DDB749D" w:rsidP="00DA4528">
            <w:r>
              <w:t xml:space="preserve">Money that </w:t>
            </w:r>
            <w:r w:rsidR="7B2A9DA1">
              <w:t xml:space="preserve">the Australian Government </w:t>
            </w:r>
            <w:r>
              <w:t xml:space="preserve">has </w:t>
            </w:r>
            <w:r w:rsidR="0041170A" w:rsidRPr="1A31B231">
              <w:rPr>
                <w:i/>
                <w:iCs/>
              </w:rPr>
              <w:t>paid</w:t>
            </w:r>
            <w:r w:rsidR="0041170A">
              <w:t xml:space="preserve"> </w:t>
            </w:r>
            <w:r w:rsidR="5D607794">
              <w:t>for the delivery of service/project</w:t>
            </w:r>
            <w:r w:rsidR="0041170A">
              <w:t xml:space="preserve"> </w:t>
            </w:r>
            <w:r w:rsidR="51C4CD21">
              <w:t>(see Committed)</w:t>
            </w:r>
            <w:r w:rsidR="0041170A">
              <w:t>.</w:t>
            </w:r>
            <w:r w:rsidR="0077340A">
              <w:t xml:space="preserve"> </w:t>
            </w:r>
          </w:p>
        </w:tc>
      </w:tr>
      <w:tr w:rsidR="0050297A" w:rsidRPr="005A4294" w14:paraId="52BC4429" w14:textId="77777777" w:rsidTr="00D11DBE">
        <w:trPr>
          <w:trHeight w:val="300"/>
        </w:trPr>
        <w:tc>
          <w:tcPr>
            <w:tcW w:w="1237" w:type="pct"/>
          </w:tcPr>
          <w:p w14:paraId="79F52FB8" w14:textId="32BF1C1D" w:rsidR="0050297A" w:rsidRDefault="0050297A" w:rsidP="00DA4528">
            <w:r>
              <w:t>Financial Arrangement</w:t>
            </w:r>
          </w:p>
        </w:tc>
        <w:tc>
          <w:tcPr>
            <w:tcW w:w="3763" w:type="pct"/>
          </w:tcPr>
          <w:p w14:paraId="4E34981C" w14:textId="402DDAB4" w:rsidR="0050297A" w:rsidRPr="0041170A" w:rsidRDefault="0050297A" w:rsidP="00DA4528">
            <w:r>
              <w:t xml:space="preserve">A </w:t>
            </w:r>
            <w:r w:rsidRPr="001C065F">
              <w:t>Financial Arrangement</w:t>
            </w:r>
            <w:r>
              <w:t xml:space="preserve"> is</w:t>
            </w:r>
            <w:r w:rsidRPr="001C065F">
              <w:t xml:space="preserve"> </w:t>
            </w:r>
            <w:r>
              <w:t>a</w:t>
            </w:r>
            <w:r w:rsidRPr="001C065F">
              <w:t xml:space="preserve"> formal agreement</w:t>
            </w:r>
            <w:r w:rsidR="001B3FDA">
              <w:t>, contract, deed</w:t>
            </w:r>
            <w:r w:rsidRPr="001C065F">
              <w:t xml:space="preserve"> or understanding between the Australian Government and another party</w:t>
            </w:r>
            <w:r>
              <w:t xml:space="preserve"> </w:t>
            </w:r>
            <w:r w:rsidRPr="001C065F">
              <w:t>that involves the provision, management, or transfer of public funds.</w:t>
            </w:r>
            <w:r w:rsidR="00060928">
              <w:rPr>
                <w:rStyle w:val="FootnoteReference"/>
              </w:rPr>
              <w:footnoteReference w:id="7"/>
            </w:r>
            <w:r>
              <w:t xml:space="preserve"> </w:t>
            </w:r>
            <w:r w:rsidRPr="0077340A">
              <w:t xml:space="preserve">Under financial legislation and frameworks (e.g. the Public Governance, Performance and Accountability Act), a financial arrangement may </w:t>
            </w:r>
            <w:r w:rsidR="00EA77C3">
              <w:t>include a grant</w:t>
            </w:r>
            <w:r w:rsidR="00F11150">
              <w:t xml:space="preserve"> or</w:t>
            </w:r>
            <w:r w:rsidR="00EA77C3">
              <w:t xml:space="preserve"> procurement</w:t>
            </w:r>
            <w:r w:rsidR="00F11150">
              <w:t>,</w:t>
            </w:r>
            <w:r>
              <w:t xml:space="preserve"> </w:t>
            </w:r>
            <w:r w:rsidR="00F11150">
              <w:t xml:space="preserve">or </w:t>
            </w:r>
            <w:r w:rsidRPr="0077340A">
              <w:t>refer more broadly to any financial obligation or liability entered into by a Commonwealth entity, including loans, leases, or guarantees.</w:t>
            </w:r>
            <w:r w:rsidR="00E109DD">
              <w:rPr>
                <w:rStyle w:val="FootnoteReference"/>
              </w:rPr>
              <w:footnoteReference w:id="8"/>
            </w:r>
          </w:p>
        </w:tc>
      </w:tr>
    </w:tbl>
    <w:p w14:paraId="3225BDB2" w14:textId="77777777" w:rsidR="00222471" w:rsidRDefault="00222471" w:rsidP="00DA4528">
      <w:pPr>
        <w:pStyle w:val="Heading1"/>
      </w:pPr>
    </w:p>
    <w:p w14:paraId="39D7B324" w14:textId="77777777" w:rsidR="00785BF2" w:rsidRDefault="00785BF2" w:rsidP="00DA4528">
      <w:pPr>
        <w:rPr>
          <w:color w:val="009999"/>
          <w:sz w:val="32"/>
          <w:szCs w:val="28"/>
        </w:rPr>
      </w:pPr>
      <w:r>
        <w:br w:type="page"/>
      </w:r>
    </w:p>
    <w:p w14:paraId="463BA21B" w14:textId="03FA7142" w:rsidR="00856FA4" w:rsidRPr="00785BF2" w:rsidRDefault="00856FA4" w:rsidP="00DA4528">
      <w:pPr>
        <w:pStyle w:val="Heading1"/>
      </w:pPr>
      <w:bookmarkStart w:id="3" w:name="_Toc205475098"/>
      <w:r w:rsidRPr="00785BF2">
        <w:lastRenderedPageBreak/>
        <w:t>Acronyms</w:t>
      </w:r>
      <w:bookmarkEnd w:id="3"/>
    </w:p>
    <w:tbl>
      <w:tblPr>
        <w:tblW w:w="9195" w:type="dxa"/>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left w:w="0" w:type="dxa"/>
          <w:right w:w="0" w:type="dxa"/>
        </w:tblCellMar>
        <w:tblLook w:val="04A0" w:firstRow="1" w:lastRow="0" w:firstColumn="1" w:lastColumn="0" w:noHBand="0" w:noVBand="1"/>
      </w:tblPr>
      <w:tblGrid>
        <w:gridCol w:w="2552"/>
        <w:gridCol w:w="6643"/>
      </w:tblGrid>
      <w:tr w:rsidR="00786A6F" w:rsidRPr="007A3354" w14:paraId="3A117715" w14:textId="77777777" w:rsidTr="003415BB">
        <w:trPr>
          <w:trHeight w:val="300"/>
        </w:trPr>
        <w:tc>
          <w:tcPr>
            <w:tcW w:w="2552" w:type="dxa"/>
            <w:hideMark/>
          </w:tcPr>
          <w:p w14:paraId="375C1A44" w14:textId="77777777" w:rsidR="00786A6F" w:rsidRPr="007571F3" w:rsidRDefault="00786A6F" w:rsidP="00DA4528">
            <w:pPr>
              <w:rPr>
                <w:sz w:val="18"/>
                <w:szCs w:val="18"/>
                <w:lang w:val="en-US"/>
              </w:rPr>
            </w:pPr>
            <w:r w:rsidRPr="007571F3">
              <w:rPr>
                <w:sz w:val="18"/>
                <w:szCs w:val="18"/>
              </w:rPr>
              <w:t>ABS</w:t>
            </w:r>
            <w:r w:rsidRPr="007571F3">
              <w:rPr>
                <w:sz w:val="18"/>
                <w:szCs w:val="18"/>
                <w:lang w:val="en-US"/>
              </w:rPr>
              <w:t> </w:t>
            </w:r>
          </w:p>
        </w:tc>
        <w:tc>
          <w:tcPr>
            <w:tcW w:w="6643" w:type="dxa"/>
            <w:hideMark/>
          </w:tcPr>
          <w:p w14:paraId="636879B1" w14:textId="16DC4919" w:rsidR="00786A6F" w:rsidRPr="007571F3" w:rsidRDefault="00786A6F" w:rsidP="00DA4528">
            <w:pPr>
              <w:rPr>
                <w:sz w:val="18"/>
                <w:szCs w:val="18"/>
                <w:lang w:val="en-US"/>
              </w:rPr>
            </w:pPr>
            <w:r w:rsidRPr="007571F3">
              <w:rPr>
                <w:sz w:val="18"/>
                <w:szCs w:val="18"/>
              </w:rPr>
              <w:t>Australian Bureau of Statistics</w:t>
            </w:r>
            <w:r w:rsidRPr="007571F3">
              <w:rPr>
                <w:sz w:val="18"/>
                <w:szCs w:val="18"/>
                <w:lang w:val="en-US"/>
              </w:rPr>
              <w:t> </w:t>
            </w:r>
            <w:r w:rsidR="1A19A222" w:rsidRPr="007571F3">
              <w:rPr>
                <w:sz w:val="18"/>
                <w:szCs w:val="18"/>
                <w:lang w:val="en-US"/>
              </w:rPr>
              <w:t>(Australian Government)</w:t>
            </w:r>
          </w:p>
        </w:tc>
      </w:tr>
      <w:tr w:rsidR="00786A6F" w:rsidRPr="007A3354" w14:paraId="35BDF128" w14:textId="77777777" w:rsidTr="003415BB">
        <w:trPr>
          <w:trHeight w:val="300"/>
        </w:trPr>
        <w:tc>
          <w:tcPr>
            <w:tcW w:w="2552" w:type="dxa"/>
            <w:hideMark/>
          </w:tcPr>
          <w:p w14:paraId="4B123D2A" w14:textId="77777777" w:rsidR="00786A6F" w:rsidRPr="007571F3" w:rsidRDefault="00786A6F" w:rsidP="00DA4528">
            <w:pPr>
              <w:rPr>
                <w:sz w:val="18"/>
                <w:szCs w:val="18"/>
                <w:lang w:val="en-US"/>
              </w:rPr>
            </w:pPr>
            <w:r w:rsidRPr="007571F3">
              <w:rPr>
                <w:sz w:val="18"/>
                <w:szCs w:val="18"/>
              </w:rPr>
              <w:t>ACCO</w:t>
            </w:r>
            <w:r w:rsidRPr="007571F3">
              <w:rPr>
                <w:sz w:val="18"/>
                <w:szCs w:val="18"/>
                <w:lang w:val="en-US"/>
              </w:rPr>
              <w:t> </w:t>
            </w:r>
          </w:p>
        </w:tc>
        <w:tc>
          <w:tcPr>
            <w:tcW w:w="6643" w:type="dxa"/>
            <w:hideMark/>
          </w:tcPr>
          <w:p w14:paraId="15C15A9D" w14:textId="6424C9E1" w:rsidR="00786A6F" w:rsidRPr="007571F3" w:rsidRDefault="00786A6F" w:rsidP="00DA4528">
            <w:pPr>
              <w:rPr>
                <w:sz w:val="18"/>
                <w:szCs w:val="18"/>
                <w:lang w:val="en-US"/>
              </w:rPr>
            </w:pPr>
            <w:r w:rsidRPr="007571F3">
              <w:rPr>
                <w:sz w:val="18"/>
                <w:szCs w:val="18"/>
              </w:rPr>
              <w:t>Aboriginal Community</w:t>
            </w:r>
            <w:r w:rsidR="2EA376F0" w:rsidRPr="007571F3">
              <w:rPr>
                <w:sz w:val="18"/>
                <w:szCs w:val="18"/>
              </w:rPr>
              <w:t>-</w:t>
            </w:r>
            <w:r w:rsidRPr="007571F3">
              <w:rPr>
                <w:sz w:val="18"/>
                <w:szCs w:val="18"/>
              </w:rPr>
              <w:t>Controlled Organisation</w:t>
            </w:r>
            <w:r w:rsidRPr="007571F3">
              <w:rPr>
                <w:sz w:val="18"/>
                <w:szCs w:val="18"/>
                <w:lang w:val="en-US"/>
              </w:rPr>
              <w:t> </w:t>
            </w:r>
          </w:p>
        </w:tc>
      </w:tr>
      <w:tr w:rsidR="00786A6F" w:rsidRPr="007A3354" w14:paraId="241D9EBB" w14:textId="77777777" w:rsidTr="003415BB">
        <w:trPr>
          <w:trHeight w:val="300"/>
        </w:trPr>
        <w:tc>
          <w:tcPr>
            <w:tcW w:w="2552" w:type="dxa"/>
            <w:hideMark/>
          </w:tcPr>
          <w:p w14:paraId="52D9673E" w14:textId="77777777" w:rsidR="00786A6F" w:rsidRPr="007571F3" w:rsidRDefault="00786A6F" w:rsidP="00DA4528">
            <w:pPr>
              <w:rPr>
                <w:sz w:val="18"/>
                <w:szCs w:val="18"/>
                <w:lang w:val="en-US"/>
              </w:rPr>
            </w:pPr>
            <w:r w:rsidRPr="007571F3">
              <w:rPr>
                <w:sz w:val="18"/>
                <w:szCs w:val="18"/>
                <w:lang w:val="en-US"/>
              </w:rPr>
              <w:t>AGD</w:t>
            </w:r>
          </w:p>
        </w:tc>
        <w:tc>
          <w:tcPr>
            <w:tcW w:w="6643" w:type="dxa"/>
            <w:hideMark/>
          </w:tcPr>
          <w:p w14:paraId="795A9BF2" w14:textId="6191B1C3" w:rsidR="00786A6F" w:rsidRPr="007571F3" w:rsidRDefault="00786A6F" w:rsidP="00DA4528">
            <w:pPr>
              <w:rPr>
                <w:sz w:val="18"/>
                <w:szCs w:val="18"/>
                <w:lang w:val="en-US"/>
              </w:rPr>
            </w:pPr>
            <w:r w:rsidRPr="007571F3">
              <w:rPr>
                <w:sz w:val="18"/>
                <w:szCs w:val="18"/>
              </w:rPr>
              <w:t>Attorney-General’s Department</w:t>
            </w:r>
            <w:r w:rsidR="11381E0F" w:rsidRPr="007571F3">
              <w:rPr>
                <w:sz w:val="18"/>
                <w:szCs w:val="18"/>
              </w:rPr>
              <w:t xml:space="preserve"> (Australian Government)</w:t>
            </w:r>
          </w:p>
        </w:tc>
      </w:tr>
      <w:tr w:rsidR="00786A6F" w:rsidRPr="007A3354" w14:paraId="4E9F1A9D" w14:textId="77777777" w:rsidTr="003415BB">
        <w:trPr>
          <w:trHeight w:val="300"/>
        </w:trPr>
        <w:tc>
          <w:tcPr>
            <w:tcW w:w="2552" w:type="dxa"/>
            <w:hideMark/>
          </w:tcPr>
          <w:p w14:paraId="1F5F4387" w14:textId="77777777" w:rsidR="00786A6F" w:rsidRPr="007571F3" w:rsidRDefault="00786A6F" w:rsidP="00DA4528">
            <w:pPr>
              <w:rPr>
                <w:sz w:val="18"/>
                <w:szCs w:val="18"/>
                <w:lang w:val="en-US"/>
              </w:rPr>
            </w:pPr>
            <w:r w:rsidRPr="007571F3">
              <w:rPr>
                <w:sz w:val="18"/>
                <w:szCs w:val="18"/>
              </w:rPr>
              <w:t>ALG</w:t>
            </w:r>
            <w:r w:rsidRPr="007571F3">
              <w:rPr>
                <w:sz w:val="18"/>
                <w:szCs w:val="18"/>
                <w:lang w:val="en-US"/>
              </w:rPr>
              <w:t> </w:t>
            </w:r>
          </w:p>
        </w:tc>
        <w:tc>
          <w:tcPr>
            <w:tcW w:w="6643" w:type="dxa"/>
            <w:hideMark/>
          </w:tcPr>
          <w:p w14:paraId="24AE527C" w14:textId="77777777" w:rsidR="00786A6F" w:rsidRPr="007571F3" w:rsidRDefault="00786A6F" w:rsidP="00DA4528">
            <w:pPr>
              <w:rPr>
                <w:sz w:val="18"/>
                <w:szCs w:val="18"/>
                <w:lang w:val="en-US"/>
              </w:rPr>
            </w:pPr>
            <w:r w:rsidRPr="007571F3">
              <w:rPr>
                <w:sz w:val="18"/>
                <w:szCs w:val="18"/>
              </w:rPr>
              <w:t>Central Australia Plan Aboriginal Leadership Group</w:t>
            </w:r>
            <w:r w:rsidRPr="007571F3">
              <w:rPr>
                <w:sz w:val="18"/>
                <w:szCs w:val="18"/>
                <w:lang w:val="en-US"/>
              </w:rPr>
              <w:t> </w:t>
            </w:r>
          </w:p>
        </w:tc>
      </w:tr>
      <w:tr w:rsidR="00786A6F" w:rsidRPr="007A3354" w14:paraId="16651E1E" w14:textId="77777777" w:rsidTr="003415BB">
        <w:trPr>
          <w:trHeight w:val="300"/>
        </w:trPr>
        <w:tc>
          <w:tcPr>
            <w:tcW w:w="2552" w:type="dxa"/>
            <w:hideMark/>
          </w:tcPr>
          <w:p w14:paraId="48CCE262" w14:textId="77777777" w:rsidR="00786A6F" w:rsidRPr="007571F3" w:rsidRDefault="00786A6F" w:rsidP="00DA4528">
            <w:pPr>
              <w:rPr>
                <w:sz w:val="18"/>
                <w:szCs w:val="18"/>
                <w:lang w:val="en-US"/>
              </w:rPr>
            </w:pPr>
            <w:r w:rsidRPr="007571F3">
              <w:rPr>
                <w:sz w:val="18"/>
                <w:szCs w:val="18"/>
              </w:rPr>
              <w:t>CAP</w:t>
            </w:r>
            <w:r w:rsidRPr="007571F3">
              <w:rPr>
                <w:sz w:val="18"/>
                <w:szCs w:val="18"/>
                <w:lang w:val="en-US"/>
              </w:rPr>
              <w:t> </w:t>
            </w:r>
          </w:p>
        </w:tc>
        <w:tc>
          <w:tcPr>
            <w:tcW w:w="6643" w:type="dxa"/>
            <w:hideMark/>
          </w:tcPr>
          <w:p w14:paraId="7715B246" w14:textId="10AD4F08" w:rsidR="00786A6F" w:rsidRPr="007571F3" w:rsidRDefault="00786A6F" w:rsidP="00DA4528">
            <w:pPr>
              <w:rPr>
                <w:sz w:val="18"/>
                <w:szCs w:val="18"/>
                <w:lang w:val="en-US"/>
              </w:rPr>
            </w:pPr>
            <w:r w:rsidRPr="007571F3">
              <w:rPr>
                <w:sz w:val="18"/>
                <w:szCs w:val="18"/>
              </w:rPr>
              <w:t>Central Australia Plan</w:t>
            </w:r>
            <w:r w:rsidRPr="007571F3">
              <w:rPr>
                <w:sz w:val="18"/>
                <w:szCs w:val="18"/>
                <w:lang w:val="en-US"/>
              </w:rPr>
              <w:t> </w:t>
            </w:r>
          </w:p>
        </w:tc>
      </w:tr>
      <w:tr w:rsidR="00D45DA8" w:rsidRPr="007A3354" w14:paraId="2D8BB1D1" w14:textId="77777777" w:rsidTr="003415BB">
        <w:trPr>
          <w:trHeight w:val="300"/>
        </w:trPr>
        <w:tc>
          <w:tcPr>
            <w:tcW w:w="2552" w:type="dxa"/>
          </w:tcPr>
          <w:p w14:paraId="20A6A103" w14:textId="5F798D99" w:rsidR="00D45DA8" w:rsidRPr="007571F3" w:rsidRDefault="00D45DA8" w:rsidP="00DA4528">
            <w:pPr>
              <w:rPr>
                <w:sz w:val="18"/>
                <w:szCs w:val="18"/>
              </w:rPr>
            </w:pPr>
            <w:r w:rsidRPr="007571F3">
              <w:rPr>
                <w:sz w:val="18"/>
                <w:szCs w:val="18"/>
              </w:rPr>
              <w:t>CAPI Taskforce</w:t>
            </w:r>
          </w:p>
        </w:tc>
        <w:tc>
          <w:tcPr>
            <w:tcW w:w="6643" w:type="dxa"/>
          </w:tcPr>
          <w:p w14:paraId="337BC044" w14:textId="1C3DE613" w:rsidR="00D45DA8" w:rsidRPr="007571F3" w:rsidRDefault="00D45DA8" w:rsidP="00DA4528">
            <w:pPr>
              <w:rPr>
                <w:sz w:val="18"/>
                <w:szCs w:val="18"/>
              </w:rPr>
            </w:pPr>
            <w:r w:rsidRPr="007571F3">
              <w:rPr>
                <w:sz w:val="18"/>
                <w:szCs w:val="18"/>
              </w:rPr>
              <w:t>Central Australia Plan Implementation Taskforce</w:t>
            </w:r>
          </w:p>
        </w:tc>
      </w:tr>
      <w:tr w:rsidR="00786A6F" w:rsidRPr="007A3354" w14:paraId="6CC7C803" w14:textId="77777777" w:rsidTr="003415BB">
        <w:trPr>
          <w:trHeight w:val="300"/>
        </w:trPr>
        <w:tc>
          <w:tcPr>
            <w:tcW w:w="2552" w:type="dxa"/>
            <w:hideMark/>
          </w:tcPr>
          <w:p w14:paraId="404133F3" w14:textId="2BBEDDFC" w:rsidR="00786A6F" w:rsidRPr="007571F3" w:rsidRDefault="684B6C14" w:rsidP="00DA4528">
            <w:pPr>
              <w:rPr>
                <w:sz w:val="18"/>
                <w:szCs w:val="18"/>
                <w:lang w:val="en-US"/>
              </w:rPr>
            </w:pPr>
            <w:r w:rsidRPr="007571F3">
              <w:rPr>
                <w:sz w:val="18"/>
                <w:szCs w:val="18"/>
              </w:rPr>
              <w:t>National Agreement</w:t>
            </w:r>
            <w:r w:rsidR="00786A6F" w:rsidRPr="007571F3">
              <w:rPr>
                <w:sz w:val="18"/>
                <w:szCs w:val="18"/>
              </w:rPr>
              <w:t> </w:t>
            </w:r>
            <w:r w:rsidR="00786A6F" w:rsidRPr="007571F3">
              <w:rPr>
                <w:sz w:val="18"/>
                <w:szCs w:val="18"/>
                <w:lang w:val="en-US"/>
              </w:rPr>
              <w:t> </w:t>
            </w:r>
          </w:p>
        </w:tc>
        <w:tc>
          <w:tcPr>
            <w:tcW w:w="6643" w:type="dxa"/>
            <w:hideMark/>
          </w:tcPr>
          <w:p w14:paraId="2072BCF5" w14:textId="39599C97" w:rsidR="00786A6F" w:rsidRPr="007571F3" w:rsidRDefault="6A1DE09E" w:rsidP="00DA4528">
            <w:pPr>
              <w:rPr>
                <w:sz w:val="18"/>
                <w:szCs w:val="18"/>
                <w:lang w:val="en-US"/>
              </w:rPr>
            </w:pPr>
            <w:r w:rsidRPr="007571F3">
              <w:rPr>
                <w:sz w:val="18"/>
                <w:szCs w:val="18"/>
              </w:rPr>
              <w:t>N</w:t>
            </w:r>
            <w:r w:rsidR="395FA15F" w:rsidRPr="007571F3">
              <w:rPr>
                <w:sz w:val="18"/>
                <w:szCs w:val="18"/>
              </w:rPr>
              <w:t>atio</w:t>
            </w:r>
            <w:r w:rsidRPr="007571F3">
              <w:rPr>
                <w:sz w:val="18"/>
                <w:szCs w:val="18"/>
              </w:rPr>
              <w:t xml:space="preserve">nal Agreement on </w:t>
            </w:r>
            <w:r w:rsidR="2C9F4555" w:rsidRPr="007571F3">
              <w:rPr>
                <w:sz w:val="18"/>
                <w:szCs w:val="18"/>
              </w:rPr>
              <w:t xml:space="preserve">Closing the </w:t>
            </w:r>
            <w:r w:rsidR="2C0716F3" w:rsidRPr="007571F3">
              <w:rPr>
                <w:sz w:val="18"/>
                <w:szCs w:val="18"/>
              </w:rPr>
              <w:t>Gap</w:t>
            </w:r>
            <w:r w:rsidR="2C9F4555" w:rsidRPr="007571F3">
              <w:rPr>
                <w:sz w:val="18"/>
                <w:szCs w:val="18"/>
              </w:rPr>
              <w:t> </w:t>
            </w:r>
            <w:r w:rsidR="2C9F4555" w:rsidRPr="007571F3">
              <w:rPr>
                <w:sz w:val="18"/>
                <w:szCs w:val="18"/>
                <w:lang w:val="en-US"/>
              </w:rPr>
              <w:t> </w:t>
            </w:r>
          </w:p>
        </w:tc>
      </w:tr>
      <w:tr w:rsidR="00786A6F" w:rsidRPr="007A3354" w14:paraId="2BC63374" w14:textId="77777777" w:rsidTr="003415BB">
        <w:trPr>
          <w:trHeight w:val="300"/>
        </w:trPr>
        <w:tc>
          <w:tcPr>
            <w:tcW w:w="2552" w:type="dxa"/>
            <w:hideMark/>
          </w:tcPr>
          <w:p w14:paraId="47510018" w14:textId="41517103" w:rsidR="00786A6F" w:rsidRPr="007571F3" w:rsidRDefault="6E653399" w:rsidP="00DA4528">
            <w:pPr>
              <w:rPr>
                <w:sz w:val="18"/>
                <w:szCs w:val="18"/>
                <w:lang w:val="en-US"/>
              </w:rPr>
            </w:pPr>
            <w:r w:rsidRPr="007571F3">
              <w:rPr>
                <w:sz w:val="18"/>
                <w:szCs w:val="18"/>
              </w:rPr>
              <w:t>N</w:t>
            </w:r>
            <w:r w:rsidR="1891B28A" w:rsidRPr="007571F3">
              <w:rPr>
                <w:sz w:val="18"/>
                <w:szCs w:val="18"/>
              </w:rPr>
              <w:t>a</w:t>
            </w:r>
            <w:r w:rsidRPr="007571F3">
              <w:rPr>
                <w:sz w:val="18"/>
                <w:szCs w:val="18"/>
              </w:rPr>
              <w:t>tional</w:t>
            </w:r>
            <w:r w:rsidR="3271CB72" w:rsidRPr="007571F3">
              <w:rPr>
                <w:sz w:val="18"/>
                <w:szCs w:val="18"/>
              </w:rPr>
              <w:t xml:space="preserve"> Agreement</w:t>
            </w:r>
            <w:r w:rsidR="00786A6F" w:rsidRPr="007571F3">
              <w:rPr>
                <w:sz w:val="18"/>
                <w:szCs w:val="18"/>
              </w:rPr>
              <w:t xml:space="preserve"> PR</w:t>
            </w:r>
            <w:r w:rsidR="00786A6F" w:rsidRPr="007571F3">
              <w:rPr>
                <w:sz w:val="18"/>
                <w:szCs w:val="18"/>
                <w:lang w:val="en-US"/>
              </w:rPr>
              <w:t> </w:t>
            </w:r>
          </w:p>
        </w:tc>
        <w:tc>
          <w:tcPr>
            <w:tcW w:w="6643" w:type="dxa"/>
            <w:hideMark/>
          </w:tcPr>
          <w:p w14:paraId="097D6CDE" w14:textId="77777777" w:rsidR="00786A6F" w:rsidRPr="007571F3" w:rsidRDefault="00786A6F" w:rsidP="00DA4528">
            <w:pPr>
              <w:rPr>
                <w:sz w:val="18"/>
                <w:szCs w:val="18"/>
                <w:lang w:val="en-US"/>
              </w:rPr>
            </w:pPr>
            <w:r w:rsidRPr="007571F3">
              <w:rPr>
                <w:sz w:val="18"/>
                <w:szCs w:val="18"/>
              </w:rPr>
              <w:t>Closing the Gap Priority Reform</w:t>
            </w:r>
            <w:r w:rsidRPr="007571F3">
              <w:rPr>
                <w:sz w:val="18"/>
                <w:szCs w:val="18"/>
                <w:lang w:val="en-US"/>
              </w:rPr>
              <w:t> </w:t>
            </w:r>
          </w:p>
        </w:tc>
      </w:tr>
      <w:tr w:rsidR="00786A6F" w:rsidRPr="007A3354" w14:paraId="62766E66" w14:textId="77777777" w:rsidTr="003415BB">
        <w:trPr>
          <w:trHeight w:val="300"/>
        </w:trPr>
        <w:tc>
          <w:tcPr>
            <w:tcW w:w="2552" w:type="dxa"/>
            <w:hideMark/>
          </w:tcPr>
          <w:p w14:paraId="6DB0A275" w14:textId="77777777" w:rsidR="00786A6F" w:rsidRPr="007571F3" w:rsidRDefault="00786A6F" w:rsidP="00DA4528">
            <w:pPr>
              <w:rPr>
                <w:sz w:val="18"/>
                <w:szCs w:val="18"/>
                <w:lang w:val="en-US"/>
              </w:rPr>
            </w:pPr>
            <w:r w:rsidRPr="007571F3">
              <w:rPr>
                <w:sz w:val="18"/>
                <w:szCs w:val="18"/>
              </w:rPr>
              <w:t>DCMC</w:t>
            </w:r>
            <w:r w:rsidRPr="007571F3">
              <w:rPr>
                <w:sz w:val="18"/>
                <w:szCs w:val="18"/>
                <w:lang w:val="en-US"/>
              </w:rPr>
              <w:t> </w:t>
            </w:r>
          </w:p>
        </w:tc>
        <w:tc>
          <w:tcPr>
            <w:tcW w:w="6643" w:type="dxa"/>
            <w:hideMark/>
          </w:tcPr>
          <w:p w14:paraId="2C5560FC" w14:textId="45E55346" w:rsidR="00786A6F" w:rsidRPr="007571F3" w:rsidRDefault="00786A6F" w:rsidP="00DA4528">
            <w:pPr>
              <w:rPr>
                <w:sz w:val="18"/>
                <w:szCs w:val="18"/>
                <w:lang w:val="en-US"/>
              </w:rPr>
            </w:pPr>
            <w:r w:rsidRPr="007571F3">
              <w:rPr>
                <w:sz w:val="18"/>
                <w:szCs w:val="18"/>
              </w:rPr>
              <w:t>Department of the Chief Minister and Cabinet</w:t>
            </w:r>
            <w:r w:rsidRPr="007571F3">
              <w:rPr>
                <w:sz w:val="18"/>
                <w:szCs w:val="18"/>
                <w:lang w:val="en-US"/>
              </w:rPr>
              <w:t> </w:t>
            </w:r>
            <w:r w:rsidR="095C3AAC" w:rsidRPr="007571F3">
              <w:rPr>
                <w:sz w:val="18"/>
                <w:szCs w:val="18"/>
                <w:lang w:val="en-US"/>
              </w:rPr>
              <w:t>(Northern Territory Government)</w:t>
            </w:r>
          </w:p>
        </w:tc>
      </w:tr>
      <w:tr w:rsidR="00786A6F" w:rsidRPr="007A3354" w14:paraId="3D6D5E0E" w14:textId="77777777" w:rsidTr="003415BB">
        <w:trPr>
          <w:trHeight w:val="300"/>
        </w:trPr>
        <w:tc>
          <w:tcPr>
            <w:tcW w:w="2552" w:type="dxa"/>
          </w:tcPr>
          <w:p w14:paraId="74762A80" w14:textId="77777777" w:rsidR="00786A6F" w:rsidRPr="007571F3" w:rsidRDefault="00786A6F" w:rsidP="00DA4528">
            <w:pPr>
              <w:rPr>
                <w:sz w:val="18"/>
                <w:szCs w:val="18"/>
              </w:rPr>
            </w:pPr>
            <w:r w:rsidRPr="007571F3">
              <w:rPr>
                <w:sz w:val="18"/>
                <w:szCs w:val="18"/>
              </w:rPr>
              <w:t>DEWR</w:t>
            </w:r>
          </w:p>
        </w:tc>
        <w:tc>
          <w:tcPr>
            <w:tcW w:w="6643" w:type="dxa"/>
          </w:tcPr>
          <w:p w14:paraId="74495C78" w14:textId="1493D514" w:rsidR="00786A6F" w:rsidRPr="007571F3" w:rsidRDefault="00786A6F" w:rsidP="00DA4528">
            <w:pPr>
              <w:rPr>
                <w:sz w:val="18"/>
                <w:szCs w:val="18"/>
              </w:rPr>
            </w:pPr>
            <w:r w:rsidRPr="007571F3">
              <w:rPr>
                <w:sz w:val="18"/>
                <w:szCs w:val="18"/>
              </w:rPr>
              <w:t>Department of Employment and Workplace Relations</w:t>
            </w:r>
            <w:r w:rsidR="783FCEF6" w:rsidRPr="007571F3">
              <w:rPr>
                <w:sz w:val="18"/>
                <w:szCs w:val="18"/>
              </w:rPr>
              <w:t xml:space="preserve"> (Australian Government)</w:t>
            </w:r>
          </w:p>
        </w:tc>
      </w:tr>
      <w:tr w:rsidR="24929B10" w:rsidRPr="007A3354" w14:paraId="146AC437" w14:textId="77777777" w:rsidTr="003415BB">
        <w:trPr>
          <w:trHeight w:val="300"/>
        </w:trPr>
        <w:tc>
          <w:tcPr>
            <w:tcW w:w="2552" w:type="dxa"/>
          </w:tcPr>
          <w:p w14:paraId="6DAE7BAE" w14:textId="019A963C" w:rsidR="24929B10" w:rsidRPr="007571F3" w:rsidRDefault="4BE9B317" w:rsidP="24929B10">
            <w:pPr>
              <w:rPr>
                <w:sz w:val="18"/>
                <w:szCs w:val="18"/>
              </w:rPr>
            </w:pPr>
            <w:r w:rsidRPr="007571F3">
              <w:rPr>
                <w:sz w:val="18"/>
                <w:szCs w:val="18"/>
              </w:rPr>
              <w:t>DFV</w:t>
            </w:r>
          </w:p>
        </w:tc>
        <w:tc>
          <w:tcPr>
            <w:tcW w:w="6643" w:type="dxa"/>
          </w:tcPr>
          <w:p w14:paraId="391E66DA" w14:textId="4BBD48F0" w:rsidR="24929B10" w:rsidRPr="007571F3" w:rsidRDefault="4BE9B317" w:rsidP="24929B10">
            <w:pPr>
              <w:rPr>
                <w:sz w:val="18"/>
                <w:szCs w:val="18"/>
              </w:rPr>
            </w:pPr>
            <w:r w:rsidRPr="007571F3">
              <w:rPr>
                <w:sz w:val="18"/>
                <w:szCs w:val="18"/>
              </w:rPr>
              <w:t>Domestic and Family Violence</w:t>
            </w:r>
          </w:p>
        </w:tc>
      </w:tr>
      <w:tr w:rsidR="00786A6F" w:rsidRPr="007A3354" w14:paraId="6111521D" w14:textId="77777777" w:rsidTr="003415BB">
        <w:trPr>
          <w:trHeight w:val="300"/>
        </w:trPr>
        <w:tc>
          <w:tcPr>
            <w:tcW w:w="2552" w:type="dxa"/>
          </w:tcPr>
          <w:p w14:paraId="27BE1FAC" w14:textId="63CE3DC3" w:rsidR="00786A6F" w:rsidRPr="007571F3" w:rsidRDefault="00786A6F" w:rsidP="00DA4528">
            <w:pPr>
              <w:rPr>
                <w:sz w:val="18"/>
                <w:szCs w:val="18"/>
              </w:rPr>
            </w:pPr>
            <w:r w:rsidRPr="007571F3">
              <w:rPr>
                <w:sz w:val="18"/>
                <w:szCs w:val="18"/>
              </w:rPr>
              <w:t>DITRDC</w:t>
            </w:r>
            <w:r w:rsidR="542B4C4A" w:rsidRPr="007571F3">
              <w:rPr>
                <w:sz w:val="18"/>
                <w:szCs w:val="18"/>
              </w:rPr>
              <w:t>S</w:t>
            </w:r>
            <w:r w:rsidRPr="007571F3">
              <w:rPr>
                <w:sz w:val="18"/>
                <w:szCs w:val="18"/>
              </w:rPr>
              <w:t>A</w:t>
            </w:r>
          </w:p>
        </w:tc>
        <w:tc>
          <w:tcPr>
            <w:tcW w:w="6643" w:type="dxa"/>
          </w:tcPr>
          <w:p w14:paraId="43D1C221" w14:textId="164DB8F8" w:rsidR="00786A6F" w:rsidRPr="007571F3" w:rsidRDefault="00786A6F" w:rsidP="00DA4528">
            <w:pPr>
              <w:rPr>
                <w:sz w:val="18"/>
                <w:szCs w:val="18"/>
              </w:rPr>
            </w:pPr>
            <w:r w:rsidRPr="007571F3">
              <w:rPr>
                <w:sz w:val="18"/>
                <w:szCs w:val="18"/>
              </w:rPr>
              <w:t>Department of Infrastructure, Transport, Regional Development, Communications</w:t>
            </w:r>
            <w:r w:rsidR="3F793F75" w:rsidRPr="007571F3">
              <w:rPr>
                <w:sz w:val="18"/>
                <w:szCs w:val="18"/>
              </w:rPr>
              <w:t>, Sports</w:t>
            </w:r>
            <w:r w:rsidRPr="007571F3">
              <w:rPr>
                <w:sz w:val="18"/>
                <w:szCs w:val="18"/>
              </w:rPr>
              <w:t xml:space="preserve"> and the Arts</w:t>
            </w:r>
            <w:r w:rsidR="01582666" w:rsidRPr="007571F3">
              <w:rPr>
                <w:sz w:val="18"/>
                <w:szCs w:val="18"/>
              </w:rPr>
              <w:t xml:space="preserve"> (Australian Government)</w:t>
            </w:r>
          </w:p>
        </w:tc>
      </w:tr>
      <w:tr w:rsidR="00786A6F" w:rsidRPr="007A3354" w14:paraId="54B09A12" w14:textId="77777777" w:rsidTr="003415BB">
        <w:trPr>
          <w:trHeight w:val="300"/>
        </w:trPr>
        <w:tc>
          <w:tcPr>
            <w:tcW w:w="2552" w:type="dxa"/>
          </w:tcPr>
          <w:p w14:paraId="7088127A" w14:textId="77777777" w:rsidR="00786A6F" w:rsidRPr="007571F3" w:rsidRDefault="00786A6F" w:rsidP="00DA4528">
            <w:pPr>
              <w:rPr>
                <w:sz w:val="18"/>
                <w:szCs w:val="18"/>
              </w:rPr>
            </w:pPr>
            <w:r w:rsidRPr="007571F3">
              <w:rPr>
                <w:sz w:val="18"/>
                <w:szCs w:val="18"/>
              </w:rPr>
              <w:t>DoE</w:t>
            </w:r>
          </w:p>
        </w:tc>
        <w:tc>
          <w:tcPr>
            <w:tcW w:w="6643" w:type="dxa"/>
          </w:tcPr>
          <w:p w14:paraId="2F39BA66" w14:textId="362AD630" w:rsidR="00786A6F" w:rsidRPr="007571F3" w:rsidRDefault="00786A6F" w:rsidP="00DA4528">
            <w:pPr>
              <w:rPr>
                <w:sz w:val="18"/>
                <w:szCs w:val="18"/>
              </w:rPr>
            </w:pPr>
            <w:r w:rsidRPr="007571F3">
              <w:rPr>
                <w:sz w:val="18"/>
                <w:szCs w:val="18"/>
              </w:rPr>
              <w:t>Department of Education</w:t>
            </w:r>
            <w:r w:rsidR="00330E70" w:rsidRPr="007571F3">
              <w:rPr>
                <w:sz w:val="18"/>
                <w:szCs w:val="18"/>
              </w:rPr>
              <w:t xml:space="preserve"> (Australian Government)</w:t>
            </w:r>
          </w:p>
        </w:tc>
      </w:tr>
      <w:tr w:rsidR="00786A6F" w:rsidRPr="007A3354" w14:paraId="42FA837C" w14:textId="77777777" w:rsidTr="003415BB">
        <w:trPr>
          <w:trHeight w:val="300"/>
        </w:trPr>
        <w:tc>
          <w:tcPr>
            <w:tcW w:w="2552" w:type="dxa"/>
          </w:tcPr>
          <w:p w14:paraId="1613752A" w14:textId="24142737" w:rsidR="00786A6F" w:rsidRPr="007571F3" w:rsidRDefault="00786A6F" w:rsidP="00DA4528">
            <w:pPr>
              <w:rPr>
                <w:sz w:val="18"/>
                <w:szCs w:val="18"/>
              </w:rPr>
            </w:pPr>
            <w:r w:rsidRPr="007571F3">
              <w:rPr>
                <w:sz w:val="18"/>
                <w:szCs w:val="18"/>
              </w:rPr>
              <w:t>D</w:t>
            </w:r>
            <w:r w:rsidR="6CC3DA35" w:rsidRPr="007571F3">
              <w:rPr>
                <w:sz w:val="18"/>
                <w:szCs w:val="18"/>
              </w:rPr>
              <w:t>HDA</w:t>
            </w:r>
          </w:p>
        </w:tc>
        <w:tc>
          <w:tcPr>
            <w:tcW w:w="6643" w:type="dxa"/>
          </w:tcPr>
          <w:p w14:paraId="038290D2" w14:textId="27CD5C7E" w:rsidR="00786A6F" w:rsidRPr="007571F3" w:rsidRDefault="00786A6F" w:rsidP="00DA4528">
            <w:pPr>
              <w:rPr>
                <w:sz w:val="18"/>
                <w:szCs w:val="18"/>
              </w:rPr>
            </w:pPr>
            <w:r w:rsidRPr="007571F3">
              <w:rPr>
                <w:sz w:val="18"/>
                <w:szCs w:val="18"/>
              </w:rPr>
              <w:t>Department of Health</w:t>
            </w:r>
            <w:r w:rsidR="6B210FAA" w:rsidRPr="007571F3">
              <w:rPr>
                <w:sz w:val="18"/>
                <w:szCs w:val="18"/>
              </w:rPr>
              <w:t>,</w:t>
            </w:r>
            <w:r w:rsidRPr="007571F3">
              <w:rPr>
                <w:sz w:val="18"/>
                <w:szCs w:val="18"/>
              </w:rPr>
              <w:t xml:space="preserve"> </w:t>
            </w:r>
            <w:r w:rsidR="6B210FAA" w:rsidRPr="007571F3">
              <w:rPr>
                <w:sz w:val="18"/>
                <w:szCs w:val="18"/>
              </w:rPr>
              <w:t xml:space="preserve">Disability and </w:t>
            </w:r>
            <w:r w:rsidR="00C42D1A" w:rsidRPr="007571F3">
              <w:rPr>
                <w:sz w:val="18"/>
                <w:szCs w:val="18"/>
              </w:rPr>
              <w:t>Ageing (</w:t>
            </w:r>
            <w:r w:rsidR="7F57816A" w:rsidRPr="007571F3">
              <w:rPr>
                <w:sz w:val="18"/>
                <w:szCs w:val="18"/>
              </w:rPr>
              <w:t>Australian Government)</w:t>
            </w:r>
          </w:p>
        </w:tc>
      </w:tr>
      <w:tr w:rsidR="00786A6F" w:rsidRPr="007A3354" w14:paraId="5C030B50" w14:textId="77777777" w:rsidTr="003415BB">
        <w:trPr>
          <w:trHeight w:val="300"/>
        </w:trPr>
        <w:tc>
          <w:tcPr>
            <w:tcW w:w="2552" w:type="dxa"/>
          </w:tcPr>
          <w:p w14:paraId="1F92F28F" w14:textId="77777777" w:rsidR="00786A6F" w:rsidRPr="007571F3" w:rsidRDefault="00786A6F" w:rsidP="00DA4528">
            <w:pPr>
              <w:rPr>
                <w:sz w:val="18"/>
                <w:szCs w:val="18"/>
              </w:rPr>
            </w:pPr>
            <w:r w:rsidRPr="007571F3">
              <w:rPr>
                <w:sz w:val="18"/>
                <w:szCs w:val="18"/>
              </w:rPr>
              <w:t>DSS</w:t>
            </w:r>
          </w:p>
        </w:tc>
        <w:tc>
          <w:tcPr>
            <w:tcW w:w="6643" w:type="dxa"/>
          </w:tcPr>
          <w:p w14:paraId="63700880" w14:textId="7CC2F701" w:rsidR="00786A6F" w:rsidRPr="007571F3" w:rsidRDefault="00786A6F" w:rsidP="00DA4528">
            <w:pPr>
              <w:rPr>
                <w:sz w:val="18"/>
                <w:szCs w:val="18"/>
              </w:rPr>
            </w:pPr>
            <w:r w:rsidRPr="007571F3">
              <w:rPr>
                <w:sz w:val="18"/>
                <w:szCs w:val="18"/>
              </w:rPr>
              <w:t>Department of Social Services</w:t>
            </w:r>
            <w:r w:rsidR="1322BE3F" w:rsidRPr="007571F3">
              <w:rPr>
                <w:sz w:val="18"/>
                <w:szCs w:val="18"/>
              </w:rPr>
              <w:t xml:space="preserve"> (Australian Government)</w:t>
            </w:r>
          </w:p>
        </w:tc>
      </w:tr>
      <w:tr w:rsidR="00786A6F" w:rsidRPr="007A3354" w14:paraId="3D05AE5F" w14:textId="77777777" w:rsidTr="003415BB">
        <w:trPr>
          <w:trHeight w:val="300"/>
        </w:trPr>
        <w:tc>
          <w:tcPr>
            <w:tcW w:w="2552" w:type="dxa"/>
          </w:tcPr>
          <w:p w14:paraId="7BD5DCB7" w14:textId="77777777" w:rsidR="00786A6F" w:rsidRPr="007571F3" w:rsidRDefault="00786A6F" w:rsidP="00DA4528">
            <w:pPr>
              <w:rPr>
                <w:sz w:val="18"/>
                <w:szCs w:val="18"/>
              </w:rPr>
            </w:pPr>
            <w:r w:rsidRPr="007571F3">
              <w:rPr>
                <w:sz w:val="18"/>
                <w:szCs w:val="18"/>
              </w:rPr>
              <w:t>FASD</w:t>
            </w:r>
          </w:p>
        </w:tc>
        <w:tc>
          <w:tcPr>
            <w:tcW w:w="6643" w:type="dxa"/>
          </w:tcPr>
          <w:p w14:paraId="568164D2" w14:textId="0C620EF7" w:rsidR="00786A6F" w:rsidRPr="007571F3" w:rsidRDefault="00C42D1A" w:rsidP="00DA4528">
            <w:pPr>
              <w:rPr>
                <w:sz w:val="18"/>
                <w:szCs w:val="18"/>
              </w:rPr>
            </w:pPr>
            <w:proofErr w:type="spellStart"/>
            <w:r w:rsidRPr="007571F3">
              <w:rPr>
                <w:sz w:val="18"/>
                <w:szCs w:val="18"/>
              </w:rPr>
              <w:t>Fetal</w:t>
            </w:r>
            <w:proofErr w:type="spellEnd"/>
            <w:r w:rsidR="00786A6F" w:rsidRPr="007571F3">
              <w:rPr>
                <w:sz w:val="18"/>
                <w:szCs w:val="18"/>
              </w:rPr>
              <w:t xml:space="preserve"> Alcohol Spectrum Disorder</w:t>
            </w:r>
          </w:p>
        </w:tc>
      </w:tr>
      <w:tr w:rsidR="00786A6F" w:rsidRPr="007A3354" w14:paraId="5510B88C" w14:textId="77777777" w:rsidTr="003415BB">
        <w:trPr>
          <w:trHeight w:val="300"/>
        </w:trPr>
        <w:tc>
          <w:tcPr>
            <w:tcW w:w="2552" w:type="dxa"/>
          </w:tcPr>
          <w:p w14:paraId="1DFF4370" w14:textId="77777777" w:rsidR="00786A6F" w:rsidRPr="007571F3" w:rsidRDefault="00786A6F" w:rsidP="00DA4528">
            <w:pPr>
              <w:rPr>
                <w:sz w:val="18"/>
                <w:szCs w:val="18"/>
              </w:rPr>
            </w:pPr>
            <w:r w:rsidRPr="007571F3">
              <w:rPr>
                <w:sz w:val="18"/>
                <w:szCs w:val="18"/>
              </w:rPr>
              <w:t>FFA</w:t>
            </w:r>
          </w:p>
        </w:tc>
        <w:tc>
          <w:tcPr>
            <w:tcW w:w="6643" w:type="dxa"/>
          </w:tcPr>
          <w:p w14:paraId="64CAD9C1" w14:textId="77777777" w:rsidR="00786A6F" w:rsidRPr="007571F3" w:rsidRDefault="00786A6F" w:rsidP="00DA4528">
            <w:pPr>
              <w:rPr>
                <w:sz w:val="18"/>
                <w:szCs w:val="18"/>
              </w:rPr>
            </w:pPr>
            <w:r w:rsidRPr="007571F3">
              <w:rPr>
                <w:sz w:val="18"/>
                <w:szCs w:val="18"/>
              </w:rPr>
              <w:t>Federation Funding Agreement</w:t>
            </w:r>
          </w:p>
        </w:tc>
      </w:tr>
      <w:tr w:rsidR="00786A6F" w:rsidRPr="007A3354" w14:paraId="366AA276" w14:textId="77777777" w:rsidTr="003415BB">
        <w:trPr>
          <w:trHeight w:val="300"/>
        </w:trPr>
        <w:tc>
          <w:tcPr>
            <w:tcW w:w="2552" w:type="dxa"/>
            <w:hideMark/>
          </w:tcPr>
          <w:p w14:paraId="7D84C13A" w14:textId="77777777" w:rsidR="00786A6F" w:rsidRPr="007571F3" w:rsidRDefault="00786A6F" w:rsidP="00DA4528">
            <w:pPr>
              <w:rPr>
                <w:sz w:val="18"/>
                <w:szCs w:val="18"/>
                <w:lang w:val="en-US"/>
              </w:rPr>
            </w:pPr>
            <w:r w:rsidRPr="007571F3">
              <w:rPr>
                <w:sz w:val="18"/>
                <w:szCs w:val="18"/>
              </w:rPr>
              <w:t>IAS</w:t>
            </w:r>
            <w:r w:rsidRPr="007571F3">
              <w:rPr>
                <w:sz w:val="18"/>
                <w:szCs w:val="18"/>
                <w:lang w:val="en-US"/>
              </w:rPr>
              <w:t> </w:t>
            </w:r>
          </w:p>
        </w:tc>
        <w:tc>
          <w:tcPr>
            <w:tcW w:w="6643" w:type="dxa"/>
            <w:hideMark/>
          </w:tcPr>
          <w:p w14:paraId="68F5BD43" w14:textId="77777777" w:rsidR="00786A6F" w:rsidRPr="007571F3" w:rsidRDefault="00786A6F" w:rsidP="00DA4528">
            <w:pPr>
              <w:rPr>
                <w:sz w:val="18"/>
                <w:szCs w:val="18"/>
                <w:lang w:val="en-US"/>
              </w:rPr>
            </w:pPr>
            <w:r w:rsidRPr="007571F3">
              <w:rPr>
                <w:sz w:val="18"/>
                <w:szCs w:val="18"/>
              </w:rPr>
              <w:t>Indigenous Advancement Strategy</w:t>
            </w:r>
            <w:r w:rsidRPr="007571F3">
              <w:rPr>
                <w:sz w:val="18"/>
                <w:szCs w:val="18"/>
                <w:lang w:val="en-US"/>
              </w:rPr>
              <w:t> </w:t>
            </w:r>
          </w:p>
        </w:tc>
      </w:tr>
      <w:tr w:rsidR="00786A6F" w:rsidRPr="007A3354" w14:paraId="5220E715" w14:textId="77777777" w:rsidTr="003415BB">
        <w:trPr>
          <w:trHeight w:val="300"/>
        </w:trPr>
        <w:tc>
          <w:tcPr>
            <w:tcW w:w="2552" w:type="dxa"/>
            <w:hideMark/>
          </w:tcPr>
          <w:p w14:paraId="33E74AA8" w14:textId="77777777" w:rsidR="00786A6F" w:rsidRPr="007571F3" w:rsidRDefault="00786A6F" w:rsidP="00DA4528">
            <w:pPr>
              <w:rPr>
                <w:sz w:val="18"/>
                <w:szCs w:val="18"/>
                <w:lang w:val="en-US"/>
              </w:rPr>
            </w:pPr>
            <w:r w:rsidRPr="007571F3">
              <w:rPr>
                <w:sz w:val="18"/>
                <w:szCs w:val="18"/>
              </w:rPr>
              <w:t>IDC</w:t>
            </w:r>
            <w:r w:rsidRPr="007571F3">
              <w:rPr>
                <w:sz w:val="18"/>
                <w:szCs w:val="18"/>
                <w:lang w:val="en-US"/>
              </w:rPr>
              <w:t> </w:t>
            </w:r>
          </w:p>
        </w:tc>
        <w:tc>
          <w:tcPr>
            <w:tcW w:w="6643" w:type="dxa"/>
            <w:hideMark/>
          </w:tcPr>
          <w:p w14:paraId="4B27D4F0" w14:textId="77777777" w:rsidR="00786A6F" w:rsidRPr="007571F3" w:rsidRDefault="00786A6F" w:rsidP="00DA4528">
            <w:pPr>
              <w:rPr>
                <w:sz w:val="18"/>
                <w:szCs w:val="18"/>
                <w:lang w:val="en-US"/>
              </w:rPr>
            </w:pPr>
            <w:r w:rsidRPr="007571F3">
              <w:rPr>
                <w:sz w:val="18"/>
                <w:szCs w:val="18"/>
              </w:rPr>
              <w:t>Inter-Departmental Committee</w:t>
            </w:r>
            <w:r w:rsidRPr="007571F3">
              <w:rPr>
                <w:sz w:val="18"/>
                <w:szCs w:val="18"/>
                <w:lang w:val="en-US"/>
              </w:rPr>
              <w:t> </w:t>
            </w:r>
          </w:p>
        </w:tc>
      </w:tr>
      <w:tr w:rsidR="00786A6F" w:rsidRPr="007A3354" w14:paraId="1ADB5D9B" w14:textId="77777777" w:rsidTr="003415BB">
        <w:trPr>
          <w:trHeight w:val="300"/>
        </w:trPr>
        <w:tc>
          <w:tcPr>
            <w:tcW w:w="2552" w:type="dxa"/>
          </w:tcPr>
          <w:p w14:paraId="534E000C" w14:textId="77777777" w:rsidR="00786A6F" w:rsidRPr="007571F3" w:rsidRDefault="00786A6F" w:rsidP="00DA4528">
            <w:pPr>
              <w:rPr>
                <w:sz w:val="18"/>
                <w:szCs w:val="18"/>
              </w:rPr>
            </w:pPr>
            <w:r w:rsidRPr="007571F3">
              <w:rPr>
                <w:sz w:val="18"/>
                <w:szCs w:val="18"/>
              </w:rPr>
              <w:t>KEQ</w:t>
            </w:r>
          </w:p>
        </w:tc>
        <w:tc>
          <w:tcPr>
            <w:tcW w:w="6643" w:type="dxa"/>
          </w:tcPr>
          <w:p w14:paraId="7264AA04" w14:textId="77777777" w:rsidR="00786A6F" w:rsidRPr="007571F3" w:rsidRDefault="00786A6F" w:rsidP="00DA4528">
            <w:pPr>
              <w:rPr>
                <w:sz w:val="18"/>
                <w:szCs w:val="18"/>
              </w:rPr>
            </w:pPr>
            <w:r w:rsidRPr="007571F3">
              <w:rPr>
                <w:sz w:val="18"/>
                <w:szCs w:val="18"/>
              </w:rPr>
              <w:t>Key Evaluation Question</w:t>
            </w:r>
          </w:p>
        </w:tc>
      </w:tr>
      <w:tr w:rsidR="78956491" w:rsidRPr="007A3354" w14:paraId="2F8EC804" w14:textId="77777777" w:rsidTr="003415BB">
        <w:trPr>
          <w:trHeight w:val="300"/>
        </w:trPr>
        <w:tc>
          <w:tcPr>
            <w:tcW w:w="2552" w:type="dxa"/>
          </w:tcPr>
          <w:p w14:paraId="2DBFD275" w14:textId="76EB6671" w:rsidR="0998C37C" w:rsidRPr="007571F3" w:rsidRDefault="0998C37C" w:rsidP="78956491">
            <w:pPr>
              <w:spacing w:line="259" w:lineRule="auto"/>
              <w:rPr>
                <w:sz w:val="18"/>
                <w:szCs w:val="18"/>
              </w:rPr>
            </w:pPr>
            <w:r w:rsidRPr="007571F3">
              <w:rPr>
                <w:sz w:val="18"/>
                <w:szCs w:val="18"/>
              </w:rPr>
              <w:t>LDM</w:t>
            </w:r>
          </w:p>
        </w:tc>
        <w:tc>
          <w:tcPr>
            <w:tcW w:w="6643" w:type="dxa"/>
          </w:tcPr>
          <w:p w14:paraId="16A710AE" w14:textId="02E0D818" w:rsidR="0998C37C" w:rsidRPr="007571F3" w:rsidRDefault="0998C37C" w:rsidP="78956491">
            <w:pPr>
              <w:spacing w:line="259" w:lineRule="auto"/>
              <w:rPr>
                <w:sz w:val="18"/>
                <w:szCs w:val="18"/>
              </w:rPr>
            </w:pPr>
            <w:r w:rsidRPr="007571F3">
              <w:rPr>
                <w:sz w:val="18"/>
                <w:szCs w:val="18"/>
              </w:rPr>
              <w:t>Local Decision-Making</w:t>
            </w:r>
          </w:p>
        </w:tc>
      </w:tr>
      <w:tr w:rsidR="00786A6F" w:rsidRPr="007A3354" w14:paraId="6B8FD50B" w14:textId="77777777" w:rsidTr="003415BB">
        <w:trPr>
          <w:trHeight w:val="300"/>
        </w:trPr>
        <w:tc>
          <w:tcPr>
            <w:tcW w:w="2552" w:type="dxa"/>
          </w:tcPr>
          <w:p w14:paraId="6CA2CA6A" w14:textId="77777777" w:rsidR="00786A6F" w:rsidRPr="007571F3" w:rsidRDefault="00786A6F" w:rsidP="00DA4528">
            <w:pPr>
              <w:rPr>
                <w:sz w:val="18"/>
                <w:szCs w:val="18"/>
              </w:rPr>
            </w:pPr>
            <w:r w:rsidRPr="007571F3">
              <w:rPr>
                <w:sz w:val="18"/>
                <w:szCs w:val="18"/>
              </w:rPr>
              <w:t>NAIF</w:t>
            </w:r>
          </w:p>
        </w:tc>
        <w:tc>
          <w:tcPr>
            <w:tcW w:w="6643" w:type="dxa"/>
          </w:tcPr>
          <w:p w14:paraId="3C3C2CCF" w14:textId="77777777" w:rsidR="00786A6F" w:rsidRPr="007571F3" w:rsidRDefault="00786A6F" w:rsidP="00DA4528">
            <w:pPr>
              <w:rPr>
                <w:sz w:val="18"/>
                <w:szCs w:val="18"/>
              </w:rPr>
            </w:pPr>
            <w:r w:rsidRPr="007571F3">
              <w:rPr>
                <w:sz w:val="18"/>
                <w:szCs w:val="18"/>
              </w:rPr>
              <w:t>Northern Australia Infrastructure Facility</w:t>
            </w:r>
          </w:p>
        </w:tc>
      </w:tr>
      <w:tr w:rsidR="00786A6F" w:rsidRPr="007A3354" w14:paraId="4C814293" w14:textId="77777777" w:rsidTr="003415BB">
        <w:trPr>
          <w:trHeight w:val="300"/>
        </w:trPr>
        <w:tc>
          <w:tcPr>
            <w:tcW w:w="2552" w:type="dxa"/>
            <w:hideMark/>
          </w:tcPr>
          <w:p w14:paraId="07ECEAA8" w14:textId="77777777" w:rsidR="00786A6F" w:rsidRPr="007571F3" w:rsidRDefault="00786A6F" w:rsidP="00DA4528">
            <w:pPr>
              <w:rPr>
                <w:sz w:val="18"/>
                <w:szCs w:val="18"/>
                <w:lang w:val="en-US"/>
              </w:rPr>
            </w:pPr>
            <w:r w:rsidRPr="007571F3">
              <w:rPr>
                <w:sz w:val="18"/>
                <w:szCs w:val="18"/>
              </w:rPr>
              <w:t>NIAA</w:t>
            </w:r>
            <w:r w:rsidRPr="007571F3">
              <w:rPr>
                <w:sz w:val="18"/>
                <w:szCs w:val="18"/>
                <w:lang w:val="en-US"/>
              </w:rPr>
              <w:t> </w:t>
            </w:r>
          </w:p>
        </w:tc>
        <w:tc>
          <w:tcPr>
            <w:tcW w:w="6643" w:type="dxa"/>
            <w:hideMark/>
          </w:tcPr>
          <w:p w14:paraId="26F2D279" w14:textId="77777777" w:rsidR="00786A6F" w:rsidRPr="007571F3" w:rsidRDefault="00786A6F" w:rsidP="00DA4528">
            <w:pPr>
              <w:rPr>
                <w:sz w:val="18"/>
                <w:szCs w:val="18"/>
                <w:lang w:val="en-US"/>
              </w:rPr>
            </w:pPr>
            <w:r w:rsidRPr="007571F3">
              <w:rPr>
                <w:sz w:val="18"/>
                <w:szCs w:val="18"/>
              </w:rPr>
              <w:t>National Indigenous Australians Agency</w:t>
            </w:r>
            <w:r w:rsidRPr="007571F3">
              <w:rPr>
                <w:sz w:val="18"/>
                <w:szCs w:val="18"/>
                <w:lang w:val="en-US"/>
              </w:rPr>
              <w:t> </w:t>
            </w:r>
          </w:p>
        </w:tc>
      </w:tr>
      <w:tr w:rsidR="00786A6F" w:rsidRPr="007A3354" w14:paraId="5C8D7FDD" w14:textId="77777777" w:rsidTr="003415BB">
        <w:trPr>
          <w:trHeight w:val="300"/>
        </w:trPr>
        <w:tc>
          <w:tcPr>
            <w:tcW w:w="2552" w:type="dxa"/>
            <w:hideMark/>
          </w:tcPr>
          <w:p w14:paraId="15E3DA58" w14:textId="77777777" w:rsidR="00786A6F" w:rsidRPr="007571F3" w:rsidRDefault="00786A6F" w:rsidP="00DA4528">
            <w:pPr>
              <w:rPr>
                <w:sz w:val="18"/>
                <w:szCs w:val="18"/>
                <w:lang w:val="en-US"/>
              </w:rPr>
            </w:pPr>
            <w:r w:rsidRPr="007571F3">
              <w:rPr>
                <w:sz w:val="18"/>
                <w:szCs w:val="18"/>
              </w:rPr>
              <w:t>NTG</w:t>
            </w:r>
            <w:r w:rsidRPr="007571F3">
              <w:rPr>
                <w:sz w:val="18"/>
                <w:szCs w:val="18"/>
                <w:lang w:val="en-US"/>
              </w:rPr>
              <w:t> </w:t>
            </w:r>
          </w:p>
        </w:tc>
        <w:tc>
          <w:tcPr>
            <w:tcW w:w="6643" w:type="dxa"/>
            <w:hideMark/>
          </w:tcPr>
          <w:p w14:paraId="613C2CBF" w14:textId="77777777" w:rsidR="00786A6F" w:rsidRPr="007571F3" w:rsidRDefault="00786A6F" w:rsidP="00DA4528">
            <w:pPr>
              <w:rPr>
                <w:sz w:val="18"/>
                <w:szCs w:val="18"/>
                <w:lang w:val="en-US"/>
              </w:rPr>
            </w:pPr>
            <w:r w:rsidRPr="007571F3">
              <w:rPr>
                <w:sz w:val="18"/>
                <w:szCs w:val="18"/>
              </w:rPr>
              <w:t>Northern Territory Government</w:t>
            </w:r>
            <w:r w:rsidRPr="007571F3">
              <w:rPr>
                <w:sz w:val="18"/>
                <w:szCs w:val="18"/>
                <w:lang w:val="en-US"/>
              </w:rPr>
              <w:t> </w:t>
            </w:r>
          </w:p>
        </w:tc>
      </w:tr>
      <w:tr w:rsidR="00786A6F" w:rsidRPr="007A3354" w14:paraId="53A85286" w14:textId="77777777" w:rsidTr="003415BB">
        <w:trPr>
          <w:trHeight w:val="300"/>
        </w:trPr>
        <w:tc>
          <w:tcPr>
            <w:tcW w:w="2552" w:type="dxa"/>
          </w:tcPr>
          <w:p w14:paraId="3B6F3161" w14:textId="5C2C0A0A" w:rsidR="00786A6F" w:rsidRPr="007571F3" w:rsidRDefault="00786A6F" w:rsidP="00DA4528">
            <w:pPr>
              <w:rPr>
                <w:sz w:val="18"/>
                <w:szCs w:val="18"/>
              </w:rPr>
            </w:pPr>
            <w:r w:rsidRPr="007571F3">
              <w:rPr>
                <w:sz w:val="18"/>
                <w:szCs w:val="18"/>
              </w:rPr>
              <w:t>OC</w:t>
            </w:r>
            <w:r w:rsidR="00764E6E" w:rsidRPr="007571F3">
              <w:rPr>
                <w:sz w:val="18"/>
                <w:szCs w:val="18"/>
              </w:rPr>
              <w:t>ARC</w:t>
            </w:r>
          </w:p>
        </w:tc>
        <w:tc>
          <w:tcPr>
            <w:tcW w:w="6643" w:type="dxa"/>
          </w:tcPr>
          <w:p w14:paraId="33C625E3" w14:textId="77777777" w:rsidR="00786A6F" w:rsidRPr="007571F3" w:rsidRDefault="00786A6F" w:rsidP="00DA4528">
            <w:pPr>
              <w:rPr>
                <w:sz w:val="18"/>
                <w:szCs w:val="18"/>
              </w:rPr>
            </w:pPr>
            <w:r w:rsidRPr="007571F3">
              <w:rPr>
                <w:sz w:val="18"/>
                <w:szCs w:val="18"/>
              </w:rPr>
              <w:t>The Office of the Central Australia Regional Controller</w:t>
            </w:r>
          </w:p>
        </w:tc>
      </w:tr>
      <w:tr w:rsidR="00786A6F" w:rsidRPr="007A3354" w14:paraId="098730D9" w14:textId="77777777" w:rsidTr="003415BB">
        <w:trPr>
          <w:trHeight w:val="300"/>
        </w:trPr>
        <w:tc>
          <w:tcPr>
            <w:tcW w:w="2552" w:type="dxa"/>
            <w:hideMark/>
          </w:tcPr>
          <w:p w14:paraId="7B72CF72" w14:textId="77777777" w:rsidR="00786A6F" w:rsidRPr="007571F3" w:rsidRDefault="00786A6F" w:rsidP="00DA4528">
            <w:pPr>
              <w:rPr>
                <w:sz w:val="18"/>
                <w:szCs w:val="18"/>
                <w:lang w:val="en-US"/>
              </w:rPr>
            </w:pPr>
            <w:r w:rsidRPr="007571F3">
              <w:rPr>
                <w:sz w:val="18"/>
                <w:szCs w:val="18"/>
              </w:rPr>
              <w:t>RCC</w:t>
            </w:r>
            <w:r w:rsidRPr="007571F3">
              <w:rPr>
                <w:sz w:val="18"/>
                <w:szCs w:val="18"/>
                <w:lang w:val="en-US"/>
              </w:rPr>
              <w:t> </w:t>
            </w:r>
          </w:p>
        </w:tc>
        <w:tc>
          <w:tcPr>
            <w:tcW w:w="6643" w:type="dxa"/>
            <w:hideMark/>
          </w:tcPr>
          <w:p w14:paraId="7E8D3069" w14:textId="77777777" w:rsidR="00786A6F" w:rsidRPr="007571F3" w:rsidRDefault="00786A6F" w:rsidP="00DA4528">
            <w:pPr>
              <w:rPr>
                <w:sz w:val="18"/>
                <w:szCs w:val="18"/>
                <w:lang w:val="en-US"/>
              </w:rPr>
            </w:pPr>
            <w:r w:rsidRPr="007571F3">
              <w:rPr>
                <w:sz w:val="18"/>
                <w:szCs w:val="18"/>
              </w:rPr>
              <w:t>Regional Coordination Committees</w:t>
            </w:r>
            <w:r w:rsidRPr="007571F3">
              <w:rPr>
                <w:sz w:val="18"/>
                <w:szCs w:val="18"/>
                <w:lang w:val="en-US"/>
              </w:rPr>
              <w:t> </w:t>
            </w:r>
          </w:p>
        </w:tc>
      </w:tr>
      <w:tr w:rsidR="00786A6F" w:rsidRPr="007A3354" w14:paraId="0DFAD766" w14:textId="77777777" w:rsidTr="003415BB">
        <w:trPr>
          <w:trHeight w:val="300"/>
        </w:trPr>
        <w:tc>
          <w:tcPr>
            <w:tcW w:w="2552" w:type="dxa"/>
          </w:tcPr>
          <w:p w14:paraId="22699C52" w14:textId="41D479D0" w:rsidR="00786A6F" w:rsidRPr="007571F3" w:rsidRDefault="00786A6F" w:rsidP="00DA4528">
            <w:pPr>
              <w:rPr>
                <w:sz w:val="18"/>
                <w:szCs w:val="18"/>
              </w:rPr>
            </w:pPr>
            <w:r w:rsidRPr="007571F3">
              <w:rPr>
                <w:sz w:val="18"/>
                <w:szCs w:val="18"/>
              </w:rPr>
              <w:t>SFC</w:t>
            </w:r>
            <w:r w:rsidR="00DA5651" w:rsidRPr="007571F3">
              <w:rPr>
                <w:sz w:val="18"/>
                <w:szCs w:val="18"/>
              </w:rPr>
              <w:t>P</w:t>
            </w:r>
          </w:p>
        </w:tc>
        <w:tc>
          <w:tcPr>
            <w:tcW w:w="6643" w:type="dxa"/>
          </w:tcPr>
          <w:p w14:paraId="489EC510" w14:textId="195DB84F" w:rsidR="00786A6F" w:rsidRPr="007571F3" w:rsidRDefault="0033526A" w:rsidP="00DA4528">
            <w:pPr>
              <w:rPr>
                <w:sz w:val="18"/>
                <w:szCs w:val="18"/>
              </w:rPr>
            </w:pPr>
            <w:r w:rsidRPr="007571F3">
              <w:rPr>
                <w:sz w:val="18"/>
                <w:szCs w:val="18"/>
              </w:rPr>
              <w:t xml:space="preserve">Strengthening </w:t>
            </w:r>
            <w:r w:rsidR="00786A6F" w:rsidRPr="007571F3">
              <w:rPr>
                <w:sz w:val="18"/>
                <w:szCs w:val="18"/>
              </w:rPr>
              <w:t>Families and Communities</w:t>
            </w:r>
            <w:r w:rsidR="003702A0" w:rsidRPr="007571F3">
              <w:rPr>
                <w:sz w:val="18"/>
                <w:szCs w:val="18"/>
              </w:rPr>
              <w:t xml:space="preserve"> </w:t>
            </w:r>
            <w:r w:rsidR="008265CC" w:rsidRPr="007571F3">
              <w:rPr>
                <w:sz w:val="18"/>
                <w:szCs w:val="18"/>
              </w:rPr>
              <w:t>Partnership</w:t>
            </w:r>
            <w:r w:rsidR="397FA3DC" w:rsidRPr="007571F3">
              <w:rPr>
                <w:sz w:val="18"/>
                <w:szCs w:val="18"/>
              </w:rPr>
              <w:t xml:space="preserve"> (Australian Government)</w:t>
            </w:r>
          </w:p>
        </w:tc>
      </w:tr>
      <w:tr w:rsidR="00786A6F" w:rsidRPr="007A3354" w14:paraId="058EF931" w14:textId="77777777" w:rsidTr="003415BB">
        <w:trPr>
          <w:trHeight w:val="300"/>
        </w:trPr>
        <w:tc>
          <w:tcPr>
            <w:tcW w:w="2552" w:type="dxa"/>
            <w:hideMark/>
          </w:tcPr>
          <w:p w14:paraId="6B261CB3" w14:textId="77777777" w:rsidR="00786A6F" w:rsidRPr="007571F3" w:rsidRDefault="00786A6F" w:rsidP="00DA4528">
            <w:pPr>
              <w:rPr>
                <w:sz w:val="18"/>
                <w:szCs w:val="18"/>
                <w:lang w:val="en-US"/>
              </w:rPr>
            </w:pPr>
            <w:r w:rsidRPr="007571F3">
              <w:rPr>
                <w:sz w:val="18"/>
                <w:szCs w:val="18"/>
              </w:rPr>
              <w:t>YRT</w:t>
            </w:r>
            <w:r w:rsidRPr="007571F3">
              <w:rPr>
                <w:sz w:val="18"/>
                <w:szCs w:val="18"/>
                <w:lang w:val="en-US"/>
              </w:rPr>
              <w:t> </w:t>
            </w:r>
          </w:p>
        </w:tc>
        <w:tc>
          <w:tcPr>
            <w:tcW w:w="6643" w:type="dxa"/>
            <w:hideMark/>
          </w:tcPr>
          <w:p w14:paraId="3027E528" w14:textId="77777777" w:rsidR="00786A6F" w:rsidRPr="007571F3" w:rsidRDefault="00786A6F" w:rsidP="00DA4528">
            <w:pPr>
              <w:rPr>
                <w:sz w:val="18"/>
                <w:szCs w:val="18"/>
                <w:lang w:val="en-US"/>
              </w:rPr>
            </w:pPr>
            <w:r w:rsidRPr="007571F3">
              <w:rPr>
                <w:sz w:val="18"/>
                <w:szCs w:val="18"/>
              </w:rPr>
              <w:t>Central Australia Plan Youth Roundtable</w:t>
            </w:r>
            <w:r w:rsidRPr="007571F3">
              <w:rPr>
                <w:sz w:val="18"/>
                <w:szCs w:val="18"/>
                <w:lang w:val="en-US"/>
              </w:rPr>
              <w:t> </w:t>
            </w:r>
          </w:p>
        </w:tc>
      </w:tr>
    </w:tbl>
    <w:p w14:paraId="033C6BB6" w14:textId="77777777" w:rsidR="00AA4104" w:rsidRPr="001E3E42" w:rsidRDefault="00AA4104" w:rsidP="00AA4104">
      <w:pPr>
        <w:pStyle w:val="Heading1"/>
        <w:rPr>
          <w:b w:val="0"/>
        </w:rPr>
      </w:pPr>
      <w:bookmarkStart w:id="4" w:name="_Toc176508727"/>
      <w:bookmarkStart w:id="5" w:name="_Toc193116117"/>
      <w:bookmarkStart w:id="6" w:name="_Toc205475099"/>
      <w:r>
        <w:lastRenderedPageBreak/>
        <w:t>Executive summary</w:t>
      </w:r>
      <w:bookmarkEnd w:id="4"/>
      <w:bookmarkEnd w:id="5"/>
      <w:bookmarkEnd w:id="6"/>
    </w:p>
    <w:p w14:paraId="3FFCCF9A" w14:textId="5EF5657A" w:rsidR="00AA4104" w:rsidRDefault="002717B4" w:rsidP="00265B0A">
      <w:pPr>
        <w:rPr>
          <w:rFonts w:cs="Segoe UI"/>
        </w:rPr>
      </w:pPr>
      <w:r w:rsidRPr="1A31B231">
        <w:rPr>
          <w:rFonts w:cs="Segoe UI"/>
        </w:rPr>
        <w:t xml:space="preserve">In February 2023, </w:t>
      </w:r>
      <w:r w:rsidR="6F643A92" w:rsidRPr="1A31B231">
        <w:rPr>
          <w:rFonts w:cs="Segoe UI"/>
          <w:i/>
          <w:iCs/>
        </w:rPr>
        <w:t>A</w:t>
      </w:r>
      <w:r w:rsidR="00AA4104" w:rsidRPr="1A31B231">
        <w:rPr>
          <w:rFonts w:cs="Segoe UI"/>
          <w:i/>
          <w:iCs/>
        </w:rPr>
        <w:t xml:space="preserve"> </w:t>
      </w:r>
      <w:r w:rsidR="43E8BAFB" w:rsidRPr="1A31B231">
        <w:rPr>
          <w:rFonts w:cs="Segoe UI"/>
          <w:i/>
          <w:iCs/>
        </w:rPr>
        <w:t>Better, Safer Future</w:t>
      </w:r>
      <w:r w:rsidR="00AA4104" w:rsidRPr="1A31B231">
        <w:rPr>
          <w:rFonts w:cs="Segoe UI"/>
          <w:i/>
          <w:iCs/>
        </w:rPr>
        <w:t xml:space="preserve"> </w:t>
      </w:r>
      <w:r w:rsidR="43E8BAFB" w:rsidRPr="1A31B231">
        <w:rPr>
          <w:rFonts w:cs="Segoe UI"/>
          <w:i/>
          <w:iCs/>
        </w:rPr>
        <w:t xml:space="preserve">for </w:t>
      </w:r>
      <w:r w:rsidR="00AA4104" w:rsidRPr="1A31B231">
        <w:rPr>
          <w:rFonts w:cs="Segoe UI"/>
          <w:i/>
          <w:iCs/>
        </w:rPr>
        <w:t>Central Australia</w:t>
      </w:r>
      <w:r w:rsidR="00AA4104" w:rsidRPr="1A31B231">
        <w:rPr>
          <w:rFonts w:cs="Segoe UI"/>
        </w:rPr>
        <w:t xml:space="preserve"> Plan (the </w:t>
      </w:r>
      <w:r w:rsidR="77A27C3A" w:rsidRPr="1A31B231">
        <w:rPr>
          <w:rFonts w:cs="Segoe UI"/>
        </w:rPr>
        <w:t xml:space="preserve">Central Australia Plan or </w:t>
      </w:r>
      <w:r w:rsidR="00AA4104" w:rsidRPr="1A31B231">
        <w:rPr>
          <w:rFonts w:cs="Segoe UI"/>
        </w:rPr>
        <w:t xml:space="preserve">CAP) was announced as a </w:t>
      </w:r>
      <w:r w:rsidR="054E9795" w:rsidRPr="1A31B231">
        <w:rPr>
          <w:rFonts w:cs="Segoe UI"/>
        </w:rPr>
        <w:t>4</w:t>
      </w:r>
      <w:r w:rsidR="1D480BF7" w:rsidRPr="1A31B231">
        <w:rPr>
          <w:rFonts w:cs="Segoe UI"/>
        </w:rPr>
        <w:t>-</w:t>
      </w:r>
      <w:r w:rsidR="00AA4104" w:rsidRPr="1A31B231">
        <w:rPr>
          <w:rFonts w:cs="Segoe UI"/>
        </w:rPr>
        <w:t xml:space="preserve">year, $250 million </w:t>
      </w:r>
      <w:r w:rsidR="27E245A6" w:rsidRPr="2B01EDFB">
        <w:rPr>
          <w:rFonts w:cs="Segoe UI"/>
        </w:rPr>
        <w:t>plan supporting</w:t>
      </w:r>
      <w:r w:rsidR="00AA4104" w:rsidRPr="1A31B231">
        <w:rPr>
          <w:rFonts w:cs="Segoe UI"/>
        </w:rPr>
        <w:t xml:space="preserve"> a range of initiatives </w:t>
      </w:r>
      <w:r w:rsidR="00896C24" w:rsidRPr="1A31B231">
        <w:rPr>
          <w:rFonts w:cs="Segoe UI"/>
        </w:rPr>
        <w:t>delivered in</w:t>
      </w:r>
      <w:r w:rsidR="00AA4104" w:rsidRPr="1A31B231">
        <w:rPr>
          <w:rFonts w:cs="Segoe UI"/>
        </w:rPr>
        <w:t xml:space="preserve"> partnership with the </w:t>
      </w:r>
      <w:r w:rsidR="00206027">
        <w:rPr>
          <w:rFonts w:cs="Segoe UI"/>
        </w:rPr>
        <w:t>Australian</w:t>
      </w:r>
      <w:r w:rsidR="00AA4104" w:rsidRPr="1A31B231">
        <w:rPr>
          <w:rFonts w:cs="Segoe UI"/>
        </w:rPr>
        <w:t xml:space="preserve">, Northern Territory </w:t>
      </w:r>
      <w:r w:rsidR="00896C24" w:rsidRPr="1A31B231">
        <w:rPr>
          <w:rFonts w:cs="Segoe UI"/>
        </w:rPr>
        <w:t>and</w:t>
      </w:r>
      <w:r w:rsidR="00AA4104" w:rsidRPr="1A31B231">
        <w:rPr>
          <w:rFonts w:cs="Segoe UI"/>
        </w:rPr>
        <w:t xml:space="preserve"> local government</w:t>
      </w:r>
      <w:r w:rsidR="00206027">
        <w:rPr>
          <w:rFonts w:cs="Segoe UI"/>
        </w:rPr>
        <w:t>s</w:t>
      </w:r>
      <w:r w:rsidR="00AA4104" w:rsidRPr="1A31B231">
        <w:rPr>
          <w:rFonts w:cs="Segoe UI"/>
        </w:rPr>
        <w:t>, organisations</w:t>
      </w:r>
      <w:r w:rsidR="00D8722D" w:rsidRPr="1A31B231">
        <w:rPr>
          <w:rFonts w:cs="Segoe UI"/>
        </w:rPr>
        <w:t>,</w:t>
      </w:r>
      <w:r w:rsidR="00AA4104" w:rsidRPr="1A31B231">
        <w:rPr>
          <w:rFonts w:cs="Segoe UI"/>
        </w:rPr>
        <w:t xml:space="preserve"> and communities. </w:t>
      </w:r>
      <w:r w:rsidR="63E22B8B" w:rsidRPr="1A31B231">
        <w:rPr>
          <w:rFonts w:cs="Segoe UI"/>
        </w:rPr>
        <w:t>It has since been extended to a 6</w:t>
      </w:r>
      <w:r w:rsidR="7E1FFA50" w:rsidRPr="1A31B231">
        <w:rPr>
          <w:rFonts w:cs="Segoe UI"/>
        </w:rPr>
        <w:t>-</w:t>
      </w:r>
      <w:r w:rsidR="63E22B8B" w:rsidRPr="1A31B231">
        <w:rPr>
          <w:rFonts w:cs="Segoe UI"/>
        </w:rPr>
        <w:t>year plan.</w:t>
      </w:r>
    </w:p>
    <w:p w14:paraId="60B52069" w14:textId="3C81A664" w:rsidR="00AA4104" w:rsidRDefault="00AA4104" w:rsidP="00265B0A">
      <w:pPr>
        <w:rPr>
          <w:rFonts w:cs="Segoe UI"/>
        </w:rPr>
      </w:pPr>
      <w:r w:rsidRPr="39163C2F">
        <w:rPr>
          <w:rFonts w:cs="Segoe UI"/>
        </w:rPr>
        <w:t>By listening to locals, Elders</w:t>
      </w:r>
      <w:r w:rsidR="001C24A1">
        <w:rPr>
          <w:rFonts w:cs="Segoe UI"/>
        </w:rPr>
        <w:t>,</w:t>
      </w:r>
      <w:r w:rsidRPr="39163C2F">
        <w:rPr>
          <w:rFonts w:cs="Segoe UI"/>
        </w:rPr>
        <w:t xml:space="preserve"> and community organisations, the CAP aims to invest in programs and services that will improve the lives of First Nations people and </w:t>
      </w:r>
      <w:r w:rsidR="00862E44">
        <w:rPr>
          <w:rFonts w:cs="Segoe UI"/>
        </w:rPr>
        <w:t>contribute</w:t>
      </w:r>
      <w:r w:rsidRPr="39163C2F">
        <w:rPr>
          <w:rFonts w:cs="Segoe UI"/>
        </w:rPr>
        <w:t xml:space="preserve"> to </w:t>
      </w:r>
      <w:r w:rsidR="2CBA5641" w:rsidRPr="6C773732">
        <w:rPr>
          <w:rFonts w:cs="Segoe UI"/>
        </w:rPr>
        <w:t xml:space="preserve">the National Agreement on </w:t>
      </w:r>
      <w:r w:rsidRPr="39163C2F">
        <w:rPr>
          <w:rFonts w:cs="Segoe UI"/>
        </w:rPr>
        <w:t>Clos</w:t>
      </w:r>
      <w:r w:rsidR="00862E44">
        <w:rPr>
          <w:rFonts w:cs="Segoe UI"/>
        </w:rPr>
        <w:t>ing</w:t>
      </w:r>
      <w:r w:rsidRPr="39163C2F">
        <w:rPr>
          <w:rFonts w:cs="Segoe UI"/>
        </w:rPr>
        <w:t xml:space="preserve"> the Gap</w:t>
      </w:r>
      <w:r w:rsidR="00862E44">
        <w:rPr>
          <w:rFonts w:cs="Segoe UI"/>
        </w:rPr>
        <w:t xml:space="preserve"> (</w:t>
      </w:r>
      <w:r w:rsidR="6E935BBE" w:rsidRPr="6C773732">
        <w:rPr>
          <w:rFonts w:cs="Segoe UI"/>
        </w:rPr>
        <w:t>National Agreement</w:t>
      </w:r>
      <w:r w:rsidR="00862E44">
        <w:rPr>
          <w:rFonts w:cs="Segoe UI"/>
        </w:rPr>
        <w:t>)</w:t>
      </w:r>
      <w:r w:rsidRPr="39163C2F">
        <w:rPr>
          <w:rFonts w:cs="Segoe UI"/>
        </w:rPr>
        <w:t>.</w:t>
      </w:r>
      <w:r w:rsidRPr="39163C2F">
        <w:rPr>
          <w:rStyle w:val="FootnoteReference"/>
          <w:rFonts w:cs="Segoe UI"/>
        </w:rPr>
        <w:footnoteReference w:id="9"/>
      </w:r>
      <w:r w:rsidRPr="39163C2F">
        <w:rPr>
          <w:rFonts w:cs="Segoe UI"/>
        </w:rPr>
        <w:t xml:space="preserve"> </w:t>
      </w:r>
    </w:p>
    <w:p w14:paraId="690B9279" w14:textId="02DFB7E7" w:rsidR="003931DD" w:rsidRDefault="00AA4104" w:rsidP="003931DD">
      <w:pPr>
        <w:rPr>
          <w:rFonts w:cs="Segoe UI"/>
        </w:rPr>
      </w:pPr>
      <w:r w:rsidRPr="1A31B231">
        <w:rPr>
          <w:rFonts w:cs="Segoe UI"/>
        </w:rPr>
        <w:t xml:space="preserve">The central theme of the CAP is to “do things differently” when administering the </w:t>
      </w:r>
      <w:r w:rsidR="00FB11AE" w:rsidRPr="1A31B231">
        <w:rPr>
          <w:rFonts w:cs="Segoe UI"/>
        </w:rPr>
        <w:t>$250 million and</w:t>
      </w:r>
      <w:r w:rsidRPr="1A31B231">
        <w:rPr>
          <w:rFonts w:cs="Segoe UI"/>
        </w:rPr>
        <w:t xml:space="preserve"> aims to address six key priority areas</w:t>
      </w:r>
      <w:r w:rsidR="00075CB6" w:rsidRPr="1A31B231">
        <w:rPr>
          <w:rFonts w:cs="Segoe UI"/>
        </w:rPr>
        <w:t xml:space="preserve"> of improved community safety, job creation, better services, </w:t>
      </w:r>
      <w:r w:rsidR="00461D65" w:rsidRPr="1A31B231">
        <w:rPr>
          <w:rFonts w:cs="Segoe UI"/>
        </w:rPr>
        <w:t xml:space="preserve">addressing issues surrounding </w:t>
      </w:r>
      <w:proofErr w:type="spellStart"/>
      <w:r w:rsidR="00FB11AE" w:rsidRPr="1A31B231">
        <w:rPr>
          <w:rFonts w:cs="Segoe UI"/>
        </w:rPr>
        <w:t>Fetal</w:t>
      </w:r>
      <w:proofErr w:type="spellEnd"/>
      <w:r w:rsidR="00461D65" w:rsidRPr="1A31B231">
        <w:rPr>
          <w:rFonts w:cs="Segoe UI"/>
        </w:rPr>
        <w:t xml:space="preserve"> Alcohol Spectrum Disorder</w:t>
      </w:r>
      <w:r w:rsidR="2DA1F376" w:rsidRPr="297F570B">
        <w:rPr>
          <w:rFonts w:cs="Segoe UI"/>
        </w:rPr>
        <w:t xml:space="preserve"> (</w:t>
      </w:r>
      <w:r w:rsidR="2DA1F376" w:rsidRPr="6A199394">
        <w:rPr>
          <w:rFonts w:cs="Segoe UI"/>
        </w:rPr>
        <w:t>FASD)</w:t>
      </w:r>
      <w:r w:rsidR="001E40DB" w:rsidRPr="6A199394">
        <w:rPr>
          <w:rFonts w:cs="Segoe UI"/>
        </w:rPr>
        <w:t>,</w:t>
      </w:r>
      <w:r w:rsidR="001E40DB" w:rsidRPr="1A31B231">
        <w:rPr>
          <w:rFonts w:cs="Segoe UI"/>
        </w:rPr>
        <w:t xml:space="preserve"> investing in families and On-Country learning.</w:t>
      </w:r>
      <w:r w:rsidR="00B30C9A" w:rsidRPr="1A31B231">
        <w:rPr>
          <w:rFonts w:cs="Segoe UI"/>
        </w:rPr>
        <w:t xml:space="preserve"> </w:t>
      </w:r>
      <w:r w:rsidR="00B30C9A">
        <w:t>These priority streams were identified on the advice of the O</w:t>
      </w:r>
      <w:r w:rsidR="005F29D1">
        <w:t xml:space="preserve">ffice of the </w:t>
      </w:r>
      <w:r w:rsidR="003A707B">
        <w:t xml:space="preserve">Central Australia </w:t>
      </w:r>
      <w:r w:rsidR="005F29D1">
        <w:t>Regional Controller</w:t>
      </w:r>
      <w:r w:rsidR="00B30C9A">
        <w:t xml:space="preserve"> </w:t>
      </w:r>
      <w:r w:rsidR="003A707B">
        <w:t xml:space="preserve">(OCARC) </w:t>
      </w:r>
      <w:r w:rsidR="00B30C9A">
        <w:t>after a consultation process across the region</w:t>
      </w:r>
      <w:r w:rsidR="00B30C9A" w:rsidRPr="1A31B231">
        <w:rPr>
          <w:rFonts w:cs="Segoe UI"/>
        </w:rPr>
        <w:t>.</w:t>
      </w:r>
    </w:p>
    <w:p w14:paraId="5A7ADD3D" w14:textId="1DF55D5E" w:rsidR="00AA4104" w:rsidRDefault="00AA4104" w:rsidP="003931DD">
      <w:pPr>
        <w:pStyle w:val="Heading2"/>
        <w:rPr>
          <w:rFonts w:cs="Segoe UI"/>
        </w:rPr>
      </w:pPr>
      <w:r w:rsidRPr="1A31B231">
        <w:rPr>
          <w:lang w:val="en-GB" w:eastAsia="en-AU"/>
        </w:rPr>
        <w:t>Focus of this evaluation</w:t>
      </w:r>
    </w:p>
    <w:p w14:paraId="57FA0132" w14:textId="492ED9F6" w:rsidR="00AA4104" w:rsidRPr="00672BFD" w:rsidRDefault="00AA4104" w:rsidP="00AA4104">
      <w:pPr>
        <w:rPr>
          <w:rFonts w:ascii="Segoe UI" w:eastAsia="Segoe UI" w:hAnsi="Segoe UI" w:cs="Segoe UI"/>
          <w:color w:val="333333"/>
          <w:sz w:val="18"/>
          <w:szCs w:val="18"/>
        </w:rPr>
      </w:pPr>
      <w:r w:rsidRPr="26FF8D9E">
        <w:rPr>
          <w:rFonts w:cs="Segoe UI"/>
        </w:rPr>
        <w:t xml:space="preserve">Inside Policy was engaged </w:t>
      </w:r>
      <w:r w:rsidR="004742D6" w:rsidRPr="26FF8D9E">
        <w:rPr>
          <w:rFonts w:cs="Segoe UI"/>
        </w:rPr>
        <w:t xml:space="preserve">in September 2024, </w:t>
      </w:r>
      <w:r w:rsidRPr="26FF8D9E">
        <w:rPr>
          <w:rFonts w:cs="Segoe UI"/>
        </w:rPr>
        <w:t xml:space="preserve">by the National Indigenous Australians Agency (NIAA) </w:t>
      </w:r>
      <w:r>
        <w:t xml:space="preserve">to </w:t>
      </w:r>
      <w:r w:rsidR="000A6838">
        <w:t>conduct</w:t>
      </w:r>
      <w:r>
        <w:t xml:space="preserve"> an </w:t>
      </w:r>
      <w:r w:rsidRPr="26FF8D9E">
        <w:rPr>
          <w:rFonts w:cs="Segoe UI"/>
        </w:rPr>
        <w:t xml:space="preserve">independent evaluation of the CAP. </w:t>
      </w:r>
      <w:r w:rsidR="00896647" w:rsidRPr="26FF8D9E">
        <w:rPr>
          <w:rFonts w:cs="Segoe UI"/>
        </w:rPr>
        <w:t xml:space="preserve">This </w:t>
      </w:r>
      <w:r w:rsidR="00C53576" w:rsidRPr="26FF8D9E">
        <w:rPr>
          <w:rFonts w:cs="Segoe UI"/>
        </w:rPr>
        <w:t xml:space="preserve">theory-led </w:t>
      </w:r>
      <w:r w:rsidR="00896647" w:rsidRPr="26FF8D9E">
        <w:rPr>
          <w:rFonts w:cs="Segoe UI"/>
        </w:rPr>
        <w:t xml:space="preserve">evaluation is intended to produce key insights </w:t>
      </w:r>
      <w:r w:rsidR="2CF7F772" w:rsidRPr="26FF8D9E">
        <w:rPr>
          <w:rFonts w:cs="Segoe UI"/>
        </w:rPr>
        <w:t>on the implementation of the CAP, to inform the ongoing roll-out of funded initiatives and any future NIAA place-based approaches in Central Australia.</w:t>
      </w:r>
      <w:r w:rsidR="00672BFD">
        <w:rPr>
          <w:rFonts w:ascii="Segoe UI" w:eastAsia="Segoe UI" w:hAnsi="Segoe UI" w:cs="Segoe UI"/>
          <w:color w:val="333333"/>
          <w:sz w:val="18"/>
          <w:szCs w:val="18"/>
        </w:rPr>
        <w:t xml:space="preserve"> </w:t>
      </w:r>
      <w:r w:rsidRPr="00EC6311">
        <w:rPr>
          <w:rFonts w:eastAsiaTheme="minorEastAsia" w:cs="Segoe UI"/>
          <w:lang w:val="en-GB" w:eastAsia="en-AU"/>
        </w:rPr>
        <w:t>This evaluation comes 18-months into the implementation of the CAP and seeks to answer the following questions:</w:t>
      </w:r>
    </w:p>
    <w:p w14:paraId="2D0CD1B4" w14:textId="77777777" w:rsidR="00AA4104" w:rsidRPr="00324E5D" w:rsidRDefault="00AA4104" w:rsidP="00335516">
      <w:pPr>
        <w:pStyle w:val="paragraph"/>
        <w:numPr>
          <w:ilvl w:val="0"/>
          <w:numId w:val="11"/>
        </w:numPr>
        <w:spacing w:before="120" w:beforeAutospacing="0" w:after="120" w:afterAutospacing="0"/>
        <w:ind w:left="714" w:hanging="357"/>
        <w:contextualSpacing/>
        <w:rPr>
          <w:rFonts w:cs="Segoe UI"/>
        </w:rPr>
      </w:pPr>
      <w:r w:rsidRPr="00324E5D">
        <w:rPr>
          <w:rFonts w:cs="Segoe UI"/>
        </w:rPr>
        <w:t>What is the current state of CAP implementation?</w:t>
      </w:r>
    </w:p>
    <w:p w14:paraId="5FD5A780" w14:textId="77777777" w:rsidR="00AA4104" w:rsidRPr="00324E5D" w:rsidRDefault="00AA4104" w:rsidP="00335516">
      <w:pPr>
        <w:pStyle w:val="paragraph"/>
        <w:numPr>
          <w:ilvl w:val="0"/>
          <w:numId w:val="11"/>
        </w:numPr>
        <w:spacing w:before="120" w:beforeAutospacing="0" w:after="120" w:afterAutospacing="0"/>
        <w:ind w:left="714" w:hanging="357"/>
        <w:contextualSpacing/>
        <w:rPr>
          <w:rFonts w:cs="Segoe UI"/>
        </w:rPr>
      </w:pPr>
      <w:r w:rsidRPr="00324E5D">
        <w:rPr>
          <w:rFonts w:cs="Segoe UI"/>
        </w:rPr>
        <w:t xml:space="preserve">How has the CAP been implemented differently? </w:t>
      </w:r>
    </w:p>
    <w:p w14:paraId="2287D3C9" w14:textId="2AEB026B" w:rsidR="00AA4104" w:rsidRPr="00324E5D" w:rsidRDefault="00AA4104" w:rsidP="00335516">
      <w:pPr>
        <w:pStyle w:val="paragraph"/>
        <w:numPr>
          <w:ilvl w:val="0"/>
          <w:numId w:val="11"/>
        </w:numPr>
        <w:spacing w:before="120" w:beforeAutospacing="0" w:after="120" w:afterAutospacing="0"/>
        <w:ind w:left="714" w:hanging="357"/>
        <w:contextualSpacing/>
        <w:rPr>
          <w:rFonts w:cs="Segoe UI"/>
        </w:rPr>
      </w:pPr>
      <w:r w:rsidRPr="00324E5D">
        <w:rPr>
          <w:rFonts w:cs="Segoe UI"/>
        </w:rPr>
        <w:t xml:space="preserve">What early short-term outcomes from the CAP are we seeing in terms of </w:t>
      </w:r>
      <w:r w:rsidR="008666B6" w:rsidRPr="00324E5D">
        <w:t>‘doing things differently’</w:t>
      </w:r>
      <w:r w:rsidRPr="00324E5D">
        <w:rPr>
          <w:rFonts w:cs="Segoe UI"/>
        </w:rPr>
        <w:t xml:space="preserve">? </w:t>
      </w:r>
    </w:p>
    <w:p w14:paraId="4FD48A47" w14:textId="77777777" w:rsidR="00AA4104" w:rsidRPr="00324E5D" w:rsidRDefault="00AA4104" w:rsidP="00335516">
      <w:pPr>
        <w:pStyle w:val="paragraph"/>
        <w:numPr>
          <w:ilvl w:val="0"/>
          <w:numId w:val="11"/>
        </w:numPr>
        <w:spacing w:before="120" w:beforeAutospacing="0" w:after="120" w:afterAutospacing="0"/>
        <w:ind w:left="714" w:hanging="357"/>
        <w:contextualSpacing/>
        <w:rPr>
          <w:rFonts w:cs="Segoe UI"/>
        </w:rPr>
      </w:pPr>
      <w:r w:rsidRPr="00324E5D">
        <w:rPr>
          <w:rFonts w:cs="Segoe UI"/>
        </w:rPr>
        <w:t xml:space="preserve">What early short-term outcomes from the CAP are we seeing in terms of positive life and community outcomes? </w:t>
      </w:r>
    </w:p>
    <w:p w14:paraId="27C9B1D7" w14:textId="77777777" w:rsidR="00AA4104" w:rsidRPr="00324E5D" w:rsidRDefault="00AA4104" w:rsidP="00335516">
      <w:pPr>
        <w:pStyle w:val="paragraph"/>
        <w:numPr>
          <w:ilvl w:val="0"/>
          <w:numId w:val="11"/>
        </w:numPr>
        <w:spacing w:before="120" w:beforeAutospacing="0" w:after="120" w:afterAutospacing="0"/>
        <w:ind w:left="714" w:hanging="357"/>
        <w:contextualSpacing/>
        <w:rPr>
          <w:rFonts w:cs="Segoe UI"/>
        </w:rPr>
      </w:pPr>
      <w:r w:rsidRPr="00324E5D">
        <w:rPr>
          <w:rFonts w:cs="Segoe UI"/>
        </w:rPr>
        <w:t xml:space="preserve">What are the lessons learnt from the CAP process so far? </w:t>
      </w:r>
    </w:p>
    <w:p w14:paraId="5EB20080" w14:textId="32FA4500" w:rsidR="00AA4104" w:rsidRPr="003931DD" w:rsidRDefault="00AA4104" w:rsidP="003931DD">
      <w:pPr>
        <w:pStyle w:val="Heading2"/>
        <w:rPr>
          <w:lang w:val="en-GB"/>
        </w:rPr>
      </w:pPr>
      <w:bookmarkStart w:id="7" w:name="_Toc193116118"/>
      <w:r w:rsidRPr="05FC9035">
        <w:rPr>
          <w:lang w:val="en-GB"/>
        </w:rPr>
        <w:t>Methodology</w:t>
      </w:r>
      <w:bookmarkEnd w:id="7"/>
    </w:p>
    <w:p w14:paraId="523223DA" w14:textId="77777777" w:rsidR="00E5454A" w:rsidRDefault="00AA4104" w:rsidP="00672BFD">
      <w:pPr>
        <w:keepNext/>
      </w:pPr>
      <w:r>
        <w:t xml:space="preserve">A mix of qualitative and quantitative methods were used to collect data, </w:t>
      </w:r>
      <w:r w:rsidR="00096962">
        <w:t xml:space="preserve">assess </w:t>
      </w:r>
      <w:r>
        <w:t>outcomes and identify themes and patterns across different stakeholders and projects</w:t>
      </w:r>
      <w:r w:rsidR="00E5454A">
        <w:t xml:space="preserve"> relating to the evaluation questions including: </w:t>
      </w:r>
    </w:p>
    <w:p w14:paraId="501EA8BF" w14:textId="7767411A" w:rsidR="00E5454A" w:rsidRPr="0043282B" w:rsidRDefault="009F0A52" w:rsidP="003343AE">
      <w:pPr>
        <w:pStyle w:val="ListParagraph"/>
      </w:pPr>
      <w:r w:rsidRPr="0043282B">
        <w:t xml:space="preserve">a review of </w:t>
      </w:r>
      <w:r w:rsidR="720CC1CC" w:rsidRPr="0043282B">
        <w:t xml:space="preserve">316 </w:t>
      </w:r>
      <w:r w:rsidRPr="0043282B">
        <w:t>policy, program and implementation document</w:t>
      </w:r>
      <w:r w:rsidR="3748BE1B" w:rsidRPr="0043282B">
        <w:t>s</w:t>
      </w:r>
    </w:p>
    <w:p w14:paraId="0E2FC36B" w14:textId="2AF35AAC" w:rsidR="3EA92CB7" w:rsidRPr="0043282B" w:rsidRDefault="009F0A52" w:rsidP="003343AE">
      <w:pPr>
        <w:pStyle w:val="ListParagraph"/>
      </w:pPr>
      <w:r w:rsidRPr="0043282B">
        <w:t xml:space="preserve">interviews, focus groups and yarning circles with </w:t>
      </w:r>
      <w:r w:rsidR="00856F83" w:rsidRPr="0043282B">
        <w:t xml:space="preserve">37 </w:t>
      </w:r>
      <w:r w:rsidR="00594762">
        <w:t>Australian</w:t>
      </w:r>
      <w:r w:rsidR="00856F83" w:rsidRPr="0043282B">
        <w:t>, state and local government</w:t>
      </w:r>
      <w:r w:rsidR="078D14B6" w:rsidRPr="0043282B">
        <w:t xml:space="preserve"> representatives</w:t>
      </w:r>
      <w:r w:rsidRPr="0043282B">
        <w:t xml:space="preserve">, </w:t>
      </w:r>
      <w:r w:rsidR="003C71B6" w:rsidRPr="0043282B">
        <w:t>13</w:t>
      </w:r>
      <w:r w:rsidRPr="0043282B">
        <w:t xml:space="preserve"> service </w:t>
      </w:r>
      <w:r w:rsidR="002832B2" w:rsidRPr="0043282B">
        <w:t>providers,</w:t>
      </w:r>
      <w:r w:rsidRPr="0043282B">
        <w:t xml:space="preserve"> and </w:t>
      </w:r>
      <w:r w:rsidR="003C71B6" w:rsidRPr="0043282B">
        <w:t>14</w:t>
      </w:r>
      <w:r w:rsidRPr="0043282B">
        <w:t xml:space="preserve"> First Nations stakeholders from the </w:t>
      </w:r>
      <w:r w:rsidR="006A7632">
        <w:t>Aboriginal Leadership Group (</w:t>
      </w:r>
      <w:r w:rsidRPr="0043282B">
        <w:t>ALG</w:t>
      </w:r>
      <w:r w:rsidR="006A7632">
        <w:t>)</w:t>
      </w:r>
      <w:r w:rsidRPr="0043282B">
        <w:t xml:space="preserve"> and </w:t>
      </w:r>
      <w:r w:rsidR="006A7632">
        <w:t>Youth Roundtable (</w:t>
      </w:r>
      <w:r w:rsidRPr="0043282B">
        <w:t>YRT</w:t>
      </w:r>
      <w:r w:rsidR="006A7632">
        <w:t>)</w:t>
      </w:r>
    </w:p>
    <w:p w14:paraId="5AD9E3DC" w14:textId="0016A1CF" w:rsidR="0027356B" w:rsidRPr="005562CD" w:rsidRDefault="0027356B" w:rsidP="003343AE">
      <w:pPr>
        <w:pStyle w:val="ListParagraph"/>
      </w:pPr>
      <w:r w:rsidRPr="005562CD">
        <w:t xml:space="preserve">analysis of </w:t>
      </w:r>
      <w:r w:rsidR="00E31C0E">
        <w:t xml:space="preserve">CAP </w:t>
      </w:r>
      <w:r w:rsidRPr="007571F3">
        <w:rPr>
          <w:rStyle w:val="normaltextrun"/>
        </w:rPr>
        <w:t xml:space="preserve">funding data </w:t>
      </w:r>
      <w:r w:rsidR="00742942">
        <w:rPr>
          <w:rStyle w:val="normaltextrun"/>
        </w:rPr>
        <w:t xml:space="preserve">to </w:t>
      </w:r>
      <w:r w:rsidR="00742942" w:rsidRPr="00AC6013">
        <w:rPr>
          <w:rStyle w:val="normaltextrun"/>
        </w:rPr>
        <w:t>30 April 2025</w:t>
      </w:r>
      <w:r w:rsidR="00742942">
        <w:rPr>
          <w:rStyle w:val="normaltextrun"/>
        </w:rPr>
        <w:t xml:space="preserve"> </w:t>
      </w:r>
      <w:r w:rsidRPr="007571F3">
        <w:rPr>
          <w:rStyle w:val="normaltextrun"/>
        </w:rPr>
        <w:t xml:space="preserve">provided by NIAA </w:t>
      </w:r>
    </w:p>
    <w:p w14:paraId="23EDAC69" w14:textId="60929144" w:rsidR="01DCA408" w:rsidRPr="002D7276" w:rsidRDefault="009F0A52" w:rsidP="003343AE">
      <w:pPr>
        <w:pStyle w:val="ListParagraph"/>
        <w:rPr>
          <w:rFonts w:eastAsiaTheme="minorEastAsia" w:cs="Segoe UI"/>
          <w:lang w:val="en-GB" w:eastAsia="en-AU"/>
        </w:rPr>
      </w:pPr>
      <w:r w:rsidRPr="0043282B">
        <w:t>three case studies</w:t>
      </w:r>
      <w:r w:rsidR="00F706AC" w:rsidRPr="0043282B">
        <w:t xml:space="preserve"> using success case meth</w:t>
      </w:r>
      <w:r w:rsidR="12ADDF33" w:rsidRPr="0043282B">
        <w:t>o</w:t>
      </w:r>
      <w:r w:rsidR="00F706AC" w:rsidRPr="0043282B">
        <w:t xml:space="preserve">dology to inform </w:t>
      </w:r>
      <w:r w:rsidR="006D6A0E" w:rsidRPr="0043282B">
        <w:t>lessons learned for the program</w:t>
      </w:r>
      <w:r w:rsidR="009572EA">
        <w:t>.</w:t>
      </w:r>
    </w:p>
    <w:p w14:paraId="59CA6225" w14:textId="6861F68D" w:rsidR="00AA4104" w:rsidRPr="008E0BB8" w:rsidRDefault="00AA4104" w:rsidP="05FC9035">
      <w:pPr>
        <w:pStyle w:val="Heading3"/>
        <w:rPr>
          <w:lang w:val="en-US" w:eastAsia="en-US"/>
        </w:rPr>
      </w:pPr>
      <w:r w:rsidRPr="1A31B231">
        <w:rPr>
          <w:lang w:val="en-US"/>
        </w:rPr>
        <w:t>Limitations</w:t>
      </w:r>
    </w:p>
    <w:p w14:paraId="4423FDDB" w14:textId="59431E26" w:rsidR="00CB663B" w:rsidRPr="001F674D" w:rsidRDefault="008852FA" w:rsidP="1A31B231">
      <w:pPr>
        <w:tabs>
          <w:tab w:val="num" w:pos="720"/>
        </w:tabs>
      </w:pPr>
      <w:r>
        <w:t xml:space="preserve">There were a range of limitations to note that can assist reading and interpreting the findings contained in this report. </w:t>
      </w:r>
      <w:r w:rsidR="002E15C9">
        <w:t>These include t</w:t>
      </w:r>
      <w:r>
        <w:t>he stage of CAP implementation</w:t>
      </w:r>
      <w:r w:rsidR="002E15C9">
        <w:t>, which</w:t>
      </w:r>
      <w:r>
        <w:t xml:space="preserve"> limited the availability of outcome</w:t>
      </w:r>
      <w:r w:rsidR="002E15C9">
        <w:t xml:space="preserve"> data</w:t>
      </w:r>
      <w:r>
        <w:t xml:space="preserve"> to evaluate. Further information on limitations </w:t>
      </w:r>
      <w:r w:rsidR="00377306">
        <w:t xml:space="preserve">is </w:t>
      </w:r>
      <w:r>
        <w:t xml:space="preserve">in </w:t>
      </w:r>
      <w:r w:rsidRPr="003415BB">
        <w:t xml:space="preserve">the </w:t>
      </w:r>
      <w:hyperlink w:anchor="_Evaluation_methodology" w:history="1">
        <w:r w:rsidRPr="003415BB">
          <w:rPr>
            <w:rStyle w:val="Hyperlink"/>
            <w:color w:val="404040" w:themeColor="text1" w:themeTint="BF"/>
            <w:u w:val="none"/>
          </w:rPr>
          <w:t>Methodology</w:t>
        </w:r>
      </w:hyperlink>
      <w:r w:rsidRPr="006A7632">
        <w:rPr>
          <w:color w:val="5AA2AE" w:themeColor="accent5"/>
        </w:rPr>
        <w:t xml:space="preserve"> </w:t>
      </w:r>
      <w:r>
        <w:t>section</w:t>
      </w:r>
      <w:r w:rsidR="00823E55">
        <w:t xml:space="preserve"> of </w:t>
      </w:r>
      <w:r w:rsidR="006A7632">
        <w:t>this</w:t>
      </w:r>
      <w:r w:rsidR="00823E55">
        <w:t xml:space="preserve"> report</w:t>
      </w:r>
      <w:r>
        <w:t>.  </w:t>
      </w:r>
      <w:bookmarkStart w:id="8" w:name="_Toc179373816"/>
      <w:bookmarkStart w:id="9" w:name="_Toc179375330"/>
      <w:bookmarkStart w:id="10" w:name="_Toc179375595"/>
      <w:bookmarkStart w:id="11" w:name="_Toc179375870"/>
    </w:p>
    <w:p w14:paraId="3F4F0DDD" w14:textId="5DBC77C0" w:rsidR="00B64DE4" w:rsidRDefault="00B64DE4" w:rsidP="0C500EAC">
      <w:pPr>
        <w:pStyle w:val="Heading2"/>
      </w:pPr>
      <w:r>
        <w:t xml:space="preserve">Key </w:t>
      </w:r>
      <w:r w:rsidR="00672BFD">
        <w:t>f</w:t>
      </w:r>
      <w:r>
        <w:t>indings</w:t>
      </w:r>
      <w:bookmarkEnd w:id="8"/>
      <w:bookmarkEnd w:id="9"/>
      <w:bookmarkEnd w:id="10"/>
      <w:bookmarkEnd w:id="11"/>
    </w:p>
    <w:p w14:paraId="0315DB5E" w14:textId="3F91E0AA" w:rsidR="005C158F" w:rsidRDefault="00696FF5" w:rsidP="00672BFD">
      <w:r>
        <w:t>Overall,</w:t>
      </w:r>
      <w:r w:rsidR="005C158F">
        <w:t xml:space="preserve"> the CAP is being implemented in line with its intent in terms of addressing the six priority streams in a way that “does things differently”. Fig 1 provides a snapshot of the funds announced, allocated, committed and spent since the commencement of the CAP.</w:t>
      </w:r>
    </w:p>
    <w:p w14:paraId="312060E6" w14:textId="3F89B6DC" w:rsidR="00335516" w:rsidRDefault="00335516" w:rsidP="00672BFD">
      <w:r>
        <w:t>The key findings by evaluation question are summarised below.</w:t>
      </w:r>
    </w:p>
    <w:p w14:paraId="3EBCE1A1" w14:textId="77777777" w:rsidR="00335516" w:rsidRDefault="00335516" w:rsidP="00672BFD"/>
    <w:p w14:paraId="395060A0" w14:textId="77777777" w:rsidR="009407F4" w:rsidRDefault="009407F4">
      <w:pPr>
        <w:keepLines w:val="0"/>
        <w:widowControl/>
        <w:spacing w:before="0" w:after="0"/>
        <w:rPr>
          <w:rFonts w:eastAsiaTheme="minorHAnsi" w:cs="Segoe UI"/>
          <w:bCs/>
          <w:color w:val="008080"/>
        </w:rPr>
      </w:pPr>
      <w:r>
        <w:br w:type="page"/>
      </w:r>
    </w:p>
    <w:p w14:paraId="31DA0880" w14:textId="48CB462F" w:rsidR="005C158F" w:rsidRDefault="005C158F" w:rsidP="005C158F">
      <w:pPr>
        <w:pStyle w:val="Heading6"/>
      </w:pPr>
      <w:r>
        <w:lastRenderedPageBreak/>
        <w:t xml:space="preserve">Figure 1: </w:t>
      </w:r>
      <w:r w:rsidR="00335516">
        <w:t>CAP funding announced, allocated, committed and spent.</w:t>
      </w:r>
    </w:p>
    <w:p w14:paraId="3C490454" w14:textId="62E62303" w:rsidR="005C158F" w:rsidRPr="00672BFD" w:rsidRDefault="005C158F" w:rsidP="00672BFD">
      <w:r>
        <w:rPr>
          <w:noProof/>
        </w:rPr>
        <w:drawing>
          <wp:inline distT="0" distB="0" distL="0" distR="0" wp14:anchorId="73D2E222" wp14:editId="403B088A">
            <wp:extent cx="6184900" cy="698500"/>
            <wp:effectExtent l="0" t="0" r="0" b="4445"/>
            <wp:docPr id="1055559446" name="Picture 1" descr="$250 million of funding has been announced, $250 million (100%) of funding has been allocated, $156 million (62.4%) of funding has been committed, and $85 million (34%) of funding has been sp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17115" name="Picture 1" descr="$250 million of funding has been announced, $250 million (100%) of funding has been allocated, $156 million (62.4%) of funding has been committed, and $85 million (34%) of funding has been sp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4900" cy="698500"/>
                    </a:xfrm>
                    <a:prstGeom prst="rect">
                      <a:avLst/>
                    </a:prstGeom>
                  </pic:spPr>
                </pic:pic>
              </a:graphicData>
            </a:graphic>
          </wp:inline>
        </w:drawing>
      </w:r>
    </w:p>
    <w:p w14:paraId="1FBB2442" w14:textId="77777777" w:rsidR="00672BFD" w:rsidRDefault="00672BFD" w:rsidP="00672BFD">
      <w:pPr>
        <w:pStyle w:val="Heading3"/>
      </w:pPr>
      <w:r w:rsidRPr="00324E5D">
        <w:t>What is the current state of CAP implementation?</w:t>
      </w:r>
    </w:p>
    <w:p w14:paraId="5736FF21" w14:textId="77777777" w:rsidR="00672BFD" w:rsidRPr="00E25EF3" w:rsidRDefault="00672BFD" w:rsidP="00672BFD">
      <w:r w:rsidRPr="00E25EF3">
        <w:t xml:space="preserve">In February 2023, six priority streams were identified and informed by advice of the OCARC. $242.7 million funding has been allocated to these streams. Of the funding allocated, $156 million has been committed through financial arrangements with providers to specific projects while $94 million is yet be committed to specific projects in the areas of: Tranche 3 funding for Community and Regional Infrastructure Projects, Justice Reinvestment, Regional Connectivity, Remote Training Hubs Network, the DSS Strengthening Family and Community Partnerships program of work, and Supporting Youth and Leadership in Central Australia programs.  </w:t>
      </w:r>
    </w:p>
    <w:p w14:paraId="73E66B4E" w14:textId="77777777" w:rsidR="00672BFD" w:rsidRPr="00E25EF3" w:rsidRDefault="00672BFD" w:rsidP="00672BFD">
      <w:r w:rsidRPr="00E25EF3">
        <w:t>Funding allocated through the CAP was broadly welcomed as an important investment, however funding was not always strategically implemented or addressed for feasibility. This raised concerns about the effective impact of funding, project sustainability, and its ability to address root causes and immediate needs in Central Australia.</w:t>
      </w:r>
    </w:p>
    <w:p w14:paraId="37C677F0" w14:textId="48312C6A" w:rsidR="00672BFD" w:rsidRPr="00672BFD" w:rsidRDefault="00672BFD" w:rsidP="00672BFD">
      <w:r w:rsidRPr="00E25EF3">
        <w:t xml:space="preserve">Responsibility for the CAP is shared, with strategic oversight and funding decisions led by the Australian Government, with input from the </w:t>
      </w:r>
      <w:r w:rsidR="006A7632">
        <w:t>Northern Territory Government (</w:t>
      </w:r>
      <w:r w:rsidRPr="00E25EF3">
        <w:t>NTG</w:t>
      </w:r>
      <w:r w:rsidR="006A7632">
        <w:t>)</w:t>
      </w:r>
      <w:r w:rsidRPr="00E25EF3">
        <w:t>, the ALG, and the YRT; and program delivery and service implementation led by government agencies and community organisations.</w:t>
      </w:r>
    </w:p>
    <w:p w14:paraId="696ACCF1" w14:textId="77777777" w:rsidR="00672BFD" w:rsidRDefault="00672BFD" w:rsidP="00672BFD">
      <w:pPr>
        <w:pStyle w:val="Heading3"/>
      </w:pPr>
      <w:r w:rsidRPr="00324E5D">
        <w:t xml:space="preserve">How has the CAP been implemented differently? </w:t>
      </w:r>
    </w:p>
    <w:p w14:paraId="0DD236FB" w14:textId="288E759C" w:rsidR="00672BFD" w:rsidRDefault="00672BFD" w:rsidP="00672BFD">
      <w:r w:rsidRPr="00E25EF3">
        <w:t xml:space="preserve">The CAP included some important elements where implementation differed from ‘business as usual’. Embedding community consultation, a dedicated, ongoing </w:t>
      </w:r>
      <w:r w:rsidR="00206027">
        <w:t>Australian Government</w:t>
      </w:r>
      <w:r w:rsidR="006A7632">
        <w:t xml:space="preserve"> Inter-Departmental Committee (</w:t>
      </w:r>
      <w:r w:rsidRPr="00E25EF3">
        <w:t>IDC</w:t>
      </w:r>
      <w:r w:rsidR="006A7632">
        <w:t>)</w:t>
      </w:r>
      <w:r w:rsidRPr="00E25EF3">
        <w:t xml:space="preserve"> response and establishing the ALG and YRT for advice supported better ways of working with First Nations communities.</w:t>
      </w:r>
      <w:r>
        <w:t xml:space="preserve"> </w:t>
      </w:r>
    </w:p>
    <w:p w14:paraId="5493E7FD" w14:textId="77777777" w:rsidR="00672BFD" w:rsidRPr="00672BFD" w:rsidRDefault="00672BFD" w:rsidP="00672BFD">
      <w:r w:rsidRPr="7F06B38F">
        <w:t xml:space="preserve">The full $250 million of CAP funding has been allocated to the six priority streams or for CAP governance. </w:t>
      </w:r>
      <w:r w:rsidRPr="00672BFD">
        <w:t>At the time of the evaluation, initiatives based in Alice Springs were allocated $69 million (29% project-related funding) while initiatives based in remote communities outside of Alice Springs were allocated $96 million (41% project-related funding). It should be noted that initiatives and organisations based in Alice Springs have received further funding from other sources outside of the CAP, however these funds were outside the scope of this evaluation.</w:t>
      </w:r>
    </w:p>
    <w:p w14:paraId="4937C693" w14:textId="77777777" w:rsidR="00672BFD" w:rsidRPr="00672BFD" w:rsidRDefault="00672BFD" w:rsidP="00672BFD">
      <w:r w:rsidRPr="00672BFD">
        <w:t>Government stakeholders have shown commitment to more respectful and collaborative approaches involving Aboriginal leadership in policy and planning through the ALG and the YRT, which is seen as essential for building trust and improving long-term outcomes.</w:t>
      </w:r>
    </w:p>
    <w:p w14:paraId="7BC9E44B" w14:textId="77777777" w:rsidR="00672BFD" w:rsidRDefault="00672BFD" w:rsidP="00672BFD">
      <w:r w:rsidRPr="00672BFD">
        <w:t>Seen as a key strength of the CAP, the ALG has played a direct role in shaping funding decisions and ensuring discussions remain grounded in community realities as a meaningful mechanism for Aboriginal community influence in government decision-making and accountability. The rapid roll-out of the CAP, with the package being announced in February 2023 and a significant portion of funding being allocated by May 2023 ($155.7 million), means that some of the funding already had to be directed to specific projects before the ALG was formed and could meet for the first time in June 2023. Despite this, most of CAP funding ($159 million) has been directed based on the ALG’s advice.</w:t>
      </w:r>
      <w:r>
        <w:t xml:space="preserve"> </w:t>
      </w:r>
    </w:p>
    <w:p w14:paraId="0396C63F" w14:textId="679F971A" w:rsidR="00672BFD" w:rsidRPr="00672BFD" w:rsidRDefault="00672BFD" w:rsidP="00672BFD">
      <w:r w:rsidRPr="00E25EF3">
        <w:t>The intent to “do things differently” is not well defined in either the CAP’s design or implementation. While broadly aligned with the National Agreement commitments to work in partnership with First Nations communities, clearer use of established National Agreement terminology and policy could strengthen consistency and coherence.</w:t>
      </w:r>
    </w:p>
    <w:p w14:paraId="41453901" w14:textId="77777777" w:rsidR="00672BFD" w:rsidRDefault="00672BFD" w:rsidP="00672BFD">
      <w:pPr>
        <w:pStyle w:val="Heading3"/>
      </w:pPr>
      <w:r w:rsidRPr="00324E5D">
        <w:t xml:space="preserve">What early short-term outcomes from the CAP are we seeing in terms of ‘doing things differently’? </w:t>
      </w:r>
    </w:p>
    <w:p w14:paraId="48D677BC" w14:textId="77777777" w:rsidR="00672BFD" w:rsidRPr="00050BBF" w:rsidRDefault="00672BFD" w:rsidP="00672BFD">
      <w:r>
        <w:t>E</w:t>
      </w:r>
      <w:r w:rsidRPr="00050BBF">
        <w:t xml:space="preserve">arly short-term outcomes </w:t>
      </w:r>
      <w:r>
        <w:t xml:space="preserve">are </w:t>
      </w:r>
      <w:r w:rsidRPr="00050BBF">
        <w:t>being seen</w:t>
      </w:r>
      <w:r>
        <w:t xml:space="preserve"> in i</w:t>
      </w:r>
      <w:r w:rsidRPr="00050BBF">
        <w:t>mproved collaboration and communication between Australian Government departments, through mechanisms like the IDC and Community of Practice.</w:t>
      </w:r>
    </w:p>
    <w:p w14:paraId="66BC42A2" w14:textId="77777777" w:rsidR="00672BFD" w:rsidRPr="00050BBF" w:rsidRDefault="00672BFD" w:rsidP="00672BFD">
      <w:r>
        <w:lastRenderedPageBreak/>
        <w:t xml:space="preserve">There is also evidence of </w:t>
      </w:r>
      <w:r w:rsidRPr="00050BBF">
        <w:t xml:space="preserve">alignment with the National Agreement Priority Reforms, particularly in Priority Reform 3 and Priority Reform 4. Existing work already under the CAP could be strengthened to further align implementation with National Agreement Priority Reform 1, in the following ways: </w:t>
      </w:r>
    </w:p>
    <w:p w14:paraId="5F552ACC" w14:textId="77777777" w:rsidR="00672BFD" w:rsidRPr="00050BBF" w:rsidRDefault="00672BFD" w:rsidP="004C6984">
      <w:pPr>
        <w:pStyle w:val="ListParagraph"/>
        <w:numPr>
          <w:ilvl w:val="0"/>
          <w:numId w:val="26"/>
        </w:numPr>
      </w:pPr>
      <w:r w:rsidRPr="00050BBF">
        <w:t>bolstering ALG and YRT mechanisms which have improved community agency and support greater First Nations community leadership and influence in decision-making</w:t>
      </w:r>
    </w:p>
    <w:p w14:paraId="6157CE2A" w14:textId="77777777" w:rsidR="00672BFD" w:rsidRPr="00050BBF" w:rsidRDefault="00672BFD" w:rsidP="004C6984">
      <w:pPr>
        <w:pStyle w:val="ListParagraph"/>
        <w:numPr>
          <w:ilvl w:val="0"/>
          <w:numId w:val="26"/>
        </w:numPr>
      </w:pPr>
      <w:r w:rsidRPr="00050BBF">
        <w:t>supporting CAP funded Aboriginal Community Controlled Organisations (ACCOs) and Traditional Owner service provider programs to continue to activate First Nations leadership at the service provider level.</w:t>
      </w:r>
    </w:p>
    <w:p w14:paraId="008D1D58" w14:textId="77777777" w:rsidR="00672BFD" w:rsidRPr="007C507E" w:rsidRDefault="00672BFD" w:rsidP="00672BFD">
      <w:r w:rsidRPr="007C507E">
        <w:t>As ultimate decision-making power largely rests with governments, greater structural shifts and shared decision-making authority are required to work in true partnership.</w:t>
      </w:r>
    </w:p>
    <w:p w14:paraId="570B6085" w14:textId="65B957DB" w:rsidR="00672BFD" w:rsidRPr="00672BFD" w:rsidRDefault="00672BFD" w:rsidP="00672BFD">
      <w:r w:rsidRPr="007C507E">
        <w:t>The relationship between the Australian Government and the NTG in funding First Nations programs is complex and</w:t>
      </w:r>
      <w:r>
        <w:t xml:space="preserve"> in the context of the CAP, is</w:t>
      </w:r>
      <w:r w:rsidRPr="007C507E">
        <w:t xml:space="preserve"> marked by unclear roles and responsibilities. While the Australian Government provides substantial investments into the NT for First Nations initiatives, this can also come with a level of overlap and encroachment into place-based responses that reflect community needs. Any shifts in Australian Government priorities can also disrupt continuity and stability for service delivery in the NT. Additionally, the recent policy and legislative shifts in the NT, including a move towards more punitive law-and-order responses, risk undermining gains made under the CAP that focused on supporting community-led initiatives aimed at better outcomes for young people and overall community wellbeing.</w:t>
      </w:r>
    </w:p>
    <w:p w14:paraId="17A8B415" w14:textId="77777777" w:rsidR="00672BFD" w:rsidRDefault="00672BFD" w:rsidP="00672BFD">
      <w:pPr>
        <w:pStyle w:val="Heading3"/>
      </w:pPr>
      <w:r w:rsidRPr="00324E5D">
        <w:t xml:space="preserve">What early short-term outcomes from the CAP are we seeing in terms of positive life and community outcomes? </w:t>
      </w:r>
    </w:p>
    <w:p w14:paraId="6DED5103" w14:textId="5284DE3B" w:rsidR="00672BFD" w:rsidRPr="009556F1" w:rsidRDefault="003E592C" w:rsidP="00672BFD">
      <w:pPr>
        <w:rPr>
          <w:rFonts w:eastAsia="Helvetica" w:cs="Helvetica"/>
        </w:rPr>
      </w:pPr>
      <w:r w:rsidRPr="00E25EF3">
        <w:t>Several</w:t>
      </w:r>
      <w:r w:rsidR="00672BFD" w:rsidRPr="00E25EF3">
        <w:t xml:space="preserve"> </w:t>
      </w:r>
      <w:r w:rsidR="00672BFD" w:rsidRPr="009556F1">
        <w:rPr>
          <w:rFonts w:eastAsia="Helvetica" w:cs="Helvetica"/>
        </w:rPr>
        <w:t xml:space="preserve">early signs of positive life and community outcomes have been identified </w:t>
      </w:r>
      <w:r w:rsidRPr="009556F1">
        <w:rPr>
          <w:rFonts w:eastAsia="Helvetica" w:cs="Helvetica"/>
        </w:rPr>
        <w:t>because of</w:t>
      </w:r>
      <w:r w:rsidR="00672BFD" w:rsidRPr="009556F1">
        <w:rPr>
          <w:rFonts w:eastAsia="Helvetica" w:cs="Helvetica"/>
        </w:rPr>
        <w:t xml:space="preserve"> the CAP:</w:t>
      </w:r>
    </w:p>
    <w:p w14:paraId="4449D8A6" w14:textId="77777777" w:rsidR="00672BFD" w:rsidRDefault="00672BFD" w:rsidP="004C6984">
      <w:pPr>
        <w:numPr>
          <w:ilvl w:val="0"/>
          <w:numId w:val="20"/>
        </w:numPr>
        <w:ind w:left="425" w:hanging="357"/>
        <w:contextualSpacing/>
      </w:pPr>
      <w:r w:rsidRPr="009556F1">
        <w:t>Early improvements in remote school attendance and employment, including: an increase in students in Vocational Education and Training, 210 new staff employed, 42.7% of staff identifying as First Nations, and a reduction in student absenteeism in remote schools.</w:t>
      </w:r>
    </w:p>
    <w:p w14:paraId="60093C2F" w14:textId="77777777" w:rsidR="00672BFD" w:rsidRDefault="00672BFD" w:rsidP="004C6984">
      <w:pPr>
        <w:numPr>
          <w:ilvl w:val="0"/>
          <w:numId w:val="20"/>
        </w:numPr>
        <w:ind w:left="425" w:hanging="357"/>
        <w:contextualSpacing/>
      </w:pPr>
      <w:r w:rsidRPr="009556F1">
        <w:t xml:space="preserve">Early outcomes for youth through; establishing the </w:t>
      </w:r>
      <w:proofErr w:type="spellStart"/>
      <w:r w:rsidRPr="009556F1">
        <w:t>Oonchiumpa</w:t>
      </w:r>
      <w:proofErr w:type="spellEnd"/>
      <w:r w:rsidRPr="009556F1">
        <w:t xml:space="preserve"> program, which is successfully diverting youth; and youth programs and school holiday activities with more than 24,600 attendances (nearly 16,000 remote community attendances) across 1,461 activities over the 2024-25 holidays.</w:t>
      </w:r>
    </w:p>
    <w:p w14:paraId="5D56B5C8" w14:textId="77777777" w:rsidR="00672BFD" w:rsidRDefault="00672BFD" w:rsidP="004C6984">
      <w:pPr>
        <w:numPr>
          <w:ilvl w:val="0"/>
          <w:numId w:val="20"/>
        </w:numPr>
        <w:ind w:left="425" w:hanging="357"/>
        <w:contextualSpacing/>
      </w:pPr>
      <w:r w:rsidRPr="009556F1">
        <w:t>Supporting service providers with funding to increase organisational capacity, improve program quality, and expand their reach.</w:t>
      </w:r>
    </w:p>
    <w:p w14:paraId="6288AA46" w14:textId="6153E865" w:rsidR="00672BFD" w:rsidRDefault="00672BFD" w:rsidP="004C6984">
      <w:pPr>
        <w:numPr>
          <w:ilvl w:val="0"/>
          <w:numId w:val="20"/>
        </w:numPr>
        <w:ind w:left="425" w:hanging="357"/>
        <w:contextualSpacing/>
      </w:pPr>
      <w:r w:rsidRPr="009556F1">
        <w:t xml:space="preserve">Improved community safety outcomes, </w:t>
      </w:r>
      <w:r w:rsidR="00696FF5" w:rsidRPr="009556F1">
        <w:t>including</w:t>
      </w:r>
      <w:r w:rsidRPr="009556F1">
        <w:t xml:space="preserve"> strengthened DFV support, Alcohol and Other Drug services, justice reinvestment, youth engagement activities, and emergency accommodation.</w:t>
      </w:r>
    </w:p>
    <w:p w14:paraId="2FF9197F" w14:textId="77777777" w:rsidR="00672BFD" w:rsidRPr="009556F1" w:rsidRDefault="00672BFD" w:rsidP="004C6984">
      <w:pPr>
        <w:numPr>
          <w:ilvl w:val="0"/>
          <w:numId w:val="20"/>
        </w:numPr>
        <w:ind w:left="425" w:hanging="357"/>
      </w:pPr>
      <w:r w:rsidRPr="009556F1">
        <w:t xml:space="preserve">Progress being made on projects that increase digital inclusion.  </w:t>
      </w:r>
    </w:p>
    <w:p w14:paraId="51657153" w14:textId="1840227A" w:rsidR="00672BFD" w:rsidRPr="00672BFD" w:rsidRDefault="00672BFD" w:rsidP="00672BFD">
      <w:pPr>
        <w:rPr>
          <w:rFonts w:eastAsia="Helvetica" w:cs="Helvetica"/>
        </w:rPr>
      </w:pPr>
      <w:r w:rsidRPr="009556F1">
        <w:rPr>
          <w:rFonts w:eastAsia="Helvetica" w:cs="Helvetica"/>
        </w:rPr>
        <w:t>While the above early signs of positive outcomes are encouraging, some non-government stakeholders have expressed concern for the sustainability of outcomes with time limited CAP funding.</w:t>
      </w:r>
      <w:r>
        <w:rPr>
          <w:rFonts w:eastAsia="Helvetica" w:cs="Helvetica"/>
        </w:rPr>
        <w:t xml:space="preserve"> Further, </w:t>
      </w:r>
      <w:r>
        <w:t>t</w:t>
      </w:r>
      <w:r w:rsidRPr="00E25EF3">
        <w:t xml:space="preserve">he impact of the investments </w:t>
      </w:r>
      <w:r>
        <w:t xml:space="preserve">will </w:t>
      </w:r>
      <w:r w:rsidRPr="00E25EF3">
        <w:t>require assessment as more activities are implemented.</w:t>
      </w:r>
    </w:p>
    <w:p w14:paraId="3E113F81" w14:textId="77777777" w:rsidR="00672BFD" w:rsidRPr="00324E5D" w:rsidRDefault="00672BFD" w:rsidP="00672BFD">
      <w:pPr>
        <w:pStyle w:val="Heading3"/>
      </w:pPr>
      <w:r w:rsidRPr="00324E5D">
        <w:t xml:space="preserve">What are the lessons learnt from the CAP process so far? </w:t>
      </w:r>
    </w:p>
    <w:p w14:paraId="16D7E993" w14:textId="77777777" w:rsidR="00672BFD" w:rsidRPr="009556F1" w:rsidRDefault="00672BFD" w:rsidP="00672BFD">
      <w:r w:rsidRPr="009556F1">
        <w:t>Key strengths supporting the CAP include the establishment of strong governance mechanisms, the active leadership and involvement of community members, and the willingness of government stakeholders to adopt a flexible, relational approach. These elements have created a strong foundation for collaborative and responsive implementation, with buy in from key First Nations community organisations and service providers.</w:t>
      </w:r>
      <w:r>
        <w:t xml:space="preserve"> The ALG and YRT are important mechanisms for s</w:t>
      </w:r>
      <w:r w:rsidRPr="00E25EF3">
        <w:t xml:space="preserve">trengthening community voice in policy development </w:t>
      </w:r>
      <w:r>
        <w:t>and will be</w:t>
      </w:r>
      <w:r w:rsidRPr="00E25EF3">
        <w:t xml:space="preserve"> critical to sustaining First Nations-led and locally responsive delivery.</w:t>
      </w:r>
    </w:p>
    <w:p w14:paraId="74287322" w14:textId="77777777" w:rsidR="00672BFD" w:rsidRPr="009556F1" w:rsidRDefault="00672BFD" w:rsidP="00672BFD">
      <w:r w:rsidRPr="009556F1">
        <w:t>Experienced public servants with strong networks across government agencies made a significant contribution to implementing the CAP. This approach also introduced risks by relying on personal relationships rather than consistent, formal processes.</w:t>
      </w:r>
    </w:p>
    <w:p w14:paraId="4ED5D98A" w14:textId="77777777" w:rsidR="00672BFD" w:rsidRDefault="00672BFD" w:rsidP="00672BFD">
      <w:r w:rsidRPr="00E25EF3">
        <w:t xml:space="preserve">Key improvements that are required to improve the likelihood that CAP can reach its full potential moving forward are: </w:t>
      </w:r>
    </w:p>
    <w:p w14:paraId="7D076EA7" w14:textId="77777777" w:rsidR="00672BFD" w:rsidRDefault="00672BFD" w:rsidP="004C6984">
      <w:pPr>
        <w:pStyle w:val="ListParagraph"/>
        <w:numPr>
          <w:ilvl w:val="0"/>
          <w:numId w:val="27"/>
        </w:numPr>
      </w:pPr>
      <w:r w:rsidRPr="009556F1">
        <w:t>systematic data capture and reporting on CAP funding, outputs and outcomes that align to the National Agreement framework</w:t>
      </w:r>
    </w:p>
    <w:p w14:paraId="212CEF9C" w14:textId="1ECF0024" w:rsidR="00672BFD" w:rsidRDefault="00672BFD" w:rsidP="004C6984">
      <w:pPr>
        <w:pStyle w:val="ListParagraph"/>
        <w:numPr>
          <w:ilvl w:val="0"/>
          <w:numId w:val="27"/>
        </w:numPr>
      </w:pPr>
      <w:r w:rsidRPr="009556F1">
        <w:t xml:space="preserve">clarification of the role of the NTG </w:t>
      </w:r>
      <w:r w:rsidR="002522A8">
        <w:t xml:space="preserve">within </w:t>
      </w:r>
      <w:r w:rsidRPr="009556F1">
        <w:t>the CAP</w:t>
      </w:r>
    </w:p>
    <w:p w14:paraId="53F0FF93" w14:textId="77777777" w:rsidR="00672BFD" w:rsidRPr="007D5566" w:rsidRDefault="00672BFD" w:rsidP="004C6984">
      <w:pPr>
        <w:pStyle w:val="ListParagraph"/>
        <w:numPr>
          <w:ilvl w:val="0"/>
          <w:numId w:val="27"/>
        </w:numPr>
      </w:pPr>
      <w:r>
        <w:t xml:space="preserve">use </w:t>
      </w:r>
      <w:r w:rsidRPr="009556F1">
        <w:t>of criteria</w:t>
      </w:r>
      <w:r>
        <w:t xml:space="preserve"> and policy domain expertise by the ALG</w:t>
      </w:r>
      <w:r w:rsidRPr="009556F1">
        <w:t xml:space="preserve"> for advising on the</w:t>
      </w:r>
      <w:r>
        <w:t xml:space="preserve"> allocation of the</w:t>
      </w:r>
      <w:r w:rsidRPr="009556F1">
        <w:t xml:space="preserve"> remaining funds</w:t>
      </w:r>
      <w:r w:rsidRPr="007D5566">
        <w:t>.</w:t>
      </w:r>
    </w:p>
    <w:p w14:paraId="7DA0087B" w14:textId="797A2BD3" w:rsidR="00672BFD" w:rsidRDefault="00672BFD" w:rsidP="00672BFD">
      <w:pPr>
        <w:pStyle w:val="Heading2"/>
      </w:pPr>
      <w:r>
        <w:lastRenderedPageBreak/>
        <w:t>Conclusions &amp; recommendations</w:t>
      </w:r>
    </w:p>
    <w:p w14:paraId="20C799E9" w14:textId="273B16A4" w:rsidR="00885A51" w:rsidRPr="0029233F" w:rsidRDefault="00885A51" w:rsidP="00885A51">
      <w:pPr>
        <w:pStyle w:val="Heading4"/>
        <w:rPr>
          <w:i w:val="0"/>
          <w:iCs/>
          <w:color w:val="404040" w:themeColor="text1" w:themeTint="BF"/>
        </w:rPr>
      </w:pPr>
      <w:r w:rsidRPr="0029233F">
        <w:rPr>
          <w:i w:val="0"/>
          <w:color w:val="404040" w:themeColor="text1" w:themeTint="BF"/>
        </w:rPr>
        <w:t xml:space="preserve">The evaluation findings evidence that governments and First Nations communities can work together effectively in ways that are different to conventional practices of the past, </w:t>
      </w:r>
      <w:r w:rsidR="003E592C" w:rsidRPr="0029233F">
        <w:rPr>
          <w:i w:val="0"/>
          <w:color w:val="404040" w:themeColor="text1" w:themeTint="BF"/>
        </w:rPr>
        <w:t>to</w:t>
      </w:r>
      <w:r w:rsidRPr="0029233F">
        <w:rPr>
          <w:i w:val="0"/>
          <w:color w:val="404040" w:themeColor="text1" w:themeTint="BF"/>
        </w:rPr>
        <w:t xml:space="preserve"> address complex and longstanding challenges. The CAP demonstrates the importance of partners committing to “doing things differently” while bringing this commitment to life in its design and implementation. The inclusion of a diversity of First Nations voices, including the voice of young people, through a range of governance structures within the CAP is one of its core strengths. The cross-government collaboration – particularly within the </w:t>
      </w:r>
      <w:r w:rsidR="00206027">
        <w:rPr>
          <w:i w:val="0"/>
          <w:color w:val="404040" w:themeColor="text1" w:themeTint="BF"/>
        </w:rPr>
        <w:t>Australian Government</w:t>
      </w:r>
      <w:r w:rsidRPr="0029233F">
        <w:rPr>
          <w:i w:val="0"/>
          <w:color w:val="404040" w:themeColor="text1" w:themeTint="BF"/>
        </w:rPr>
        <w:t xml:space="preserve"> and with local government</w:t>
      </w:r>
      <w:r w:rsidR="00206027">
        <w:rPr>
          <w:i w:val="0"/>
          <w:color w:val="404040" w:themeColor="text1" w:themeTint="BF"/>
        </w:rPr>
        <w:t>s</w:t>
      </w:r>
      <w:r w:rsidRPr="0029233F">
        <w:rPr>
          <w:i w:val="0"/>
          <w:color w:val="404040" w:themeColor="text1" w:themeTint="BF"/>
        </w:rPr>
        <w:t xml:space="preserve"> – is another strength.</w:t>
      </w:r>
    </w:p>
    <w:p w14:paraId="2468397E" w14:textId="77777777" w:rsidR="00885A51" w:rsidRPr="0029233F" w:rsidRDefault="00885A51" w:rsidP="00885A51">
      <w:r w:rsidRPr="0029233F">
        <w:t>These governance structures have laid important groundwork for more and deepened collaboration with governments as well as the direction of funding to the priorities, locations and initiatives that represent the greatest need as articulated by communities. In turn, this has led to early evidence of improvements in outcomes in the areas within the focus of the CAP.</w:t>
      </w:r>
    </w:p>
    <w:p w14:paraId="4D7252F1" w14:textId="77777777" w:rsidR="00885A51" w:rsidRPr="0029233F" w:rsidRDefault="00885A51" w:rsidP="00885A51">
      <w:r w:rsidRPr="0029233F">
        <w:t>As the CAP moves from design into full implementation, the evaluation findings illustrate the need for the CAP to build on its strengths, address implementation gaps, ensure policy alignment, and engage with the Central Australia community while embedding the role of, and accountability related to, the NTG.</w:t>
      </w:r>
    </w:p>
    <w:p w14:paraId="35E4BBEC" w14:textId="337DC196" w:rsidR="00885A51" w:rsidRPr="0029233F" w:rsidRDefault="00335516" w:rsidP="00885A51">
      <w:r>
        <w:t>The seven recommendations that respond to these broad themes are</w:t>
      </w:r>
      <w:r w:rsidR="00885A51">
        <w:t>:</w:t>
      </w:r>
    </w:p>
    <w:p w14:paraId="230A1471" w14:textId="77777777" w:rsidR="00885A51" w:rsidRPr="00885A51" w:rsidRDefault="00885A51" w:rsidP="00885A51">
      <w:pPr>
        <w:pStyle w:val="Heading3"/>
        <w:rPr>
          <w:b w:val="0"/>
          <w:bCs/>
        </w:rPr>
      </w:pPr>
      <w:r w:rsidRPr="00885A51">
        <w:rPr>
          <w:b w:val="0"/>
          <w:bCs/>
        </w:rPr>
        <w:t>Build on the CAPs strengths</w:t>
      </w:r>
    </w:p>
    <w:p w14:paraId="54BF065F" w14:textId="77777777" w:rsidR="00885A51" w:rsidRPr="00885A51" w:rsidRDefault="00885A51" w:rsidP="004C6984">
      <w:pPr>
        <w:pStyle w:val="ListParagraph"/>
        <w:numPr>
          <w:ilvl w:val="0"/>
          <w:numId w:val="35"/>
        </w:numPr>
      </w:pPr>
      <w:r w:rsidRPr="00885A51">
        <w:t>Recommendation 1: Develop and implement a comprehensive set of guidelines for “doing things differently”.</w:t>
      </w:r>
    </w:p>
    <w:p w14:paraId="3CC42768" w14:textId="77777777" w:rsidR="00885A51" w:rsidRPr="00885A51" w:rsidRDefault="00885A51" w:rsidP="004C6984">
      <w:pPr>
        <w:pStyle w:val="ListParagraph"/>
        <w:numPr>
          <w:ilvl w:val="0"/>
          <w:numId w:val="35"/>
        </w:numPr>
      </w:pPr>
      <w:r w:rsidRPr="00885A51">
        <w:t>Recommendation 2: Continue and strengthen the current CAP governance mechanisms.</w:t>
      </w:r>
    </w:p>
    <w:p w14:paraId="101EB55F" w14:textId="77777777" w:rsidR="00885A51" w:rsidRPr="00885A51" w:rsidRDefault="00885A51" w:rsidP="004C6984">
      <w:pPr>
        <w:pStyle w:val="ListParagraph"/>
        <w:numPr>
          <w:ilvl w:val="0"/>
          <w:numId w:val="35"/>
        </w:numPr>
      </w:pPr>
      <w:r w:rsidRPr="00885A51">
        <w:t>Recommendation 3: Continue and strengthen the community of practice for government agencies.</w:t>
      </w:r>
    </w:p>
    <w:p w14:paraId="5599A465" w14:textId="77777777" w:rsidR="00885A51" w:rsidRPr="00885A51" w:rsidRDefault="00885A51" w:rsidP="00885A51">
      <w:pPr>
        <w:pStyle w:val="Heading3"/>
        <w:rPr>
          <w:b w:val="0"/>
          <w:bCs/>
        </w:rPr>
      </w:pPr>
      <w:r w:rsidRPr="00885A51">
        <w:rPr>
          <w:b w:val="0"/>
          <w:bCs/>
        </w:rPr>
        <w:t>Address gaps in CAP priority implementation</w:t>
      </w:r>
    </w:p>
    <w:p w14:paraId="0244A165" w14:textId="77777777" w:rsidR="00885A51" w:rsidRPr="00885A51" w:rsidRDefault="00885A51" w:rsidP="004C6984">
      <w:pPr>
        <w:pStyle w:val="ListParagraph"/>
        <w:numPr>
          <w:ilvl w:val="0"/>
          <w:numId w:val="36"/>
        </w:numPr>
      </w:pPr>
      <w:r w:rsidRPr="00885A51">
        <w:t>Recommendation 4: Accelerate and strengthen the investments in community safety initiatives.</w:t>
      </w:r>
    </w:p>
    <w:p w14:paraId="325CB688" w14:textId="77777777" w:rsidR="00885A51" w:rsidRPr="00885A51" w:rsidRDefault="00885A51" w:rsidP="00885A51">
      <w:pPr>
        <w:pStyle w:val="Heading3"/>
        <w:rPr>
          <w:b w:val="0"/>
          <w:bCs/>
        </w:rPr>
      </w:pPr>
      <w:r w:rsidRPr="00885A51">
        <w:rPr>
          <w:b w:val="0"/>
          <w:bCs/>
        </w:rPr>
        <w:t>Align CAP priorities and other policy settings</w:t>
      </w:r>
    </w:p>
    <w:p w14:paraId="29D3429E" w14:textId="77777777" w:rsidR="00885A51" w:rsidRPr="00885A51" w:rsidRDefault="00885A51" w:rsidP="004C6984">
      <w:pPr>
        <w:pStyle w:val="ListParagraph"/>
        <w:numPr>
          <w:ilvl w:val="0"/>
          <w:numId w:val="36"/>
        </w:numPr>
      </w:pPr>
      <w:r w:rsidRPr="00885A51">
        <w:t>Recommendation 5: Review and align CAP implementation to the National Agreement Targets.</w:t>
      </w:r>
    </w:p>
    <w:p w14:paraId="0ABEEA96" w14:textId="77777777" w:rsidR="00885A51" w:rsidRPr="00885A51" w:rsidRDefault="00885A51" w:rsidP="004C6984">
      <w:pPr>
        <w:pStyle w:val="ListParagraph"/>
        <w:numPr>
          <w:ilvl w:val="0"/>
          <w:numId w:val="36"/>
        </w:numPr>
      </w:pPr>
      <w:r w:rsidRPr="00885A51">
        <w:t>Recommendation 6: Address misalignments between CAP priorities and relevant NTG policies.</w:t>
      </w:r>
    </w:p>
    <w:p w14:paraId="677B5A10" w14:textId="77777777" w:rsidR="00885A51" w:rsidRPr="00885A51" w:rsidRDefault="00885A51" w:rsidP="00885A51">
      <w:pPr>
        <w:pStyle w:val="Heading3"/>
        <w:rPr>
          <w:b w:val="0"/>
          <w:bCs/>
        </w:rPr>
      </w:pPr>
      <w:r w:rsidRPr="00885A51">
        <w:rPr>
          <w:b w:val="0"/>
          <w:bCs/>
        </w:rPr>
        <w:t>Share information about the CAP</w:t>
      </w:r>
    </w:p>
    <w:p w14:paraId="023AF387" w14:textId="77777777" w:rsidR="00885A51" w:rsidRPr="00885A51" w:rsidRDefault="00885A51" w:rsidP="004C6984">
      <w:pPr>
        <w:pStyle w:val="ListParagraph"/>
        <w:numPr>
          <w:ilvl w:val="0"/>
          <w:numId w:val="37"/>
        </w:numPr>
      </w:pPr>
      <w:r w:rsidRPr="00885A51">
        <w:t>Recommendation 7: Frequently share information with the Central Australia community about the CAP.</w:t>
      </w:r>
    </w:p>
    <w:p w14:paraId="2EA90CF7" w14:textId="67EE0238" w:rsidR="00672BFD" w:rsidRDefault="00885A51" w:rsidP="00672BFD">
      <w:r>
        <w:t>Implementing these recommendations aim to:</w:t>
      </w:r>
    </w:p>
    <w:p w14:paraId="6B3313E5" w14:textId="0CBE6019" w:rsidR="00885A51" w:rsidRDefault="00885A51" w:rsidP="004C6984">
      <w:pPr>
        <w:pStyle w:val="ListParagraph"/>
        <w:numPr>
          <w:ilvl w:val="0"/>
          <w:numId w:val="37"/>
        </w:numPr>
      </w:pPr>
      <w:r w:rsidRPr="0029233F">
        <w:t>build a shared understanding of “doing things differently” across CAP stakeholders, align the CAP’s implementation more strongly to the National Agreement Priority Reforms, and provide a mechanism for accountability</w:t>
      </w:r>
    </w:p>
    <w:p w14:paraId="2B82D548" w14:textId="14AC9BDA" w:rsidR="00885A51" w:rsidRDefault="00885A51" w:rsidP="004C6984">
      <w:pPr>
        <w:pStyle w:val="ListParagraph"/>
        <w:numPr>
          <w:ilvl w:val="0"/>
          <w:numId w:val="37"/>
        </w:numPr>
      </w:pPr>
      <w:r w:rsidRPr="0029233F">
        <w:t>strengthen the viability and sustainability of funding decisions while supporting participation and informed decision-making</w:t>
      </w:r>
    </w:p>
    <w:p w14:paraId="096A248B" w14:textId="42CB0931" w:rsidR="00885A51" w:rsidRDefault="00885A51" w:rsidP="004C6984">
      <w:pPr>
        <w:pStyle w:val="ListParagraph"/>
        <w:numPr>
          <w:ilvl w:val="0"/>
          <w:numId w:val="37"/>
        </w:numPr>
      </w:pPr>
      <w:r w:rsidRPr="0029233F">
        <w:t>accelerate the uptake of learnings on how to do things differently while involving the NTG in these learnings</w:t>
      </w:r>
    </w:p>
    <w:p w14:paraId="7FA219CE" w14:textId="382A28F4" w:rsidR="00885A51" w:rsidRDefault="00885A51" w:rsidP="004C6984">
      <w:pPr>
        <w:pStyle w:val="ListParagraph"/>
        <w:numPr>
          <w:ilvl w:val="0"/>
          <w:numId w:val="37"/>
        </w:numPr>
      </w:pPr>
      <w:r w:rsidRPr="0029233F">
        <w:t>address the underlying root causes that led to the CAP as they relate to community safety, justice and social cohesion</w:t>
      </w:r>
    </w:p>
    <w:p w14:paraId="6FF9136B" w14:textId="416AE941" w:rsidR="00885A51" w:rsidRDefault="00885A51" w:rsidP="004C6984">
      <w:pPr>
        <w:pStyle w:val="ListParagraph"/>
        <w:numPr>
          <w:ilvl w:val="0"/>
          <w:numId w:val="37"/>
        </w:numPr>
      </w:pPr>
      <w:r w:rsidRPr="0029233F">
        <w:t>ensure that NIAA collects the required data to evidence the relationship between CtG and CAP</w:t>
      </w:r>
    </w:p>
    <w:p w14:paraId="166D8762" w14:textId="1CBEE419" w:rsidR="00885A51" w:rsidRPr="0029233F" w:rsidRDefault="00885A51" w:rsidP="004C6984">
      <w:pPr>
        <w:pStyle w:val="ListParagraph"/>
        <w:numPr>
          <w:ilvl w:val="0"/>
          <w:numId w:val="37"/>
        </w:numPr>
      </w:pPr>
      <w:r>
        <w:t>resolve</w:t>
      </w:r>
      <w:r w:rsidRPr="0029233F">
        <w:t xml:space="preserve"> any inconsistencies between the priorities and policy settings are understood and addressed </w:t>
      </w:r>
      <w:r w:rsidR="003E592C" w:rsidRPr="0029233F">
        <w:t>to</w:t>
      </w:r>
      <w:r w:rsidRPr="0029233F">
        <w:t xml:space="preserve"> support the overall success and intent of the CAP</w:t>
      </w:r>
    </w:p>
    <w:p w14:paraId="5B2F7632" w14:textId="4A84F3F5" w:rsidR="00500C63" w:rsidRDefault="00885A51" w:rsidP="004C6984">
      <w:pPr>
        <w:pStyle w:val="ListParagraph"/>
        <w:numPr>
          <w:ilvl w:val="0"/>
          <w:numId w:val="37"/>
        </w:numPr>
      </w:pPr>
      <w:r>
        <w:t>improve the Central Australian community’s understanding of the CAP, its progress and the outcomes it is achieving.</w:t>
      </w:r>
    </w:p>
    <w:p w14:paraId="223E6766" w14:textId="77777777" w:rsidR="00B20C91" w:rsidRDefault="00B20C91">
      <w:pPr>
        <w:keepLines w:val="0"/>
        <w:widowControl/>
        <w:spacing w:before="0" w:after="0"/>
        <w:rPr>
          <w:b/>
          <w:color w:val="009999"/>
          <w:sz w:val="32"/>
          <w:szCs w:val="28"/>
        </w:rPr>
      </w:pPr>
      <w:bookmarkStart w:id="12" w:name="_Ref202342551"/>
      <w:r>
        <w:br w:type="page"/>
      </w:r>
    </w:p>
    <w:p w14:paraId="153D1464" w14:textId="2138FC93" w:rsidR="00C83E74" w:rsidRPr="000521D1" w:rsidRDefault="00C83E74" w:rsidP="00DA4528">
      <w:pPr>
        <w:pStyle w:val="Heading1"/>
      </w:pPr>
      <w:bookmarkStart w:id="13" w:name="_Toc205475100"/>
      <w:r w:rsidRPr="000521D1">
        <w:lastRenderedPageBreak/>
        <w:t>Introduction</w:t>
      </w:r>
      <w:bookmarkEnd w:id="12"/>
      <w:bookmarkEnd w:id="13"/>
    </w:p>
    <w:p w14:paraId="32D97ED9" w14:textId="63C74E96" w:rsidR="00950F2F" w:rsidRPr="00C527AB" w:rsidRDefault="002D0305" w:rsidP="00823B9A">
      <w:pPr>
        <w:rPr>
          <w:rFonts w:cs="Arial"/>
        </w:rPr>
      </w:pPr>
      <w:r w:rsidRPr="00C527AB">
        <w:rPr>
          <w:rFonts w:cs="Segoe UI"/>
        </w:rPr>
        <w:t xml:space="preserve">In </w:t>
      </w:r>
      <w:r w:rsidR="000F064C" w:rsidRPr="00C527AB">
        <w:rPr>
          <w:rFonts w:cs="Segoe UI"/>
        </w:rPr>
        <w:t>September 2024</w:t>
      </w:r>
      <w:r w:rsidR="00F76300" w:rsidRPr="00C527AB">
        <w:rPr>
          <w:rFonts w:cs="Segoe UI"/>
        </w:rPr>
        <w:t>,</w:t>
      </w:r>
      <w:r w:rsidR="000F064C" w:rsidRPr="00C527AB">
        <w:rPr>
          <w:rFonts w:cs="Segoe UI"/>
        </w:rPr>
        <w:t xml:space="preserve"> </w:t>
      </w:r>
      <w:r w:rsidR="00B27752" w:rsidRPr="00C527AB">
        <w:rPr>
          <w:rFonts w:cs="Segoe UI"/>
        </w:rPr>
        <w:t xml:space="preserve">Inside Policy was engaged by </w:t>
      </w:r>
      <w:r w:rsidR="00405D9F" w:rsidRPr="00C527AB">
        <w:rPr>
          <w:rFonts w:cs="Segoe UI"/>
        </w:rPr>
        <w:t>the National Indigenous Australians Agency (</w:t>
      </w:r>
      <w:r w:rsidR="00B27752" w:rsidRPr="00C527AB">
        <w:rPr>
          <w:rFonts w:cs="Segoe UI"/>
        </w:rPr>
        <w:t>NIAA</w:t>
      </w:r>
      <w:r w:rsidR="00405D9F" w:rsidRPr="00C527AB">
        <w:rPr>
          <w:rFonts w:cs="Segoe UI"/>
        </w:rPr>
        <w:t>)</w:t>
      </w:r>
      <w:r w:rsidR="00B27752" w:rsidRPr="00C527AB">
        <w:rPr>
          <w:rFonts w:cs="Segoe UI"/>
        </w:rPr>
        <w:t xml:space="preserve"> </w:t>
      </w:r>
      <w:r w:rsidR="00B27752" w:rsidRPr="00C527AB">
        <w:t>to</w:t>
      </w:r>
      <w:r w:rsidR="00B27752" w:rsidRPr="00C527AB" w:rsidDel="00DB2637">
        <w:t xml:space="preserve"> </w:t>
      </w:r>
      <w:r w:rsidR="00B27752" w:rsidRPr="00C527AB">
        <w:t xml:space="preserve">design, undertake and report on an independent evaluation of the Central Australia Plan (CAP). </w:t>
      </w:r>
      <w:r w:rsidR="000F064C" w:rsidRPr="00C527AB">
        <w:t xml:space="preserve"> </w:t>
      </w:r>
      <w:r w:rsidR="006A09E9" w:rsidRPr="00C527AB">
        <w:rPr>
          <w:rFonts w:cs="Arial"/>
        </w:rPr>
        <w:t> </w:t>
      </w:r>
    </w:p>
    <w:p w14:paraId="4C3D45CB" w14:textId="12A778A2" w:rsidR="00226B89" w:rsidRDefault="006A09E9" w:rsidP="00823B9A">
      <w:pPr>
        <w:rPr>
          <w:sz w:val="24"/>
          <w:szCs w:val="24"/>
        </w:rPr>
      </w:pPr>
      <w:r w:rsidRPr="00C527AB">
        <w:rPr>
          <w:rFonts w:cs="Arial"/>
        </w:rPr>
        <w:t>The evaluation of the CAP</w:t>
      </w:r>
      <w:r w:rsidR="008D31B7" w:rsidRPr="00C527AB">
        <w:rPr>
          <w:rFonts w:cs="Arial"/>
        </w:rPr>
        <w:t xml:space="preserve">, </w:t>
      </w:r>
      <w:r w:rsidR="005603F0" w:rsidRPr="00C527AB">
        <w:rPr>
          <w:rFonts w:cs="Arial"/>
        </w:rPr>
        <w:t>which is largely focused on implementation</w:t>
      </w:r>
      <w:r w:rsidR="008D31B7" w:rsidRPr="00C527AB">
        <w:rPr>
          <w:rFonts w:cs="Arial"/>
        </w:rPr>
        <w:t xml:space="preserve">, </w:t>
      </w:r>
      <w:r w:rsidRPr="00C527AB">
        <w:rPr>
          <w:rFonts w:cs="Arial"/>
        </w:rPr>
        <w:t>will inform</w:t>
      </w:r>
      <w:r w:rsidR="008122BE" w:rsidRPr="00C527AB">
        <w:rPr>
          <w:rFonts w:cs="Arial"/>
        </w:rPr>
        <w:t xml:space="preserve"> the ongoing </w:t>
      </w:r>
      <w:r w:rsidR="007B16B9">
        <w:rPr>
          <w:rFonts w:cs="Arial"/>
        </w:rPr>
        <w:t>roll</w:t>
      </w:r>
      <w:r w:rsidR="009D5BE7">
        <w:rPr>
          <w:rFonts w:cs="Arial"/>
        </w:rPr>
        <w:t>-</w:t>
      </w:r>
      <w:r w:rsidR="007B16B9">
        <w:rPr>
          <w:rFonts w:cs="Arial"/>
        </w:rPr>
        <w:t>out of</w:t>
      </w:r>
      <w:r w:rsidR="008122BE" w:rsidRPr="00C527AB">
        <w:rPr>
          <w:rFonts w:cs="Arial"/>
        </w:rPr>
        <w:t xml:space="preserve"> </w:t>
      </w:r>
      <w:r w:rsidR="007B7749">
        <w:rPr>
          <w:rFonts w:cs="Arial"/>
        </w:rPr>
        <w:t xml:space="preserve">funded </w:t>
      </w:r>
      <w:r w:rsidR="001B02B2">
        <w:rPr>
          <w:rFonts w:cs="Arial"/>
        </w:rPr>
        <w:t>initiatives</w:t>
      </w:r>
      <w:r w:rsidR="007B7749" w:rsidRPr="00C527AB">
        <w:rPr>
          <w:rFonts w:cs="Arial"/>
        </w:rPr>
        <w:t xml:space="preserve"> </w:t>
      </w:r>
      <w:r w:rsidR="00D41B4D" w:rsidRPr="00C527AB">
        <w:rPr>
          <w:rFonts w:cs="Arial"/>
        </w:rPr>
        <w:t>and any future</w:t>
      </w:r>
      <w:r w:rsidRPr="00C527AB">
        <w:rPr>
          <w:rFonts w:cs="Arial"/>
        </w:rPr>
        <w:t xml:space="preserve"> NIAA place-based approach</w:t>
      </w:r>
      <w:r w:rsidR="00A349CB" w:rsidRPr="00C527AB">
        <w:rPr>
          <w:rFonts w:cs="Arial"/>
        </w:rPr>
        <w:t>es</w:t>
      </w:r>
      <w:r w:rsidRPr="00C527AB">
        <w:rPr>
          <w:rFonts w:cs="Arial"/>
        </w:rPr>
        <w:t xml:space="preserve"> in Central Australia.</w:t>
      </w:r>
      <w:r w:rsidR="00082EBE">
        <w:rPr>
          <w:rFonts w:cs="Arial"/>
        </w:rPr>
        <w:t xml:space="preserve"> </w:t>
      </w:r>
      <w:r w:rsidR="00F333B1" w:rsidRPr="3C9C2DD1">
        <w:rPr>
          <w:rFonts w:cs="Segoe UI"/>
        </w:rPr>
        <w:t xml:space="preserve">The </w:t>
      </w:r>
      <w:r w:rsidR="00A40CAE">
        <w:rPr>
          <w:rFonts w:cs="Segoe UI"/>
        </w:rPr>
        <w:t>evaluation also benefited from advice and oversight</w:t>
      </w:r>
      <w:r w:rsidR="00E958F4" w:rsidRPr="3C9C2DD1">
        <w:rPr>
          <w:rFonts w:cs="Segoe UI"/>
        </w:rPr>
        <w:t xml:space="preserve"> </w:t>
      </w:r>
      <w:r w:rsidR="00E46C13">
        <w:rPr>
          <w:rFonts w:cs="Segoe UI"/>
        </w:rPr>
        <w:t>provided by</w:t>
      </w:r>
      <w:r w:rsidR="00976A91">
        <w:rPr>
          <w:rFonts w:cs="Segoe UI"/>
        </w:rPr>
        <w:t xml:space="preserve"> the</w:t>
      </w:r>
      <w:r w:rsidR="00976A91" w:rsidRPr="3C9C2DD1">
        <w:rPr>
          <w:rFonts w:cs="Segoe UI"/>
        </w:rPr>
        <w:t xml:space="preserve"> </w:t>
      </w:r>
      <w:bookmarkStart w:id="14" w:name="_Toc179375336"/>
      <w:bookmarkStart w:id="15" w:name="_Toc179375602"/>
      <w:bookmarkStart w:id="16" w:name="_Toc179375877"/>
      <w:r w:rsidR="00532627" w:rsidRPr="3C9C2DD1">
        <w:rPr>
          <w:rFonts w:cs="Segoe UI"/>
        </w:rPr>
        <w:t xml:space="preserve">Central Australia Plan Aboriginal Leadership Group (ALG), the Youth Roundtable (YRT), </w:t>
      </w:r>
      <w:bookmarkEnd w:id="14"/>
      <w:bookmarkEnd w:id="15"/>
      <w:bookmarkEnd w:id="16"/>
      <w:r w:rsidR="00532627" w:rsidRPr="3C9C2DD1">
        <w:rPr>
          <w:rFonts w:cs="Segoe UI"/>
        </w:rPr>
        <w:t xml:space="preserve">and the NIAA Indigenous Evaluation Committee (IEC). </w:t>
      </w:r>
      <w:r w:rsidR="00226B89" w:rsidRPr="3C9C2DD1">
        <w:rPr>
          <w:sz w:val="24"/>
          <w:szCs w:val="24"/>
        </w:rPr>
        <w:t xml:space="preserve"> </w:t>
      </w:r>
    </w:p>
    <w:p w14:paraId="64A07F40" w14:textId="1DB4A55F" w:rsidR="0002283D" w:rsidRDefault="0002283D" w:rsidP="00DF156D">
      <w:pPr>
        <w:pStyle w:val="Heading2"/>
      </w:pPr>
      <w:r>
        <w:t>About the Central Australia Plan</w:t>
      </w:r>
    </w:p>
    <w:p w14:paraId="6DBA22E3" w14:textId="6662F0B8" w:rsidR="008F66D8" w:rsidRPr="00771733" w:rsidRDefault="00B56A9C" w:rsidP="00DA4528">
      <w:pPr>
        <w:rPr>
          <w:rFonts w:eastAsia="Times New Roman" w:cs="Segoe UI"/>
          <w:lang w:eastAsia="en-US"/>
        </w:rPr>
      </w:pPr>
      <w:r>
        <w:t xml:space="preserve">On 6 February 2023, the </w:t>
      </w:r>
      <w:r w:rsidR="00F016D3">
        <w:t xml:space="preserve">Australian </w:t>
      </w:r>
      <w:r w:rsidR="004B7610" w:rsidRPr="51D4F3DC">
        <w:rPr>
          <w:rFonts w:cs="Segoe UI"/>
        </w:rPr>
        <w:t>Government</w:t>
      </w:r>
      <w:r>
        <w:t xml:space="preserve"> announced</w:t>
      </w:r>
      <w:r w:rsidR="00A915B4">
        <w:t xml:space="preserve"> </w:t>
      </w:r>
      <w:r>
        <w:t xml:space="preserve">$250 million to support </w:t>
      </w:r>
      <w:r w:rsidRPr="51D4F3DC">
        <w:rPr>
          <w:i/>
          <w:iCs/>
        </w:rPr>
        <w:t>A Better, Safer Future for Central Australia</w:t>
      </w:r>
      <w:r>
        <w:t xml:space="preserve">, </w:t>
      </w:r>
      <w:r w:rsidR="00E066C0" w:rsidRPr="51D4F3DC">
        <w:rPr>
          <w:rFonts w:eastAsia="Times New Roman" w:cs="Segoe UI"/>
          <w:lang w:eastAsia="en-US"/>
        </w:rPr>
        <w:t xml:space="preserve">also known as the </w:t>
      </w:r>
      <w:r w:rsidR="0023315D" w:rsidRPr="51D4F3DC">
        <w:rPr>
          <w:rFonts w:eastAsia="Times New Roman" w:cs="Segoe UI"/>
          <w:lang w:eastAsia="en-US"/>
        </w:rPr>
        <w:t>CAP.</w:t>
      </w:r>
      <w:r>
        <w:t xml:space="preserve"> The CAP</w:t>
      </w:r>
      <w:r w:rsidR="00E051CA">
        <w:t xml:space="preserve"> is </w:t>
      </w:r>
      <w:r w:rsidR="00E066C0" w:rsidRPr="51D4F3DC">
        <w:rPr>
          <w:rFonts w:eastAsia="Times New Roman" w:cs="Segoe UI"/>
          <w:lang w:eastAsia="en-US"/>
        </w:rPr>
        <w:t xml:space="preserve">a </w:t>
      </w:r>
      <w:r w:rsidR="59DB0F4B" w:rsidRPr="51D4F3DC">
        <w:rPr>
          <w:rFonts w:eastAsia="Times New Roman" w:cs="Segoe UI"/>
          <w:lang w:eastAsia="en-US"/>
        </w:rPr>
        <w:t>six</w:t>
      </w:r>
      <w:r w:rsidR="00E066C0" w:rsidRPr="51D4F3DC">
        <w:rPr>
          <w:rFonts w:eastAsia="Times New Roman" w:cs="Segoe UI"/>
          <w:lang w:eastAsia="en-US"/>
        </w:rPr>
        <w:t xml:space="preserve">-year plan </w:t>
      </w:r>
      <w:r w:rsidR="00E051CA" w:rsidRPr="51D4F3DC">
        <w:rPr>
          <w:rFonts w:eastAsia="Times New Roman" w:cs="Segoe UI"/>
          <w:lang w:eastAsia="en-US"/>
        </w:rPr>
        <w:t>being</w:t>
      </w:r>
      <w:r w:rsidR="00E066C0" w:rsidRPr="51D4F3DC">
        <w:rPr>
          <w:rFonts w:eastAsia="Times New Roman" w:cs="Segoe UI"/>
          <w:lang w:eastAsia="en-US"/>
        </w:rPr>
        <w:t xml:space="preserve"> implemented in partnership with the </w:t>
      </w:r>
      <w:r w:rsidR="00B24F46" w:rsidRPr="51D4F3DC">
        <w:rPr>
          <w:rFonts w:eastAsia="Times New Roman" w:cs="Segoe UI"/>
          <w:lang w:eastAsia="en-US"/>
        </w:rPr>
        <w:t>Norther</w:t>
      </w:r>
      <w:r w:rsidR="00A56F34" w:rsidRPr="51D4F3DC">
        <w:rPr>
          <w:rFonts w:eastAsia="Times New Roman" w:cs="Segoe UI"/>
          <w:lang w:eastAsia="en-US"/>
        </w:rPr>
        <w:t>n</w:t>
      </w:r>
      <w:r w:rsidR="00B24F46" w:rsidRPr="51D4F3DC">
        <w:rPr>
          <w:rFonts w:eastAsia="Times New Roman" w:cs="Segoe UI"/>
          <w:lang w:eastAsia="en-US"/>
        </w:rPr>
        <w:t xml:space="preserve"> Territory </w:t>
      </w:r>
      <w:r w:rsidR="002B18E4">
        <w:rPr>
          <w:rFonts w:eastAsia="Times New Roman" w:cs="Segoe UI"/>
          <w:lang w:eastAsia="en-US"/>
        </w:rPr>
        <w:t>Government</w:t>
      </w:r>
      <w:r w:rsidR="009B6037">
        <w:rPr>
          <w:rFonts w:eastAsia="Times New Roman" w:cs="Segoe UI"/>
          <w:lang w:eastAsia="en-US"/>
        </w:rPr>
        <w:t xml:space="preserve"> </w:t>
      </w:r>
      <w:r w:rsidR="00B24F46" w:rsidRPr="51D4F3DC">
        <w:rPr>
          <w:rFonts w:eastAsia="Times New Roman" w:cs="Segoe UI"/>
          <w:lang w:eastAsia="en-US"/>
        </w:rPr>
        <w:t>(</w:t>
      </w:r>
      <w:r w:rsidR="00C70B79" w:rsidRPr="51D4F3DC">
        <w:rPr>
          <w:rFonts w:eastAsia="Times New Roman" w:cs="Segoe UI"/>
          <w:lang w:eastAsia="en-US"/>
        </w:rPr>
        <w:t>NTG</w:t>
      </w:r>
      <w:r w:rsidR="00B24F46" w:rsidRPr="51D4F3DC">
        <w:rPr>
          <w:rFonts w:eastAsia="Times New Roman" w:cs="Segoe UI"/>
          <w:lang w:eastAsia="en-US"/>
        </w:rPr>
        <w:t>)</w:t>
      </w:r>
      <w:r w:rsidR="00C70B79" w:rsidRPr="51D4F3DC">
        <w:rPr>
          <w:rFonts w:eastAsia="Times New Roman" w:cs="Segoe UI"/>
          <w:lang w:eastAsia="en-US"/>
        </w:rPr>
        <w:t>,</w:t>
      </w:r>
      <w:r w:rsidR="00E066C0" w:rsidRPr="51D4F3DC">
        <w:rPr>
          <w:rFonts w:eastAsia="Times New Roman" w:cs="Segoe UI"/>
          <w:lang w:eastAsia="en-US"/>
        </w:rPr>
        <w:t xml:space="preserve"> local governments, organisations and communities</w:t>
      </w:r>
      <w:r w:rsidR="00E051CA" w:rsidRPr="51D4F3DC">
        <w:rPr>
          <w:rFonts w:eastAsia="Times New Roman" w:cs="Segoe UI"/>
          <w:lang w:eastAsia="en-US"/>
        </w:rPr>
        <w:t>. It</w:t>
      </w:r>
      <w:r w:rsidR="00003E3E" w:rsidRPr="51D4F3DC">
        <w:rPr>
          <w:rFonts w:eastAsia="Times New Roman" w:cs="Segoe UI"/>
          <w:lang w:eastAsia="en-US"/>
        </w:rPr>
        <w:t xml:space="preserve"> </w:t>
      </w:r>
      <w:r w:rsidR="00E066C0" w:rsidRPr="51D4F3DC">
        <w:rPr>
          <w:rFonts w:eastAsia="Times New Roman" w:cs="Segoe UI"/>
          <w:lang w:eastAsia="en-US"/>
        </w:rPr>
        <w:t>is focused on addressing enduring challenges and working with communities and organisations on long-term solutions</w:t>
      </w:r>
      <w:r w:rsidR="00602D63" w:rsidRPr="51D4F3DC">
        <w:rPr>
          <w:rFonts w:eastAsia="Times New Roman" w:cs="Segoe UI"/>
          <w:lang w:eastAsia="en-US"/>
        </w:rPr>
        <w:t xml:space="preserve"> across six key </w:t>
      </w:r>
      <w:r w:rsidR="008F66D8" w:rsidRPr="51D4F3DC">
        <w:rPr>
          <w:rFonts w:eastAsia="Times New Roman" w:cs="Segoe UI"/>
          <w:lang w:eastAsia="en-US"/>
        </w:rPr>
        <w:t>areas</w:t>
      </w:r>
      <w:r w:rsidR="00544F08" w:rsidRPr="51D4F3DC">
        <w:rPr>
          <w:rFonts w:eastAsia="Times New Roman" w:cs="Segoe UI"/>
          <w:lang w:eastAsia="en-US"/>
        </w:rPr>
        <w:t>:</w:t>
      </w:r>
      <w:r w:rsidR="008F66D8" w:rsidRPr="51D4F3DC">
        <w:rPr>
          <w:rFonts w:eastAsia="Times New Roman" w:cs="Segoe UI"/>
          <w:lang w:eastAsia="en-US"/>
        </w:rPr>
        <w:t xml:space="preserve"> </w:t>
      </w:r>
    </w:p>
    <w:p w14:paraId="59E13585" w14:textId="3AF40254" w:rsidR="008F66D8" w:rsidRPr="00DF156D" w:rsidRDefault="00524E21" w:rsidP="004C6984">
      <w:pPr>
        <w:pStyle w:val="ListParagraph"/>
        <w:numPr>
          <w:ilvl w:val="0"/>
          <w:numId w:val="25"/>
        </w:numPr>
      </w:pPr>
      <w:r>
        <w:t>I</w:t>
      </w:r>
      <w:r w:rsidR="008F66D8">
        <w:t>mproved community safety and cohesion</w:t>
      </w:r>
    </w:p>
    <w:p w14:paraId="16552933" w14:textId="775CDAE9" w:rsidR="008F66D8" w:rsidRPr="00DF156D" w:rsidRDefault="00524E21" w:rsidP="004C6984">
      <w:pPr>
        <w:pStyle w:val="ListParagraph"/>
        <w:numPr>
          <w:ilvl w:val="0"/>
          <w:numId w:val="25"/>
        </w:numPr>
      </w:pPr>
      <w:r>
        <w:t>J</w:t>
      </w:r>
      <w:r w:rsidR="008F66D8">
        <w:t>ob creation</w:t>
      </w:r>
    </w:p>
    <w:p w14:paraId="26E8B08A" w14:textId="08077F9A" w:rsidR="008F66D8" w:rsidRPr="00DF156D" w:rsidRDefault="00524E21" w:rsidP="004C6984">
      <w:pPr>
        <w:pStyle w:val="ListParagraph"/>
        <w:numPr>
          <w:ilvl w:val="0"/>
          <w:numId w:val="25"/>
        </w:numPr>
      </w:pPr>
      <w:r>
        <w:t>B</w:t>
      </w:r>
      <w:r w:rsidR="008F66D8">
        <w:t>etter services</w:t>
      </w:r>
    </w:p>
    <w:p w14:paraId="0916499C" w14:textId="5FBDD5B9" w:rsidR="008F66D8" w:rsidRPr="00DF156D" w:rsidRDefault="00524E21" w:rsidP="004C6984">
      <w:pPr>
        <w:pStyle w:val="ListParagraph"/>
        <w:numPr>
          <w:ilvl w:val="0"/>
          <w:numId w:val="25"/>
        </w:numPr>
      </w:pPr>
      <w:r>
        <w:t>P</w:t>
      </w:r>
      <w:r w:rsidR="008F66D8">
        <w:t>reventing and addressing issues caused by FASD</w:t>
      </w:r>
    </w:p>
    <w:p w14:paraId="5590B7B1" w14:textId="5419DB31" w:rsidR="008F66D8" w:rsidRPr="00DF156D" w:rsidRDefault="00524E21" w:rsidP="004C6984">
      <w:pPr>
        <w:pStyle w:val="ListParagraph"/>
        <w:numPr>
          <w:ilvl w:val="0"/>
          <w:numId w:val="25"/>
        </w:numPr>
      </w:pPr>
      <w:r>
        <w:t>I</w:t>
      </w:r>
      <w:r w:rsidR="008F66D8">
        <w:t>nvesting in families</w:t>
      </w:r>
    </w:p>
    <w:p w14:paraId="2BB7864D" w14:textId="50247A52" w:rsidR="75EB5F8E" w:rsidRPr="002D7276" w:rsidRDefault="00B24F46" w:rsidP="004C6984">
      <w:pPr>
        <w:pStyle w:val="ListParagraph"/>
        <w:numPr>
          <w:ilvl w:val="0"/>
          <w:numId w:val="25"/>
        </w:numPr>
        <w:rPr>
          <w:rFonts w:eastAsia="Times New Roman"/>
        </w:rPr>
      </w:pPr>
      <w:r>
        <w:t>O</w:t>
      </w:r>
      <w:r w:rsidR="008F66D8">
        <w:t>n-Country learning. </w:t>
      </w:r>
    </w:p>
    <w:p w14:paraId="1BA0F717" w14:textId="77777777" w:rsidR="00C95EFB" w:rsidRPr="00856FA4" w:rsidRDefault="00C95EFB" w:rsidP="00DF156D">
      <w:pPr>
        <w:pStyle w:val="Heading2"/>
        <w:rPr>
          <w:color w:val="000000"/>
        </w:rPr>
      </w:pPr>
      <w:bookmarkStart w:id="17" w:name="_Toc179375337"/>
      <w:bookmarkStart w:id="18" w:name="_Toc179375603"/>
      <w:bookmarkStart w:id="19" w:name="_Toc179375878"/>
      <w:bookmarkStart w:id="20" w:name="_Toc1239227444"/>
      <w:r>
        <w:t>About the evaluation</w:t>
      </w:r>
    </w:p>
    <w:p w14:paraId="5EF1D0CE" w14:textId="10F8BC25" w:rsidR="001B17BD" w:rsidRDefault="001B17BD" w:rsidP="00DA4528">
      <w:r>
        <w:t xml:space="preserve">Given CAP is 18-24 months into implementation, this evaluation takes a formative approach to understanding CAP’s processes, emerging outcomes and lessons learned. The evaluation is intended to produce key insights into the </w:t>
      </w:r>
      <w:r w:rsidR="00F016D3">
        <w:t xml:space="preserve">Australian </w:t>
      </w:r>
      <w:r w:rsidR="00FE3F26" w:rsidRPr="1A31B231">
        <w:rPr>
          <w:rFonts w:cs="Segoe UI"/>
        </w:rPr>
        <w:t>Government</w:t>
      </w:r>
      <w:r>
        <w:t xml:space="preserve">’s investment, as well as </w:t>
      </w:r>
      <w:r w:rsidR="0036266D">
        <w:t xml:space="preserve">to </w:t>
      </w:r>
      <w:r>
        <w:t xml:space="preserve">inform future planning and improvement of </w:t>
      </w:r>
      <w:r w:rsidR="00F864CB">
        <w:t xml:space="preserve">the </w:t>
      </w:r>
      <w:r>
        <w:t>CAP. The evaluation looked at the implementation of the CAP, including any early outcomes</w:t>
      </w:r>
      <w:r w:rsidR="00AD3C8F">
        <w:t>. T</w:t>
      </w:r>
      <w:r>
        <w:t xml:space="preserve">his involved an overall assessment of </w:t>
      </w:r>
      <w:r w:rsidR="009049F6">
        <w:t xml:space="preserve">the </w:t>
      </w:r>
      <w:r>
        <w:t>implementation of CAP investments</w:t>
      </w:r>
      <w:r w:rsidR="00D05B44">
        <w:t>,</w:t>
      </w:r>
      <w:r>
        <w:t xml:space="preserve"> cutting across its six streams; the process of delivery specific to the priority of </w:t>
      </w:r>
      <w:r w:rsidR="00B24F46">
        <w:t>‘</w:t>
      </w:r>
      <w:r>
        <w:t>doing things differently</w:t>
      </w:r>
      <w:r w:rsidR="00B24F46">
        <w:t>’</w:t>
      </w:r>
      <w:r w:rsidR="007D673B">
        <w:t>;</w:t>
      </w:r>
      <w:r w:rsidR="00C26C80">
        <w:t xml:space="preserve"> </w:t>
      </w:r>
      <w:r>
        <w:t>and lessons learnt – this involved understanding lessons learnt in terms of implementation and</w:t>
      </w:r>
      <w:r w:rsidR="008666B6">
        <w:t xml:space="preserve"> ‘doing things differently’</w:t>
      </w:r>
      <w:r>
        <w:t>.</w:t>
      </w:r>
    </w:p>
    <w:p w14:paraId="0C822D8F" w14:textId="7026DF90" w:rsidR="00E969EF" w:rsidRPr="00823B9A" w:rsidRDefault="00E969EF" w:rsidP="00DA4528">
      <w:pPr>
        <w:rPr>
          <w:b/>
        </w:rPr>
      </w:pPr>
      <w:r w:rsidRPr="00237C5B">
        <w:t>To achieve this, data was collected and analysed over two phases. The first phase of data collection</w:t>
      </w:r>
      <w:r w:rsidR="00EE02CD">
        <w:t xml:space="preserve"> (Phase 1)</w:t>
      </w:r>
      <w:r w:rsidRPr="00237C5B">
        <w:t xml:space="preserve"> </w:t>
      </w:r>
      <w:r w:rsidR="007C5AC3">
        <w:t xml:space="preserve">occurred prior to </w:t>
      </w:r>
      <w:r w:rsidR="00813B89">
        <w:t>e</w:t>
      </w:r>
      <w:r w:rsidR="007C5AC3">
        <w:t xml:space="preserve">thics approval </w:t>
      </w:r>
      <w:r w:rsidR="00813B89">
        <w:t xml:space="preserve">from the </w:t>
      </w:r>
      <w:r w:rsidR="00813B89" w:rsidRPr="00813B89">
        <w:t>Menzies School of Health Researc</w:t>
      </w:r>
      <w:r w:rsidR="00813B89">
        <w:t>h</w:t>
      </w:r>
      <w:r w:rsidR="00813B89" w:rsidRPr="00813B89">
        <w:t xml:space="preserve"> </w:t>
      </w:r>
      <w:r w:rsidR="00EE02CD">
        <w:t xml:space="preserve">and thus focused on findings from documents and interviews with </w:t>
      </w:r>
      <w:r w:rsidR="008D7BE0">
        <w:t>g</w:t>
      </w:r>
      <w:r w:rsidR="00EE02CD">
        <w:t xml:space="preserve">overnment stakeholders only. This work </w:t>
      </w:r>
      <w:r w:rsidRPr="00237C5B">
        <w:t xml:space="preserve">culminated in an interim report. The second phase of data collection (Phase 2) </w:t>
      </w:r>
      <w:r w:rsidR="00C76046">
        <w:t>occu</w:t>
      </w:r>
      <w:r w:rsidR="00E520B1">
        <w:t>r</w:t>
      </w:r>
      <w:r w:rsidR="00C76046">
        <w:t>red follo</w:t>
      </w:r>
      <w:r w:rsidR="00AD511C">
        <w:t>w</w:t>
      </w:r>
      <w:r w:rsidR="00C76046">
        <w:t xml:space="preserve">ing receipt of </w:t>
      </w:r>
      <w:r w:rsidR="00875E2A">
        <w:t>e</w:t>
      </w:r>
      <w:r w:rsidR="00C76046">
        <w:t>thics</w:t>
      </w:r>
      <w:r w:rsidR="00875E2A">
        <w:t xml:space="preserve"> approval and included interviews with a range of </w:t>
      </w:r>
      <w:r w:rsidR="000A4B5C">
        <w:t xml:space="preserve">ALG, YRT, grant recipients and </w:t>
      </w:r>
      <w:r w:rsidR="008D7BE0">
        <w:t>g</w:t>
      </w:r>
      <w:r w:rsidR="000A4B5C">
        <w:t>overnment stakeholders</w:t>
      </w:r>
      <w:r w:rsidR="00665AE7">
        <w:t>. Phase 2 culminated in</w:t>
      </w:r>
      <w:r w:rsidRPr="00237C5B">
        <w:t xml:space="preserve"> this full report</w:t>
      </w:r>
      <w:r w:rsidRPr="00EA2601">
        <w:t>.</w:t>
      </w:r>
    </w:p>
    <w:bookmarkEnd w:id="17"/>
    <w:bookmarkEnd w:id="18"/>
    <w:bookmarkEnd w:id="19"/>
    <w:bookmarkEnd w:id="20"/>
    <w:p w14:paraId="4A74CA8D" w14:textId="55298E8B" w:rsidR="00DF38C0" w:rsidRPr="00EC6311" w:rsidRDefault="00DF38C0" w:rsidP="00DA4528">
      <w:pPr>
        <w:pStyle w:val="Heading2"/>
        <w:rPr>
          <w:color w:val="404040"/>
          <w:highlight w:val="yellow"/>
        </w:rPr>
      </w:pPr>
      <w:r w:rsidRPr="3649A7AB">
        <w:t>Structure of this report </w:t>
      </w:r>
    </w:p>
    <w:p w14:paraId="0DB15CC1" w14:textId="77777777" w:rsidR="005C158F" w:rsidRDefault="00DF38C0" w:rsidP="005C158F">
      <w:r w:rsidRPr="00A3637C">
        <w:rPr>
          <w:rFonts w:cs="Arial"/>
        </w:rPr>
        <w:t xml:space="preserve">The </w:t>
      </w:r>
      <w:r w:rsidRPr="00A3637C">
        <w:t xml:space="preserve">remainder of this report is structured </w:t>
      </w:r>
      <w:r w:rsidR="005C158F">
        <w:t>as follows:</w:t>
      </w:r>
    </w:p>
    <w:p w14:paraId="258C7FE8" w14:textId="7B529520" w:rsidR="00C30D87" w:rsidRDefault="005C158F" w:rsidP="004C6984">
      <w:pPr>
        <w:pStyle w:val="ListParagraph"/>
        <w:numPr>
          <w:ilvl w:val="0"/>
          <w:numId w:val="38"/>
        </w:numPr>
      </w:pPr>
      <w:r w:rsidRPr="00FD6642">
        <w:rPr>
          <w:b/>
          <w:bCs/>
        </w:rPr>
        <w:t>About the Central Australia Plan</w:t>
      </w:r>
      <w:r>
        <w:rPr>
          <w:b/>
          <w:bCs/>
        </w:rPr>
        <w:t xml:space="preserve"> – </w:t>
      </w:r>
      <w:r w:rsidRPr="005C158F">
        <w:t>this describes the CAP, its policy objectives, funding arrangements and priority streams.</w:t>
      </w:r>
    </w:p>
    <w:p w14:paraId="0B4FB62F" w14:textId="5751CAE1" w:rsidR="005C158F" w:rsidRDefault="005C158F" w:rsidP="004C6984">
      <w:pPr>
        <w:pStyle w:val="ListParagraph"/>
        <w:numPr>
          <w:ilvl w:val="0"/>
          <w:numId w:val="38"/>
        </w:numPr>
      </w:pPr>
      <w:r>
        <w:rPr>
          <w:b/>
          <w:bCs/>
        </w:rPr>
        <w:t>Evaluation methodology –</w:t>
      </w:r>
      <w:r>
        <w:t xml:space="preserve"> this outlines</w:t>
      </w:r>
      <w:r w:rsidRPr="00604B73">
        <w:t xml:space="preserve"> the</w:t>
      </w:r>
      <w:r>
        <w:t xml:space="preserve"> evaluation design,</w:t>
      </w:r>
      <w:r w:rsidRPr="00604B73">
        <w:t xml:space="preserve"> data collected and methods of analysis used to inform this report, including limitations to help frame how the report findings are interpreted</w:t>
      </w:r>
      <w:r>
        <w:t>.</w:t>
      </w:r>
    </w:p>
    <w:p w14:paraId="0E1DCD39" w14:textId="711EF301" w:rsidR="005C158F" w:rsidRDefault="005C158F" w:rsidP="004C6984">
      <w:pPr>
        <w:pStyle w:val="ListParagraph"/>
        <w:numPr>
          <w:ilvl w:val="0"/>
          <w:numId w:val="38"/>
        </w:numPr>
      </w:pPr>
      <w:r w:rsidRPr="005C158F">
        <w:rPr>
          <w:b/>
          <w:bCs/>
        </w:rPr>
        <w:t>Key insights –</w:t>
      </w:r>
      <w:r>
        <w:t xml:space="preserve"> this summarises the </w:t>
      </w:r>
      <w:r w:rsidRPr="00131344">
        <w:t xml:space="preserve">high-level </w:t>
      </w:r>
      <w:r>
        <w:t xml:space="preserve">evaluative </w:t>
      </w:r>
      <w:r w:rsidRPr="00131344">
        <w:t xml:space="preserve">insights </w:t>
      </w:r>
      <w:r>
        <w:t>from</w:t>
      </w:r>
      <w:r w:rsidRPr="00131344">
        <w:t xml:space="preserve"> the evaluation</w:t>
      </w:r>
      <w:r>
        <w:t>.</w:t>
      </w:r>
    </w:p>
    <w:p w14:paraId="58A3380B" w14:textId="3EEB1CFF" w:rsidR="005C158F" w:rsidRDefault="005C158F" w:rsidP="004C6984">
      <w:pPr>
        <w:pStyle w:val="ListParagraph"/>
        <w:numPr>
          <w:ilvl w:val="0"/>
          <w:numId w:val="38"/>
        </w:numPr>
      </w:pPr>
      <w:r>
        <w:rPr>
          <w:b/>
          <w:bCs/>
        </w:rPr>
        <w:t>Findings –</w:t>
      </w:r>
      <w:r>
        <w:t xml:space="preserve"> </w:t>
      </w:r>
      <w:proofErr w:type="gramStart"/>
      <w:r>
        <w:t>this details</w:t>
      </w:r>
      <w:proofErr w:type="gramEnd"/>
      <w:r>
        <w:t xml:space="preserve"> the findings against the five evaluation questions.</w:t>
      </w:r>
    </w:p>
    <w:p w14:paraId="34480E09" w14:textId="1770AC48" w:rsidR="005C158F" w:rsidRDefault="006709B0" w:rsidP="004C6984">
      <w:pPr>
        <w:pStyle w:val="ListParagraph"/>
        <w:numPr>
          <w:ilvl w:val="0"/>
          <w:numId w:val="38"/>
        </w:numPr>
      </w:pPr>
      <w:r>
        <w:rPr>
          <w:b/>
          <w:bCs/>
        </w:rPr>
        <w:t>Conclusions &amp; r</w:t>
      </w:r>
      <w:r w:rsidR="005C158F">
        <w:rPr>
          <w:b/>
          <w:bCs/>
        </w:rPr>
        <w:t>ecommendations –</w:t>
      </w:r>
      <w:r w:rsidR="005C158F">
        <w:t xml:space="preserve"> this o</w:t>
      </w:r>
      <w:r w:rsidR="005C158F" w:rsidRPr="00C45115">
        <w:t>utlines</w:t>
      </w:r>
      <w:r w:rsidR="005C158F">
        <w:t xml:space="preserve"> the implications of the findings and </w:t>
      </w:r>
      <w:r w:rsidR="005C158F" w:rsidRPr="00C45115">
        <w:t xml:space="preserve">a series of recommendations </w:t>
      </w:r>
      <w:r w:rsidR="005C158F">
        <w:t xml:space="preserve">designed </w:t>
      </w:r>
      <w:r w:rsidR="005C158F" w:rsidRPr="00C45115">
        <w:t>to address the matters identified by the evaluation</w:t>
      </w:r>
      <w:r w:rsidR="005C158F">
        <w:t>.</w:t>
      </w:r>
    </w:p>
    <w:p w14:paraId="0F756B81" w14:textId="585C3CB3" w:rsidR="005C158F" w:rsidRPr="003415BB" w:rsidRDefault="005C158F" w:rsidP="004C6984">
      <w:pPr>
        <w:pStyle w:val="ListParagraph"/>
        <w:numPr>
          <w:ilvl w:val="0"/>
          <w:numId w:val="38"/>
        </w:numPr>
      </w:pPr>
      <w:r w:rsidRPr="003415BB">
        <w:rPr>
          <w:b/>
          <w:bCs/>
        </w:rPr>
        <w:t xml:space="preserve">Appendices </w:t>
      </w:r>
      <w:r w:rsidR="003415BB" w:rsidRPr="003415BB">
        <w:rPr>
          <w:b/>
          <w:bCs/>
        </w:rPr>
        <w:t>A-H –</w:t>
      </w:r>
      <w:r w:rsidR="003415BB" w:rsidRPr="003415BB">
        <w:t xml:space="preserve"> provides more detailed information on references relied upon, Theory of Change and evaluation design, interview guides, stakeholders interviewed, </w:t>
      </w:r>
      <w:r w:rsidR="00B20C91">
        <w:t xml:space="preserve">and </w:t>
      </w:r>
      <w:r w:rsidR="003415BB" w:rsidRPr="003415BB">
        <w:t>CAP financial information.</w:t>
      </w:r>
    </w:p>
    <w:p w14:paraId="1AFE957E" w14:textId="77777777" w:rsidR="00B20C91" w:rsidRDefault="00B20C91">
      <w:pPr>
        <w:keepLines w:val="0"/>
        <w:widowControl/>
        <w:spacing w:before="0" w:after="0"/>
        <w:rPr>
          <w:b/>
          <w:color w:val="009999"/>
          <w:sz w:val="32"/>
          <w:szCs w:val="28"/>
        </w:rPr>
      </w:pPr>
      <w:bookmarkStart w:id="21" w:name="_Toc181184422"/>
      <w:r>
        <w:br w:type="page"/>
      </w:r>
    </w:p>
    <w:p w14:paraId="3BE115CB" w14:textId="65918740" w:rsidR="005835E2" w:rsidRPr="005835E2" w:rsidRDefault="00A3433E" w:rsidP="00DA4528">
      <w:pPr>
        <w:pStyle w:val="Heading1"/>
        <w:rPr>
          <w:rStyle w:val="ng-star-inserted"/>
        </w:rPr>
      </w:pPr>
      <w:bookmarkStart w:id="22" w:name="_Toc205475101"/>
      <w:r w:rsidRPr="003F1A53">
        <w:lastRenderedPageBreak/>
        <w:t xml:space="preserve">About </w:t>
      </w:r>
      <w:r>
        <w:t>the Central Australia Plan</w:t>
      </w:r>
      <w:bookmarkEnd w:id="22"/>
      <w:r>
        <w:t xml:space="preserve"> </w:t>
      </w:r>
      <w:bookmarkEnd w:id="21"/>
    </w:p>
    <w:p w14:paraId="7FFE4429" w14:textId="28121066" w:rsidR="00E15EEF" w:rsidRPr="0061015B" w:rsidRDefault="00E15EEF" w:rsidP="00E14CFE">
      <w:r w:rsidRPr="00CC76B0">
        <w:t xml:space="preserve">On 24 January 2023, Australia’s Prime Minister announced a $48.8 million package to stabilise Alice Springs and support immediate community needs. </w:t>
      </w:r>
      <w:r w:rsidRPr="0061015B">
        <w:rPr>
          <w:rFonts w:eastAsia="Times New Roman" w:cs="Segoe UI"/>
          <w:color w:val="404040"/>
          <w:lang w:eastAsia="en-US"/>
        </w:rPr>
        <w:t>Following this</w:t>
      </w:r>
      <w:r w:rsidR="00D16A06">
        <w:rPr>
          <w:rFonts w:eastAsia="Times New Roman" w:cs="Segoe UI"/>
          <w:color w:val="404040"/>
          <w:lang w:eastAsia="en-US"/>
        </w:rPr>
        <w:t>,</w:t>
      </w:r>
      <w:r w:rsidRPr="0061015B">
        <w:rPr>
          <w:rFonts w:eastAsia="Times New Roman" w:cs="Segoe UI"/>
          <w:color w:val="404040"/>
          <w:lang w:eastAsia="en-US"/>
        </w:rPr>
        <w:t xml:space="preserve"> it was recognised that a different approach was required to address alcohol related harm and improve outcomes against key social indicators for </w:t>
      </w:r>
      <w:r w:rsidR="006C2CF9">
        <w:rPr>
          <w:rFonts w:eastAsia="Times New Roman" w:cs="Segoe UI"/>
          <w:color w:val="404040"/>
          <w:lang w:eastAsia="en-US"/>
        </w:rPr>
        <w:t>First Nations</w:t>
      </w:r>
      <w:r w:rsidRPr="0061015B">
        <w:rPr>
          <w:rFonts w:eastAsia="Times New Roman" w:cs="Segoe UI"/>
          <w:color w:val="404040"/>
          <w:lang w:eastAsia="en-US"/>
        </w:rPr>
        <w:t xml:space="preserve"> people in Central Australia. </w:t>
      </w:r>
    </w:p>
    <w:p w14:paraId="5889C41E" w14:textId="0FAA3170" w:rsidR="00E15EEF" w:rsidRPr="0061015B" w:rsidRDefault="00E15EEF" w:rsidP="00E14CFE">
      <w:pPr>
        <w:rPr>
          <w:rFonts w:ascii="Segoe UI" w:hAnsi="Segoe UI"/>
          <w:sz w:val="18"/>
          <w:szCs w:val="18"/>
          <w:lang w:val="en-US"/>
        </w:rPr>
      </w:pPr>
      <w:r w:rsidRPr="0061015B">
        <w:t xml:space="preserve">The </w:t>
      </w:r>
      <w:r w:rsidR="1B68DFE9" w:rsidRPr="0061015B">
        <w:t>C</w:t>
      </w:r>
      <w:r w:rsidR="00B13445">
        <w:t>e</w:t>
      </w:r>
      <w:r w:rsidR="1B68DFE9" w:rsidRPr="0061015B">
        <w:t xml:space="preserve">ntral Australian Regional Controller (Regional Controller) and </w:t>
      </w:r>
      <w:r w:rsidRPr="0061015B">
        <w:t xml:space="preserve">Office of the Central Australian Regional Controller </w:t>
      </w:r>
      <w:r w:rsidR="00764E6E">
        <w:t xml:space="preserve">(OCARC) </w:t>
      </w:r>
      <w:r w:rsidRPr="0061015B">
        <w:t>w</w:t>
      </w:r>
      <w:r w:rsidR="3B63F9CE" w:rsidRPr="0061015B">
        <w:t>ere</w:t>
      </w:r>
      <w:r w:rsidRPr="0061015B">
        <w:t xml:space="preserve"> established by the Australian</w:t>
      </w:r>
      <w:r w:rsidR="00A55228">
        <w:t xml:space="preserve"> Government</w:t>
      </w:r>
      <w:r w:rsidRPr="0061015B">
        <w:t xml:space="preserve"> and </w:t>
      </w:r>
      <w:r w:rsidR="00330387">
        <w:t xml:space="preserve">the </w:t>
      </w:r>
      <w:r w:rsidR="00321164">
        <w:t>NTG</w:t>
      </w:r>
      <w:r w:rsidRPr="0061015B">
        <w:t xml:space="preserve"> to lead consultation with communities on alcohol restrictions and other needs and priorities. The </w:t>
      </w:r>
      <w:r w:rsidR="007417D4">
        <w:t>OCARC</w:t>
      </w:r>
      <w:r w:rsidRPr="0061015B">
        <w:t xml:space="preserve">, with the </w:t>
      </w:r>
      <w:r w:rsidR="005E5BCC">
        <w:t xml:space="preserve">Australian </w:t>
      </w:r>
      <w:r w:rsidR="004B7610" w:rsidRPr="00141FEE" w:rsidDel="00FE3F26">
        <w:rPr>
          <w:rFonts w:cs="Segoe UI"/>
        </w:rPr>
        <w:t>Government</w:t>
      </w:r>
      <w:r w:rsidRPr="0061015B">
        <w:t xml:space="preserve"> and </w:t>
      </w:r>
      <w:r w:rsidR="006C22BD">
        <w:t>NTG</w:t>
      </w:r>
      <w:r w:rsidRPr="0061015B">
        <w:t>, led two phases of engagement in twenty-one remote Central Australian communities from March to August 2023, listening and talking to remote community members about the issues they were experiencing.</w:t>
      </w:r>
      <w:r w:rsidRPr="0061015B">
        <w:rPr>
          <w:shd w:val="clear" w:color="auto" w:fill="FFFFFF"/>
        </w:rPr>
        <w:t> </w:t>
      </w:r>
      <w:r w:rsidRPr="0061015B">
        <w:rPr>
          <w:lang w:val="en-US"/>
        </w:rPr>
        <w:t> </w:t>
      </w:r>
    </w:p>
    <w:p w14:paraId="38358A0A" w14:textId="5B5965EE" w:rsidR="00E15EEF" w:rsidRPr="0061015B" w:rsidRDefault="00E15EEF" w:rsidP="00DA4528">
      <w:pPr>
        <w:rPr>
          <w:rFonts w:ascii="Segoe UI" w:hAnsi="Segoe UI"/>
          <w:sz w:val="18"/>
          <w:szCs w:val="18"/>
          <w:lang w:val="en-US" w:eastAsia="en-US"/>
        </w:rPr>
      </w:pPr>
      <w:r w:rsidRPr="0061015B">
        <w:rPr>
          <w:shd w:val="clear" w:color="auto" w:fill="FFFFFF"/>
          <w:lang w:eastAsia="en-US"/>
        </w:rPr>
        <w:t>O</w:t>
      </w:r>
      <w:r w:rsidRPr="0061015B">
        <w:rPr>
          <w:lang w:eastAsia="en-US"/>
        </w:rPr>
        <w:t xml:space="preserve">n 6 February 2023, the </w:t>
      </w:r>
      <w:r w:rsidR="00DD1081">
        <w:rPr>
          <w:lang w:eastAsia="en-US"/>
        </w:rPr>
        <w:t xml:space="preserve">Australian </w:t>
      </w:r>
      <w:r w:rsidR="004B7610" w:rsidRPr="00141FEE" w:rsidDel="00FE3F26">
        <w:rPr>
          <w:rFonts w:cs="Segoe UI"/>
        </w:rPr>
        <w:t>Government</w:t>
      </w:r>
      <w:r w:rsidRPr="0061015B">
        <w:rPr>
          <w:lang w:eastAsia="en-US"/>
        </w:rPr>
        <w:t xml:space="preserve"> announced a further $250 million to support </w:t>
      </w:r>
      <w:r w:rsidRPr="20DB1081">
        <w:rPr>
          <w:i/>
          <w:iCs/>
          <w:lang w:eastAsia="en-US"/>
        </w:rPr>
        <w:t>A Better, Safer Future for Central Australia</w:t>
      </w:r>
      <w:r w:rsidR="6A52BF06" w:rsidRPr="20DB1081">
        <w:rPr>
          <w:i/>
          <w:iCs/>
          <w:lang w:eastAsia="en-US"/>
        </w:rPr>
        <w:t xml:space="preserve">/ </w:t>
      </w:r>
      <w:r w:rsidR="6A52BF06" w:rsidRPr="1D5C208C">
        <w:rPr>
          <w:lang w:eastAsia="en-US"/>
        </w:rPr>
        <w:t>the</w:t>
      </w:r>
      <w:r w:rsidR="00B97E92" w:rsidRPr="1D5C208C">
        <w:rPr>
          <w:lang w:eastAsia="en-US"/>
        </w:rPr>
        <w:t xml:space="preserve"> </w:t>
      </w:r>
      <w:r w:rsidRPr="0061015B">
        <w:rPr>
          <w:lang w:eastAsia="en-US"/>
        </w:rPr>
        <w:t>CAP</w:t>
      </w:r>
      <w:r w:rsidR="001B2C9F">
        <w:rPr>
          <w:lang w:eastAsia="en-US"/>
        </w:rPr>
        <w:t xml:space="preserve">. </w:t>
      </w:r>
      <w:r w:rsidRPr="0061015B">
        <w:rPr>
          <w:lang w:eastAsia="en-US"/>
        </w:rPr>
        <w:t>The focus of this evaluation is the implementation of the $250 million, four-year plan (noting initiatives under the CAP now extend beyond four years, and total funding commitments exceed $3</w:t>
      </w:r>
      <w:r w:rsidR="00673A98">
        <w:rPr>
          <w:lang w:eastAsia="en-US"/>
        </w:rPr>
        <w:t>5</w:t>
      </w:r>
      <w:r w:rsidRPr="0061015B">
        <w:rPr>
          <w:lang w:eastAsia="en-US"/>
        </w:rPr>
        <w:t>0 million).</w:t>
      </w:r>
      <w:r w:rsidRPr="0061015B">
        <w:rPr>
          <w:lang w:val="en-US" w:eastAsia="en-US"/>
        </w:rPr>
        <w:t> </w:t>
      </w:r>
    </w:p>
    <w:p w14:paraId="30E3B235" w14:textId="4205A1DB" w:rsidR="00E15EEF" w:rsidRPr="0061015B" w:rsidRDefault="00E15EEF" w:rsidP="00DA4528">
      <w:pPr>
        <w:rPr>
          <w:rFonts w:ascii="Segoe UI" w:hAnsi="Segoe UI"/>
          <w:sz w:val="18"/>
          <w:szCs w:val="18"/>
          <w:lang w:val="en-US" w:eastAsia="en-US"/>
        </w:rPr>
      </w:pPr>
      <w:r w:rsidRPr="0061015B">
        <w:rPr>
          <w:lang w:eastAsia="en-US"/>
        </w:rPr>
        <w:t xml:space="preserve">Underpinning the funding packages is the need to </w:t>
      </w:r>
      <w:r w:rsidR="00F62B5B" w:rsidRPr="00F62B5B">
        <w:rPr>
          <w:lang w:eastAsia="en-US"/>
        </w:rPr>
        <w:t>‘</w:t>
      </w:r>
      <w:r w:rsidRPr="00F62B5B">
        <w:rPr>
          <w:lang w:eastAsia="en-US"/>
        </w:rPr>
        <w:t>do things differently</w:t>
      </w:r>
      <w:r w:rsidR="00F62B5B" w:rsidRPr="00F62B5B">
        <w:rPr>
          <w:lang w:eastAsia="en-US"/>
        </w:rPr>
        <w:t>’</w:t>
      </w:r>
      <w:r w:rsidRPr="0061015B">
        <w:rPr>
          <w:i/>
          <w:iCs/>
          <w:lang w:eastAsia="en-US"/>
        </w:rPr>
        <w:t>.</w:t>
      </w:r>
      <w:r w:rsidRPr="0061015B">
        <w:rPr>
          <w:lang w:eastAsia="en-US"/>
        </w:rPr>
        <w:t xml:space="preserve"> In the National Agreement, governments agreed to ‘do things differently’ by working in partnership with </w:t>
      </w:r>
      <w:r w:rsidR="00F62B5B">
        <w:rPr>
          <w:lang w:eastAsia="en-US"/>
        </w:rPr>
        <w:t>First Nations</w:t>
      </w:r>
      <w:r w:rsidRPr="0061015B">
        <w:rPr>
          <w:lang w:eastAsia="en-US"/>
        </w:rPr>
        <w:t xml:space="preserve"> organisations and communities to make decisions and improve life outcomes for all Aboriginal and Torres Strait Islander people.</w:t>
      </w:r>
      <w:r w:rsidR="00C762CE">
        <w:rPr>
          <w:rStyle w:val="FootnoteReference"/>
          <w:lang w:eastAsia="en-US"/>
        </w:rPr>
        <w:footnoteReference w:id="10"/>
      </w:r>
      <w:r w:rsidRPr="0061015B">
        <w:rPr>
          <w:lang w:eastAsia="en-US"/>
        </w:rPr>
        <w:t xml:space="preserve"> In the CAP, this includes establishing the systems that enable shared decision-making authority for </w:t>
      </w:r>
      <w:r w:rsidR="00F62B5B">
        <w:rPr>
          <w:lang w:eastAsia="en-US"/>
        </w:rPr>
        <w:t>First Nations</w:t>
      </w:r>
      <w:r w:rsidRPr="0061015B">
        <w:rPr>
          <w:lang w:eastAsia="en-US"/>
        </w:rPr>
        <w:t xml:space="preserve"> people in Central Australia through formal partnership arrangements such as the ALG and YRT.</w:t>
      </w:r>
      <w:r w:rsidR="00C762CE">
        <w:rPr>
          <w:rStyle w:val="FootnoteReference"/>
          <w:lang w:eastAsia="en-US"/>
        </w:rPr>
        <w:footnoteReference w:id="11"/>
      </w:r>
      <w:r w:rsidRPr="0061015B">
        <w:rPr>
          <w:lang w:eastAsia="en-US"/>
        </w:rPr>
        <w:t>  </w:t>
      </w:r>
      <w:r w:rsidRPr="0061015B">
        <w:rPr>
          <w:lang w:val="en-US" w:eastAsia="en-US"/>
        </w:rPr>
        <w:t> </w:t>
      </w:r>
    </w:p>
    <w:p w14:paraId="67C3B61F" w14:textId="33B9C430" w:rsidR="00E9392B" w:rsidRDefault="00E9392B" w:rsidP="00BF0F69">
      <w:pPr>
        <w:pStyle w:val="Heading6"/>
      </w:pPr>
      <w:r>
        <w:t xml:space="preserve">Figure </w:t>
      </w:r>
      <w:r w:rsidR="005B3ED2">
        <w:t>2</w:t>
      </w:r>
      <w:r w:rsidR="001A6F66">
        <w:t>:</w:t>
      </w:r>
      <w:r>
        <w:t xml:space="preserve"> </w:t>
      </w:r>
      <w:r w:rsidRPr="00EE561C">
        <w:t xml:space="preserve">The Centralia Australian Plan – Boundaries and Main </w:t>
      </w:r>
      <w:proofErr w:type="gramStart"/>
      <w:r w:rsidRPr="00EE561C">
        <w:t>communities</w:t>
      </w:r>
      <w:proofErr w:type="gramEnd"/>
      <w:r w:rsidRPr="00EE561C">
        <w:t xml:space="preserve"> map</w:t>
      </w:r>
      <w:r w:rsidR="00B20C91">
        <w:t>.</w:t>
      </w:r>
      <w:r w:rsidR="00C97F31">
        <w:rPr>
          <w:rStyle w:val="FootnoteReference"/>
        </w:rPr>
        <w:footnoteReference w:id="12"/>
      </w:r>
      <w:r>
        <w:br/>
      </w:r>
      <w:r>
        <w:rPr>
          <w:noProof/>
          <w14:ligatures w14:val="standardContextual"/>
        </w:rPr>
        <w:drawing>
          <wp:inline distT="0" distB="0" distL="0" distR="0" wp14:anchorId="46B0FB2E" wp14:editId="3858AD14">
            <wp:extent cx="5962600" cy="4066162"/>
            <wp:effectExtent l="0" t="0" r="0" b="0"/>
            <wp:docPr id="174962279" name="Picture 1" descr="This map outlines the boundaries and main communities of the Central Australia Plan, including the Alice Springs Local Government Area in red, the Central Desert Local Government Area in light yellow, and the MacDonnell Local Government Area in pink. The dots represent Central Australia Community, the triangles represent the Northern Territory Freehold Town, and the strikethrough grey lines indicate operational rail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2279" name="Picture 1" descr="This map outlines the boundaries and main communities of the Central Australia Plan, including the Alice Springs Local Government Area in red, the Central Desert Local Government Area in light yellow, and the MacDonnell Local Government Area in pink. The dots represent Central Australia Community, the triangles represent the Northern Territory Freehold Town, and the strikethrough grey lines indicate operational railway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21359" cy="4106232"/>
                    </a:xfrm>
                    <a:prstGeom prst="rect">
                      <a:avLst/>
                    </a:prstGeom>
                  </pic:spPr>
                </pic:pic>
              </a:graphicData>
            </a:graphic>
          </wp:inline>
        </w:drawing>
      </w:r>
    </w:p>
    <w:p w14:paraId="4A0897B6" w14:textId="24AF00D3" w:rsidR="00E9392B" w:rsidRPr="0091462C" w:rsidRDefault="00E9392B" w:rsidP="0091462C">
      <w:pPr>
        <w:pStyle w:val="Heading6"/>
        <w:rPr>
          <w:rFonts w:eastAsia="Times New Roman" w:cs="Times New Roman"/>
          <w:lang w:val="en-US" w:eastAsia="en-US"/>
        </w:rPr>
      </w:pPr>
      <w:r>
        <w:lastRenderedPageBreak/>
        <w:t>Figure</w:t>
      </w:r>
      <w:r w:rsidR="002C7C85">
        <w:t xml:space="preserve"> </w:t>
      </w:r>
      <w:r w:rsidR="005B3ED2">
        <w:t>3</w:t>
      </w:r>
      <w:r w:rsidR="001A6F66">
        <w:t>:</w:t>
      </w:r>
      <w:r>
        <w:t xml:space="preserve"> </w:t>
      </w:r>
      <w:r w:rsidR="00DD11CE" w:rsidRPr="003E1269">
        <w:t>Remote Community Clusters</w:t>
      </w:r>
      <w:r w:rsidR="00BA4940" w:rsidRPr="003E1269">
        <w:t xml:space="preserve"> and towns within them</w:t>
      </w:r>
      <w:r w:rsidR="00DD11CE" w:rsidRPr="003E1269">
        <w:t xml:space="preserve"> </w:t>
      </w:r>
      <w:r w:rsidR="00F545D6" w:rsidRPr="003E1269">
        <w:t xml:space="preserve">that have received funding under the CAP. Defined using the </w:t>
      </w:r>
      <w:r w:rsidR="00335516">
        <w:t>seven</w:t>
      </w:r>
      <w:r w:rsidR="00F545D6" w:rsidRPr="003E1269">
        <w:t xml:space="preserve"> OCARC groupings</w:t>
      </w:r>
      <w:r w:rsidR="00BA4940" w:rsidRPr="003E1269">
        <w:t>.</w:t>
      </w:r>
      <w:r w:rsidR="00BA4940">
        <w:rPr>
          <w:rStyle w:val="FootnoteReference"/>
        </w:rPr>
        <w:footnoteReference w:id="13"/>
      </w:r>
      <w:r>
        <w:br/>
      </w:r>
      <w:r w:rsidRPr="00AE4AB6">
        <w:rPr>
          <w:noProof/>
        </w:rPr>
        <w:drawing>
          <wp:inline distT="0" distB="0" distL="0" distR="0" wp14:anchorId="50AEB5E9" wp14:editId="2CD2D4C0">
            <wp:extent cx="5771818" cy="3200400"/>
            <wp:effectExtent l="0" t="0" r="0" b="0"/>
            <wp:docPr id="1029" name="Picture 5" descr="This figure shows the Southern Tanami cluster that includes Yuendumu, Yuelamu, Nyirripi (Waite Creek). The next cluster is Anmatjere which includes Ti Tree, Wilora, Willowra and Laramba (Napperby). The next cluster is The Plenty which includes Engawala, Orrtipa-Thurra (Bonya), and AtitJere (Harts Range). The next cluster is Rodinga, including Amoonguna, Ltyentye Apurte (Santa Teresa), Titjikala (Maryvale) and Aputula (Finke). The next cluster is Ljirapinta including Ntaria (Hermansburg), Areyonga (Utju) and Wallace Rockholde. These clusters are separated by the final clusters by a dotted black line with a clack circle indicating Mparntwe. The second last cluster is on the other side of the dotted line and is Luritja Pintubi, including Kintore, Amunturangu (Mount Liebig), Papunya and Haasts Bluff. The final remaining cluster is Iyarrka and includes Kaltukatjara (Docker River) Mutitjulu and Imanpa (Mt Ebane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This figure shows the Southern Tanami cluster that includes Yuendumu, Yuelamu, Nyirripi (Waite Creek). The next cluster is Anmatjere which includes Ti Tree, Wilora, Willowra and Laramba (Napperby). The next cluster is The Plenty which includes Engawala, Orrtipa-Thurra (Bonya), and AtitJere (Harts Range). The next cluster is Rodinga, including Amoonguna, Ltyentye Apurte (Santa Teresa), Titjikala (Maryvale) and Aputula (Finke). The next cluster is Ljirapinta including Ntaria (Hermansburg), Areyonga (Utju) and Wallace Rockholde. These clusters are separated by the final clusters by a dotted black line with a clack circle indicating Mparntwe. The second last cluster is on the other side of the dotted line and is Luritja Pintubi, including Kintore, Amunturangu (Mount Liebig), Papunya and Haasts Bluff. The final remaining cluster is Iyarrka and includes Kaltukatjara (Docker River) Mutitjulu and Imanpa (Mt Ebaneeze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8804"/>
                    <a:stretch/>
                  </pic:blipFill>
                  <pic:spPr bwMode="auto">
                    <a:xfrm>
                      <a:off x="0" y="0"/>
                      <a:ext cx="5859368" cy="3248945"/>
                    </a:xfrm>
                    <a:prstGeom prst="rect">
                      <a:avLst/>
                    </a:prstGeom>
                    <a:noFill/>
                    <a:ln>
                      <a:noFill/>
                    </a:ln>
                  </pic:spPr>
                </pic:pic>
              </a:graphicData>
            </a:graphic>
          </wp:inline>
        </w:drawing>
      </w:r>
    </w:p>
    <w:p w14:paraId="5BA09BBE" w14:textId="77777777" w:rsidR="00335516" w:rsidRDefault="00335516">
      <w:pPr>
        <w:keepLines w:val="0"/>
        <w:widowControl/>
        <w:spacing w:before="0" w:after="0"/>
        <w:rPr>
          <w:b/>
          <w:color w:val="009999"/>
          <w:sz w:val="32"/>
          <w:szCs w:val="28"/>
        </w:rPr>
      </w:pPr>
      <w:bookmarkStart w:id="24" w:name="_Evaluation_methodology"/>
      <w:bookmarkEnd w:id="24"/>
      <w:r>
        <w:br w:type="page"/>
      </w:r>
    </w:p>
    <w:p w14:paraId="117F3B6B" w14:textId="731083E3" w:rsidR="00297171" w:rsidRPr="00695738" w:rsidDel="0098237E" w:rsidRDefault="00E54303" w:rsidP="00DA4528">
      <w:pPr>
        <w:pStyle w:val="Heading1"/>
      </w:pPr>
      <w:bookmarkStart w:id="25" w:name="_Toc205475102"/>
      <w:r>
        <w:lastRenderedPageBreak/>
        <w:t xml:space="preserve">Evaluation </w:t>
      </w:r>
      <w:r w:rsidR="1126BA64">
        <w:t>m</w:t>
      </w:r>
      <w:r w:rsidR="003F1A53">
        <w:t>ethodology</w:t>
      </w:r>
      <w:bookmarkEnd w:id="25"/>
    </w:p>
    <w:p w14:paraId="478B3EE2" w14:textId="35F7FD24" w:rsidR="0071740F" w:rsidRPr="00F72A52" w:rsidRDefault="00695738" w:rsidP="00F72A52">
      <w:pPr>
        <w:rPr>
          <w:lang w:val="en-GB"/>
        </w:rPr>
      </w:pPr>
      <w:r w:rsidRPr="00A3637C">
        <w:rPr>
          <w:lang w:val="en-GB"/>
        </w:rPr>
        <w:t>The evaluation was designed as a theory-driven</w:t>
      </w:r>
      <w:r w:rsidRPr="00002FB1">
        <w:rPr>
          <w:rStyle w:val="FootnoteReference"/>
          <w:lang w:val="en-GB"/>
        </w:rPr>
        <w:footnoteReference w:id="14"/>
      </w:r>
      <w:r w:rsidRPr="00002FB1">
        <w:rPr>
          <w:lang w:val="en-GB"/>
        </w:rPr>
        <w:t xml:space="preserve"> </w:t>
      </w:r>
      <w:r w:rsidRPr="00A3637C">
        <w:rPr>
          <w:lang w:val="en-GB"/>
        </w:rPr>
        <w:t>mixed methodology evaluation. The design of the overarching evaluation is rooted in the CAP Theory of Change</w:t>
      </w:r>
      <w:r w:rsidR="009F5893">
        <w:rPr>
          <w:lang w:val="en-GB"/>
        </w:rPr>
        <w:t xml:space="preserve"> (</w:t>
      </w:r>
      <w:proofErr w:type="spellStart"/>
      <w:r w:rsidR="009F5893">
        <w:rPr>
          <w:lang w:val="en-GB"/>
        </w:rPr>
        <w:t>ToC</w:t>
      </w:r>
      <w:proofErr w:type="spellEnd"/>
      <w:r w:rsidR="009F5893">
        <w:rPr>
          <w:lang w:val="en-GB"/>
        </w:rPr>
        <w:t>)</w:t>
      </w:r>
      <w:r w:rsidRPr="00A3637C">
        <w:rPr>
          <w:lang w:val="en-GB"/>
        </w:rPr>
        <w:t xml:space="preserve"> at</w:t>
      </w:r>
      <w:r w:rsidRPr="00335516">
        <w:rPr>
          <w:color w:val="5AA2AE" w:themeColor="accent5"/>
          <w:lang w:val="en-GB"/>
        </w:rPr>
        <w:t xml:space="preserve"> </w:t>
      </w:r>
      <w:hyperlink w:anchor="_Appendix_A:_The" w:history="1">
        <w:r w:rsidR="00593346" w:rsidRPr="00593346">
          <w:rPr>
            <w:rStyle w:val="Hyperlink"/>
            <w:bCs/>
            <w:color w:val="404040" w:themeColor="text1" w:themeTint="BF"/>
            <w:u w:val="none"/>
            <w:lang w:val="en-GB"/>
          </w:rPr>
          <w:t>Appendix</w:t>
        </w:r>
      </w:hyperlink>
      <w:r w:rsidR="00593346" w:rsidRPr="00593346">
        <w:rPr>
          <w:bCs/>
          <w:lang w:val="en-GB"/>
        </w:rPr>
        <w:t xml:space="preserve"> B</w:t>
      </w:r>
      <w:r w:rsidRPr="00593346">
        <w:rPr>
          <w:bCs/>
          <w:lang w:val="en-GB"/>
        </w:rPr>
        <w:t>,</w:t>
      </w:r>
      <w:r w:rsidRPr="00593346">
        <w:rPr>
          <w:lang w:val="en-GB"/>
        </w:rPr>
        <w:t xml:space="preserve"> </w:t>
      </w:r>
      <w:r w:rsidRPr="00A3637C">
        <w:rPr>
          <w:lang w:val="en-GB"/>
        </w:rPr>
        <w:t xml:space="preserve">which was tested and revised with key stakeholders including NIAA and the ALG during the evaluation design process. </w:t>
      </w:r>
      <w:r w:rsidR="0083304D" w:rsidRPr="00E23F04">
        <w:t>Detail on how</w:t>
      </w:r>
      <w:r w:rsidR="00F72A52">
        <w:t xml:space="preserve"> </w:t>
      </w:r>
      <w:r w:rsidR="0083304D" w:rsidRPr="00E23F04">
        <w:t>this final report address</w:t>
      </w:r>
      <w:r w:rsidR="008C2131">
        <w:t>es</w:t>
      </w:r>
      <w:r w:rsidR="0083304D" w:rsidRPr="00E23F04">
        <w:t xml:space="preserve"> the </w:t>
      </w:r>
      <w:r w:rsidR="007D03CE">
        <w:t>evaluation questions including their areas of focus</w:t>
      </w:r>
      <w:r w:rsidR="0083304D" w:rsidRPr="00E23F04">
        <w:t xml:space="preserve"> can be found </w:t>
      </w:r>
      <w:r w:rsidR="00593346">
        <w:t>at Appendix C.</w:t>
      </w:r>
    </w:p>
    <w:p w14:paraId="0BD2CB50" w14:textId="6CDA490F" w:rsidR="2396955C" w:rsidRPr="00EC6311" w:rsidRDefault="00A27FB0" w:rsidP="00DA4528">
      <w:pPr>
        <w:pStyle w:val="Heading2"/>
        <w:rPr>
          <w:lang w:val="en-GB"/>
        </w:rPr>
      </w:pPr>
      <w:r w:rsidRPr="00EC6311">
        <w:rPr>
          <w:lang w:val="en-GB"/>
        </w:rPr>
        <w:t>Evaluation objectives</w:t>
      </w:r>
      <w:r w:rsidR="00FC2F4D">
        <w:rPr>
          <w:lang w:val="en-GB"/>
        </w:rPr>
        <w:t xml:space="preserve"> and questions</w:t>
      </w:r>
    </w:p>
    <w:p w14:paraId="74559B74" w14:textId="115CF1A1" w:rsidR="4FE3534D" w:rsidRPr="00335516" w:rsidRDefault="4FE3534D" w:rsidP="004D247D">
      <w:pPr>
        <w:rPr>
          <w:lang w:val="en-GB"/>
        </w:rPr>
      </w:pPr>
      <w:r w:rsidRPr="00335516">
        <w:rPr>
          <w:lang w:val="en-GB"/>
        </w:rPr>
        <w:t xml:space="preserve">The outcomes of this evaluation will inform NIAA’s place-based approach in Central Australia, in doing so this evaluation aims to contribute to: </w:t>
      </w:r>
    </w:p>
    <w:p w14:paraId="102D815E" w14:textId="43B76F07" w:rsidR="4FE3534D" w:rsidRPr="00335516" w:rsidRDefault="0063525F" w:rsidP="004C6984">
      <w:pPr>
        <w:pStyle w:val="ListParagraph"/>
        <w:numPr>
          <w:ilvl w:val="0"/>
          <w:numId w:val="21"/>
        </w:numPr>
      </w:pPr>
      <w:r w:rsidRPr="00335516">
        <w:t>U</w:t>
      </w:r>
      <w:r w:rsidR="4FE3534D" w:rsidRPr="00335516">
        <w:t xml:space="preserve">nderstanding how the CAP is being implemented, including the process of delivery </w:t>
      </w:r>
      <w:r w:rsidR="00372812" w:rsidRPr="00335516">
        <w:t xml:space="preserve">specific to the priority of </w:t>
      </w:r>
      <w:r w:rsidR="008666B6" w:rsidRPr="00335516">
        <w:t>‘doing things differently’</w:t>
      </w:r>
      <w:r w:rsidR="00372812" w:rsidRPr="00335516">
        <w:t xml:space="preserve"> </w:t>
      </w:r>
      <w:r w:rsidR="4FE3534D" w:rsidRPr="00335516">
        <w:t>(</w:t>
      </w:r>
      <w:r w:rsidR="00335516" w:rsidRPr="00335516">
        <w:rPr>
          <w:b/>
          <w:bCs/>
        </w:rPr>
        <w:t>P</w:t>
      </w:r>
      <w:r w:rsidR="4FE3534D" w:rsidRPr="00335516">
        <w:rPr>
          <w:b/>
          <w:bCs/>
        </w:rPr>
        <w:t>rocess</w:t>
      </w:r>
      <w:r w:rsidR="4FE3534D" w:rsidRPr="00335516">
        <w:t>)</w:t>
      </w:r>
      <w:r w:rsidR="005D3596" w:rsidRPr="00335516">
        <w:t>.</w:t>
      </w:r>
    </w:p>
    <w:p w14:paraId="5F88C35E" w14:textId="669609AC" w:rsidR="4FE3534D" w:rsidRPr="00335516" w:rsidRDefault="0063525F" w:rsidP="004C6984">
      <w:pPr>
        <w:pStyle w:val="ListParagraph"/>
        <w:numPr>
          <w:ilvl w:val="0"/>
          <w:numId w:val="21"/>
        </w:numPr>
      </w:pPr>
      <w:r w:rsidRPr="00335516">
        <w:t>I</w:t>
      </w:r>
      <w:r w:rsidR="4FE3534D" w:rsidRPr="00335516">
        <w:t xml:space="preserve">dentifying any early outcomes in terms of </w:t>
      </w:r>
      <w:r w:rsidR="008666B6" w:rsidRPr="00335516">
        <w:t xml:space="preserve">‘doing things differently’ </w:t>
      </w:r>
      <w:r w:rsidR="4FE3534D" w:rsidRPr="00335516">
        <w:t>as well as positive life outcomes (</w:t>
      </w:r>
      <w:r w:rsidR="00335516" w:rsidRPr="00335516">
        <w:rPr>
          <w:b/>
          <w:bCs/>
        </w:rPr>
        <w:t>O</w:t>
      </w:r>
      <w:r w:rsidR="4FE3534D" w:rsidRPr="00335516">
        <w:rPr>
          <w:b/>
          <w:bCs/>
        </w:rPr>
        <w:t>utcome</w:t>
      </w:r>
      <w:r w:rsidR="4FE3534D" w:rsidRPr="00335516">
        <w:t>)</w:t>
      </w:r>
      <w:r w:rsidR="005D3596" w:rsidRPr="00335516">
        <w:t>.</w:t>
      </w:r>
    </w:p>
    <w:p w14:paraId="75515118" w14:textId="3BE8EC1A" w:rsidR="777A8A72" w:rsidRPr="00335516" w:rsidRDefault="0063525F" w:rsidP="004C6984">
      <w:pPr>
        <w:pStyle w:val="ListParagraph"/>
        <w:numPr>
          <w:ilvl w:val="0"/>
          <w:numId w:val="21"/>
        </w:numPr>
      </w:pPr>
      <w:r w:rsidRPr="00335516">
        <w:t>I</w:t>
      </w:r>
      <w:r w:rsidR="4FE3534D" w:rsidRPr="00335516">
        <w:t>dentifying lessons learned on implementation (</w:t>
      </w:r>
      <w:r w:rsidR="00335516" w:rsidRPr="00335516">
        <w:rPr>
          <w:b/>
          <w:bCs/>
        </w:rPr>
        <w:t>F</w:t>
      </w:r>
      <w:r w:rsidR="4FE3534D" w:rsidRPr="00335516">
        <w:rPr>
          <w:b/>
          <w:bCs/>
        </w:rPr>
        <w:t>uture</w:t>
      </w:r>
      <w:r w:rsidR="4FE3534D" w:rsidRPr="00335516">
        <w:t>).</w:t>
      </w:r>
    </w:p>
    <w:p w14:paraId="1E1A7124" w14:textId="220F133A" w:rsidR="00B51CA7" w:rsidRPr="00335516" w:rsidRDefault="006239DA" w:rsidP="004D247D">
      <w:pPr>
        <w:rPr>
          <w:lang w:val="en-GB"/>
        </w:rPr>
      </w:pPr>
      <w:r w:rsidRPr="00335516">
        <w:rPr>
          <w:lang w:val="en-GB"/>
        </w:rPr>
        <w:t xml:space="preserve">To fulfil the above objectives, the evaluation </w:t>
      </w:r>
      <w:r w:rsidR="006D39D4" w:rsidRPr="00335516">
        <w:rPr>
          <w:lang w:val="en-GB"/>
        </w:rPr>
        <w:t>sought to answer</w:t>
      </w:r>
      <w:r w:rsidR="00DC5756" w:rsidRPr="00335516">
        <w:rPr>
          <w:lang w:val="en-GB"/>
        </w:rPr>
        <w:t xml:space="preserve"> </w:t>
      </w:r>
      <w:r w:rsidRPr="00335516">
        <w:rPr>
          <w:lang w:val="en-GB"/>
        </w:rPr>
        <w:t>the following questions</w:t>
      </w:r>
      <w:r w:rsidR="00B51CA7" w:rsidRPr="00335516">
        <w:rPr>
          <w:lang w:val="en-GB"/>
        </w:rPr>
        <w:t xml:space="preserve">. </w:t>
      </w:r>
    </w:p>
    <w:p w14:paraId="0F1691AE" w14:textId="6460B262" w:rsidR="00586851" w:rsidRPr="00335516" w:rsidRDefault="00586851" w:rsidP="004C6984">
      <w:pPr>
        <w:pStyle w:val="ListParagraph"/>
        <w:numPr>
          <w:ilvl w:val="0"/>
          <w:numId w:val="18"/>
        </w:numPr>
        <w:rPr>
          <w:lang w:val="en-GB"/>
        </w:rPr>
      </w:pPr>
      <w:r w:rsidRPr="00335516">
        <w:rPr>
          <w:lang w:val="en-GB"/>
        </w:rPr>
        <w:t>What is the current state of CAP implementation? (</w:t>
      </w:r>
      <w:r w:rsidR="00335516" w:rsidRPr="00335516">
        <w:rPr>
          <w:b/>
          <w:bCs/>
          <w:lang w:val="en-GB"/>
        </w:rPr>
        <w:t>P</w:t>
      </w:r>
      <w:r w:rsidRPr="00335516">
        <w:rPr>
          <w:b/>
          <w:bCs/>
          <w:lang w:val="en-GB"/>
        </w:rPr>
        <w:t>rocess</w:t>
      </w:r>
      <w:r w:rsidRPr="00335516">
        <w:rPr>
          <w:lang w:val="en-GB"/>
        </w:rPr>
        <w:t>)</w:t>
      </w:r>
    </w:p>
    <w:p w14:paraId="6FDF7243" w14:textId="1028756B" w:rsidR="00586851" w:rsidRPr="00335516" w:rsidRDefault="00586851" w:rsidP="004C6984">
      <w:pPr>
        <w:pStyle w:val="ListParagraph"/>
        <w:numPr>
          <w:ilvl w:val="0"/>
          <w:numId w:val="18"/>
        </w:numPr>
        <w:rPr>
          <w:lang w:val="en-GB"/>
        </w:rPr>
      </w:pPr>
      <w:r w:rsidRPr="00335516">
        <w:rPr>
          <w:lang w:val="en-GB"/>
        </w:rPr>
        <w:t>How has the CAP been implemented differently? (</w:t>
      </w:r>
      <w:r w:rsidR="00335516" w:rsidRPr="00335516">
        <w:rPr>
          <w:b/>
          <w:bCs/>
          <w:lang w:val="en-GB"/>
        </w:rPr>
        <w:t>P</w:t>
      </w:r>
      <w:r w:rsidRPr="00335516">
        <w:rPr>
          <w:b/>
          <w:bCs/>
          <w:lang w:val="en-GB"/>
        </w:rPr>
        <w:t>rocess</w:t>
      </w:r>
      <w:r w:rsidRPr="00335516">
        <w:rPr>
          <w:lang w:val="en-GB"/>
        </w:rPr>
        <w:t>)</w:t>
      </w:r>
    </w:p>
    <w:p w14:paraId="6A2F5B10" w14:textId="12C2438F" w:rsidR="00586851" w:rsidRPr="00335516" w:rsidRDefault="00586851" w:rsidP="004C6984">
      <w:pPr>
        <w:pStyle w:val="ListParagraph"/>
        <w:numPr>
          <w:ilvl w:val="0"/>
          <w:numId w:val="18"/>
        </w:numPr>
        <w:rPr>
          <w:lang w:val="en-GB"/>
        </w:rPr>
      </w:pPr>
      <w:r w:rsidRPr="00335516">
        <w:rPr>
          <w:lang w:val="en-GB"/>
        </w:rPr>
        <w:t>What early short-term outcomes from the CAP are we seeing in terms of ‘doing things differently’? (</w:t>
      </w:r>
      <w:r w:rsidR="00335516" w:rsidRPr="00335516">
        <w:rPr>
          <w:b/>
          <w:bCs/>
          <w:lang w:val="en-GB"/>
        </w:rPr>
        <w:t>O</w:t>
      </w:r>
      <w:r w:rsidRPr="00335516">
        <w:rPr>
          <w:b/>
          <w:bCs/>
          <w:lang w:val="en-GB"/>
        </w:rPr>
        <w:t>utcome</w:t>
      </w:r>
      <w:r w:rsidRPr="00335516">
        <w:rPr>
          <w:lang w:val="en-GB"/>
        </w:rPr>
        <w:t>)</w:t>
      </w:r>
    </w:p>
    <w:p w14:paraId="43922DB2" w14:textId="29588B6E" w:rsidR="00335516" w:rsidRDefault="00586851" w:rsidP="004C6984">
      <w:pPr>
        <w:pStyle w:val="ListParagraph"/>
        <w:numPr>
          <w:ilvl w:val="0"/>
          <w:numId w:val="18"/>
        </w:numPr>
        <w:rPr>
          <w:lang w:val="en-GB"/>
        </w:rPr>
      </w:pPr>
      <w:r w:rsidRPr="00335516">
        <w:rPr>
          <w:lang w:val="en-GB"/>
        </w:rPr>
        <w:t>What early short-term outcomes from the CAP are we seeing in terms of positive life and community outcomes? (</w:t>
      </w:r>
      <w:r w:rsidR="00335516" w:rsidRPr="00335516">
        <w:rPr>
          <w:b/>
          <w:bCs/>
          <w:lang w:val="en-GB"/>
        </w:rPr>
        <w:t>O</w:t>
      </w:r>
      <w:r w:rsidRPr="00335516">
        <w:rPr>
          <w:b/>
          <w:bCs/>
          <w:lang w:val="en-GB"/>
        </w:rPr>
        <w:t>utcome</w:t>
      </w:r>
      <w:r w:rsidRPr="00335516">
        <w:rPr>
          <w:lang w:val="en-GB"/>
        </w:rPr>
        <w:t>)</w:t>
      </w:r>
    </w:p>
    <w:p w14:paraId="645E0EF1" w14:textId="54544AAB" w:rsidR="00673526" w:rsidRPr="00335516" w:rsidRDefault="00586851" w:rsidP="004C6984">
      <w:pPr>
        <w:pStyle w:val="ListParagraph"/>
        <w:numPr>
          <w:ilvl w:val="0"/>
          <w:numId w:val="18"/>
        </w:numPr>
        <w:rPr>
          <w:lang w:val="en-GB"/>
        </w:rPr>
      </w:pPr>
      <w:r w:rsidRPr="00335516">
        <w:rPr>
          <w:lang w:val="en-GB"/>
        </w:rPr>
        <w:t>What are the lessons learnt from the CAP process so far? (</w:t>
      </w:r>
      <w:r w:rsidR="00335516" w:rsidRPr="00335516">
        <w:rPr>
          <w:b/>
          <w:bCs/>
          <w:lang w:val="en-GB"/>
        </w:rPr>
        <w:t>F</w:t>
      </w:r>
      <w:r w:rsidRPr="00335516">
        <w:rPr>
          <w:b/>
          <w:bCs/>
          <w:lang w:val="en-GB"/>
        </w:rPr>
        <w:t>uture</w:t>
      </w:r>
      <w:r w:rsidRPr="00335516">
        <w:rPr>
          <w:lang w:val="en-GB"/>
        </w:rPr>
        <w:t>)</w:t>
      </w:r>
    </w:p>
    <w:p w14:paraId="1DF733EC" w14:textId="77777777" w:rsidR="00A16388" w:rsidRDefault="00A16388" w:rsidP="00DA4528">
      <w:pPr>
        <w:pStyle w:val="Heading2"/>
      </w:pPr>
      <w:bookmarkStart w:id="26" w:name="_Toc179373825"/>
      <w:bookmarkStart w:id="27" w:name="_Toc179375344"/>
      <w:bookmarkStart w:id="28" w:name="_Toc179375610"/>
      <w:bookmarkStart w:id="29" w:name="_Toc179375885"/>
      <w:r>
        <w:t xml:space="preserve">Evaluation design </w:t>
      </w:r>
    </w:p>
    <w:p w14:paraId="7FBF275C" w14:textId="1915975C" w:rsidR="00A16388" w:rsidRPr="00055F27" w:rsidRDefault="00A16388" w:rsidP="00DA4528">
      <w:pPr>
        <w:rPr>
          <w:rFonts w:eastAsia="Times"/>
        </w:rPr>
      </w:pPr>
      <w:r w:rsidRPr="7FEA8694">
        <w:rPr>
          <w:rStyle w:val="normaltextrun"/>
          <w:rFonts w:eastAsiaTheme="majorEastAsia"/>
          <w:shd w:val="clear" w:color="auto" w:fill="FFFFFF"/>
        </w:rPr>
        <w:t xml:space="preserve">In line with best practice in engaging and collaborating with </w:t>
      </w:r>
      <w:r w:rsidR="00D62449" w:rsidRPr="7FEA8694">
        <w:rPr>
          <w:rStyle w:val="normaltextrun"/>
          <w:rFonts w:eastAsiaTheme="majorEastAsia"/>
          <w:shd w:val="clear" w:color="auto" w:fill="FFFFFF"/>
        </w:rPr>
        <w:t>First Nations</w:t>
      </w:r>
      <w:r w:rsidRPr="7FEA8694">
        <w:rPr>
          <w:rStyle w:val="normaltextrun"/>
          <w:rFonts w:eastAsiaTheme="majorEastAsia"/>
          <w:shd w:val="clear" w:color="auto" w:fill="FFFFFF"/>
        </w:rPr>
        <w:t xml:space="preserve"> organisations,</w:t>
      </w:r>
      <w:r w:rsidRPr="7FEA8694">
        <w:rPr>
          <w:rStyle w:val="FootnoteReference"/>
          <w:rFonts w:eastAsiaTheme="majorEastAsia"/>
          <w:shd w:val="clear" w:color="auto" w:fill="FFFFFF"/>
        </w:rPr>
        <w:footnoteReference w:id="15"/>
      </w:r>
      <w:r w:rsidRPr="00335516">
        <w:rPr>
          <w:rStyle w:val="normaltextrun"/>
          <w:rFonts w:eastAsiaTheme="majorEastAsia"/>
          <w:shd w:val="clear" w:color="auto" w:fill="FFFFFF"/>
          <w:vertAlign w:val="superscript"/>
        </w:rPr>
        <w:t>,</w:t>
      </w:r>
      <w:r w:rsidRPr="7FEA8694">
        <w:rPr>
          <w:rStyle w:val="FootnoteReference"/>
          <w:rFonts w:eastAsiaTheme="majorEastAsia"/>
          <w:shd w:val="clear" w:color="auto" w:fill="FFFFFF"/>
        </w:rPr>
        <w:footnoteReference w:id="16"/>
      </w:r>
      <w:r w:rsidRPr="7FEA8694">
        <w:rPr>
          <w:rStyle w:val="normaltextrun"/>
          <w:rFonts w:eastAsiaTheme="majorEastAsia"/>
          <w:shd w:val="clear" w:color="auto" w:fill="FFFFFF"/>
        </w:rPr>
        <w:t xml:space="preserve"> and </w:t>
      </w:r>
      <w:r w:rsidR="005A0CC8" w:rsidRPr="7FEA8694">
        <w:rPr>
          <w:rStyle w:val="normaltextrun"/>
          <w:rFonts w:eastAsiaTheme="majorEastAsia"/>
          <w:shd w:val="clear" w:color="auto" w:fill="FFFFFF"/>
        </w:rPr>
        <w:t>b</w:t>
      </w:r>
      <w:r w:rsidRPr="7FEA8694">
        <w:rPr>
          <w:rStyle w:val="normaltextrun"/>
          <w:rFonts w:eastAsiaTheme="majorEastAsia"/>
          <w:shd w:val="clear" w:color="auto" w:fill="FFFFFF"/>
        </w:rPr>
        <w:t xml:space="preserve">est </w:t>
      </w:r>
      <w:r w:rsidR="005A0CC8" w:rsidRPr="7FEA8694">
        <w:rPr>
          <w:rStyle w:val="normaltextrun"/>
          <w:rFonts w:eastAsiaTheme="majorEastAsia"/>
          <w:shd w:val="clear" w:color="auto" w:fill="FFFFFF"/>
        </w:rPr>
        <w:t>p</w:t>
      </w:r>
      <w:r w:rsidRPr="7FEA8694">
        <w:rPr>
          <w:rStyle w:val="normaltextrun"/>
          <w:rFonts w:eastAsiaTheme="majorEastAsia"/>
          <w:shd w:val="clear" w:color="auto" w:fill="FFFFFF"/>
        </w:rPr>
        <w:t>ractice in engaging with place-based initiatives,</w:t>
      </w:r>
      <w:r w:rsidRPr="7FEA8694">
        <w:rPr>
          <w:rStyle w:val="FootnoteReference"/>
          <w:rFonts w:eastAsiaTheme="majorEastAsia"/>
          <w:shd w:val="clear" w:color="auto" w:fill="FFFFFF"/>
        </w:rPr>
        <w:footnoteReference w:id="17"/>
      </w:r>
      <w:r w:rsidRPr="7FEA8694">
        <w:rPr>
          <w:rStyle w:val="normaltextrun"/>
          <w:rFonts w:eastAsiaTheme="majorEastAsia"/>
          <w:i/>
          <w:iCs/>
          <w:shd w:val="clear" w:color="auto" w:fill="FFFFFF"/>
          <w:vertAlign w:val="superscript"/>
        </w:rPr>
        <w:t xml:space="preserve"> </w:t>
      </w:r>
      <w:r w:rsidRPr="7FEA8694">
        <w:rPr>
          <w:rStyle w:val="normaltextrun"/>
          <w:rFonts w:eastAsiaTheme="majorEastAsia"/>
          <w:shd w:val="clear" w:color="auto" w:fill="FFFFFF"/>
        </w:rPr>
        <w:t xml:space="preserve">Inside Policy co-designed the overarching evaluation framework with NIAA and the </w:t>
      </w:r>
      <w:r w:rsidR="00C724D4" w:rsidRPr="7FEA8694">
        <w:rPr>
          <w:rStyle w:val="normaltextrun"/>
          <w:rFonts w:eastAsiaTheme="majorEastAsia"/>
          <w:shd w:val="clear" w:color="auto" w:fill="FFFFFF"/>
        </w:rPr>
        <w:t>ALG.</w:t>
      </w:r>
      <w:r w:rsidRPr="7FEA8694">
        <w:rPr>
          <w:rStyle w:val="normaltextrun"/>
          <w:rFonts w:eastAsiaTheme="majorEastAsia"/>
          <w:shd w:val="clear" w:color="auto" w:fill="FFFFFF"/>
        </w:rPr>
        <w:t xml:space="preserve"> </w:t>
      </w:r>
      <w:r w:rsidRPr="7FEA8694">
        <w:rPr>
          <w:rStyle w:val="normaltextrun"/>
          <w:rFonts w:eastAsiaTheme="majorEastAsia"/>
        </w:rPr>
        <w:t>The evaluation framework was also informed by research into systems initiatives for community violence prevention,</w:t>
      </w:r>
      <w:r w:rsidRPr="00055F27">
        <w:rPr>
          <w:rStyle w:val="FootnoteReference"/>
          <w:rFonts w:eastAsia="Times"/>
        </w:rPr>
        <w:footnoteReference w:id="18"/>
      </w:r>
      <w:r w:rsidRPr="00335516">
        <w:rPr>
          <w:rFonts w:eastAsia="Times"/>
          <w:vertAlign w:val="superscript"/>
        </w:rPr>
        <w:t>,</w:t>
      </w:r>
      <w:r w:rsidRPr="00055F27">
        <w:rPr>
          <w:rStyle w:val="FootnoteReference"/>
          <w:rFonts w:eastAsia="Times"/>
        </w:rPr>
        <w:footnoteReference w:id="19"/>
      </w:r>
      <w:r w:rsidRPr="00335516">
        <w:rPr>
          <w:rFonts w:eastAsia="Times"/>
          <w:vertAlign w:val="superscript"/>
        </w:rPr>
        <w:t>,</w:t>
      </w:r>
      <w:r w:rsidRPr="00055F27">
        <w:rPr>
          <w:rStyle w:val="FootnoteReference"/>
          <w:rFonts w:eastAsia="Times"/>
        </w:rPr>
        <w:footnoteReference w:id="20"/>
      </w:r>
      <w:r w:rsidRPr="00055F27">
        <w:rPr>
          <w:rFonts w:eastAsia="Times"/>
        </w:rPr>
        <w:t xml:space="preserve"> engaging the community in developing solutions.</w:t>
      </w:r>
      <w:r w:rsidRPr="00055F27">
        <w:rPr>
          <w:rStyle w:val="FootnoteReference"/>
          <w:rFonts w:eastAsia="Times"/>
        </w:rPr>
        <w:footnoteReference w:id="21"/>
      </w:r>
      <w:r w:rsidRPr="00335516">
        <w:rPr>
          <w:rFonts w:eastAsia="Times"/>
          <w:vertAlign w:val="superscript"/>
        </w:rPr>
        <w:t>,</w:t>
      </w:r>
      <w:r w:rsidRPr="00055F27">
        <w:rPr>
          <w:rStyle w:val="FootnoteReference"/>
          <w:rFonts w:eastAsia="Times"/>
        </w:rPr>
        <w:footnoteReference w:id="22"/>
      </w:r>
      <w:r w:rsidRPr="00055F27">
        <w:rPr>
          <w:rFonts w:eastAsia="Times"/>
        </w:rPr>
        <w:t xml:space="preserve"> and a systems evaluation framework</w:t>
      </w:r>
      <w:r w:rsidR="003C485F">
        <w:rPr>
          <w:rFonts w:eastAsia="Times"/>
        </w:rPr>
        <w:t>.</w:t>
      </w:r>
      <w:r w:rsidRPr="00055F27">
        <w:rPr>
          <w:rStyle w:val="FootnoteReference"/>
          <w:rFonts w:eastAsia="Times"/>
        </w:rPr>
        <w:footnoteReference w:id="23"/>
      </w:r>
      <w:r w:rsidRPr="00055F27">
        <w:rPr>
          <w:rFonts w:eastAsia="Times"/>
        </w:rPr>
        <w:t xml:space="preserve"> </w:t>
      </w:r>
    </w:p>
    <w:p w14:paraId="4C16488B" w14:textId="1F17DC15" w:rsidR="000F2BB4" w:rsidRPr="00EC6311" w:rsidRDefault="000F2BB4" w:rsidP="00DA4528">
      <w:pPr>
        <w:pStyle w:val="Heading2"/>
        <w:rPr>
          <w:rFonts w:eastAsia="Times New Roman"/>
          <w:sz w:val="16"/>
          <w:szCs w:val="16"/>
        </w:rPr>
      </w:pPr>
      <w:r w:rsidRPr="00EC6311">
        <w:t>Data collection methods</w:t>
      </w:r>
      <w:r w:rsidRPr="00EC6311">
        <w:rPr>
          <w:rFonts w:eastAsia="Times New Roman"/>
          <w:color w:val="D13438"/>
          <w:szCs w:val="22"/>
        </w:rPr>
        <w:t> </w:t>
      </w:r>
    </w:p>
    <w:p w14:paraId="06A6C068" w14:textId="2BA808E7" w:rsidR="005927AC" w:rsidRPr="004A2DA1" w:rsidRDefault="005927AC" w:rsidP="00DA4528">
      <w:r w:rsidRPr="004A2DA1">
        <w:t xml:space="preserve">A mix of qualitative and quantitative methods were used to collect data and identify themes across different </w:t>
      </w:r>
      <w:r w:rsidR="002C6499" w:rsidRPr="004A2DA1">
        <w:t>stakeholder</w:t>
      </w:r>
      <w:r w:rsidR="006D2E53" w:rsidRPr="004A2DA1">
        <w:t>s</w:t>
      </w:r>
      <w:r w:rsidR="00487D84">
        <w:t xml:space="preserve"> and data types</w:t>
      </w:r>
      <w:r w:rsidRPr="004A2DA1">
        <w:t>. These included:</w:t>
      </w:r>
    </w:p>
    <w:p w14:paraId="7C5C55E6" w14:textId="77777777" w:rsidR="00C762CE" w:rsidRDefault="00C762CE">
      <w:pPr>
        <w:keepLines w:val="0"/>
        <w:widowControl/>
        <w:spacing w:before="0" w:after="0"/>
        <w:rPr>
          <w:rFonts w:eastAsiaTheme="minorHAnsi" w:cs="Segoe UI"/>
          <w:b/>
          <w:color w:val="009999"/>
          <w:sz w:val="24"/>
        </w:rPr>
      </w:pPr>
      <w:r>
        <w:br w:type="page"/>
      </w:r>
    </w:p>
    <w:p w14:paraId="5AFBB4D9" w14:textId="686B6DB3" w:rsidR="00B708DD" w:rsidRPr="002D39FB" w:rsidRDefault="00B708DD" w:rsidP="001A5DFA">
      <w:pPr>
        <w:pStyle w:val="Heading3"/>
      </w:pPr>
      <w:r w:rsidRPr="002D39FB">
        <w:lastRenderedPageBreak/>
        <w:t>Document review</w:t>
      </w:r>
    </w:p>
    <w:p w14:paraId="6B8FF247" w14:textId="65D7C04E" w:rsidR="00B31532" w:rsidRPr="00457261" w:rsidRDefault="000A1CD3" w:rsidP="00DA4528">
      <w:r w:rsidRPr="00457261">
        <w:t>In total, 316</w:t>
      </w:r>
      <w:r w:rsidR="00CB277F" w:rsidRPr="00457261">
        <w:t xml:space="preserve"> documents were reviewed for the </w:t>
      </w:r>
      <w:r w:rsidR="00487D84" w:rsidRPr="00457261">
        <w:t>final</w:t>
      </w:r>
      <w:r w:rsidR="00CB277F" w:rsidRPr="00457261">
        <w:t xml:space="preserve"> report</w:t>
      </w:r>
      <w:r w:rsidRPr="00457261">
        <w:t>, this includes 245 documents in Phase 1 and 71 documents in Phase 2</w:t>
      </w:r>
      <w:r w:rsidR="00CB277F" w:rsidRPr="00457261">
        <w:t xml:space="preserve">. </w:t>
      </w:r>
      <w:r w:rsidR="00B31532" w:rsidRPr="00457261">
        <w:t>D</w:t>
      </w:r>
      <w:r w:rsidR="00CB277F" w:rsidRPr="00457261">
        <w:t xml:space="preserve">ocuments reviewed </w:t>
      </w:r>
      <w:r w:rsidR="003C6193" w:rsidRPr="00457261">
        <w:t>pertain</w:t>
      </w:r>
      <w:r w:rsidR="00B63B46" w:rsidRPr="00457261">
        <w:t>ed</w:t>
      </w:r>
      <w:r w:rsidR="003C6193" w:rsidRPr="00457261">
        <w:t xml:space="preserve"> to</w:t>
      </w:r>
      <w:r w:rsidR="00B31532" w:rsidRPr="00457261">
        <w:t xml:space="preserve">: </w:t>
      </w:r>
    </w:p>
    <w:p w14:paraId="4CAF9806" w14:textId="4BC7E22A" w:rsidR="00B31532" w:rsidRPr="006925CD" w:rsidRDefault="00B31532" w:rsidP="004C6984">
      <w:pPr>
        <w:pStyle w:val="ListParagraph"/>
        <w:numPr>
          <w:ilvl w:val="0"/>
          <w:numId w:val="54"/>
        </w:numPr>
      </w:pPr>
      <w:r>
        <w:t xml:space="preserve">CAP documentation </w:t>
      </w:r>
      <w:r w:rsidR="00174461" w:rsidRPr="00D56F2F">
        <w:t xml:space="preserve">including </w:t>
      </w:r>
      <w:r>
        <w:t>government level documents</w:t>
      </w:r>
      <w:r w:rsidR="00770A1D" w:rsidRPr="00D56F2F">
        <w:t xml:space="preserve">, and funding agreements. </w:t>
      </w:r>
    </w:p>
    <w:p w14:paraId="07680BCE" w14:textId="507A8947" w:rsidR="00B31532" w:rsidRPr="00D56F2F" w:rsidRDefault="00B31532" w:rsidP="004C6984">
      <w:pPr>
        <w:pStyle w:val="ListParagraph"/>
        <w:numPr>
          <w:ilvl w:val="0"/>
          <w:numId w:val="54"/>
        </w:numPr>
      </w:pPr>
      <w:r>
        <w:t xml:space="preserve">ALG </w:t>
      </w:r>
      <w:r w:rsidR="00844DD3">
        <w:t>documentation</w:t>
      </w:r>
      <w:r w:rsidR="005F40D6">
        <w:t>, including meeting</w:t>
      </w:r>
      <w:r w:rsidR="00644045">
        <w:t xml:space="preserve"> attachments,</w:t>
      </w:r>
      <w:r>
        <w:t xml:space="preserve"> papers</w:t>
      </w:r>
      <w:r w:rsidR="004305F6">
        <w:t xml:space="preserve">, </w:t>
      </w:r>
      <w:r>
        <w:t>minutes</w:t>
      </w:r>
      <w:r w:rsidR="004305F6">
        <w:t xml:space="preserve">, </w:t>
      </w:r>
      <w:r w:rsidR="00644045">
        <w:t xml:space="preserve">and packs. </w:t>
      </w:r>
    </w:p>
    <w:p w14:paraId="2A33E3DE" w14:textId="1157FFB5" w:rsidR="00224562" w:rsidRPr="006925CD" w:rsidRDefault="00E04908" w:rsidP="004C6984">
      <w:pPr>
        <w:pStyle w:val="ListParagraph"/>
        <w:numPr>
          <w:ilvl w:val="0"/>
          <w:numId w:val="54"/>
        </w:numPr>
      </w:pPr>
      <w:r>
        <w:t>YRT and Youth Services Action Plan (YSAP) documentation</w:t>
      </w:r>
      <w:r w:rsidR="005C5194">
        <w:t xml:space="preserve">. </w:t>
      </w:r>
    </w:p>
    <w:p w14:paraId="4DE3A5A1" w14:textId="1E500B3E" w:rsidR="00AF2616" w:rsidRPr="006925CD" w:rsidRDefault="00496ED3" w:rsidP="004C6984">
      <w:pPr>
        <w:pStyle w:val="ListParagraph"/>
        <w:numPr>
          <w:ilvl w:val="0"/>
          <w:numId w:val="54"/>
        </w:numPr>
      </w:pPr>
      <w:r>
        <w:t>OCARC</w:t>
      </w:r>
      <w:r w:rsidR="009D4CA2">
        <w:t xml:space="preserve"> documentation</w:t>
      </w:r>
      <w:r w:rsidR="001158B7">
        <w:t xml:space="preserve"> including </w:t>
      </w:r>
      <w:r w:rsidR="00AF2616">
        <w:t>community engagements</w:t>
      </w:r>
      <w:r w:rsidR="00457261">
        <w:t xml:space="preserve"> and consultation</w:t>
      </w:r>
      <w:r w:rsidR="002C6797">
        <w:t xml:space="preserve"> activities.</w:t>
      </w:r>
    </w:p>
    <w:p w14:paraId="3D998759" w14:textId="2F84EB7D" w:rsidR="00B31532" w:rsidRPr="00D56F2F" w:rsidRDefault="007F37D5" w:rsidP="004C6984">
      <w:pPr>
        <w:pStyle w:val="ListParagraph"/>
        <w:numPr>
          <w:ilvl w:val="0"/>
          <w:numId w:val="54"/>
        </w:numPr>
      </w:pPr>
      <w:r>
        <w:t>Inter-Department</w:t>
      </w:r>
      <w:r w:rsidR="58078C9D">
        <w:t>al</w:t>
      </w:r>
      <w:r>
        <w:t xml:space="preserve"> Committee (</w:t>
      </w:r>
      <w:r w:rsidR="00B31532">
        <w:t>IDC</w:t>
      </w:r>
      <w:r>
        <w:t>)</w:t>
      </w:r>
      <w:r w:rsidR="00B31532">
        <w:t xml:space="preserve"> </w:t>
      </w:r>
      <w:r w:rsidR="001158B7" w:rsidRPr="00D56F2F">
        <w:t xml:space="preserve">related documents including </w:t>
      </w:r>
      <w:r w:rsidR="00B31532">
        <w:t>meeting papers and minutes</w:t>
      </w:r>
      <w:r w:rsidR="002C6797">
        <w:t>.</w:t>
      </w:r>
      <w:r w:rsidR="00B31532">
        <w:t xml:space="preserve"> </w:t>
      </w:r>
    </w:p>
    <w:p w14:paraId="5E3BD50F" w14:textId="6E5CD174" w:rsidR="00154C2F" w:rsidRPr="006925CD" w:rsidRDefault="00154C2F" w:rsidP="004C6984">
      <w:pPr>
        <w:pStyle w:val="ListParagraph"/>
        <w:numPr>
          <w:ilvl w:val="0"/>
          <w:numId w:val="54"/>
        </w:numPr>
      </w:pPr>
      <w:r>
        <w:t xml:space="preserve">Funded project documents including agreements and project reports. </w:t>
      </w:r>
    </w:p>
    <w:p w14:paraId="73DDCD24" w14:textId="6B14ED6C" w:rsidR="00C64980" w:rsidRPr="007571F3" w:rsidRDefault="00C64980" w:rsidP="00D42505">
      <w:pPr>
        <w:rPr>
          <w:highlight w:val="yellow"/>
        </w:rPr>
      </w:pPr>
      <w:r w:rsidRPr="007571F3">
        <w:t>These documents were reviewed for the purpose of understanding the status of implementation</w:t>
      </w:r>
      <w:r w:rsidR="00F3408A" w:rsidRPr="007571F3">
        <w:t xml:space="preserve"> to </w:t>
      </w:r>
      <w:r w:rsidR="007A5000" w:rsidRPr="007571F3">
        <w:t>30 April 2025</w:t>
      </w:r>
      <w:r w:rsidR="00E13F43" w:rsidRPr="007571F3">
        <w:t xml:space="preserve">. </w:t>
      </w:r>
    </w:p>
    <w:p w14:paraId="4BBBD082" w14:textId="00C46253" w:rsidR="00FE2124" w:rsidRPr="00B91E47" w:rsidRDefault="00FE2124" w:rsidP="000E231A">
      <w:pPr>
        <w:pStyle w:val="Heading3"/>
      </w:pPr>
      <w:r w:rsidRPr="00B91E47">
        <w:t>Semi-structured interviews</w:t>
      </w:r>
      <w:r w:rsidR="00BB269B" w:rsidRPr="00B91E47">
        <w:t>,</w:t>
      </w:r>
      <w:r w:rsidRPr="00B91E47">
        <w:t xml:space="preserve"> focus groups</w:t>
      </w:r>
      <w:r w:rsidR="00BB269B" w:rsidRPr="00B91E47">
        <w:t xml:space="preserve"> and yarns</w:t>
      </w:r>
      <w:r w:rsidRPr="00B91E47">
        <w:t xml:space="preserve"> with program stakeholders</w:t>
      </w:r>
    </w:p>
    <w:p w14:paraId="3F7F22E5" w14:textId="5894A8CA" w:rsidR="00E10216" w:rsidRPr="00B91E47" w:rsidRDefault="2C97080E" w:rsidP="00DA4528">
      <w:r w:rsidRPr="00B91E47">
        <w:t>Four</w:t>
      </w:r>
      <w:r w:rsidR="04FFA82A" w:rsidRPr="00B91E47">
        <w:t xml:space="preserve"> group and </w:t>
      </w:r>
      <w:r w:rsidR="00EC278C" w:rsidRPr="00B91E47">
        <w:t>thirteen</w:t>
      </w:r>
      <w:r w:rsidR="04FFA82A" w:rsidRPr="00B91E47">
        <w:t xml:space="preserve"> individual</w:t>
      </w:r>
      <w:r w:rsidR="00E10216" w:rsidRPr="00B91E47">
        <w:t xml:space="preserve"> </w:t>
      </w:r>
      <w:r w:rsidR="00DB255C" w:rsidRPr="00B91E47">
        <w:t xml:space="preserve">interviews were held with a total of </w:t>
      </w:r>
      <w:r w:rsidR="0F6EE614" w:rsidRPr="00B91E47">
        <w:t xml:space="preserve">31 </w:t>
      </w:r>
      <w:r w:rsidR="002F198E" w:rsidRPr="00B91E47">
        <w:t>government</w:t>
      </w:r>
      <w:r w:rsidR="00E10216" w:rsidRPr="00B91E47">
        <w:t xml:space="preserve"> stakeholders</w:t>
      </w:r>
      <w:r w:rsidR="0086021A" w:rsidRPr="00B91E47">
        <w:t xml:space="preserve"> who</w:t>
      </w:r>
      <w:r w:rsidR="00E10216" w:rsidRPr="00B91E47">
        <w:t xml:space="preserve"> participated in one-hour </w:t>
      </w:r>
      <w:r w:rsidR="00A85D30" w:rsidRPr="00B91E47">
        <w:t xml:space="preserve">virtual </w:t>
      </w:r>
      <w:r w:rsidR="00E10216" w:rsidRPr="00B91E47">
        <w:t>semi-structured interviews or focus groups</w:t>
      </w:r>
      <w:r w:rsidR="00B5131B" w:rsidRPr="00B91E47">
        <w:t xml:space="preserve">. </w:t>
      </w:r>
      <w:r w:rsidR="0042641C" w:rsidRPr="00B91E47">
        <w:t>Stakeholders</w:t>
      </w:r>
      <w:r w:rsidR="00E10216" w:rsidRPr="00B91E47">
        <w:t xml:space="preserve"> engaged included:</w:t>
      </w:r>
    </w:p>
    <w:p w14:paraId="4E1CAC2E" w14:textId="79103566" w:rsidR="007B6AFF" w:rsidRPr="007D03CE" w:rsidRDefault="005A42B5" w:rsidP="004C6984">
      <w:pPr>
        <w:pStyle w:val="ListParagraph"/>
        <w:numPr>
          <w:ilvl w:val="0"/>
          <w:numId w:val="53"/>
        </w:numPr>
      </w:pPr>
      <w:r w:rsidRPr="007D03CE">
        <w:t>28</w:t>
      </w:r>
      <w:r w:rsidR="008A302B" w:rsidRPr="007D03CE">
        <w:t xml:space="preserve"> </w:t>
      </w:r>
      <w:r w:rsidR="00DD1081" w:rsidRPr="007D03CE">
        <w:t>Australian</w:t>
      </w:r>
      <w:r w:rsidR="00FE3F26" w:rsidRPr="007D03CE">
        <w:t xml:space="preserve"> Government</w:t>
      </w:r>
      <w:r w:rsidR="0042641C" w:rsidRPr="007D03CE">
        <w:t xml:space="preserve"> staff</w:t>
      </w:r>
      <w:r w:rsidR="00F86742" w:rsidRPr="007D03CE">
        <w:t xml:space="preserve"> (</w:t>
      </w:r>
      <w:r w:rsidR="007D03CE" w:rsidRPr="007D03CE">
        <w:t>5</w:t>
      </w:r>
      <w:r w:rsidR="00FD1223" w:rsidRPr="007D03CE">
        <w:t xml:space="preserve"> </w:t>
      </w:r>
      <w:r w:rsidR="00F86742" w:rsidRPr="007D03CE">
        <w:t xml:space="preserve">from </w:t>
      </w:r>
      <w:r w:rsidR="00413170" w:rsidRPr="007D03CE">
        <w:t>NIAA</w:t>
      </w:r>
      <w:r w:rsidR="00FD1223" w:rsidRPr="007D03CE">
        <w:t xml:space="preserve"> and a total of </w:t>
      </w:r>
      <w:r w:rsidR="0015245C" w:rsidRPr="007D03CE">
        <w:t>23</w:t>
      </w:r>
      <w:r w:rsidR="009F7037" w:rsidRPr="007D03CE">
        <w:t xml:space="preserve"> </w:t>
      </w:r>
      <w:r w:rsidR="008A302B" w:rsidRPr="007D03CE">
        <w:t xml:space="preserve">representatives from </w:t>
      </w:r>
      <w:r w:rsidR="00413170" w:rsidRPr="007D03CE">
        <w:t>Services Australia</w:t>
      </w:r>
      <w:r w:rsidR="00CD0C94" w:rsidRPr="007D03CE">
        <w:t>;</w:t>
      </w:r>
      <w:r w:rsidR="00717318" w:rsidRPr="007D03CE">
        <w:t xml:space="preserve"> D</w:t>
      </w:r>
      <w:r w:rsidR="00583714" w:rsidRPr="007D03CE">
        <w:t xml:space="preserve">epartment of </w:t>
      </w:r>
      <w:r w:rsidR="00717318" w:rsidRPr="007D03CE">
        <w:t>E</w:t>
      </w:r>
      <w:r w:rsidR="00583714" w:rsidRPr="007D03CE">
        <w:t xml:space="preserve">mployment and Workplace </w:t>
      </w:r>
      <w:r w:rsidR="00717318" w:rsidRPr="007D03CE">
        <w:t>R</w:t>
      </w:r>
      <w:r w:rsidR="00583714" w:rsidRPr="007D03CE">
        <w:t>elation</w:t>
      </w:r>
      <w:r w:rsidR="00CD0C94" w:rsidRPr="007D03CE">
        <w:t>s</w:t>
      </w:r>
      <w:r w:rsidR="00172BD4" w:rsidRPr="007D03CE">
        <w:t xml:space="preserve"> (DEWR)</w:t>
      </w:r>
      <w:r w:rsidR="00CD0C94" w:rsidRPr="007D03CE">
        <w:t>;</w:t>
      </w:r>
      <w:r w:rsidR="00717318" w:rsidRPr="007D03CE">
        <w:t xml:space="preserve"> </w:t>
      </w:r>
      <w:r w:rsidR="00F4632A" w:rsidRPr="007D03CE">
        <w:t>the Attorney-General’s Department</w:t>
      </w:r>
      <w:r w:rsidR="000646E2" w:rsidRPr="007D03CE">
        <w:t xml:space="preserve"> (AGD)</w:t>
      </w:r>
      <w:r w:rsidR="00CD0C94" w:rsidRPr="007D03CE">
        <w:t>;</w:t>
      </w:r>
      <w:r w:rsidR="00F4632A" w:rsidRPr="007D03CE">
        <w:t xml:space="preserve"> Department of Infrastructure,</w:t>
      </w:r>
      <w:r w:rsidR="00FB7453" w:rsidRPr="007D03CE">
        <w:t xml:space="preserve"> Transport, Regional Development, Communications</w:t>
      </w:r>
      <w:r w:rsidR="007E6BD6" w:rsidRPr="007D03CE">
        <w:t>, Sport</w:t>
      </w:r>
      <w:r w:rsidR="00FB7453" w:rsidRPr="007D03CE">
        <w:t xml:space="preserve"> and the Arts</w:t>
      </w:r>
      <w:r w:rsidR="00DD61F7" w:rsidRPr="007D03CE">
        <w:t xml:space="preserve"> (DI</w:t>
      </w:r>
      <w:r w:rsidR="00A55AFF" w:rsidRPr="007D03CE">
        <w:t>T</w:t>
      </w:r>
      <w:r w:rsidR="00FA7AE4" w:rsidRPr="007D03CE">
        <w:t>RDC</w:t>
      </w:r>
      <w:r w:rsidR="007E6BD6" w:rsidRPr="007D03CE">
        <w:t>S</w:t>
      </w:r>
      <w:r w:rsidR="00FA7AE4" w:rsidRPr="007D03CE">
        <w:t>A)</w:t>
      </w:r>
      <w:r w:rsidR="00CD0C94" w:rsidRPr="007D03CE">
        <w:t>;</w:t>
      </w:r>
      <w:r w:rsidR="00F4632A" w:rsidRPr="007D03CE">
        <w:t xml:space="preserve"> Department of </w:t>
      </w:r>
      <w:r w:rsidR="00CD0C94" w:rsidRPr="007D03CE">
        <w:t xml:space="preserve">the </w:t>
      </w:r>
      <w:r w:rsidR="00F4632A" w:rsidRPr="007D03CE">
        <w:t>Prime Minister and Cabinet</w:t>
      </w:r>
      <w:r w:rsidR="00EE37D9" w:rsidRPr="007D03CE">
        <w:t xml:space="preserve"> (PM&amp;C)</w:t>
      </w:r>
      <w:r w:rsidR="00CD0C94" w:rsidRPr="007D03CE">
        <w:t>;</w:t>
      </w:r>
      <w:r w:rsidR="00F4632A" w:rsidRPr="007D03CE">
        <w:t xml:space="preserve"> </w:t>
      </w:r>
      <w:r w:rsidR="00A52D55" w:rsidRPr="007D03CE">
        <w:t>Department of Health</w:t>
      </w:r>
      <w:r w:rsidR="007E6BD6" w:rsidRPr="007D03CE">
        <w:t>, Disability and Aging</w:t>
      </w:r>
      <w:r w:rsidR="00CD0C94" w:rsidRPr="007D03CE">
        <w:t xml:space="preserve"> </w:t>
      </w:r>
      <w:r w:rsidR="00BD5589" w:rsidRPr="007D03CE">
        <w:t>(DH</w:t>
      </w:r>
      <w:r w:rsidR="007E6BD6" w:rsidRPr="007D03CE">
        <w:t>D</w:t>
      </w:r>
      <w:r w:rsidR="00081F54" w:rsidRPr="007D03CE">
        <w:t>A)</w:t>
      </w:r>
      <w:r w:rsidR="00CD0C94" w:rsidRPr="007D03CE">
        <w:t>;</w:t>
      </w:r>
      <w:r w:rsidR="00A52D55" w:rsidRPr="007D03CE">
        <w:t xml:space="preserve"> Department of Social Services</w:t>
      </w:r>
      <w:r w:rsidR="008A302B" w:rsidRPr="007D03CE">
        <w:t xml:space="preserve"> </w:t>
      </w:r>
      <w:r w:rsidR="006C28DF" w:rsidRPr="007D03CE">
        <w:t xml:space="preserve">(DSS) </w:t>
      </w:r>
      <w:r w:rsidR="008A302B" w:rsidRPr="007D03CE">
        <w:t>and</w:t>
      </w:r>
      <w:r w:rsidR="00A52D55" w:rsidRPr="007D03CE">
        <w:t xml:space="preserve"> Department of Education</w:t>
      </w:r>
      <w:r w:rsidR="00B8344A" w:rsidRPr="007D03CE">
        <w:t xml:space="preserve"> (DoE</w:t>
      </w:r>
      <w:r w:rsidR="007B6AFF" w:rsidRPr="007D03CE">
        <w:t>)</w:t>
      </w:r>
      <w:r w:rsidR="00084E9E" w:rsidRPr="007D03CE">
        <w:t>.</w:t>
      </w:r>
    </w:p>
    <w:p w14:paraId="28418E43" w14:textId="4A33B4BE" w:rsidR="0042641C" w:rsidRPr="007D03CE" w:rsidRDefault="00B20C91" w:rsidP="004C6984">
      <w:pPr>
        <w:pStyle w:val="ListParagraph"/>
        <w:numPr>
          <w:ilvl w:val="0"/>
          <w:numId w:val="53"/>
        </w:numPr>
      </w:pPr>
      <w:r>
        <w:t>Four</w:t>
      </w:r>
      <w:r w:rsidR="7D947CFF" w:rsidRPr="007D03CE">
        <w:t xml:space="preserve"> </w:t>
      </w:r>
      <w:r w:rsidR="004C3529" w:rsidRPr="007D03CE">
        <w:t>NTG</w:t>
      </w:r>
      <w:r w:rsidR="0042641C" w:rsidRPr="007D03CE">
        <w:t xml:space="preserve"> </w:t>
      </w:r>
      <w:r w:rsidR="008A302B" w:rsidRPr="007D03CE">
        <w:t>representative</w:t>
      </w:r>
      <w:r w:rsidR="00BA71FA" w:rsidRPr="007D03CE">
        <w:t>s</w:t>
      </w:r>
      <w:r w:rsidR="004C3529" w:rsidRPr="007D03CE">
        <w:t>.</w:t>
      </w:r>
      <w:r w:rsidR="00E72279" w:rsidRPr="007D03CE">
        <w:t xml:space="preserve"> </w:t>
      </w:r>
    </w:p>
    <w:p w14:paraId="63963490" w14:textId="7943C1B0" w:rsidR="00BB269B" w:rsidRPr="007D03CE" w:rsidRDefault="00B20C91" w:rsidP="004C6984">
      <w:pPr>
        <w:pStyle w:val="ListParagraph"/>
        <w:numPr>
          <w:ilvl w:val="0"/>
          <w:numId w:val="53"/>
        </w:numPr>
      </w:pPr>
      <w:r>
        <w:t>Five</w:t>
      </w:r>
      <w:r w:rsidR="00CE40FB" w:rsidRPr="007D03CE">
        <w:t xml:space="preserve"> representative</w:t>
      </w:r>
      <w:r w:rsidR="006E45BC" w:rsidRPr="007D03CE">
        <w:t>s</w:t>
      </w:r>
      <w:r w:rsidR="00CE40FB" w:rsidRPr="007D03CE">
        <w:t xml:space="preserve"> from each of </w:t>
      </w:r>
      <w:r w:rsidR="00BA71FA" w:rsidRPr="007D03CE">
        <w:t>Mac</w:t>
      </w:r>
      <w:r w:rsidR="006071BE" w:rsidRPr="007D03CE">
        <w:t>D</w:t>
      </w:r>
      <w:r w:rsidR="00BA71FA" w:rsidRPr="007D03CE">
        <w:t xml:space="preserve">onnell, </w:t>
      </w:r>
      <w:r w:rsidR="00487F2B" w:rsidRPr="007D03CE">
        <w:t>Central Desert</w:t>
      </w:r>
      <w:r w:rsidR="006071BE" w:rsidRPr="007D03CE">
        <w:t>,</w:t>
      </w:r>
      <w:r w:rsidR="00CE40FB" w:rsidRPr="007D03CE">
        <w:t xml:space="preserve"> and</w:t>
      </w:r>
      <w:r w:rsidR="00487F2B" w:rsidRPr="007D03CE">
        <w:t xml:space="preserve"> </w:t>
      </w:r>
      <w:r w:rsidR="007B6AFF" w:rsidRPr="007D03CE">
        <w:t>Alice Springs Regional Council</w:t>
      </w:r>
      <w:r w:rsidR="00BA71FA" w:rsidRPr="007D03CE">
        <w:t>s</w:t>
      </w:r>
      <w:r w:rsidR="00EB7491" w:rsidRPr="007D03CE">
        <w:t xml:space="preserve"> (</w:t>
      </w:r>
      <w:r>
        <w:t>four</w:t>
      </w:r>
      <w:r w:rsidR="00E41349" w:rsidRPr="007D03CE">
        <w:t xml:space="preserve"> stakeholders</w:t>
      </w:r>
      <w:r w:rsidR="009D1DB4" w:rsidRPr="007D03CE">
        <w:t xml:space="preserve"> </w:t>
      </w:r>
      <w:r w:rsidR="00EB7491" w:rsidRPr="007D03CE">
        <w:t>were included in</w:t>
      </w:r>
      <w:r w:rsidR="00E41349" w:rsidRPr="007D03CE">
        <w:t xml:space="preserve"> </w:t>
      </w:r>
      <w:r w:rsidR="00EB7491" w:rsidRPr="007D03CE">
        <w:t>case studies)</w:t>
      </w:r>
      <w:r w:rsidR="00084E9E" w:rsidRPr="007D03CE">
        <w:t>.</w:t>
      </w:r>
    </w:p>
    <w:p w14:paraId="430962B2" w14:textId="25A0C99A" w:rsidR="00BB269B" w:rsidRPr="007D03CE" w:rsidRDefault="00DD586E" w:rsidP="004C6984">
      <w:pPr>
        <w:pStyle w:val="ListParagraph"/>
        <w:numPr>
          <w:ilvl w:val="0"/>
          <w:numId w:val="53"/>
        </w:numPr>
      </w:pPr>
      <w:r w:rsidRPr="007D03CE">
        <w:t>10</w:t>
      </w:r>
      <w:r w:rsidR="00BB269B" w:rsidRPr="007D03CE">
        <w:t xml:space="preserve"> ALG members</w:t>
      </w:r>
      <w:r w:rsidR="001D5F14" w:rsidRPr="007D03CE">
        <w:t xml:space="preserve"> (</w:t>
      </w:r>
      <w:r w:rsidR="00B20C91">
        <w:t>three</w:t>
      </w:r>
      <w:r w:rsidR="001D5F14" w:rsidRPr="007D03CE">
        <w:t xml:space="preserve"> </w:t>
      </w:r>
      <w:r w:rsidR="006B166B" w:rsidRPr="007D03CE">
        <w:t>r</w:t>
      </w:r>
      <w:r w:rsidR="001D5F14" w:rsidRPr="007D03CE">
        <w:t>emote</w:t>
      </w:r>
      <w:r w:rsidR="00B16E88" w:rsidRPr="007D03CE">
        <w:t xml:space="preserve"> community</w:t>
      </w:r>
      <w:r w:rsidR="001D5F14" w:rsidRPr="007D03CE">
        <w:t xml:space="preserve"> ALG members</w:t>
      </w:r>
      <w:r w:rsidR="004D247D" w:rsidRPr="007D03CE">
        <w:t xml:space="preserve"> and</w:t>
      </w:r>
      <w:r w:rsidR="00B20C91">
        <w:t xml:space="preserve"> seven</w:t>
      </w:r>
      <w:r w:rsidR="001D5F14" w:rsidRPr="007D03CE">
        <w:t xml:space="preserve"> from Alice Springs</w:t>
      </w:r>
      <w:r w:rsidR="00B16E88" w:rsidRPr="007D03CE">
        <w:t xml:space="preserve"> </w:t>
      </w:r>
      <w:r w:rsidR="004D247D" w:rsidRPr="007D03CE">
        <w:t>including</w:t>
      </w:r>
      <w:r w:rsidR="00B16E88" w:rsidRPr="007D03CE">
        <w:t xml:space="preserve"> three members of the Grandmothers Group while the ALG only has one Grandmothers Group representative</w:t>
      </w:r>
      <w:r w:rsidR="001D5F14" w:rsidRPr="007D03CE">
        <w:t>)</w:t>
      </w:r>
      <w:r w:rsidR="00B16E88" w:rsidRPr="007D03CE">
        <w:t>.</w:t>
      </w:r>
    </w:p>
    <w:p w14:paraId="5507CAC3" w14:textId="6214276D" w:rsidR="00BB269B" w:rsidRPr="007D03CE" w:rsidRDefault="00B20C91" w:rsidP="004C6984">
      <w:pPr>
        <w:pStyle w:val="ListParagraph"/>
        <w:numPr>
          <w:ilvl w:val="0"/>
          <w:numId w:val="53"/>
        </w:numPr>
      </w:pPr>
      <w:r>
        <w:t>Three</w:t>
      </w:r>
      <w:r w:rsidR="00EC096A" w:rsidRPr="007D03CE">
        <w:t xml:space="preserve"> </w:t>
      </w:r>
      <w:r w:rsidR="00BB269B" w:rsidRPr="007D03CE">
        <w:t>YRT members</w:t>
      </w:r>
      <w:r w:rsidR="004D247D" w:rsidRPr="007D03CE">
        <w:t xml:space="preserve"> (</w:t>
      </w:r>
      <w:r>
        <w:t>one</w:t>
      </w:r>
      <w:r w:rsidR="004D247D" w:rsidRPr="007D03CE">
        <w:t xml:space="preserve"> Alice Springs member and </w:t>
      </w:r>
      <w:r>
        <w:t>two</w:t>
      </w:r>
      <w:r w:rsidR="004D247D" w:rsidRPr="007D03CE">
        <w:t xml:space="preserve"> remote members)</w:t>
      </w:r>
      <w:r w:rsidR="00084E9E" w:rsidRPr="007D03CE">
        <w:t>.</w:t>
      </w:r>
    </w:p>
    <w:p w14:paraId="3F8681D1" w14:textId="3BD5E909" w:rsidR="004F2C1D" w:rsidRPr="007D03CE" w:rsidRDefault="00EC096A" w:rsidP="004C6984">
      <w:pPr>
        <w:pStyle w:val="ListParagraph"/>
        <w:numPr>
          <w:ilvl w:val="0"/>
          <w:numId w:val="53"/>
        </w:numPr>
      </w:pPr>
      <w:r w:rsidRPr="007D03CE">
        <w:t xml:space="preserve">13 </w:t>
      </w:r>
      <w:r w:rsidR="00BB269B" w:rsidRPr="007D03CE">
        <w:t>service providers</w:t>
      </w:r>
      <w:r w:rsidR="000739B4" w:rsidRPr="007D03CE">
        <w:t xml:space="preserve"> (including </w:t>
      </w:r>
      <w:r w:rsidR="00B20C91">
        <w:t>four</w:t>
      </w:r>
      <w:r w:rsidR="008778D1" w:rsidRPr="007D03CE">
        <w:t xml:space="preserve"> of these service remote locations</w:t>
      </w:r>
      <w:r w:rsidR="003D7E60" w:rsidRPr="007D03CE">
        <w:t xml:space="preserve">, </w:t>
      </w:r>
      <w:r w:rsidR="00B20C91">
        <w:t>two</w:t>
      </w:r>
      <w:r w:rsidR="003D7E60" w:rsidRPr="007D03CE">
        <w:t xml:space="preserve"> remote and Alice Springs and </w:t>
      </w:r>
      <w:r w:rsidR="00B20C91">
        <w:t>seven</w:t>
      </w:r>
      <w:r w:rsidR="003D7E60" w:rsidRPr="007D03CE">
        <w:t xml:space="preserve"> </w:t>
      </w:r>
      <w:r w:rsidR="00B97B83" w:rsidRPr="007D03CE">
        <w:t>primarily service Alice Springs</w:t>
      </w:r>
      <w:r w:rsidR="00B16E88" w:rsidRPr="007D03CE">
        <w:t xml:space="preserve">). </w:t>
      </w:r>
      <w:r w:rsidR="00B20C91">
        <w:t>Five</w:t>
      </w:r>
      <w:r w:rsidR="00B16E88" w:rsidRPr="007D03CE">
        <w:t xml:space="preserve"> service providers participated in the case studies</w:t>
      </w:r>
      <w:r w:rsidR="00B97B83" w:rsidRPr="007D03CE">
        <w:t>.</w:t>
      </w:r>
    </w:p>
    <w:p w14:paraId="63C641BF" w14:textId="4A611474" w:rsidR="555AF530" w:rsidRPr="007D03CE" w:rsidRDefault="0036190D" w:rsidP="00DA4528">
      <w:pPr>
        <w:rPr>
          <w:bCs/>
        </w:rPr>
      </w:pPr>
      <w:r>
        <w:t xml:space="preserve">The purpose of these engagements was to </w:t>
      </w:r>
      <w:r w:rsidR="00470163">
        <w:t xml:space="preserve">obtain </w:t>
      </w:r>
      <w:r w:rsidR="007D4E41">
        <w:t xml:space="preserve">perspectives on each of the </w:t>
      </w:r>
      <w:r w:rsidR="00B20C91">
        <w:t>five</w:t>
      </w:r>
      <w:r w:rsidR="007D4E41">
        <w:t xml:space="preserve"> evaluation </w:t>
      </w:r>
      <w:r w:rsidR="007D4E41" w:rsidRPr="00D621FD">
        <w:t xml:space="preserve">questions. The </w:t>
      </w:r>
      <w:r w:rsidR="00593346">
        <w:t>guides</w:t>
      </w:r>
      <w:r w:rsidR="00077412" w:rsidRPr="00D621FD">
        <w:t xml:space="preserve"> for these interviews</w:t>
      </w:r>
      <w:r w:rsidR="007D03CE">
        <w:t xml:space="preserve"> (including case study interview guides)</w:t>
      </w:r>
      <w:r w:rsidR="00077412" w:rsidRPr="00D621FD">
        <w:t xml:space="preserve"> </w:t>
      </w:r>
      <w:r w:rsidR="00533D28" w:rsidRPr="00D621FD">
        <w:t xml:space="preserve">can be found </w:t>
      </w:r>
      <w:r w:rsidR="00906BE4" w:rsidRPr="00D621FD">
        <w:t>at</w:t>
      </w:r>
      <w:r w:rsidR="00533D28" w:rsidRPr="00D621FD">
        <w:t xml:space="preserve"> </w:t>
      </w:r>
      <w:r w:rsidR="00593346" w:rsidRPr="007D03CE">
        <w:rPr>
          <w:bCs/>
        </w:rPr>
        <w:t>Appendices</w:t>
      </w:r>
      <w:r w:rsidR="007D03CE" w:rsidRPr="007D03CE">
        <w:rPr>
          <w:bCs/>
        </w:rPr>
        <w:t xml:space="preserve"> D</w:t>
      </w:r>
      <w:r w:rsidR="007D03CE">
        <w:rPr>
          <w:bCs/>
        </w:rPr>
        <w:t>-F</w:t>
      </w:r>
      <w:r w:rsidR="00533D28" w:rsidRPr="007D03CE">
        <w:rPr>
          <w:bCs/>
        </w:rPr>
        <w:t>.</w:t>
      </w:r>
      <w:r w:rsidR="002A6702">
        <w:rPr>
          <w:bCs/>
        </w:rPr>
        <w:t xml:space="preserve"> The stakeholders interviewed can be found at Appendix H.</w:t>
      </w:r>
    </w:p>
    <w:p w14:paraId="17465D77" w14:textId="77777777" w:rsidR="00593346" w:rsidRPr="00BB3F47" w:rsidRDefault="00593346" w:rsidP="00593346">
      <w:pPr>
        <w:pStyle w:val="Heading3"/>
      </w:pPr>
      <w:r>
        <w:t>Implementation tracker data</w:t>
      </w:r>
    </w:p>
    <w:p w14:paraId="017C656B" w14:textId="77777777" w:rsidR="00593346" w:rsidRPr="00D621FD" w:rsidRDefault="00593346" w:rsidP="00593346">
      <w:r>
        <w:t xml:space="preserve">NIAA provided its CAP financial tracking data which was current up to 30 April 2025. The purpose of this analysis was to assess how the CAP funding allocations and commitments had been distributed by key CAP priority areas, location (Alice Springs compared to remote), National Agreement </w:t>
      </w:r>
      <w:r w:rsidRPr="00A34E3D">
        <w:t xml:space="preserve">on Closing the Gap (the National Agreement) </w:t>
      </w:r>
      <w:r>
        <w:t xml:space="preserve">Targets, and by input received from the ALG. </w:t>
      </w:r>
    </w:p>
    <w:p w14:paraId="5E5C556F" w14:textId="17EACEC6" w:rsidR="00593346" w:rsidRPr="009F5893" w:rsidRDefault="00593346" w:rsidP="00DA4528">
      <w:pPr>
        <w:rPr>
          <w:bCs/>
        </w:rPr>
      </w:pPr>
      <w:r w:rsidRPr="008966F1">
        <w:t xml:space="preserve">Tables containing key financial data analysis that informs the findings (including graphs contained in the findings section) can be found at </w:t>
      </w:r>
      <w:r w:rsidRPr="009F5893">
        <w:rPr>
          <w:bCs/>
        </w:rPr>
        <w:t xml:space="preserve">Appendix </w:t>
      </w:r>
      <w:r w:rsidR="009F5893" w:rsidRPr="009F5893">
        <w:rPr>
          <w:bCs/>
        </w:rPr>
        <w:t>G</w:t>
      </w:r>
      <w:r w:rsidRPr="009F5893">
        <w:rPr>
          <w:bCs/>
        </w:rPr>
        <w:t>.</w:t>
      </w:r>
    </w:p>
    <w:p w14:paraId="72ED624E" w14:textId="786547DC" w:rsidR="00D50CB1" w:rsidRDefault="00D50CB1" w:rsidP="00DA4528">
      <w:pPr>
        <w:pStyle w:val="Heading2"/>
      </w:pPr>
      <w:r w:rsidRPr="00EC6311">
        <w:t>Methods of analysis</w:t>
      </w:r>
    </w:p>
    <w:p w14:paraId="13FEDE31" w14:textId="339EC223" w:rsidR="00B20C91" w:rsidRPr="00E23F04" w:rsidRDefault="00DE0140" w:rsidP="008966F1">
      <w:r w:rsidRPr="00E23F04">
        <w:t xml:space="preserve">Each evaluation </w:t>
      </w:r>
      <w:r w:rsidR="007C0491" w:rsidRPr="00E23F04">
        <w:t>question was a</w:t>
      </w:r>
      <w:r w:rsidRPr="00E23F04">
        <w:t xml:space="preserve">nswered using mixed data sources, depending on their purpose. Indicators </w:t>
      </w:r>
      <w:r w:rsidR="007C0491" w:rsidRPr="00E23F04">
        <w:t>were</w:t>
      </w:r>
      <w:r w:rsidRPr="00E23F04">
        <w:t xml:space="preserve"> developed to map to the evaluation questions</w:t>
      </w:r>
      <w:r w:rsidR="007C2407">
        <w:t>.</w:t>
      </w:r>
      <w:r w:rsidRPr="00E23F04">
        <w:t xml:space="preserve"> </w:t>
      </w:r>
      <w:r w:rsidR="007C2407">
        <w:t>T</w:t>
      </w:r>
      <w:r w:rsidRPr="00E23F04">
        <w:t xml:space="preserve">he program logic and data sources for each indicator </w:t>
      </w:r>
      <w:r w:rsidR="007C0491" w:rsidRPr="00E23F04">
        <w:t>were</w:t>
      </w:r>
      <w:r w:rsidRPr="00E23F04">
        <w:t xml:space="preserve"> analysed separately in a way that is appropriate to their source (see qualitative and quantitative data below). They </w:t>
      </w:r>
      <w:r w:rsidR="006F0F2C" w:rsidRPr="00E23F04">
        <w:t xml:space="preserve">were then </w:t>
      </w:r>
      <w:r w:rsidR="007C0491" w:rsidRPr="00E23F04">
        <w:t>t</w:t>
      </w:r>
      <w:r w:rsidRPr="00E23F04">
        <w:t xml:space="preserve">riangulated to form final </w:t>
      </w:r>
      <w:r w:rsidR="006B166B">
        <w:t>e</w:t>
      </w:r>
      <w:r w:rsidRPr="00E23F04">
        <w:t>valuative judgements (see triangulation of qualitative and quantitative findings below)</w:t>
      </w:r>
      <w:r w:rsidR="007C0491" w:rsidRPr="00E23F04">
        <w:t xml:space="preserve">. </w:t>
      </w:r>
    </w:p>
    <w:p w14:paraId="5B04C746" w14:textId="77777777" w:rsidR="00C762CE" w:rsidRDefault="00C762CE">
      <w:pPr>
        <w:keepLines w:val="0"/>
        <w:widowControl/>
        <w:spacing w:before="0" w:after="0"/>
        <w:rPr>
          <w:rFonts w:eastAsiaTheme="minorHAnsi" w:cs="Segoe UI"/>
          <w:b/>
          <w:color w:val="009999"/>
          <w:sz w:val="24"/>
        </w:rPr>
      </w:pPr>
      <w:r>
        <w:br w:type="page"/>
      </w:r>
    </w:p>
    <w:p w14:paraId="5AB3C38D" w14:textId="49D066CE" w:rsidR="00DE0140" w:rsidRPr="008253D6" w:rsidRDefault="00DE0140" w:rsidP="1256CA1E">
      <w:pPr>
        <w:pStyle w:val="Heading3"/>
        <w:keepLines w:val="0"/>
        <w:widowControl/>
        <w:spacing w:before="0" w:after="0"/>
        <w:rPr>
          <w:rFonts w:eastAsiaTheme="minorEastAsia"/>
          <w:szCs w:val="22"/>
        </w:rPr>
      </w:pPr>
      <w:r w:rsidRPr="008253D6">
        <w:lastRenderedPageBreak/>
        <w:t xml:space="preserve">Qualitative </w:t>
      </w:r>
      <w:r>
        <w:t>data </w:t>
      </w:r>
      <w:r w:rsidRPr="008253D6">
        <w:t> </w:t>
      </w:r>
    </w:p>
    <w:p w14:paraId="2A5DA79C" w14:textId="77777777" w:rsidR="00B20C91" w:rsidRDefault="00DE0140" w:rsidP="008966F1">
      <w:r w:rsidRPr="00E23F04">
        <w:t>Qualitative data collected through the document review, observations</w:t>
      </w:r>
      <w:r w:rsidR="006F0F2C" w:rsidRPr="00E23F04">
        <w:t xml:space="preserve"> </w:t>
      </w:r>
      <w:r w:rsidRPr="00E23F04">
        <w:t xml:space="preserve">and interviews </w:t>
      </w:r>
      <w:r w:rsidR="006F0F2C" w:rsidRPr="00E23F04">
        <w:t>were</w:t>
      </w:r>
      <w:r w:rsidRPr="00E23F04">
        <w:t xml:space="preserve"> analysed thematically against the evaluation questions and </w:t>
      </w:r>
      <w:r w:rsidR="006F0F2C" w:rsidRPr="00E23F04">
        <w:t>areas of focus</w:t>
      </w:r>
      <w:r w:rsidR="00FF1812">
        <w:t>.</w:t>
      </w:r>
      <w:r w:rsidR="000D6660" w:rsidRPr="00E23F04">
        <w:rPr>
          <w:rStyle w:val="FootnoteReference"/>
        </w:rPr>
        <w:footnoteReference w:id="24"/>
      </w:r>
    </w:p>
    <w:p w14:paraId="6EAD2B7F" w14:textId="192B3A06" w:rsidR="00DE0140" w:rsidRPr="00E23F04" w:rsidRDefault="00DE0140" w:rsidP="008966F1">
      <w:r w:rsidRPr="00E23F04">
        <w:t xml:space="preserve">Thematic analysis </w:t>
      </w:r>
      <w:r w:rsidR="006F0F2C" w:rsidRPr="00E23F04">
        <w:t>was</w:t>
      </w:r>
      <w:r w:rsidRPr="00E23F04">
        <w:t xml:space="preserve"> used to identify patterns and derive themes out of the qualitative data regarding each domain, and evaluation question. The evaluation team </w:t>
      </w:r>
      <w:r w:rsidR="006F0F2C" w:rsidRPr="00E23F04">
        <w:t>identified</w:t>
      </w:r>
      <w:r w:rsidRPr="00E23F04">
        <w:t xml:space="preserve"> and agree</w:t>
      </w:r>
      <w:r w:rsidR="006F0F2C" w:rsidRPr="00E23F04">
        <w:t>d</w:t>
      </w:r>
      <w:r w:rsidRPr="00E23F04">
        <w:t xml:space="preserve"> codes for each of the evaluation questions</w:t>
      </w:r>
      <w:r w:rsidR="007E51CE" w:rsidRPr="00E23F04">
        <w:t xml:space="preserve"> </w:t>
      </w:r>
      <w:r w:rsidR="001839D4" w:rsidRPr="00E23F04">
        <w:t>and a 'coding tree' was created</w:t>
      </w:r>
      <w:r w:rsidR="00702055" w:rsidRPr="00E23F04">
        <w:t xml:space="preserve"> (deductive analysis)</w:t>
      </w:r>
      <w:r w:rsidRPr="00E23F04">
        <w:t xml:space="preserve">. </w:t>
      </w:r>
      <w:r w:rsidR="005D73E1" w:rsidRPr="00E23F04">
        <w:t>For questions four and five, codes were also d</w:t>
      </w:r>
      <w:r w:rsidR="00702055" w:rsidRPr="00E23F04">
        <w:t>e</w:t>
      </w:r>
      <w:r w:rsidR="005D73E1" w:rsidRPr="00E23F04">
        <w:t>r</w:t>
      </w:r>
      <w:r w:rsidR="00702055" w:rsidRPr="00E23F04">
        <w:t>i</w:t>
      </w:r>
      <w:r w:rsidR="005D73E1" w:rsidRPr="00E23F04">
        <w:t xml:space="preserve">ved from the data </w:t>
      </w:r>
      <w:r w:rsidR="007E51CE" w:rsidRPr="00E23F04">
        <w:t xml:space="preserve">as </w:t>
      </w:r>
      <w:r w:rsidR="00780185" w:rsidRPr="00E23F04">
        <w:t xml:space="preserve">themes emerged to identify </w:t>
      </w:r>
      <w:r w:rsidR="00D916E8" w:rsidRPr="00E23F04">
        <w:t xml:space="preserve">early outcomes and learnings </w:t>
      </w:r>
      <w:r w:rsidR="00780185" w:rsidRPr="00E23F04">
        <w:t xml:space="preserve">(inductive analysis).  </w:t>
      </w:r>
      <w:r w:rsidR="002D553C" w:rsidRPr="00E23F04">
        <w:t xml:space="preserve">All qualitative data was coded by hand in Microsoft Excel </w:t>
      </w:r>
      <w:r w:rsidRPr="00E23F04">
        <w:t xml:space="preserve">to help the evaluation team identify the first parse of emerging patterns and themes. This first parse </w:t>
      </w:r>
      <w:r w:rsidR="002D553C" w:rsidRPr="00E23F04">
        <w:t>was then</w:t>
      </w:r>
      <w:r w:rsidRPr="00E23F04">
        <w:t xml:space="preserve"> refined and reviewed for inaccuracy and bias</w:t>
      </w:r>
      <w:r w:rsidR="002D553C" w:rsidRPr="00E23F04">
        <w:t xml:space="preserve"> before a group theming session, where First Nations researchers</w:t>
      </w:r>
      <w:r w:rsidR="00634DE4" w:rsidRPr="00E23F04">
        <w:t xml:space="preserve"> also discussed and reviewed the themes</w:t>
      </w:r>
      <w:r w:rsidRPr="00E23F04">
        <w:t>.  </w:t>
      </w:r>
    </w:p>
    <w:p w14:paraId="046A9CDA" w14:textId="77777777" w:rsidR="00DE0140" w:rsidRPr="006F0F2C" w:rsidRDefault="00DE0140" w:rsidP="000E231A">
      <w:pPr>
        <w:pStyle w:val="Heading3"/>
      </w:pPr>
      <w:r w:rsidRPr="006F0F2C">
        <w:t>Quantitative data  </w:t>
      </w:r>
    </w:p>
    <w:p w14:paraId="09101876" w14:textId="134907C6" w:rsidR="00DE0140" w:rsidRPr="00E23F04" w:rsidRDefault="00DE0140" w:rsidP="008966F1">
      <w:r w:rsidRPr="00E23F04">
        <w:t xml:space="preserve">The purpose of the use of quantitative data sources in this evaluation </w:t>
      </w:r>
      <w:r w:rsidR="00634DE4" w:rsidRPr="00E23F04">
        <w:t>was</w:t>
      </w:r>
      <w:r w:rsidRPr="00E23F04">
        <w:t xml:space="preserve"> to map investments made by </w:t>
      </w:r>
      <w:r w:rsidR="00634DE4" w:rsidRPr="00E23F04">
        <w:t>key area of focus</w:t>
      </w:r>
      <w:r w:rsidRPr="00E23F04">
        <w:t>. </w:t>
      </w:r>
      <w:r w:rsidR="006B166B">
        <w:t xml:space="preserve">The $250 million of CAP funding was the sole focus of this analysis. </w:t>
      </w:r>
    </w:p>
    <w:p w14:paraId="4987225C" w14:textId="3D658299" w:rsidR="00DE0140" w:rsidRPr="00E23F04" w:rsidRDefault="00DE0140" w:rsidP="008966F1">
      <w:r w:rsidRPr="00E23F04">
        <w:t xml:space="preserve">Investment and activity data from the NIAA investment tracker </w:t>
      </w:r>
      <w:r w:rsidR="00634DE4" w:rsidRPr="00E23F04">
        <w:t xml:space="preserve">were analysed in </w:t>
      </w:r>
      <w:r w:rsidR="009F5893">
        <w:t xml:space="preserve">Microsoft </w:t>
      </w:r>
      <w:r w:rsidRPr="00E23F04">
        <w:t xml:space="preserve">Excel using simple descriptive </w:t>
      </w:r>
      <w:r w:rsidR="00881C71" w:rsidRPr="00E23F04">
        <w:t xml:space="preserve">analysis </w:t>
      </w:r>
      <w:r w:rsidRPr="00E23F04">
        <w:t xml:space="preserve">techniques appropriate to the evaluation question. </w:t>
      </w:r>
    </w:p>
    <w:p w14:paraId="233E757F" w14:textId="600AAAC5" w:rsidR="00E31BCE" w:rsidRPr="00FE466C" w:rsidRDefault="00E31BCE" w:rsidP="008966F1">
      <w:r w:rsidRPr="00E23F04">
        <w:t xml:space="preserve">Location of project, alignment with </w:t>
      </w:r>
      <w:r w:rsidR="1E13E882">
        <w:t>the National Agreement</w:t>
      </w:r>
      <w:r w:rsidRPr="00E23F04">
        <w:t xml:space="preserve"> and the six CAP focus areas defined by</w:t>
      </w:r>
      <w:r w:rsidRPr="00E23F04" w:rsidDel="007C17C7">
        <w:t xml:space="preserve"> </w:t>
      </w:r>
      <w:r w:rsidRPr="00E23F04">
        <w:t xml:space="preserve">the </w:t>
      </w:r>
      <w:r w:rsidR="00EE37D9">
        <w:t>PM&amp;C</w:t>
      </w:r>
      <w:r w:rsidRPr="00E23F04">
        <w:t xml:space="preserve"> </w:t>
      </w:r>
      <w:r w:rsidR="00BB57D9">
        <w:t>were</w:t>
      </w:r>
      <w:r w:rsidRPr="00E23F04">
        <w:t xml:space="preserve"> used by the NIAA in </w:t>
      </w:r>
      <w:r w:rsidR="00E87E5E">
        <w:t>its</w:t>
      </w:r>
      <w:r w:rsidR="00E87E5E" w:rsidRPr="00E23F04">
        <w:t xml:space="preserve"> </w:t>
      </w:r>
      <w:r w:rsidRPr="00E23F04">
        <w:t>implementation tracker spreadsheet</w:t>
      </w:r>
      <w:r w:rsidR="00997FD9">
        <w:t>.</w:t>
      </w:r>
      <w:r w:rsidRPr="00E23F04">
        <w:t xml:space="preserve"> </w:t>
      </w:r>
      <w:r w:rsidR="00997FD9">
        <w:t>T</w:t>
      </w:r>
      <w:r w:rsidRPr="00E23F04">
        <w:t xml:space="preserve">hese categories were used to analyse funding in this report. </w:t>
      </w:r>
    </w:p>
    <w:p w14:paraId="095F2C98" w14:textId="5A6EF0B6" w:rsidR="00E31BCE" w:rsidRPr="00E31BCE" w:rsidRDefault="00E31BCE" w:rsidP="00DA4528">
      <w:r>
        <w:t xml:space="preserve">Alignment to ALG advice was assessed using four </w:t>
      </w:r>
      <w:r w:rsidR="00C24D64">
        <w:t>categor</w:t>
      </w:r>
      <w:r w:rsidR="000E2442">
        <w:t>ies</w:t>
      </w:r>
      <w:r w:rsidR="00C24D64">
        <w:t xml:space="preserve"> </w:t>
      </w:r>
      <w:r w:rsidR="00F61E63">
        <w:t>developed</w:t>
      </w:r>
      <w:r w:rsidR="00C24D64">
        <w:t xml:space="preserve"> </w:t>
      </w:r>
      <w:r>
        <w:t xml:space="preserve">by NIAA </w:t>
      </w:r>
      <w:r w:rsidR="00436B9D">
        <w:t xml:space="preserve">for each project committed </w:t>
      </w:r>
      <w:r w:rsidR="0040536E">
        <w:t xml:space="preserve">through a financial arrangement with a provider </w:t>
      </w:r>
      <w:r w:rsidR="00436B9D">
        <w:t xml:space="preserve">in the </w:t>
      </w:r>
      <w:r>
        <w:t>implementation funding tracker</w:t>
      </w:r>
      <w:r w:rsidR="00436B9D">
        <w:t xml:space="preserve">. </w:t>
      </w:r>
      <w:r>
        <w:t xml:space="preserve"> </w:t>
      </w:r>
    </w:p>
    <w:p w14:paraId="06E38C58" w14:textId="5CB5C345" w:rsidR="00BA4B96" w:rsidRPr="005446D9" w:rsidRDefault="00BA4B96" w:rsidP="000E231A">
      <w:pPr>
        <w:pStyle w:val="Heading3"/>
      </w:pPr>
      <w:r>
        <w:t xml:space="preserve">Modified </w:t>
      </w:r>
      <w:r w:rsidR="006B166B">
        <w:t>s</w:t>
      </w:r>
      <w:r w:rsidRPr="005446D9">
        <w:t xml:space="preserve">uccess </w:t>
      </w:r>
      <w:r w:rsidR="006B166B">
        <w:t>c</w:t>
      </w:r>
      <w:r w:rsidRPr="005446D9">
        <w:t xml:space="preserve">ase </w:t>
      </w:r>
      <w:r w:rsidR="006B166B">
        <w:t>m</w:t>
      </w:r>
      <w:r w:rsidRPr="005446D9">
        <w:t>ethodology</w:t>
      </w:r>
    </w:p>
    <w:p w14:paraId="628BBAF2" w14:textId="65F3E4AF" w:rsidR="00BA4B96" w:rsidRDefault="00BA4B96" w:rsidP="00DA4528">
      <w:pPr>
        <w:rPr>
          <w:lang w:val="en-GB"/>
        </w:rPr>
      </w:pPr>
      <w:r w:rsidRPr="00E051C2">
        <w:rPr>
          <w:lang w:val="en-GB"/>
        </w:rPr>
        <w:t xml:space="preserve">In addition to the </w:t>
      </w:r>
      <w:r>
        <w:rPr>
          <w:lang w:val="en-GB"/>
        </w:rPr>
        <w:t xml:space="preserve">thematic </w:t>
      </w:r>
      <w:r w:rsidR="00431CE4">
        <w:rPr>
          <w:lang w:val="en-GB"/>
        </w:rPr>
        <w:t xml:space="preserve">and descriptive </w:t>
      </w:r>
      <w:r>
        <w:rPr>
          <w:lang w:val="en-GB"/>
        </w:rPr>
        <w:t xml:space="preserve">analysis </w:t>
      </w:r>
      <w:r w:rsidR="00431CE4">
        <w:rPr>
          <w:lang w:val="en-GB"/>
        </w:rPr>
        <w:t>described above</w:t>
      </w:r>
      <w:r w:rsidRPr="00E051C2">
        <w:rPr>
          <w:lang w:val="en-GB"/>
        </w:rPr>
        <w:t xml:space="preserve">, a </w:t>
      </w:r>
      <w:r>
        <w:rPr>
          <w:lang w:val="en-GB"/>
        </w:rPr>
        <w:t xml:space="preserve">modified success case methodology was included in </w:t>
      </w:r>
      <w:r w:rsidR="00B27A69">
        <w:rPr>
          <w:lang w:val="en-GB"/>
        </w:rPr>
        <w:t xml:space="preserve">the </w:t>
      </w:r>
      <w:r>
        <w:rPr>
          <w:lang w:val="en-GB"/>
        </w:rPr>
        <w:t>evaluation</w:t>
      </w:r>
      <w:r w:rsidR="00223171">
        <w:rPr>
          <w:lang w:val="en-GB"/>
        </w:rPr>
        <w:t>.</w:t>
      </w:r>
      <w:r>
        <w:rPr>
          <w:rStyle w:val="FootnoteReference"/>
          <w:lang w:val="en-GB"/>
        </w:rPr>
        <w:footnoteReference w:id="25"/>
      </w:r>
      <w:r>
        <w:rPr>
          <w:lang w:val="en-GB"/>
        </w:rPr>
        <w:t xml:space="preserve"> </w:t>
      </w:r>
      <w:r w:rsidRPr="00E051C2">
        <w:rPr>
          <w:lang w:val="en-GB"/>
        </w:rPr>
        <w:t>This methodology document</w:t>
      </w:r>
      <w:r w:rsidR="00CE4037">
        <w:rPr>
          <w:lang w:val="en-GB"/>
        </w:rPr>
        <w:t>s</w:t>
      </w:r>
      <w:r w:rsidRPr="00E051C2">
        <w:rPr>
          <w:lang w:val="en-GB"/>
        </w:rPr>
        <w:t xml:space="preserve"> early positive outcomes of the CAP for the community</w:t>
      </w:r>
      <w:r w:rsidR="003D62FC">
        <w:rPr>
          <w:lang w:val="en-GB"/>
        </w:rPr>
        <w:t>.</w:t>
      </w:r>
      <w:r w:rsidRPr="00E051C2">
        <w:rPr>
          <w:lang w:val="en-GB"/>
        </w:rPr>
        <w:t xml:space="preserve"> </w:t>
      </w:r>
      <w:r w:rsidR="0018703D">
        <w:rPr>
          <w:lang w:val="en-GB"/>
        </w:rPr>
        <w:t>O</w:t>
      </w:r>
      <w:r w:rsidRPr="00E051C2">
        <w:rPr>
          <w:lang w:val="en-GB"/>
        </w:rPr>
        <w:t xml:space="preserve">rganisations </w:t>
      </w:r>
      <w:r w:rsidR="00E11098">
        <w:rPr>
          <w:lang w:val="en-GB"/>
        </w:rPr>
        <w:t xml:space="preserve">selected </w:t>
      </w:r>
      <w:r w:rsidRPr="00E051C2">
        <w:rPr>
          <w:lang w:val="en-GB"/>
        </w:rPr>
        <w:t>contribute</w:t>
      </w:r>
      <w:r w:rsidR="00F6624E">
        <w:rPr>
          <w:lang w:val="en-GB"/>
        </w:rPr>
        <w:t>d</w:t>
      </w:r>
      <w:r w:rsidRPr="00E051C2">
        <w:rPr>
          <w:lang w:val="en-GB"/>
        </w:rPr>
        <w:t xml:space="preserve"> to the understanding of outcomes that may be valuable </w:t>
      </w:r>
      <w:r w:rsidR="00BD0076">
        <w:rPr>
          <w:lang w:val="en-GB"/>
        </w:rPr>
        <w:t xml:space="preserve">to </w:t>
      </w:r>
      <w:r w:rsidRPr="00E051C2">
        <w:rPr>
          <w:lang w:val="en-GB"/>
        </w:rPr>
        <w:t xml:space="preserve">include in project monitoring. The methodology </w:t>
      </w:r>
      <w:r>
        <w:rPr>
          <w:lang w:val="en-GB"/>
        </w:rPr>
        <w:t>also</w:t>
      </w:r>
      <w:r w:rsidRPr="00E051C2">
        <w:rPr>
          <w:lang w:val="en-GB"/>
        </w:rPr>
        <w:t xml:space="preserve"> </w:t>
      </w:r>
      <w:r w:rsidR="001175DE">
        <w:rPr>
          <w:lang w:val="en-GB"/>
        </w:rPr>
        <w:t xml:space="preserve">provided additional </w:t>
      </w:r>
      <w:r>
        <w:rPr>
          <w:lang w:val="en-GB"/>
        </w:rPr>
        <w:t xml:space="preserve">data on the </w:t>
      </w:r>
      <w:r w:rsidRPr="00E051C2">
        <w:rPr>
          <w:lang w:val="en-GB"/>
        </w:rPr>
        <w:t>lessons learned for future implementation of CAP.</w:t>
      </w:r>
    </w:p>
    <w:p w14:paraId="258FD1D9" w14:textId="1FD74BDC" w:rsidR="00BA4B96" w:rsidRDefault="00BA4B96" w:rsidP="00DA4528">
      <w:pPr>
        <w:rPr>
          <w:lang w:val="en-GB"/>
        </w:rPr>
      </w:pPr>
      <w:r>
        <w:rPr>
          <w:lang w:val="en-GB"/>
        </w:rPr>
        <w:t xml:space="preserve">The methodology </w:t>
      </w:r>
      <w:r w:rsidR="006E6354">
        <w:rPr>
          <w:lang w:val="en-GB"/>
        </w:rPr>
        <w:t>asks</w:t>
      </w:r>
      <w:r>
        <w:rPr>
          <w:lang w:val="en-GB"/>
        </w:rPr>
        <w:t xml:space="preserve"> stakeholders to define success for a project</w:t>
      </w:r>
      <w:r w:rsidR="006E6354">
        <w:rPr>
          <w:lang w:val="en-GB"/>
        </w:rPr>
        <w:t>.</w:t>
      </w:r>
      <w:r>
        <w:rPr>
          <w:lang w:val="en-GB"/>
        </w:rPr>
        <w:t xml:space="preserve"> </w:t>
      </w:r>
      <w:r w:rsidR="006E6354">
        <w:rPr>
          <w:lang w:val="en-GB"/>
        </w:rPr>
        <w:t>One</w:t>
      </w:r>
      <w:r>
        <w:rPr>
          <w:lang w:val="en-GB"/>
        </w:rPr>
        <w:t xml:space="preserve"> "successful" and one "less successful" </w:t>
      </w:r>
      <w:r w:rsidR="00676896">
        <w:rPr>
          <w:lang w:val="en-GB"/>
        </w:rPr>
        <w:t>is then</w:t>
      </w:r>
      <w:r>
        <w:rPr>
          <w:lang w:val="en-GB"/>
        </w:rPr>
        <w:t xml:space="preserve"> examined in detail through interviews and document review to identify factors contributing to success or lessons learned at a project or program level. </w:t>
      </w:r>
    </w:p>
    <w:p w14:paraId="197235F2" w14:textId="019E646D" w:rsidR="00BA4B96" w:rsidRDefault="00BA4B96" w:rsidP="00DA4528">
      <w:pPr>
        <w:rPr>
          <w:lang w:val="en-GB"/>
        </w:rPr>
      </w:pPr>
      <w:r>
        <w:rPr>
          <w:lang w:val="en-GB"/>
        </w:rPr>
        <w:t xml:space="preserve">Due to time constraints of the evaluation, </w:t>
      </w:r>
      <w:r w:rsidRPr="00F32427">
        <w:rPr>
          <w:lang w:val="en-GB"/>
        </w:rPr>
        <w:t xml:space="preserve">Inside Policy aligned the selection of successful projects with the CAP </w:t>
      </w:r>
      <w:proofErr w:type="spellStart"/>
      <w:r w:rsidR="009F5893">
        <w:rPr>
          <w:lang w:val="en-GB"/>
        </w:rPr>
        <w:t>ToC</w:t>
      </w:r>
      <w:proofErr w:type="spellEnd"/>
      <w:r>
        <w:rPr>
          <w:lang w:val="en-GB"/>
        </w:rPr>
        <w:t xml:space="preserve">, which had been informed by both the ALG and NIAA. Key components of success were aspects of </w:t>
      </w:r>
      <w:r w:rsidRPr="00F32427">
        <w:rPr>
          <w:lang w:val="en-GB"/>
        </w:rPr>
        <w:t>“the repairs that need to be made to the tyres of the truck”</w:t>
      </w:r>
      <w:r>
        <w:rPr>
          <w:lang w:val="en-GB"/>
        </w:rPr>
        <w:t xml:space="preserve"> </w:t>
      </w:r>
      <w:r w:rsidRPr="009F5893">
        <w:rPr>
          <w:lang w:val="en-GB"/>
        </w:rPr>
        <w:t xml:space="preserve">(see blue text in Appendix </w:t>
      </w:r>
      <w:r w:rsidR="009F5893" w:rsidRPr="009F5893">
        <w:rPr>
          <w:lang w:val="en-GB"/>
        </w:rPr>
        <w:t>B</w:t>
      </w:r>
      <w:r w:rsidRPr="009F5893">
        <w:rPr>
          <w:lang w:val="en-GB"/>
        </w:rPr>
        <w:t>)</w:t>
      </w:r>
      <w:r>
        <w:rPr>
          <w:lang w:val="en-GB"/>
        </w:rPr>
        <w:t xml:space="preserve"> that were possible to be seen at the project/program level (the four on the right-hand side of the </w:t>
      </w:r>
      <w:proofErr w:type="spellStart"/>
      <w:r>
        <w:rPr>
          <w:lang w:val="en-GB"/>
        </w:rPr>
        <w:t>ToC</w:t>
      </w:r>
      <w:proofErr w:type="spellEnd"/>
      <w:r w:rsidR="00731CFA">
        <w:rPr>
          <w:lang w:val="en-GB"/>
        </w:rPr>
        <w:t>)</w:t>
      </w:r>
      <w:r>
        <w:rPr>
          <w:lang w:val="en-GB"/>
        </w:rPr>
        <w:t xml:space="preserve"> and listed below. </w:t>
      </w:r>
    </w:p>
    <w:p w14:paraId="4D8C3CA9" w14:textId="4D79D11B" w:rsidR="00BA4B96" w:rsidRPr="00F32427" w:rsidRDefault="00BA4B96" w:rsidP="00DA4528">
      <w:pPr>
        <w:rPr>
          <w:lang w:val="en-GB"/>
        </w:rPr>
      </w:pPr>
      <w:r w:rsidRPr="00983758">
        <w:rPr>
          <w:lang w:val="en-GB"/>
        </w:rPr>
        <w:t xml:space="preserve">Key features </w:t>
      </w:r>
      <w:r w:rsidR="009F5893">
        <w:rPr>
          <w:lang w:val="en-GB"/>
        </w:rPr>
        <w:t>captured by</w:t>
      </w:r>
      <w:r w:rsidRPr="00983758">
        <w:rPr>
          <w:rStyle w:val="normaltextrun"/>
          <w:bdr w:val="none" w:sz="0" w:space="0" w:color="auto" w:frame="1"/>
        </w:rPr>
        <w:t xml:space="preserve"> “successful projects” or missing in “less successful projects”</w:t>
      </w:r>
      <w:r w:rsidRPr="00983758">
        <w:rPr>
          <w:lang w:val="en-GB"/>
        </w:rPr>
        <w:t>:</w:t>
      </w:r>
    </w:p>
    <w:p w14:paraId="17FFFEA2" w14:textId="2127D7C0" w:rsidR="00BA4B96" w:rsidRPr="002D7276" w:rsidRDefault="00B20C91" w:rsidP="004C6984">
      <w:pPr>
        <w:pStyle w:val="ListParagraph"/>
        <w:numPr>
          <w:ilvl w:val="0"/>
          <w:numId w:val="55"/>
        </w:numPr>
        <w:rPr>
          <w:lang w:val="en-GB"/>
        </w:rPr>
      </w:pPr>
      <w:r>
        <w:rPr>
          <w:lang w:val="en-GB"/>
        </w:rPr>
        <w:t>g</w:t>
      </w:r>
      <w:r w:rsidR="00BA4B96" w:rsidRPr="002D7276">
        <w:rPr>
          <w:lang w:val="en-GB"/>
        </w:rPr>
        <w:t>overnments and communities address root causes (assessed as six priority areas of the CAP)</w:t>
      </w:r>
    </w:p>
    <w:p w14:paraId="52D83B28" w14:textId="108CA277" w:rsidR="00BA4B96" w:rsidRPr="002D7276" w:rsidRDefault="00B20C91" w:rsidP="004C6984">
      <w:pPr>
        <w:pStyle w:val="ListParagraph"/>
        <w:numPr>
          <w:ilvl w:val="0"/>
          <w:numId w:val="55"/>
        </w:numPr>
        <w:rPr>
          <w:lang w:val="en-GB"/>
        </w:rPr>
      </w:pPr>
      <w:r>
        <w:rPr>
          <w:lang w:val="en-GB"/>
        </w:rPr>
        <w:t>s</w:t>
      </w:r>
      <w:r w:rsidR="00BA4B96" w:rsidRPr="002D7276">
        <w:rPr>
          <w:lang w:val="en-GB"/>
        </w:rPr>
        <w:t>eek out and listen to community voices</w:t>
      </w:r>
    </w:p>
    <w:p w14:paraId="4C62511C" w14:textId="7E416E2B" w:rsidR="00BA4B96" w:rsidRPr="002D7276" w:rsidRDefault="00B20C91" w:rsidP="004C6984">
      <w:pPr>
        <w:pStyle w:val="ListParagraph"/>
        <w:numPr>
          <w:ilvl w:val="0"/>
          <w:numId w:val="55"/>
        </w:numPr>
        <w:rPr>
          <w:lang w:val="en-GB"/>
        </w:rPr>
      </w:pPr>
      <w:r>
        <w:rPr>
          <w:lang w:val="en-GB"/>
        </w:rPr>
        <w:t>c</w:t>
      </w:r>
      <w:r w:rsidR="00BA4B96" w:rsidRPr="002D7276">
        <w:rPr>
          <w:lang w:val="en-GB"/>
        </w:rPr>
        <w:t>ollect and share regional data</w:t>
      </w:r>
    </w:p>
    <w:p w14:paraId="72CE885E" w14:textId="74C0BD37" w:rsidR="00BA4B96" w:rsidRPr="002D7276" w:rsidRDefault="00B20C91" w:rsidP="004C6984">
      <w:pPr>
        <w:pStyle w:val="ListParagraph"/>
        <w:numPr>
          <w:ilvl w:val="0"/>
          <w:numId w:val="55"/>
        </w:numPr>
        <w:rPr>
          <w:lang w:val="en-GB"/>
        </w:rPr>
      </w:pPr>
      <w:r>
        <w:rPr>
          <w:lang w:val="en-GB"/>
        </w:rPr>
        <w:t>c</w:t>
      </w:r>
      <w:r w:rsidR="00BA4B96" w:rsidRPr="002D7276">
        <w:rPr>
          <w:lang w:val="en-GB"/>
        </w:rPr>
        <w:t xml:space="preserve">oordination and governance across </w:t>
      </w:r>
      <w:r w:rsidR="00D13CB7" w:rsidRPr="002D7276">
        <w:rPr>
          <w:lang w:val="en-GB"/>
        </w:rPr>
        <w:t>governments</w:t>
      </w:r>
      <w:r w:rsidR="00BA4B96" w:rsidRPr="002D7276">
        <w:rPr>
          <w:lang w:val="en-GB"/>
        </w:rPr>
        <w:t xml:space="preserve"> and community</w:t>
      </w:r>
      <w:r w:rsidR="00757013" w:rsidRPr="002D7276">
        <w:rPr>
          <w:lang w:val="en-GB"/>
        </w:rPr>
        <w:t>.</w:t>
      </w:r>
    </w:p>
    <w:p w14:paraId="16C0C504" w14:textId="381FF932" w:rsidR="00883F83" w:rsidRDefault="00BA4B96" w:rsidP="00DA4528">
      <w:r w:rsidRPr="0062157B">
        <w:t>NIAA assisted in identifying projects that met the criteria for success</w:t>
      </w:r>
      <w:r w:rsidR="00B0464F">
        <w:t>. T</w:t>
      </w:r>
      <w:r w:rsidRPr="0062157B">
        <w:t xml:space="preserve">o ensure First Nations views were included at the point of choosing case studies, further input was also included </w:t>
      </w:r>
      <w:r w:rsidRPr="0062157B" w:rsidDel="00F81042">
        <w:t xml:space="preserve">from </w:t>
      </w:r>
      <w:r w:rsidRPr="0062157B">
        <w:t>ALG members</w:t>
      </w:r>
      <w:r w:rsidR="000F7978">
        <w:t>.</w:t>
      </w:r>
      <w:r w:rsidR="007E2DC4">
        <w:t xml:space="preserve"> </w:t>
      </w:r>
      <w:r w:rsidRPr="0062157B">
        <w:t xml:space="preserve">NIAA </w:t>
      </w:r>
      <w:r w:rsidR="00927B94">
        <w:t xml:space="preserve">did not </w:t>
      </w:r>
      <w:r w:rsidRPr="0062157B">
        <w:t xml:space="preserve">identify any projects that </w:t>
      </w:r>
      <w:r w:rsidR="007E2DC4">
        <w:t xml:space="preserve">were </w:t>
      </w:r>
      <w:r w:rsidR="00F475CC">
        <w:t>“</w:t>
      </w:r>
      <w:r w:rsidRPr="0062157B">
        <w:t>unsuccessful</w:t>
      </w:r>
      <w:r w:rsidR="00F475CC">
        <w:t>”</w:t>
      </w:r>
      <w:r w:rsidRPr="0062157B">
        <w:t xml:space="preserve"> due to the variation in progress of the projects</w:t>
      </w:r>
      <w:r w:rsidR="00C875BB">
        <w:t>.</w:t>
      </w:r>
      <w:r w:rsidRPr="0062157B">
        <w:t xml:space="preserve"> </w:t>
      </w:r>
      <w:r w:rsidR="00C875BB">
        <w:t>NIAA</w:t>
      </w:r>
      <w:r w:rsidR="000C25E9">
        <w:t xml:space="preserve"> were able to suggest</w:t>
      </w:r>
      <w:r w:rsidRPr="0062157B" w:rsidDel="000C25E9">
        <w:t xml:space="preserve"> </w:t>
      </w:r>
      <w:r w:rsidRPr="0062157B">
        <w:t>three</w:t>
      </w:r>
      <w:r w:rsidRPr="0062157B" w:rsidDel="006F2F21">
        <w:t xml:space="preserve"> </w:t>
      </w:r>
      <w:r w:rsidR="006F2F21">
        <w:t>initiatives</w:t>
      </w:r>
      <w:r w:rsidR="006F2F21" w:rsidRPr="0062157B">
        <w:t xml:space="preserve"> </w:t>
      </w:r>
      <w:r w:rsidRPr="0062157B">
        <w:t>that had progressed to different degrees that could be included</w:t>
      </w:r>
      <w:r w:rsidR="006F2F21">
        <w:t xml:space="preserve"> as </w:t>
      </w:r>
      <w:r w:rsidR="00AD2629">
        <w:t>“cases”</w:t>
      </w:r>
      <w:r w:rsidR="00DB22A3">
        <w:t xml:space="preserve">. </w:t>
      </w:r>
      <w:r w:rsidR="00244F75">
        <w:t>The ALG supported</w:t>
      </w:r>
      <w:r w:rsidR="008305FB">
        <w:t xml:space="preserve"> the inclusion of the</w:t>
      </w:r>
      <w:r w:rsidRPr="0062157B">
        <w:t xml:space="preserve"> community infrastructure </w:t>
      </w:r>
      <w:r w:rsidR="008305FB">
        <w:t>projects</w:t>
      </w:r>
      <w:r w:rsidRPr="0062157B">
        <w:t xml:space="preserve">. </w:t>
      </w:r>
    </w:p>
    <w:p w14:paraId="7C52FAEC" w14:textId="77777777" w:rsidR="00883F83" w:rsidRPr="00CC7409" w:rsidRDefault="00883F83" w:rsidP="00883F83">
      <w:r w:rsidRPr="00CC7409">
        <w:rPr>
          <w:rFonts w:eastAsia="Times New Roman" w:cs="Segoe UI"/>
          <w:lang w:val="en-GB"/>
        </w:rPr>
        <w:t>The case studies were formulated through review of documentation and interviews with stakeholders.</w:t>
      </w:r>
    </w:p>
    <w:p w14:paraId="1E19409C" w14:textId="77777777" w:rsidR="00C762CE" w:rsidRDefault="00C762CE">
      <w:pPr>
        <w:keepLines w:val="0"/>
        <w:widowControl/>
        <w:spacing w:before="0" w:after="0"/>
        <w:rPr>
          <w:rFonts w:eastAsiaTheme="minorHAnsi" w:cs="Segoe UI"/>
          <w:b/>
          <w:color w:val="009999"/>
          <w:sz w:val="24"/>
        </w:rPr>
      </w:pPr>
      <w:r>
        <w:br w:type="page"/>
      </w:r>
    </w:p>
    <w:p w14:paraId="46717645" w14:textId="2A807BC7" w:rsidR="00DE0140" w:rsidRPr="00900577" w:rsidRDefault="00DE0140" w:rsidP="00DA4528">
      <w:pPr>
        <w:pStyle w:val="Heading3"/>
      </w:pPr>
      <w:r w:rsidRPr="00900577">
        <w:lastRenderedPageBreak/>
        <w:t>Triangulation of qualitative and quantitative findings </w:t>
      </w:r>
    </w:p>
    <w:p w14:paraId="16754181" w14:textId="35CE79A6" w:rsidR="00A641D7" w:rsidRPr="00B231BA" w:rsidRDefault="00DE0140" w:rsidP="00DA4528">
      <w:r w:rsidRPr="00E23F04">
        <w:t xml:space="preserve">Qualitative patterns and themes and findings from quantitative data </w:t>
      </w:r>
      <w:r w:rsidR="00900577" w:rsidRPr="00E23F04">
        <w:t>were</w:t>
      </w:r>
      <w:r w:rsidRPr="00E23F04">
        <w:t xml:space="preserve"> triangulated</w:t>
      </w:r>
      <w:r w:rsidR="00DB6298" w:rsidRPr="00E23F04">
        <w:rPr>
          <w:rStyle w:val="FootnoteReference"/>
        </w:rPr>
        <w:footnoteReference w:id="26"/>
      </w:r>
      <w:r w:rsidRPr="00E23F04">
        <w:t xml:space="preserve"> </w:t>
      </w:r>
      <w:r w:rsidR="00E15AA6" w:rsidRPr="00E23F04">
        <w:t>dur</w:t>
      </w:r>
      <w:r w:rsidR="004C6F95" w:rsidRPr="00E23F04">
        <w:t>i</w:t>
      </w:r>
      <w:r w:rsidR="00E15AA6" w:rsidRPr="00E23F04">
        <w:t xml:space="preserve">ng the theming stage and report write up of the evaluation by looking for </w:t>
      </w:r>
      <w:r w:rsidR="004C6F95" w:rsidRPr="00E23F04">
        <w:t xml:space="preserve">where data shared similar themes (converged) or differed (diverged) </w:t>
      </w:r>
      <w:r w:rsidR="00DB6298" w:rsidRPr="00E23F04">
        <w:t>to minimise the risk of bias in evaluative judgements</w:t>
      </w:r>
      <w:r w:rsidR="004C6F95" w:rsidRPr="00E23F04">
        <w:t xml:space="preserve"> that have been made</w:t>
      </w:r>
      <w:r w:rsidR="00DB6298" w:rsidRPr="00E23F04">
        <w:t xml:space="preserve">. </w:t>
      </w:r>
    </w:p>
    <w:p w14:paraId="419E1C4A" w14:textId="15B34ED7" w:rsidR="00944923" w:rsidRPr="00EC6311" w:rsidRDefault="00944923" w:rsidP="00DA4528">
      <w:pPr>
        <w:pStyle w:val="Heading2"/>
      </w:pPr>
      <w:bookmarkStart w:id="30" w:name="_Toc83997225"/>
      <w:bookmarkStart w:id="31" w:name="_Toc179373826"/>
      <w:bookmarkStart w:id="32" w:name="_Toc179375345"/>
      <w:bookmarkStart w:id="33" w:name="_Toc179375611"/>
      <w:bookmarkStart w:id="34" w:name="_Toc179375886"/>
      <w:bookmarkEnd w:id="26"/>
      <w:bookmarkEnd w:id="27"/>
      <w:bookmarkEnd w:id="28"/>
      <w:bookmarkEnd w:id="29"/>
      <w:r w:rsidRPr="00EC6311">
        <w:t>Limitations</w:t>
      </w:r>
      <w:bookmarkEnd w:id="30"/>
      <w:bookmarkEnd w:id="31"/>
      <w:bookmarkEnd w:id="32"/>
      <w:bookmarkEnd w:id="33"/>
      <w:bookmarkEnd w:id="34"/>
      <w:r w:rsidR="00DE5EE7">
        <w:t xml:space="preserve"> </w:t>
      </w:r>
    </w:p>
    <w:p w14:paraId="3EDC0C50" w14:textId="52023693" w:rsidR="006529D6" w:rsidRDefault="006529D6" w:rsidP="1A31B231">
      <w:pPr>
        <w:tabs>
          <w:tab w:val="num" w:pos="720"/>
        </w:tabs>
      </w:pPr>
      <w:r>
        <w:t xml:space="preserve">The following limitations aim to assist reading and interpreting the findings contained in this report. </w:t>
      </w:r>
    </w:p>
    <w:p w14:paraId="1A6FFDFB" w14:textId="7D25B0AD" w:rsidR="000D7592" w:rsidRPr="00F11109" w:rsidRDefault="000D7592" w:rsidP="004C6984">
      <w:pPr>
        <w:pStyle w:val="ListParagraph"/>
        <w:numPr>
          <w:ilvl w:val="0"/>
          <w:numId w:val="56"/>
        </w:numPr>
      </w:pPr>
      <w:r w:rsidRPr="00F11109">
        <w:t xml:space="preserve">The stage of CAP implementation limited the availability of outcomes to evaluate. </w:t>
      </w:r>
    </w:p>
    <w:p w14:paraId="6D1ADF4D" w14:textId="6C4D614F" w:rsidR="00B41A17" w:rsidRPr="00F11109" w:rsidRDefault="00B41A17" w:rsidP="3A915E68">
      <w:pPr>
        <w:pStyle w:val="ListParagraph"/>
      </w:pPr>
      <w:r>
        <w:t xml:space="preserve">The financial data provided </w:t>
      </w:r>
      <w:r w:rsidR="00A06DB2">
        <w:t>to Inside Policy</w:t>
      </w:r>
      <w:r w:rsidR="004D247D">
        <w:t xml:space="preserve"> by NIAA</w:t>
      </w:r>
      <w:r w:rsidR="00A06DB2">
        <w:t xml:space="preserve"> </w:t>
      </w:r>
      <w:r w:rsidR="004D247D">
        <w:t>provided a complete and accurate dataset for understanding the high-level questions related to total funds committed, allocated and spent by agency and priority stream</w:t>
      </w:r>
      <w:r>
        <w:t xml:space="preserve">. </w:t>
      </w:r>
      <w:r w:rsidR="001B40EF">
        <w:t>V</w:t>
      </w:r>
      <w:r>
        <w:t>ariations in data maintenance practices have led to some inconsistencies</w:t>
      </w:r>
      <w:r w:rsidR="004C5AAF">
        <w:t xml:space="preserve"> and incomplete </w:t>
      </w:r>
      <w:r w:rsidR="004C5AAF" w:rsidRPr="0004656D">
        <w:t xml:space="preserve">data </w:t>
      </w:r>
      <w:r w:rsidR="00712160" w:rsidRPr="0004656D">
        <w:t xml:space="preserve">limiting </w:t>
      </w:r>
      <w:r w:rsidR="004C5AAF" w:rsidRPr="0004656D">
        <w:t>the more detailed</w:t>
      </w:r>
      <w:r w:rsidR="004C5AAF">
        <w:t xml:space="preserve"> questions that c</w:t>
      </w:r>
      <w:r w:rsidR="0004656D">
        <w:t>ould</w:t>
      </w:r>
      <w:r w:rsidR="004C5AAF">
        <w:t xml:space="preserve"> be answered like when a funding commitment was made, when funding began and ended, </w:t>
      </w:r>
      <w:r w:rsidR="009F5893">
        <w:t>wh</w:t>
      </w:r>
      <w:r w:rsidR="00647D62">
        <w:t xml:space="preserve">y the ALG did not advise on a funding allocation, </w:t>
      </w:r>
      <w:r w:rsidR="004C5AAF">
        <w:t>and the locations of investment</w:t>
      </w:r>
      <w:r>
        <w:t>.</w:t>
      </w:r>
      <w:r w:rsidR="004C5AAF">
        <w:t xml:space="preserve"> These gaps</w:t>
      </w:r>
      <w:r w:rsidR="00295E8B">
        <w:t xml:space="preserve"> </w:t>
      </w:r>
      <w:r>
        <w:t>limit the precision of financial analysis and should be considered when interpreting the findings.</w:t>
      </w:r>
    </w:p>
    <w:p w14:paraId="45F63290" w14:textId="7C919038" w:rsidR="00124A69" w:rsidRPr="00F11109" w:rsidRDefault="004C4C65" w:rsidP="004C6984">
      <w:pPr>
        <w:pStyle w:val="ListParagraph"/>
        <w:numPr>
          <w:ilvl w:val="0"/>
          <w:numId w:val="56"/>
        </w:numPr>
      </w:pPr>
      <w:r>
        <w:t>This evaluation included interviews with a range of stakeholders involved in CAP but there were</w:t>
      </w:r>
      <w:r w:rsidR="004D247D">
        <w:t xml:space="preserve"> </w:t>
      </w:r>
      <w:r w:rsidR="00343926">
        <w:t>fewer</w:t>
      </w:r>
      <w:r>
        <w:t xml:space="preserve"> interviews conducted with remote funding recipients</w:t>
      </w:r>
      <w:r w:rsidR="00343926">
        <w:t xml:space="preserve"> than originally intended</w:t>
      </w:r>
      <w:r>
        <w:t xml:space="preserve">. </w:t>
      </w:r>
      <w:r w:rsidR="000E65B2">
        <w:t xml:space="preserve">Inside Policy had intended to include video stories from remote service providers in the evaluation but this data collection method proved unfeasible due to time constraints </w:t>
      </w:r>
      <w:r w:rsidR="00BE3EFC">
        <w:t xml:space="preserve">of the project. </w:t>
      </w:r>
      <w:r w:rsidR="0000776F">
        <w:t>Visiting and meeting with service providers, community members and leaders in remote communities (outside of Alice</w:t>
      </w:r>
      <w:r w:rsidR="003154A0">
        <w:t xml:space="preserve"> Springs</w:t>
      </w:r>
      <w:r w:rsidR="0000776F">
        <w:t>) was out of scope for this evaluation.</w:t>
      </w:r>
      <w:r w:rsidR="007147E6">
        <w:t xml:space="preserve"> Despite being unable to conduct these video interviews, </w:t>
      </w:r>
      <w:r w:rsidR="009B2A2B">
        <w:t xml:space="preserve">almost half the service providers </w:t>
      </w:r>
      <w:r w:rsidR="00696FF5">
        <w:t>service</w:t>
      </w:r>
      <w:r w:rsidR="00002B49">
        <w:t xml:space="preserve"> remote locations or a combination of Alice Springs and remote service provision. Further, </w:t>
      </w:r>
      <w:r w:rsidR="00647D62">
        <w:t>three of the four</w:t>
      </w:r>
      <w:r w:rsidR="00002B49">
        <w:t xml:space="preserve"> remote ALG members were interviewed.</w:t>
      </w:r>
      <w:r w:rsidR="006F4DF9">
        <w:t xml:space="preserve"> Therefore, there is a good level of representation of remote voices in the evaluation. </w:t>
      </w:r>
    </w:p>
    <w:p w14:paraId="7748A884" w14:textId="0AEE5280" w:rsidR="008852FA" w:rsidRDefault="00803B21" w:rsidP="004C6984">
      <w:pPr>
        <w:pStyle w:val="ListParagraph"/>
        <w:numPr>
          <w:ilvl w:val="0"/>
          <w:numId w:val="56"/>
        </w:numPr>
      </w:pPr>
      <w:r>
        <w:t xml:space="preserve">Seven service provider organisations nominated for consultation were not consulted as part of this evaluation, either because they were unavailable or declined to participate.  </w:t>
      </w:r>
      <w:r w:rsidRPr="002D7276">
        <w:rPr>
          <w:rFonts w:eastAsiaTheme="minorEastAsia" w:cs="Helvetica"/>
        </w:rPr>
        <w:t>Stakeholder consultations for this evaluation were conducted either in person in Alice Springs or virtually. Stakeholders who were unable to attend in person had access only to phone or virtual meetings. As a result, input from stakeholders in remote communities may have been limited.</w:t>
      </w:r>
    </w:p>
    <w:p w14:paraId="6CA9A696" w14:textId="2DA5043A" w:rsidR="00BE3EFC" w:rsidRPr="00DD2B34" w:rsidRDefault="00BE3EFC" w:rsidP="1A31B231"/>
    <w:p w14:paraId="72111F22" w14:textId="3D813CB9" w:rsidR="006A7B08" w:rsidRPr="00EF38BF" w:rsidRDefault="0098237E" w:rsidP="000F6CF9">
      <w:pPr>
        <w:pStyle w:val="Heading1"/>
        <w:rPr>
          <w:b w:val="0"/>
          <w:szCs w:val="32"/>
        </w:rPr>
      </w:pPr>
      <w:r w:rsidRPr="002B504A">
        <w:rPr>
          <w:color w:val="1E9995"/>
        </w:rPr>
        <w:br w:type="page"/>
      </w:r>
      <w:bookmarkStart w:id="35" w:name="_Toc205475103"/>
      <w:r w:rsidR="007F52C3" w:rsidRPr="00A24547">
        <w:rPr>
          <w:color w:val="1E9995"/>
          <w:szCs w:val="32"/>
        </w:rPr>
        <w:lastRenderedPageBreak/>
        <w:t>Key insights</w:t>
      </w:r>
      <w:bookmarkEnd w:id="35"/>
      <w:r w:rsidR="00B13E14" w:rsidRPr="00EF38BF">
        <w:rPr>
          <w:szCs w:val="32"/>
        </w:rPr>
        <w:t xml:space="preserve">                </w:t>
      </w:r>
    </w:p>
    <w:p w14:paraId="5D55CFBB" w14:textId="2FE4AF52" w:rsidR="004C5AAF" w:rsidRDefault="00696FF5" w:rsidP="004C5AAF">
      <w:r>
        <w:t>Overall,</w:t>
      </w:r>
      <w:r w:rsidR="004C5AAF">
        <w:t xml:space="preserve"> the CAP is being implemented in line with its intent in terms of addressing the six priority streams in a way that “does things differently”. Key insights regarding how the CAP funding has been expended</w:t>
      </w:r>
      <w:r w:rsidR="0071498C">
        <w:t>, stakeholder views on CAP, how the CAP is being implemented differently, early outcomes and lessons learnt are captured below:</w:t>
      </w:r>
    </w:p>
    <w:p w14:paraId="393121C5" w14:textId="6D7BE0C0" w:rsidR="00662D4B" w:rsidRPr="004C5AAF" w:rsidRDefault="00E57021" w:rsidP="000668A5">
      <w:pPr>
        <w:pStyle w:val="ListParagraph"/>
        <w:ind w:left="714" w:hanging="357"/>
        <w:contextualSpacing w:val="0"/>
      </w:pPr>
      <w:r w:rsidRPr="004C5AAF">
        <w:t>I</w:t>
      </w:r>
      <w:r w:rsidR="00662D4B" w:rsidRPr="004C5AAF">
        <w:t xml:space="preserve">n </w:t>
      </w:r>
      <w:r w:rsidR="004732FC" w:rsidRPr="004C5AAF">
        <w:t>February 2023</w:t>
      </w:r>
      <w:r w:rsidR="00AD25AA" w:rsidRPr="004C5AAF">
        <w:t>,</w:t>
      </w:r>
      <w:r w:rsidR="004732FC" w:rsidRPr="004C5AAF">
        <w:t xml:space="preserve"> </w:t>
      </w:r>
      <w:r w:rsidR="00662D4B" w:rsidRPr="004C5AAF">
        <w:t xml:space="preserve">six priority streams were identified </w:t>
      </w:r>
      <w:r w:rsidR="00B314C2" w:rsidRPr="004C5AAF">
        <w:t xml:space="preserve">and </w:t>
      </w:r>
      <w:r w:rsidR="00C151AC" w:rsidRPr="004C5AAF">
        <w:t xml:space="preserve">informed by advice of the </w:t>
      </w:r>
      <w:r w:rsidR="006B0BEE" w:rsidRPr="004C5AAF">
        <w:t>OCARC.</w:t>
      </w:r>
      <w:r w:rsidR="00C151AC" w:rsidRPr="004C5AAF">
        <w:t xml:space="preserve"> </w:t>
      </w:r>
      <w:r w:rsidR="00D414EB" w:rsidRPr="004C5AAF">
        <w:t>$242</w:t>
      </w:r>
      <w:r w:rsidR="000F76B4" w:rsidRPr="004C5AAF">
        <w:t xml:space="preserve">.7 million </w:t>
      </w:r>
      <w:r w:rsidR="00662D4B" w:rsidRPr="004C5AAF">
        <w:t xml:space="preserve">funding </w:t>
      </w:r>
      <w:r w:rsidR="00BB5775" w:rsidRPr="004C5AAF">
        <w:t xml:space="preserve">has been </w:t>
      </w:r>
      <w:r w:rsidR="00662D4B" w:rsidRPr="004C5AAF">
        <w:t>allocated to these streams. Of t</w:t>
      </w:r>
      <w:r w:rsidR="000F76B4" w:rsidRPr="004C5AAF">
        <w:t>he</w:t>
      </w:r>
      <w:r w:rsidR="00662D4B" w:rsidRPr="004C5AAF">
        <w:t xml:space="preserve"> funding allocated, $</w:t>
      </w:r>
      <w:r w:rsidR="00B63EC3" w:rsidRPr="004C5AAF">
        <w:t>156 million</w:t>
      </w:r>
      <w:r w:rsidR="00662D4B" w:rsidRPr="004C5AAF">
        <w:t xml:space="preserve"> has been committed </w:t>
      </w:r>
      <w:r w:rsidR="0040536E" w:rsidRPr="004C5AAF">
        <w:t xml:space="preserve">through financial arrangements with providers </w:t>
      </w:r>
      <w:r w:rsidR="00662D4B" w:rsidRPr="004C5AAF">
        <w:t xml:space="preserve">to </w:t>
      </w:r>
      <w:r w:rsidR="00B63EC3" w:rsidRPr="004C5AAF">
        <w:t xml:space="preserve">specific </w:t>
      </w:r>
      <w:r w:rsidR="00662D4B" w:rsidRPr="004C5AAF">
        <w:t>projects while $</w:t>
      </w:r>
      <w:r w:rsidR="00AB7ACE" w:rsidRPr="004C5AAF">
        <w:t xml:space="preserve">94 </w:t>
      </w:r>
      <w:r w:rsidR="00662D4B" w:rsidRPr="004C5AAF">
        <w:t>m</w:t>
      </w:r>
      <w:r w:rsidR="00AB7ACE" w:rsidRPr="004C5AAF">
        <w:t>illion</w:t>
      </w:r>
      <w:r w:rsidR="00616011" w:rsidRPr="004C5AAF">
        <w:t xml:space="preserve"> </w:t>
      </w:r>
      <w:r w:rsidR="008A7A72" w:rsidRPr="004C5AAF">
        <w:t>is</w:t>
      </w:r>
      <w:r w:rsidR="00662D4B" w:rsidRPr="004C5AAF">
        <w:t xml:space="preserve"> </w:t>
      </w:r>
      <w:r w:rsidR="00545DE6" w:rsidRPr="004C5AAF">
        <w:t>yet</w:t>
      </w:r>
      <w:r w:rsidR="00662D4B" w:rsidRPr="004C5AAF">
        <w:t xml:space="preserve"> be committed to </w:t>
      </w:r>
      <w:r w:rsidR="003739A2" w:rsidRPr="004C5AAF">
        <w:t xml:space="preserve">specific projects in </w:t>
      </w:r>
      <w:r w:rsidR="00662D4B" w:rsidRPr="004C5AAF">
        <w:t>the areas of</w:t>
      </w:r>
      <w:r w:rsidR="00BA1679" w:rsidRPr="004C5AAF">
        <w:t>:</w:t>
      </w:r>
      <w:r w:rsidR="00662D4B" w:rsidRPr="004C5AAF">
        <w:t xml:space="preserve"> </w:t>
      </w:r>
      <w:r w:rsidR="00F64148" w:rsidRPr="004C5AAF">
        <w:t xml:space="preserve">Tranche 3 funding for </w:t>
      </w:r>
      <w:r w:rsidR="00920BC1" w:rsidRPr="004C5AAF">
        <w:t xml:space="preserve">Community and Regional Infrastructure Projects, </w:t>
      </w:r>
      <w:r w:rsidR="00F0402B" w:rsidRPr="004C5AAF">
        <w:t xml:space="preserve">Justice Reinvestment, </w:t>
      </w:r>
      <w:r w:rsidR="00AB3F99" w:rsidRPr="004C5AAF">
        <w:t>Regional</w:t>
      </w:r>
      <w:r w:rsidR="00747D81" w:rsidRPr="004C5AAF">
        <w:t xml:space="preserve"> Connectivity</w:t>
      </w:r>
      <w:r w:rsidR="00AB3F99" w:rsidRPr="004C5AAF">
        <w:t xml:space="preserve">, </w:t>
      </w:r>
      <w:r w:rsidR="008E02E6" w:rsidRPr="004C5AAF">
        <w:t xml:space="preserve">Remote </w:t>
      </w:r>
      <w:r w:rsidR="00465645" w:rsidRPr="004C5AAF">
        <w:t xml:space="preserve">Training </w:t>
      </w:r>
      <w:r w:rsidR="008E02E6" w:rsidRPr="004C5AAF">
        <w:t>Hubs</w:t>
      </w:r>
      <w:r w:rsidR="00465645" w:rsidRPr="004C5AAF">
        <w:t xml:space="preserve"> Network</w:t>
      </w:r>
      <w:r w:rsidR="008E02E6" w:rsidRPr="004C5AAF">
        <w:t xml:space="preserve">, the DSS </w:t>
      </w:r>
      <w:r w:rsidR="00873410" w:rsidRPr="004C5AAF">
        <w:t>Strengthening Family and C</w:t>
      </w:r>
      <w:r w:rsidR="00616011" w:rsidRPr="004C5AAF">
        <w:t>o</w:t>
      </w:r>
      <w:r w:rsidR="00873410" w:rsidRPr="004C5AAF">
        <w:t>mmunity Partnerships pr</w:t>
      </w:r>
      <w:r w:rsidR="003F5D5D" w:rsidRPr="004C5AAF">
        <w:t xml:space="preserve">ogram of </w:t>
      </w:r>
      <w:r w:rsidR="005126EE" w:rsidRPr="004C5AAF">
        <w:t>work</w:t>
      </w:r>
      <w:r w:rsidR="000A7849" w:rsidRPr="004C5AAF">
        <w:t>,</w:t>
      </w:r>
      <w:r w:rsidR="005126EE" w:rsidRPr="004C5AAF">
        <w:t xml:space="preserve"> and</w:t>
      </w:r>
      <w:r w:rsidR="00DE4026" w:rsidRPr="004C5AAF">
        <w:t xml:space="preserve"> Supporting Youth </w:t>
      </w:r>
      <w:r w:rsidR="00853EED" w:rsidRPr="004C5AAF">
        <w:t xml:space="preserve">and Leadership </w:t>
      </w:r>
      <w:r w:rsidR="00DE4026" w:rsidRPr="004C5AAF">
        <w:t>in Central Australia</w:t>
      </w:r>
      <w:r w:rsidR="00853EED" w:rsidRPr="004C5AAF">
        <w:t xml:space="preserve"> programs</w:t>
      </w:r>
      <w:r w:rsidR="00616011" w:rsidRPr="004C5AAF">
        <w:t xml:space="preserve">. </w:t>
      </w:r>
      <w:r w:rsidR="00853EED" w:rsidRPr="004C5AAF">
        <w:t xml:space="preserve"> </w:t>
      </w:r>
    </w:p>
    <w:p w14:paraId="49EA30B1" w14:textId="77777777" w:rsidR="00DA7BDB" w:rsidRPr="004C5AAF" w:rsidRDefault="00DA7BDB" w:rsidP="000668A5">
      <w:pPr>
        <w:pStyle w:val="ListParagraph"/>
        <w:ind w:left="714" w:hanging="357"/>
        <w:contextualSpacing w:val="0"/>
      </w:pPr>
      <w:r w:rsidRPr="004C5AAF">
        <w:t>Funding allocated through the CAP was broadly welcomed as an important investment, however funding was not always strategically implemented or addressed for feasibility. This raised concerns about the effective impact of funding, project sustainability, and its ability to address root causes and immediate needs in Central Australia.</w:t>
      </w:r>
    </w:p>
    <w:p w14:paraId="616DDB09" w14:textId="20FF3FDB" w:rsidR="00EC4117" w:rsidRPr="004C5AAF" w:rsidRDefault="00EC4117" w:rsidP="000668A5">
      <w:pPr>
        <w:pStyle w:val="ListParagraph"/>
        <w:ind w:left="714" w:hanging="357"/>
        <w:contextualSpacing w:val="0"/>
      </w:pPr>
      <w:r w:rsidRPr="004C5AAF">
        <w:t xml:space="preserve">The CAP included some important elements where implementation differed from </w:t>
      </w:r>
      <w:r w:rsidR="4675E8C9" w:rsidRPr="004C5AAF">
        <w:t>‘</w:t>
      </w:r>
      <w:r w:rsidRPr="004C5AAF">
        <w:t>business as usual</w:t>
      </w:r>
      <w:r w:rsidR="662848F2" w:rsidRPr="004C5AAF">
        <w:t>’</w:t>
      </w:r>
      <w:r w:rsidRPr="004C5AAF">
        <w:t>. Embedding community consultation, a dedicated, ongoing IDC response and establishing the ALG and YRT for advice supported better ways of working with First Nations communities.</w:t>
      </w:r>
    </w:p>
    <w:p w14:paraId="73513C29" w14:textId="1AA98646" w:rsidR="00D279C1" w:rsidRPr="004C5AAF" w:rsidRDefault="00D279C1" w:rsidP="000668A5">
      <w:pPr>
        <w:pStyle w:val="ListParagraph"/>
        <w:ind w:left="714" w:hanging="357"/>
        <w:contextualSpacing w:val="0"/>
      </w:pPr>
      <w:r w:rsidRPr="004C5AAF">
        <w:t xml:space="preserve">The ALG advice is being responded to with </w:t>
      </w:r>
      <w:r w:rsidR="00035F31" w:rsidRPr="004C5AAF">
        <w:t>$15</w:t>
      </w:r>
      <w:r w:rsidR="00651AC9" w:rsidRPr="004C5AAF">
        <w:t xml:space="preserve">9 million </w:t>
      </w:r>
      <w:r w:rsidR="00A07416" w:rsidRPr="004C5AAF">
        <w:t xml:space="preserve">of CAP funding </w:t>
      </w:r>
      <w:r w:rsidR="241D1C30" w:rsidRPr="004C5AAF">
        <w:t>being</w:t>
      </w:r>
      <w:r w:rsidR="00A07416" w:rsidRPr="004C5AAF">
        <w:t xml:space="preserve"> directed based on the ALG’s advice.</w:t>
      </w:r>
    </w:p>
    <w:p w14:paraId="4E78D1B1" w14:textId="5DE2EC67" w:rsidR="00EC4117" w:rsidRPr="004C5AAF" w:rsidRDefault="00EC4117" w:rsidP="000668A5">
      <w:pPr>
        <w:pStyle w:val="ListParagraph"/>
        <w:ind w:left="714" w:hanging="357"/>
        <w:contextualSpacing w:val="0"/>
      </w:pPr>
      <w:r w:rsidRPr="004C5AAF">
        <w:t xml:space="preserve">The intent to “do things differently” is not well defined in either the CAP’s design or implementation. While broadly aligned with the </w:t>
      </w:r>
      <w:r w:rsidR="4BD1CBF1" w:rsidRPr="004C5AAF">
        <w:t>National Agreement</w:t>
      </w:r>
      <w:r w:rsidRPr="004C5AAF">
        <w:t xml:space="preserve"> commitments to work in partnership with First Nations communities, clearer use of established </w:t>
      </w:r>
      <w:r w:rsidR="13F9F6D7" w:rsidRPr="004C5AAF">
        <w:t xml:space="preserve">National Agreement </w:t>
      </w:r>
      <w:r w:rsidRPr="004C5AAF">
        <w:t>terminology and policy could strengthen consistency and coherence.</w:t>
      </w:r>
    </w:p>
    <w:p w14:paraId="0C1162F3" w14:textId="7631AECF" w:rsidR="00EC4117" w:rsidRPr="004C5AAF" w:rsidRDefault="003E592C" w:rsidP="000668A5">
      <w:pPr>
        <w:pStyle w:val="ListParagraph"/>
        <w:ind w:left="714" w:hanging="357"/>
        <w:contextualSpacing w:val="0"/>
      </w:pPr>
      <w:r w:rsidRPr="004C5AAF">
        <w:t>Several</w:t>
      </w:r>
      <w:r w:rsidR="00EC4117" w:rsidRPr="004C5AAF">
        <w:t xml:space="preserve"> early outcomes have been identified, particularly in the areas of expanding service reach, creation of jobs</w:t>
      </w:r>
      <w:r w:rsidR="6EB177F7" w:rsidRPr="004C5AAF">
        <w:t>,</w:t>
      </w:r>
      <w:r w:rsidR="00EC4117" w:rsidRPr="004C5AAF">
        <w:t xml:space="preserve"> and direct funding to schools. </w:t>
      </w:r>
      <w:r w:rsidR="00A40DAD" w:rsidRPr="004C5AAF">
        <w:t>This includes</w:t>
      </w:r>
      <w:r w:rsidR="51643635" w:rsidRPr="004C5AAF">
        <w:t xml:space="preserve"> the creation of</w:t>
      </w:r>
      <w:r w:rsidR="00A40DAD" w:rsidRPr="004C5AAF">
        <w:t xml:space="preserve"> 210 jobs through the On Country learning measure, where </w:t>
      </w:r>
      <w:r w:rsidR="7BF4F0ED" w:rsidRPr="004C5AAF">
        <w:t>42.7</w:t>
      </w:r>
      <w:r w:rsidR="001D2ACD" w:rsidRPr="004C5AAF">
        <w:t>%</w:t>
      </w:r>
      <w:r w:rsidR="00A40DAD" w:rsidRPr="004C5AAF">
        <w:t xml:space="preserve"> </w:t>
      </w:r>
      <w:r w:rsidR="01FE7933" w:rsidRPr="004C5AAF">
        <w:t xml:space="preserve">of staff identify as </w:t>
      </w:r>
      <w:r w:rsidR="00C73824" w:rsidRPr="004C5AAF">
        <w:t>First Nations</w:t>
      </w:r>
      <w:r w:rsidR="4B233FE8" w:rsidRPr="004C5AAF">
        <w:t>, an increase in students in VET, and reduction in student absenteeism</w:t>
      </w:r>
      <w:r w:rsidR="4836D486" w:rsidRPr="004C5AAF">
        <w:t xml:space="preserve"> in remote schools</w:t>
      </w:r>
      <w:r w:rsidR="005F7D84" w:rsidRPr="004C5AAF">
        <w:t>.</w:t>
      </w:r>
      <w:r w:rsidR="003653B6" w:rsidRPr="004C5AAF">
        <w:rPr>
          <w:rStyle w:val="FootnoteReference"/>
        </w:rPr>
        <w:footnoteReference w:id="27"/>
      </w:r>
      <w:r w:rsidR="4EC37629" w:rsidRPr="004C5AAF">
        <w:t xml:space="preserve"> </w:t>
      </w:r>
      <w:r w:rsidR="00EC4117" w:rsidRPr="004C5AAF">
        <w:t xml:space="preserve">The impact of the investments </w:t>
      </w:r>
      <w:r w:rsidR="00696FF5" w:rsidRPr="004C5AAF">
        <w:t>requires</w:t>
      </w:r>
      <w:r w:rsidR="00EC4117" w:rsidRPr="004C5AAF">
        <w:t xml:space="preserve"> further assessment as more activities are implemented.</w:t>
      </w:r>
    </w:p>
    <w:p w14:paraId="79775E28" w14:textId="052D9C81" w:rsidR="00FA3DEC" w:rsidRPr="004C5AAF" w:rsidRDefault="00EC4117" w:rsidP="000668A5">
      <w:pPr>
        <w:pStyle w:val="ListParagraph"/>
        <w:ind w:left="714" w:hanging="357"/>
        <w:contextualSpacing w:val="0"/>
      </w:pPr>
      <w:r w:rsidRPr="004C5AAF">
        <w:t xml:space="preserve">Strong governance, clear accountability and transparency are essential elements of the CAP and will be critical for driving ongoing implementation. Strengthening community voice in policy development through mechanisms like the ALG and YRT, alongside a place-based approach supported by the NIAA regional network, will be critical to sustaining </w:t>
      </w:r>
      <w:r w:rsidR="00DD2F9D" w:rsidRPr="004C5AAF">
        <w:t>First Nations</w:t>
      </w:r>
      <w:r w:rsidRPr="004C5AAF">
        <w:t>-led and locally responsive delivery.</w:t>
      </w:r>
    </w:p>
    <w:p w14:paraId="73642076" w14:textId="6A5697CB" w:rsidR="00FA3DEC" w:rsidRPr="004C5AAF" w:rsidRDefault="00FA3DEC" w:rsidP="000668A5">
      <w:pPr>
        <w:pStyle w:val="ListParagraph"/>
        <w:ind w:left="714" w:hanging="357"/>
        <w:contextualSpacing w:val="0"/>
      </w:pPr>
      <w:r w:rsidRPr="004C5AAF">
        <w:t xml:space="preserve">The relationship between the </w:t>
      </w:r>
      <w:r w:rsidR="00F126DF" w:rsidRPr="004C5AAF">
        <w:t xml:space="preserve">Australian Government </w:t>
      </w:r>
      <w:r w:rsidRPr="004C5AAF">
        <w:t xml:space="preserve">and the NTG in funding First Nations programs is complex and often marked by unclear roles and responsibilities. While the </w:t>
      </w:r>
      <w:r w:rsidR="00703A68" w:rsidRPr="004C5AAF">
        <w:t xml:space="preserve">Australian </w:t>
      </w:r>
      <w:r w:rsidR="00C015B5" w:rsidRPr="004C5AAF">
        <w:t>Government</w:t>
      </w:r>
      <w:r w:rsidRPr="004C5AAF">
        <w:t xml:space="preserve"> provides substantial investments into the NT for First Nations initiatives, this can also come with a level of overlap and encroachment </w:t>
      </w:r>
      <w:r w:rsidR="00574DE2" w:rsidRPr="004C5AAF">
        <w:t>into</w:t>
      </w:r>
      <w:r w:rsidRPr="004C5AAF">
        <w:t xml:space="preserve"> place-based responses that reflect community needs. Any shifts in </w:t>
      </w:r>
      <w:r w:rsidR="00703A68" w:rsidRPr="004C5AAF">
        <w:t>Australian Government</w:t>
      </w:r>
      <w:r w:rsidRPr="004C5AAF">
        <w:t xml:space="preserve"> priorities can also disrupt continuity and stability </w:t>
      </w:r>
      <w:r w:rsidR="00ED7826" w:rsidRPr="004C5AAF">
        <w:t>for</w:t>
      </w:r>
      <w:r w:rsidRPr="004C5AAF">
        <w:t xml:space="preserve"> service delivery in the NT. Additionally, the recent policy and legislative shifts in the NT, including a move towards more punitive law-and-order responses, risk undermining gains made under the CAP that focused on supporting community-led initiatives aimed at better outcomes for yo</w:t>
      </w:r>
      <w:r w:rsidR="009E7E23" w:rsidRPr="004C5AAF">
        <w:t>ung</w:t>
      </w:r>
      <w:r w:rsidRPr="004C5AAF">
        <w:t xml:space="preserve"> people and overall community wellbeing.</w:t>
      </w:r>
    </w:p>
    <w:p w14:paraId="73791CD5" w14:textId="19CE1404" w:rsidR="00341891" w:rsidRPr="004C5AAF" w:rsidRDefault="00647D62" w:rsidP="000668A5">
      <w:pPr>
        <w:pStyle w:val="ListParagraph"/>
        <w:ind w:left="714" w:hanging="357"/>
        <w:contextualSpacing w:val="0"/>
      </w:pPr>
      <w:r>
        <w:t>Opportunities to improve the implementation of the CAP exists in capturing and reporting on CAP funding data in a systematic way</w:t>
      </w:r>
      <w:r w:rsidR="00B21991" w:rsidRPr="004C5AAF">
        <w:t xml:space="preserve">, </w:t>
      </w:r>
      <w:r>
        <w:t>aligning CAP funded projects to the National Agreement Areas,</w:t>
      </w:r>
      <w:r w:rsidR="00B21991" w:rsidRPr="004C5AAF">
        <w:t xml:space="preserve"> </w:t>
      </w:r>
      <w:r>
        <w:t>clarifying the</w:t>
      </w:r>
      <w:r w:rsidR="00EA6EBE" w:rsidRPr="004C5AAF">
        <w:t xml:space="preserve"> </w:t>
      </w:r>
      <w:r w:rsidR="00B21991" w:rsidRPr="004C5AAF">
        <w:t>role of the NTG</w:t>
      </w:r>
      <w:r>
        <w:t xml:space="preserve"> in the CAP,</w:t>
      </w:r>
      <w:r w:rsidR="00B21991" w:rsidRPr="004C5AAF">
        <w:t xml:space="preserve"> </w:t>
      </w:r>
      <w:r>
        <w:t>strengthening the criteria upon which the ALG bases its advice, and communicating the CAP, what it has funded and what it has achieved to the Central Australian community</w:t>
      </w:r>
      <w:r w:rsidR="00B21991" w:rsidRPr="004C5AAF">
        <w:t>.</w:t>
      </w:r>
      <w:r w:rsidR="00341891" w:rsidRPr="004C5AAF">
        <w:t xml:space="preserve"> </w:t>
      </w:r>
    </w:p>
    <w:p w14:paraId="45512AE8" w14:textId="666F8DAC" w:rsidR="00DF693B" w:rsidRPr="002E08AC" w:rsidRDefault="00DF693B" w:rsidP="00DA4528">
      <w:pPr>
        <w:rPr>
          <w:highlight w:val="cyan"/>
        </w:rPr>
        <w:sectPr w:rsidR="00DF693B" w:rsidRPr="002E08AC" w:rsidSect="00BF0726">
          <w:headerReference w:type="even" r:id="rId14"/>
          <w:footerReference w:type="even" r:id="rId15"/>
          <w:footerReference w:type="default" r:id="rId16"/>
          <w:headerReference w:type="first" r:id="rId17"/>
          <w:footerReference w:type="first" r:id="rId18"/>
          <w:pgSz w:w="11900" w:h="16840" w:code="9"/>
          <w:pgMar w:top="1440" w:right="1080" w:bottom="1440" w:left="1080" w:header="708" w:footer="708" w:gutter="0"/>
          <w:cols w:space="720"/>
          <w:titlePg/>
          <w:docGrid w:linePitch="326"/>
        </w:sectPr>
      </w:pPr>
    </w:p>
    <w:p w14:paraId="619995A0" w14:textId="77777777" w:rsidR="003A77FF" w:rsidRPr="00EF38BF" w:rsidRDefault="003A77FF" w:rsidP="00DA4528">
      <w:pPr>
        <w:pStyle w:val="Heading1"/>
      </w:pPr>
      <w:bookmarkStart w:id="36" w:name="_Toc205475104"/>
      <w:r w:rsidRPr="00EF38BF">
        <w:lastRenderedPageBreak/>
        <w:t>Findings in detail</w:t>
      </w:r>
      <w:bookmarkEnd w:id="36"/>
    </w:p>
    <w:p w14:paraId="5C0E0E10" w14:textId="315A3170" w:rsidR="003A77FF" w:rsidRPr="004C5AAF" w:rsidRDefault="003A77FF" w:rsidP="0DEF94D3">
      <w:pPr>
        <w:rPr>
          <w:shd w:val="clear" w:color="auto" w:fill="FFFF00"/>
          <w:lang w:val="en-GB"/>
        </w:rPr>
      </w:pPr>
      <w:r w:rsidRPr="004C5AAF">
        <w:rPr>
          <w:shd w:val="clear" w:color="auto" w:fill="FFFFFF"/>
          <w:lang w:val="en-GB"/>
        </w:rPr>
        <w:t xml:space="preserve">This section outlines the </w:t>
      </w:r>
      <w:r w:rsidR="00B20C91">
        <w:rPr>
          <w:shd w:val="clear" w:color="auto" w:fill="FFFFFF"/>
          <w:lang w:val="en-GB"/>
        </w:rPr>
        <w:t xml:space="preserve">evaluation </w:t>
      </w:r>
      <w:r w:rsidRPr="004C5AAF">
        <w:rPr>
          <w:shd w:val="clear" w:color="auto" w:fill="FFFFFF"/>
          <w:lang w:val="en-GB"/>
        </w:rPr>
        <w:t xml:space="preserve">findings </w:t>
      </w:r>
      <w:r w:rsidR="00B20C91">
        <w:rPr>
          <w:shd w:val="clear" w:color="auto" w:fill="FFFFFF"/>
          <w:lang w:val="en-GB"/>
        </w:rPr>
        <w:t>for each key evaluation question and its related areas of focus in summary then in detail</w:t>
      </w:r>
      <w:r w:rsidR="00F97F8E" w:rsidRPr="004C5AAF">
        <w:rPr>
          <w:shd w:val="clear" w:color="auto" w:fill="FFFFFF"/>
          <w:lang w:val="en-GB"/>
        </w:rPr>
        <w:t xml:space="preserve">. </w:t>
      </w:r>
    </w:p>
    <w:p w14:paraId="79B0C7E7" w14:textId="77777777" w:rsidR="003A77FF" w:rsidRPr="009917B3" w:rsidRDefault="003A77FF" w:rsidP="00900728">
      <w:pPr>
        <w:pStyle w:val="Heading2"/>
      </w:pPr>
      <w:r w:rsidRPr="009917B3">
        <w:t>KEQ1: What is the current state of the CAP implementation?</w:t>
      </w:r>
    </w:p>
    <w:p w14:paraId="671EA491" w14:textId="608974B6" w:rsidR="003A77FF" w:rsidRPr="008232C0" w:rsidRDefault="00165E6F" w:rsidP="007571F3">
      <w:r>
        <w:t xml:space="preserve">These findings explore </w:t>
      </w:r>
      <w:r w:rsidR="003A77FF">
        <w:t>the current state of implementation of the CAP focussing on</w:t>
      </w:r>
      <w:r w:rsidR="00FD2A17">
        <w:t xml:space="preserve"> its intent, the level </w:t>
      </w:r>
      <w:r w:rsidR="003A77FF" w:rsidRPr="008232C0">
        <w:t xml:space="preserve">of </w:t>
      </w:r>
      <w:r w:rsidR="00F33EC6">
        <w:t>i</w:t>
      </w:r>
      <w:r w:rsidR="003A77FF" w:rsidRPr="008232C0">
        <w:t>nvestment that has been made</w:t>
      </w:r>
      <w:r w:rsidR="00FD2A17">
        <w:t xml:space="preserve"> and priorities decided</w:t>
      </w:r>
      <w:r w:rsidR="00666AA6">
        <w:t xml:space="preserve"> as well as the m</w:t>
      </w:r>
      <w:r w:rsidR="003A77FF" w:rsidRPr="008232C0">
        <w:t xml:space="preserve">echanisms </w:t>
      </w:r>
      <w:r w:rsidR="00666AA6">
        <w:t xml:space="preserve">that </w:t>
      </w:r>
      <w:r w:rsidR="003A77FF" w:rsidRPr="008232C0">
        <w:t>support implementation</w:t>
      </w:r>
      <w:r w:rsidR="00666AA6">
        <w:t xml:space="preserve"> and the r</w:t>
      </w:r>
      <w:r w:rsidR="003A77FF" w:rsidRPr="008232C0">
        <w:t>oles and responsibilities of CAP stakeholders</w:t>
      </w:r>
      <w:r w:rsidR="00D904EA">
        <w:t>.</w:t>
      </w:r>
    </w:p>
    <w:tbl>
      <w:tblPr>
        <w:tblStyle w:val="TableGrid2"/>
        <w:tblpPr w:leftFromText="180" w:rightFromText="180" w:vertAnchor="text" w:horzAnchor="margin" w:tblpY="24"/>
        <w:tblW w:w="5000" w:type="pct"/>
        <w:tblLook w:val="04A0" w:firstRow="1" w:lastRow="0" w:firstColumn="1" w:lastColumn="0" w:noHBand="0" w:noVBand="1"/>
      </w:tblPr>
      <w:tblGrid>
        <w:gridCol w:w="9680"/>
      </w:tblGrid>
      <w:tr w:rsidR="003A77FF" w:rsidRPr="00FA22E6" w14:paraId="625B788C" w14:textId="77777777" w:rsidTr="10C66EB4">
        <w:trPr>
          <w:trHeight w:val="5044"/>
        </w:trPr>
        <w:tc>
          <w:tcPr>
            <w:tcW w:w="5000" w:type="pct"/>
            <w:tcBorders>
              <w:top w:val="single" w:sz="24" w:space="0" w:color="009999"/>
              <w:left w:val="single" w:sz="24" w:space="0" w:color="009999"/>
              <w:bottom w:val="single" w:sz="24" w:space="0" w:color="009999"/>
              <w:right w:val="single" w:sz="24" w:space="0" w:color="009999"/>
            </w:tcBorders>
          </w:tcPr>
          <w:p w14:paraId="0B5D6433" w14:textId="711948A3" w:rsidR="00532E1B" w:rsidRPr="009917B3" w:rsidRDefault="003F3308" w:rsidP="00BC5DCC">
            <w:pPr>
              <w:pStyle w:val="Heading3"/>
            </w:pPr>
            <w:r>
              <w:t xml:space="preserve">Summary of </w:t>
            </w:r>
            <w:r w:rsidR="00DE3850">
              <w:t xml:space="preserve">evaluation </w:t>
            </w:r>
            <w:r w:rsidR="00532E1B" w:rsidRPr="009917B3">
              <w:t>findings</w:t>
            </w:r>
          </w:p>
          <w:p w14:paraId="216757F5" w14:textId="0840D564" w:rsidR="00900728" w:rsidRDefault="00900728" w:rsidP="00900728">
            <w:r w:rsidRPr="00FC62FE">
              <w:t xml:space="preserve">The ‘CAP </w:t>
            </w:r>
            <w:r>
              <w:t>is</w:t>
            </w:r>
            <w:r w:rsidRPr="00FC62FE">
              <w:t xml:space="preserve"> a responsive investment by the </w:t>
            </w:r>
            <w:r>
              <w:t xml:space="preserve">Australian </w:t>
            </w:r>
            <w:r w:rsidRPr="00141FEE" w:rsidDel="00FE3F26">
              <w:rPr>
                <w:rFonts w:cs="Segoe UI"/>
              </w:rPr>
              <w:t>Government</w:t>
            </w:r>
            <w:r w:rsidRPr="00FC62FE">
              <w:t xml:space="preserve"> aimed at addressing growing community needs and </w:t>
            </w:r>
            <w:r>
              <w:t xml:space="preserve">safety </w:t>
            </w:r>
            <w:r w:rsidRPr="00FC62FE">
              <w:t xml:space="preserve">concerns in Central Australia. The CAP was first announced in 2023 and </w:t>
            </w:r>
            <w:r>
              <w:t xml:space="preserve">at that time </w:t>
            </w:r>
            <w:r w:rsidRPr="00FC62FE">
              <w:t>comprise</w:t>
            </w:r>
            <w:r>
              <w:t>d</w:t>
            </w:r>
            <w:r w:rsidRPr="00FC62FE">
              <w:t xml:space="preserve"> a total </w:t>
            </w:r>
            <w:r>
              <w:t xml:space="preserve">additional </w:t>
            </w:r>
            <w:r w:rsidRPr="00FC62FE">
              <w:t>investment</w:t>
            </w:r>
            <w:r>
              <w:t xml:space="preserve"> from the Australian Government</w:t>
            </w:r>
            <w:r w:rsidRPr="00FC62FE">
              <w:t xml:space="preserve"> of $250</w:t>
            </w:r>
            <w:r>
              <w:t xml:space="preserve"> </w:t>
            </w:r>
            <w:r w:rsidRPr="00FC62FE">
              <w:t>million.</w:t>
            </w:r>
            <w:r w:rsidRPr="00FC62FE">
              <w:rPr>
                <w:rStyle w:val="FootnoteReference"/>
              </w:rPr>
              <w:footnoteReference w:id="28"/>
            </w:r>
            <w:r w:rsidRPr="00FC62FE">
              <w:t xml:space="preserve"> </w:t>
            </w:r>
            <w:r>
              <w:t>T</w:t>
            </w:r>
            <w:r w:rsidRPr="00FC62FE">
              <w:t xml:space="preserve">he CAP was initiated as a </w:t>
            </w:r>
            <w:r>
              <w:t>rapid government response to stabilise the situation in Alice Springs and prevent further harm.</w:t>
            </w:r>
            <w:r w:rsidRPr="00FC62FE">
              <w:t xml:space="preserve"> </w:t>
            </w:r>
            <w:r>
              <w:t>As an urgent measure to address the social unrest, activities</w:t>
            </w:r>
            <w:r w:rsidRPr="00FC62FE" w:rsidDel="009B79CA">
              <w:t xml:space="preserve"> </w:t>
            </w:r>
            <w:r>
              <w:t>commenced</w:t>
            </w:r>
            <w:r w:rsidRPr="00FC62FE">
              <w:t xml:space="preserve"> without a formalised implementation plan, unfolding in a more iterative and situationally driven way.</w:t>
            </w:r>
            <w:r w:rsidRPr="00FC62FE">
              <w:rPr>
                <w:rStyle w:val="FootnoteReference"/>
              </w:rPr>
              <w:footnoteReference w:id="29"/>
            </w:r>
            <w:r w:rsidRPr="00FC62FE">
              <w:t xml:space="preserve"> </w:t>
            </w:r>
            <w:r w:rsidRPr="00604BF3">
              <w:t>Considering this, the evaluation does not assess fidelity to a fixed model; instead, it adopts a descriptive approach to document how the CAP has been implemented in practice.</w:t>
            </w:r>
            <w:r w:rsidRPr="00604BF3" w:rsidDel="00744333">
              <w:t xml:space="preserve"> </w:t>
            </w:r>
          </w:p>
          <w:p w14:paraId="10823FCD" w14:textId="05657C89" w:rsidR="003A77FF" w:rsidRDefault="003A77FF" w:rsidP="00DA4528">
            <w:r>
              <w:t xml:space="preserve">The CAP is </w:t>
            </w:r>
            <w:r w:rsidR="00EB015F">
              <w:t>a little</w:t>
            </w:r>
            <w:r>
              <w:t xml:space="preserve"> over two years into implementation</w:t>
            </w:r>
            <w:r w:rsidR="0053387D">
              <w:t>,</w:t>
            </w:r>
            <w:r>
              <w:t xml:space="preserve"> with documented progress across </w:t>
            </w:r>
            <w:r w:rsidR="0053387D">
              <w:t>several areas.</w:t>
            </w:r>
          </w:p>
          <w:p w14:paraId="0D689D64" w14:textId="20265854" w:rsidR="003A77FF" w:rsidRPr="00900728" w:rsidRDefault="003A77FF" w:rsidP="00281369">
            <w:pPr>
              <w:pStyle w:val="Heading3"/>
              <w:rPr>
                <w:b w:val="0"/>
                <w:bCs/>
                <w:kern w:val="0"/>
                <w14:ligatures w14:val="none"/>
              </w:rPr>
            </w:pPr>
            <w:r w:rsidRPr="00900728">
              <w:rPr>
                <w:b w:val="0"/>
                <w:bCs/>
              </w:rPr>
              <w:t>Intent of the CAP</w:t>
            </w:r>
          </w:p>
          <w:p w14:paraId="016AB55C" w14:textId="358E9A56" w:rsidR="003A77FF" w:rsidRPr="000A6855" w:rsidRDefault="003A77FF" w:rsidP="00DA4528">
            <w:pPr>
              <w:rPr>
                <w:kern w:val="0"/>
                <w:lang w:eastAsia="en-GB"/>
                <w14:ligatures w14:val="none"/>
              </w:rPr>
            </w:pPr>
            <w:r>
              <w:t xml:space="preserve">The </w:t>
            </w:r>
            <w:r w:rsidRPr="7FEA8694">
              <w:rPr>
                <w:lang w:eastAsia="en-GB"/>
              </w:rPr>
              <w:t>CAP</w:t>
            </w:r>
            <w:r>
              <w:t xml:space="preserve"> was established by the </w:t>
            </w:r>
            <w:r w:rsidR="00703A68">
              <w:t xml:space="preserve">Australian </w:t>
            </w:r>
            <w:r w:rsidR="004B7610" w:rsidRPr="7FEA8694">
              <w:rPr>
                <w:rFonts w:cs="Segoe UI"/>
              </w:rPr>
              <w:t>Government</w:t>
            </w:r>
            <w:r w:rsidRPr="7FEA8694">
              <w:rPr>
                <w:lang w:eastAsia="en-GB"/>
              </w:rPr>
              <w:t xml:space="preserve"> with an intent to work </w:t>
            </w:r>
            <w:r>
              <w:t xml:space="preserve">in partnership with the </w:t>
            </w:r>
            <w:r w:rsidR="00EC75D5">
              <w:t>NTG</w:t>
            </w:r>
            <w:r>
              <w:t xml:space="preserve"> and local communities, to create long-term, sustained change in Central Australia. The CAP reflects a commitment </w:t>
            </w:r>
            <w:r w:rsidR="00C0747E">
              <w:t>by the Australian Government</w:t>
            </w:r>
            <w:r>
              <w:t xml:space="preserve"> to ‘doing things differently’, including improving safety and wellbeing through more collaborative and place-based approaches. While this intent has been welcomed, stakeholder perspectives on the CAP’s purpose varied. Some view</w:t>
            </w:r>
            <w:r w:rsidR="006F1332">
              <w:t>ed</w:t>
            </w:r>
            <w:r>
              <w:t xml:space="preserve"> it as a platform for implementing </w:t>
            </w:r>
            <w:r w:rsidR="00CC29B1">
              <w:t>First Nations</w:t>
            </w:r>
            <w:r>
              <w:t xml:space="preserve"> voices, others as a significant investment strategy, and some as a short-term response to community safety concerns.</w:t>
            </w:r>
          </w:p>
          <w:p w14:paraId="541AB5A5" w14:textId="40BA2194" w:rsidR="003A77FF" w:rsidRPr="00900728" w:rsidRDefault="001B1C24" w:rsidP="00281369">
            <w:pPr>
              <w:pStyle w:val="Heading3"/>
              <w:rPr>
                <w:b w:val="0"/>
                <w:bCs/>
                <w:kern w:val="0"/>
                <w14:ligatures w14:val="none"/>
              </w:rPr>
            </w:pPr>
            <w:r w:rsidRPr="00900728">
              <w:rPr>
                <w:b w:val="0"/>
                <w:bCs/>
              </w:rPr>
              <w:t>I</w:t>
            </w:r>
            <w:r w:rsidR="003A77FF" w:rsidRPr="00900728">
              <w:rPr>
                <w:b w:val="0"/>
                <w:bCs/>
              </w:rPr>
              <w:t xml:space="preserve">nvestment </w:t>
            </w:r>
            <w:r w:rsidR="00900728" w:rsidRPr="00900728">
              <w:rPr>
                <w:b w:val="0"/>
                <w:bCs/>
              </w:rPr>
              <w:t>m</w:t>
            </w:r>
            <w:r w:rsidR="000A57F0" w:rsidRPr="00900728">
              <w:rPr>
                <w:b w:val="0"/>
                <w:bCs/>
              </w:rPr>
              <w:t>ade</w:t>
            </w:r>
          </w:p>
          <w:p w14:paraId="1FB769C3" w14:textId="506070A7" w:rsidR="003A77FF" w:rsidRPr="000A6855" w:rsidRDefault="003A77FF" w:rsidP="00DA4528">
            <w:pPr>
              <w:rPr>
                <w:kern w:val="0"/>
                <w:lang w:eastAsia="en-GB"/>
                <w14:ligatures w14:val="none"/>
              </w:rPr>
            </w:pPr>
            <w:r>
              <w:t>The</w:t>
            </w:r>
            <w:r w:rsidRPr="1A31B231">
              <w:rPr>
                <w:rFonts w:cs="Segoe UI"/>
              </w:rPr>
              <w:t xml:space="preserve"> </w:t>
            </w:r>
            <w:r w:rsidR="00703A68" w:rsidRPr="1A31B231">
              <w:rPr>
                <w:rFonts w:cs="Segoe UI"/>
              </w:rPr>
              <w:t>Australian</w:t>
            </w:r>
            <w:r w:rsidR="00703A68" w:rsidRPr="1A31B231">
              <w:rPr>
                <w:rFonts w:cs="Segoe UI"/>
                <w:i/>
                <w:iCs/>
              </w:rPr>
              <w:t xml:space="preserve"> </w:t>
            </w:r>
            <w:r w:rsidR="004B7610" w:rsidRPr="1A31B231">
              <w:rPr>
                <w:rFonts w:cs="Segoe UI"/>
              </w:rPr>
              <w:t>Government</w:t>
            </w:r>
            <w:r>
              <w:t xml:space="preserve"> </w:t>
            </w:r>
            <w:r w:rsidR="00835E9B">
              <w:t>announced</w:t>
            </w:r>
            <w:r>
              <w:t xml:space="preserve"> $250 million to the CAP, distributed across six priority funding streams. As of April 2025, the full amount has been allocated, with a substantial proportion committed to specific projects and governance mechanisms </w:t>
            </w:r>
            <w:r w:rsidR="540F3458">
              <w:t xml:space="preserve">through financial arrangements with </w:t>
            </w:r>
            <w:r w:rsidR="7635B48B">
              <w:t>providers</w:t>
            </w:r>
            <w:r w:rsidR="2F6721A6">
              <w:t xml:space="preserve"> </w:t>
            </w:r>
            <w:r>
              <w:t xml:space="preserve">($156 million), and a portion already paid to projects ($85 million). While this represents a significant investment, stakeholder feedback highlights the importance of ongoing transparency in how funds are committed </w:t>
            </w:r>
            <w:r w:rsidR="00563808">
              <w:t xml:space="preserve">through financial arrangements </w:t>
            </w:r>
            <w:r>
              <w:t>and spent, particularly at the community level.</w:t>
            </w:r>
          </w:p>
          <w:p w14:paraId="5C99974A" w14:textId="0396D4EF" w:rsidR="003A77FF" w:rsidRPr="00900728" w:rsidRDefault="003A77FF" w:rsidP="00281369">
            <w:pPr>
              <w:pStyle w:val="Heading3"/>
              <w:rPr>
                <w:b w:val="0"/>
                <w:bCs/>
                <w:kern w:val="0"/>
                <w14:ligatures w14:val="none"/>
              </w:rPr>
            </w:pPr>
            <w:r w:rsidRPr="00900728">
              <w:rPr>
                <w:b w:val="0"/>
                <w:bCs/>
              </w:rPr>
              <w:t xml:space="preserve">Funding </w:t>
            </w:r>
            <w:r w:rsidR="00900728" w:rsidRPr="00900728">
              <w:rPr>
                <w:b w:val="0"/>
                <w:bCs/>
              </w:rPr>
              <w:t>p</w:t>
            </w:r>
            <w:r w:rsidRPr="00900728">
              <w:rPr>
                <w:b w:val="0"/>
                <w:bCs/>
              </w:rPr>
              <w:t>riorities</w:t>
            </w:r>
          </w:p>
          <w:p w14:paraId="0B4DDC49" w14:textId="31E34B9A" w:rsidR="003A77FF" w:rsidRPr="000A6855" w:rsidRDefault="003A77FF" w:rsidP="00DA4528">
            <w:pPr>
              <w:rPr>
                <w:kern w:val="0"/>
                <w:lang w:eastAsia="en-GB"/>
                <w14:ligatures w14:val="none"/>
              </w:rPr>
            </w:pPr>
            <w:r>
              <w:t xml:space="preserve">The CAP’s investment is directed toward six key priority areas: community safety and cohesion, job creation, improved services, preventing and addressing </w:t>
            </w:r>
            <w:proofErr w:type="spellStart"/>
            <w:r>
              <w:t>Fetal</w:t>
            </w:r>
            <w:proofErr w:type="spellEnd"/>
            <w:r>
              <w:t xml:space="preserve"> Alcohol Spectrum Disorder, investing in families, and On</w:t>
            </w:r>
            <w:r w:rsidR="490F706B">
              <w:t>-</w:t>
            </w:r>
            <w:r>
              <w:t xml:space="preserve">Country learning. These priorities were shaped </w:t>
            </w:r>
            <w:r w:rsidR="00BD6A2B">
              <w:t xml:space="preserve">with input from the </w:t>
            </w:r>
            <w:r w:rsidR="007417D4">
              <w:t>OCARC</w:t>
            </w:r>
            <w:r w:rsidR="00BD6A2B">
              <w:t xml:space="preserve"> </w:t>
            </w:r>
            <w:r>
              <w:t>and reflect a broad commitment to addressing both immediate and long-term community needs. However, there remain differing views on how priorities should be balanced, particularly between urban and remote areas</w:t>
            </w:r>
            <w:r w:rsidR="000901EC">
              <w:t>,</w:t>
            </w:r>
            <w:r w:rsidR="00447542">
              <w:t xml:space="preserve"> </w:t>
            </w:r>
            <w:r w:rsidR="008D29D7">
              <w:t xml:space="preserve">to ensure the feasibility and sustainability of CAP outcomes and projects. </w:t>
            </w:r>
          </w:p>
          <w:p w14:paraId="74217FF6" w14:textId="097FA9C8" w:rsidR="003A77FF" w:rsidRPr="00900728" w:rsidRDefault="003A77FF" w:rsidP="00281369">
            <w:pPr>
              <w:pStyle w:val="Heading3"/>
              <w:rPr>
                <w:b w:val="0"/>
                <w:bCs/>
                <w:kern w:val="0"/>
                <w14:ligatures w14:val="none"/>
              </w:rPr>
            </w:pPr>
            <w:r w:rsidRPr="00900728">
              <w:rPr>
                <w:b w:val="0"/>
                <w:bCs/>
              </w:rPr>
              <w:t xml:space="preserve">Implementation </w:t>
            </w:r>
            <w:r w:rsidR="00900728" w:rsidRPr="00900728">
              <w:rPr>
                <w:b w:val="0"/>
                <w:bCs/>
              </w:rPr>
              <w:t>m</w:t>
            </w:r>
            <w:r w:rsidRPr="00900728">
              <w:rPr>
                <w:b w:val="0"/>
                <w:bCs/>
              </w:rPr>
              <w:t>echanisms</w:t>
            </w:r>
          </w:p>
          <w:p w14:paraId="4436FB06" w14:textId="77777777" w:rsidR="003A77FF" w:rsidRPr="000A6855" w:rsidRDefault="003A77FF" w:rsidP="00DA4528">
            <w:pPr>
              <w:rPr>
                <w:kern w:val="0"/>
                <w:lang w:eastAsia="en-GB"/>
                <w14:ligatures w14:val="none"/>
              </w:rPr>
            </w:pPr>
            <w:r w:rsidRPr="000A6855">
              <w:t>CAP implementation is supported by governance and coordination mechanisms across three levels:</w:t>
            </w:r>
          </w:p>
          <w:p w14:paraId="0C48FC5C" w14:textId="28A4DFDB" w:rsidR="003A77FF" w:rsidRPr="002D7276" w:rsidRDefault="00703A68" w:rsidP="003343AE">
            <w:pPr>
              <w:pStyle w:val="ListParagraph"/>
            </w:pPr>
            <w:r w:rsidRPr="002D7276">
              <w:t xml:space="preserve">Australian </w:t>
            </w:r>
            <w:r w:rsidR="004B7610" w:rsidRPr="002D7276">
              <w:t>Government</w:t>
            </w:r>
            <w:r w:rsidR="003A77FF" w:rsidRPr="002D7276">
              <w:t xml:space="preserve">: The NIAA </w:t>
            </w:r>
            <w:r w:rsidR="00E271E3" w:rsidRPr="002D7276">
              <w:t>Central Australia Plan Implementation (</w:t>
            </w:r>
            <w:r w:rsidR="003A77FF" w:rsidRPr="002D7276">
              <w:t>CAP</w:t>
            </w:r>
            <w:r w:rsidR="00E271E3" w:rsidRPr="002D7276">
              <w:t>I)</w:t>
            </w:r>
            <w:r w:rsidR="003A77FF" w:rsidRPr="002D7276">
              <w:t xml:space="preserve"> Taskforce provides national oversight; the </w:t>
            </w:r>
            <w:r w:rsidR="00394786" w:rsidRPr="002D7276">
              <w:t xml:space="preserve">NIAA Central Australia </w:t>
            </w:r>
            <w:r w:rsidR="003A77FF" w:rsidRPr="002D7276">
              <w:t xml:space="preserve">Regional Office </w:t>
            </w:r>
            <w:r w:rsidR="19F0E76B" w:rsidRPr="002D7276">
              <w:t>and CAP</w:t>
            </w:r>
            <w:r w:rsidR="00E271E3" w:rsidRPr="002D7276">
              <w:t>I</w:t>
            </w:r>
            <w:r w:rsidR="19F0E76B" w:rsidRPr="002D7276">
              <w:t xml:space="preserve"> Taskforce members based in Alice Springs </w:t>
            </w:r>
            <w:r w:rsidR="003A77FF" w:rsidRPr="002D7276">
              <w:t>offer place-based engagement and support</w:t>
            </w:r>
            <w:r w:rsidR="00044504" w:rsidRPr="002D7276">
              <w:t>. C</w:t>
            </w:r>
            <w:r w:rsidR="003A77FF" w:rsidRPr="002D7276">
              <w:t>ross-agency collaboration is facilitated through an Inter</w:t>
            </w:r>
            <w:r w:rsidR="2470B580" w:rsidRPr="002D7276">
              <w:t>-</w:t>
            </w:r>
            <w:r w:rsidR="4CEFC1EA" w:rsidRPr="002D7276">
              <w:t>D</w:t>
            </w:r>
            <w:r w:rsidR="003A77FF" w:rsidRPr="002D7276">
              <w:t xml:space="preserve">epartmental Committee (IDC); and </w:t>
            </w:r>
            <w:r w:rsidR="5476BA3A" w:rsidRPr="002D7276">
              <w:t xml:space="preserve">a </w:t>
            </w:r>
            <w:r w:rsidR="003A77FF" w:rsidRPr="002D7276">
              <w:t>Communit</w:t>
            </w:r>
            <w:r w:rsidR="62DDD87E" w:rsidRPr="002D7276">
              <w:t>y</w:t>
            </w:r>
            <w:r w:rsidR="003A77FF" w:rsidRPr="002D7276">
              <w:t xml:space="preserve"> of </w:t>
            </w:r>
            <w:r w:rsidR="003A77FF" w:rsidRPr="002D7276">
              <w:lastRenderedPageBreak/>
              <w:t xml:space="preserve">Practice </w:t>
            </w:r>
            <w:r w:rsidR="2F6721A6" w:rsidRPr="002D7276">
              <w:t>help</w:t>
            </w:r>
            <w:r w:rsidR="55179C86" w:rsidRPr="002D7276">
              <w:t>s</w:t>
            </w:r>
            <w:r w:rsidR="003A77FF" w:rsidRPr="002D7276">
              <w:t xml:space="preserve"> identify and resolve policy and delivery issues.</w:t>
            </w:r>
          </w:p>
          <w:p w14:paraId="67060D77" w14:textId="582CA541" w:rsidR="003A77FF" w:rsidRPr="002D7276" w:rsidRDefault="00EC75D5" w:rsidP="003343AE">
            <w:pPr>
              <w:pStyle w:val="ListParagraph"/>
            </w:pPr>
            <w:r>
              <w:t>NTG</w:t>
            </w:r>
            <w:r w:rsidR="003A77FF">
              <w:t xml:space="preserve">: The Department of the Chief Minister and Cabinet leads strategic coordination, with Regional Coordination Committees (RCCs) supporting regional priority-setting and action. The </w:t>
            </w:r>
            <w:r w:rsidR="00AB6E3B">
              <w:t xml:space="preserve">OCARC </w:t>
            </w:r>
            <w:r w:rsidR="003A77FF">
              <w:t xml:space="preserve">played a key role in early engagement and investment advice, with its functions redistributed </w:t>
            </w:r>
            <w:r w:rsidR="7B6994A2">
              <w:t>across NT Government</w:t>
            </w:r>
            <w:r w:rsidR="003A77FF">
              <w:t xml:space="preserve"> in early 2025.</w:t>
            </w:r>
            <w:r w:rsidR="34B1EBA9">
              <w:t xml:space="preserve"> The NTG </w:t>
            </w:r>
            <w:r w:rsidR="00A653EE">
              <w:t>is</w:t>
            </w:r>
            <w:r w:rsidR="00F470B1">
              <w:t xml:space="preserve"> also</w:t>
            </w:r>
            <w:r w:rsidR="00A12854">
              <w:t xml:space="preserve"> </w:t>
            </w:r>
            <w:r w:rsidR="5DE62075">
              <w:t>a</w:t>
            </w:r>
            <w:r w:rsidR="00A12854">
              <w:t xml:space="preserve"> me</w:t>
            </w:r>
            <w:r w:rsidR="00F470B1">
              <w:t xml:space="preserve">mber of </w:t>
            </w:r>
            <w:r w:rsidR="34B1EBA9">
              <w:t>the Community of Practice.</w:t>
            </w:r>
          </w:p>
          <w:p w14:paraId="6E3F8956" w14:textId="43CCA081" w:rsidR="003A77FF" w:rsidRPr="002D7276" w:rsidRDefault="003A77FF" w:rsidP="003343AE">
            <w:pPr>
              <w:pStyle w:val="ListParagraph"/>
            </w:pPr>
            <w:r>
              <w:t xml:space="preserve">Community level: </w:t>
            </w:r>
            <w:r w:rsidR="001320A6">
              <w:t xml:space="preserve"> Community consultations led by the </w:t>
            </w:r>
            <w:r w:rsidR="00AB6E3B">
              <w:t>OCARC</w:t>
            </w:r>
            <w:r w:rsidR="001320A6">
              <w:t xml:space="preserve"> engaged over 1,000 people and informed the CAP priorities</w:t>
            </w:r>
            <w:r w:rsidR="008509AE">
              <w:t>.</w:t>
            </w:r>
            <w:r w:rsidR="00900728">
              <w:t xml:space="preserve"> </w:t>
            </w:r>
            <w:r>
              <w:t xml:space="preserve">The </w:t>
            </w:r>
            <w:r w:rsidR="4D8FE5B4">
              <w:t>ALG</w:t>
            </w:r>
            <w:r>
              <w:t xml:space="preserve"> established in 2023, provides independent advice to government and grounds decision-making in community realities. The YRT, formed </w:t>
            </w:r>
            <w:r w:rsidR="00271854">
              <w:t>in late 2023</w:t>
            </w:r>
            <w:r>
              <w:t xml:space="preserve">, enables young people to </w:t>
            </w:r>
            <w:r w:rsidR="2E18E876">
              <w:t>provide input to government primarily via the ALG</w:t>
            </w:r>
            <w:r w:rsidR="0B10DC6E">
              <w:t xml:space="preserve"> with the chair of the YRT sitting on the ALG. </w:t>
            </w:r>
          </w:p>
          <w:p w14:paraId="6354A292" w14:textId="5058707A" w:rsidR="007C3FEC" w:rsidRPr="002D7276" w:rsidRDefault="007C3FEC" w:rsidP="003343AE">
            <w:pPr>
              <w:pStyle w:val="ListParagraph"/>
            </w:pPr>
            <w:r w:rsidRPr="002D7276">
              <w:t xml:space="preserve">Communication and accountability: Effective </w:t>
            </w:r>
            <w:r w:rsidR="003334AA" w:rsidRPr="002D7276">
              <w:t xml:space="preserve">two-way </w:t>
            </w:r>
            <w:r w:rsidRPr="002D7276">
              <w:t>communication and accountability between government, non-government, and community stakeholders are essential components for the CAP</w:t>
            </w:r>
            <w:r w:rsidR="00D64A29" w:rsidRPr="002D7276">
              <w:t xml:space="preserve"> implementation</w:t>
            </w:r>
            <w:r w:rsidRPr="002D7276">
              <w:t xml:space="preserve">. </w:t>
            </w:r>
            <w:r w:rsidR="0020309E" w:rsidRPr="002D7276">
              <w:t xml:space="preserve">Efforts have been </w:t>
            </w:r>
            <w:r w:rsidRPr="002D7276">
              <w:t>made to track progress of projects and demonstrate progress of the CAP to the stakeholders including the ALG, YRT and the IDC</w:t>
            </w:r>
            <w:r w:rsidR="00367A3D" w:rsidRPr="002D7276">
              <w:t xml:space="preserve">. However, </w:t>
            </w:r>
            <w:r w:rsidRPr="002D7276">
              <w:t>further refinement of the communication and accountability processes for the CAP are still required</w:t>
            </w:r>
            <w:r w:rsidR="0020309E" w:rsidRPr="002D7276">
              <w:t>, especially</w:t>
            </w:r>
            <w:r w:rsidR="004E29BE" w:rsidRPr="002D7276">
              <w:t xml:space="preserve"> </w:t>
            </w:r>
            <w:r w:rsidR="00A60F65" w:rsidRPr="002D7276">
              <w:t xml:space="preserve">at the </w:t>
            </w:r>
            <w:r w:rsidR="009C3CC7" w:rsidRPr="002D7276">
              <w:t>community level</w:t>
            </w:r>
            <w:r w:rsidRPr="002D7276">
              <w:t>.</w:t>
            </w:r>
          </w:p>
          <w:p w14:paraId="77003475" w14:textId="6B001ADA" w:rsidR="003A77FF" w:rsidRPr="00900728" w:rsidRDefault="003A77FF" w:rsidP="00281369">
            <w:pPr>
              <w:pStyle w:val="Heading3"/>
              <w:rPr>
                <w:b w:val="0"/>
                <w:bCs/>
                <w:kern w:val="0"/>
                <w14:ligatures w14:val="none"/>
              </w:rPr>
            </w:pPr>
            <w:r w:rsidRPr="00900728">
              <w:rPr>
                <w:b w:val="0"/>
                <w:bCs/>
              </w:rPr>
              <w:t xml:space="preserve">Roles and </w:t>
            </w:r>
            <w:r w:rsidR="00900728" w:rsidRPr="00900728">
              <w:rPr>
                <w:b w:val="0"/>
                <w:bCs/>
              </w:rPr>
              <w:t>r</w:t>
            </w:r>
            <w:r w:rsidRPr="00900728">
              <w:rPr>
                <w:b w:val="0"/>
                <w:bCs/>
              </w:rPr>
              <w:t>esponsibilities</w:t>
            </w:r>
          </w:p>
          <w:p w14:paraId="5DE96DFA" w14:textId="77777777" w:rsidR="003A77FF" w:rsidRPr="000A6855" w:rsidRDefault="003A77FF" w:rsidP="00DA4528">
            <w:pPr>
              <w:rPr>
                <w:kern w:val="0"/>
                <w:lang w:eastAsia="en-GB"/>
                <w14:ligatures w14:val="none"/>
              </w:rPr>
            </w:pPr>
            <w:r w:rsidRPr="000A6855">
              <w:t>The CAP operates within a complex, multi-stakeholder structure that spans multiple levels of government and sectors. Responsibility is shared across two main domains:</w:t>
            </w:r>
          </w:p>
          <w:p w14:paraId="668A2574" w14:textId="1FDC589F" w:rsidR="007126E4" w:rsidRPr="002D7276" w:rsidRDefault="003A77FF" w:rsidP="003343AE">
            <w:pPr>
              <w:pStyle w:val="ListParagraph"/>
            </w:pPr>
            <w:r w:rsidRPr="002D7276">
              <w:t xml:space="preserve">Strategic oversight and funding decisions, led by the </w:t>
            </w:r>
            <w:r w:rsidR="00E36158" w:rsidRPr="002D7276">
              <w:t xml:space="preserve">Australian </w:t>
            </w:r>
            <w:r w:rsidR="00FE3F26" w:rsidRPr="002D7276">
              <w:t>Government</w:t>
            </w:r>
            <w:r w:rsidRPr="002D7276">
              <w:t xml:space="preserve"> with input from the NT</w:t>
            </w:r>
            <w:r w:rsidR="007126E4" w:rsidRPr="002D7276">
              <w:t>G</w:t>
            </w:r>
            <w:r w:rsidRPr="002D7276">
              <w:t xml:space="preserve"> and advisory groups such as the ALG and YRT</w:t>
            </w:r>
            <w:r w:rsidR="000E0EFC" w:rsidRPr="002D7276">
              <w:t>.</w:t>
            </w:r>
          </w:p>
          <w:p w14:paraId="5E149020" w14:textId="1918B7B5" w:rsidR="003A77FF" w:rsidRPr="008232C0" w:rsidRDefault="003A77FF" w:rsidP="003343AE">
            <w:pPr>
              <w:pStyle w:val="ListParagraph"/>
              <w:rPr>
                <w:kern w:val="0"/>
                <w14:ligatures w14:val="none"/>
              </w:rPr>
            </w:pPr>
            <w:r w:rsidRPr="002D7276">
              <w:t>Program delivery and service implementation, primarily led by government agencies and community organisations.</w:t>
            </w:r>
          </w:p>
          <w:p w14:paraId="611AF5FB" w14:textId="68B98140" w:rsidR="003A77FF" w:rsidRPr="000A6855" w:rsidRDefault="003A77FF" w:rsidP="001C5DF9">
            <w:r>
              <w:t>A key challenge identified across stakeholder groups is the lack of clarity regarding roles and responsibilities</w:t>
            </w:r>
            <w:r w:rsidR="00900728">
              <w:t>, particularly regarding the role of the NTG</w:t>
            </w:r>
            <w:r>
              <w:t>. Staff turnover</w:t>
            </w:r>
            <w:r w:rsidR="00733437">
              <w:t>,</w:t>
            </w:r>
            <w:r>
              <w:t xml:space="preserve"> </w:t>
            </w:r>
            <w:r w:rsidR="00F819E1">
              <w:t xml:space="preserve">the </w:t>
            </w:r>
            <w:r>
              <w:t xml:space="preserve">number of </w:t>
            </w:r>
            <w:r w:rsidR="00AB63F8">
              <w:t xml:space="preserve">agencies </w:t>
            </w:r>
            <w:r>
              <w:t>involved</w:t>
            </w:r>
            <w:r w:rsidR="5DE96AB5">
              <w:t>,</w:t>
            </w:r>
            <w:r w:rsidR="00AB63F8">
              <w:t xml:space="preserve"> </w:t>
            </w:r>
            <w:r>
              <w:t xml:space="preserve">and breadth of project types being funded have compounded this challenge. </w:t>
            </w:r>
            <w:r w:rsidR="003274C4">
              <w:t>U</w:t>
            </w:r>
            <w:r>
              <w:t xml:space="preserve">ncertainty </w:t>
            </w:r>
            <w:r w:rsidR="003274C4">
              <w:t xml:space="preserve">exists </w:t>
            </w:r>
            <w:r>
              <w:t>about long-term responsibilities</w:t>
            </w:r>
            <w:r w:rsidR="00E03085">
              <w:t xml:space="preserve"> </w:t>
            </w:r>
            <w:r>
              <w:t xml:space="preserve">after the four-year funding window ends, including </w:t>
            </w:r>
            <w:r w:rsidR="00070C35">
              <w:t>future</w:t>
            </w:r>
            <w:r>
              <w:t xml:space="preserve"> support for established programs, and the ongoing role of</w:t>
            </w:r>
            <w:r w:rsidRPr="1A31B231">
              <w:rPr>
                <w:lang w:eastAsia="en-GB"/>
              </w:rPr>
              <w:t xml:space="preserve"> </w:t>
            </w:r>
            <w:r>
              <w:t>advisory mechanisms such as the ALG and YRT.</w:t>
            </w:r>
          </w:p>
        </w:tc>
      </w:tr>
    </w:tbl>
    <w:p w14:paraId="38717542" w14:textId="1F902EB4" w:rsidR="00B431A7" w:rsidRPr="00E23F04" w:rsidDel="004E227C" w:rsidRDefault="00B431A7" w:rsidP="00900728">
      <w:pPr>
        <w:pStyle w:val="Heading3"/>
        <w:rPr>
          <w:color w:val="1E9995"/>
        </w:rPr>
      </w:pPr>
      <w:r w:rsidRPr="007D1E80">
        <w:lastRenderedPageBreak/>
        <w:t>The intent of the CAP</w:t>
      </w:r>
    </w:p>
    <w:p w14:paraId="73AC4076" w14:textId="63311A84" w:rsidR="00B431A7" w:rsidRPr="00604BF3" w:rsidRDefault="009D6611" w:rsidP="00B431A7">
      <w:r>
        <w:t xml:space="preserve">The intent of the </w:t>
      </w:r>
      <w:r w:rsidR="00315F61">
        <w:t>CAP</w:t>
      </w:r>
      <w:r w:rsidR="00011620">
        <w:t xml:space="preserve"> is described in</w:t>
      </w:r>
      <w:r w:rsidR="00315F61">
        <w:t xml:space="preserve"> </w:t>
      </w:r>
      <w:r w:rsidR="00B431A7" w:rsidRPr="005F3B53">
        <w:t>document</w:t>
      </w:r>
      <w:r w:rsidR="00315F61">
        <w:t>ation</w:t>
      </w:r>
      <w:r w:rsidR="00B431A7" w:rsidRPr="005F3B53">
        <w:t xml:space="preserve"> </w:t>
      </w:r>
      <w:r w:rsidR="0075113B">
        <w:t xml:space="preserve">as </w:t>
      </w:r>
      <w:r w:rsidR="00A10F8A">
        <w:t>supporting</w:t>
      </w:r>
      <w:r w:rsidR="00B431A7" w:rsidRPr="00604BF3">
        <w:t xml:space="preserve"> the </w:t>
      </w:r>
      <w:r w:rsidR="0016099A">
        <w:rPr>
          <w:rFonts w:cs="Segoe UI"/>
        </w:rPr>
        <w:t xml:space="preserve">Australian </w:t>
      </w:r>
      <w:r w:rsidR="00FE3F26" w:rsidRPr="00141FEE">
        <w:rPr>
          <w:rFonts w:cs="Segoe UI"/>
        </w:rPr>
        <w:t>Government</w:t>
      </w:r>
      <w:r w:rsidR="00D82EBA">
        <w:rPr>
          <w:rFonts w:cs="Segoe UI"/>
        </w:rPr>
        <w:t xml:space="preserve">’s </w:t>
      </w:r>
      <w:r w:rsidR="00D8374B">
        <w:rPr>
          <w:rFonts w:cs="Segoe UI"/>
        </w:rPr>
        <w:t>commitment</w:t>
      </w:r>
      <w:r w:rsidR="00B431A7" w:rsidRPr="00604BF3">
        <w:t xml:space="preserve"> </w:t>
      </w:r>
      <w:r w:rsidR="6B1E5A70" w:rsidRPr="00604BF3">
        <w:t xml:space="preserve">to </w:t>
      </w:r>
      <w:r w:rsidR="00B431A7" w:rsidRPr="00604BF3">
        <w:t>work</w:t>
      </w:r>
      <w:r w:rsidR="00D72630">
        <w:t>ing</w:t>
      </w:r>
      <w:r w:rsidR="00B431A7" w:rsidRPr="00604BF3">
        <w:t xml:space="preserve"> in genuine partnership with the </w:t>
      </w:r>
      <w:r w:rsidR="00B60EB5">
        <w:t>NTG</w:t>
      </w:r>
      <w:r w:rsidR="00B431A7" w:rsidRPr="00604BF3">
        <w:t xml:space="preserve"> and local communities to make the long-term sustained changes that communities have said they want. This includes making Central Australia safer and improving the lives of children, families and communities, and a commitment to </w:t>
      </w:r>
      <w:r w:rsidR="00B431A7" w:rsidRPr="005F3B53">
        <w:t>‘</w:t>
      </w:r>
      <w:r w:rsidR="00B431A7" w:rsidRPr="00604BF3">
        <w:t>doing things differently.’</w:t>
      </w:r>
      <w:r w:rsidR="00B431A7">
        <w:rPr>
          <w:rStyle w:val="FootnoteReference"/>
        </w:rPr>
        <w:footnoteReference w:id="30"/>
      </w:r>
    </w:p>
    <w:p w14:paraId="46DA2221" w14:textId="485373C7" w:rsidR="0067295B" w:rsidRDefault="00B431A7" w:rsidP="0067295B">
      <w:r w:rsidRPr="00FC62FE">
        <w:t>Stakeholder perceptions of the</w:t>
      </w:r>
      <w:r w:rsidR="00665B17">
        <w:t xml:space="preserve"> intent of the</w:t>
      </w:r>
      <w:r w:rsidRPr="00FC62FE">
        <w:t xml:space="preserve"> CAP var</w:t>
      </w:r>
      <w:r w:rsidR="00B67952">
        <w:t>y</w:t>
      </w:r>
      <w:r w:rsidRPr="00FC62FE">
        <w:t xml:space="preserve">, reflecting the multifaceted nature of the </w:t>
      </w:r>
      <w:r w:rsidR="00163CB8">
        <w:t>response</w:t>
      </w:r>
      <w:r w:rsidR="00520735">
        <w:t>.</w:t>
      </w:r>
      <w:r w:rsidR="002D6FAF">
        <w:t xml:space="preserve"> </w:t>
      </w:r>
      <w:r w:rsidR="00520735">
        <w:t>O</w:t>
      </w:r>
      <w:r w:rsidR="002D6FAF">
        <w:t>verall, t</w:t>
      </w:r>
      <w:r w:rsidRPr="00FC62FE">
        <w:t>here was broad recognition of its significance</w:t>
      </w:r>
      <w:r w:rsidR="00832AC8">
        <w:t xml:space="preserve">. </w:t>
      </w:r>
      <w:r w:rsidR="007B3E82">
        <w:t>S</w:t>
      </w:r>
      <w:r w:rsidRPr="00FC62FE">
        <w:t xml:space="preserve">takeholders emphasised different aspects of the </w:t>
      </w:r>
      <w:r w:rsidR="0020768C">
        <w:t xml:space="preserve">CAP </w:t>
      </w:r>
      <w:r w:rsidR="00B301A6">
        <w:t>as</w:t>
      </w:r>
      <w:r w:rsidR="0020768C">
        <w:t xml:space="preserve">: </w:t>
      </w:r>
      <w:r w:rsidRPr="00FC62FE">
        <w:t xml:space="preserve"> </w:t>
      </w:r>
    </w:p>
    <w:p w14:paraId="3FFF54F1" w14:textId="392A7D1E" w:rsidR="0067295B" w:rsidRDefault="00B431A7" w:rsidP="003343AE">
      <w:pPr>
        <w:pStyle w:val="ListParagraph"/>
        <w:numPr>
          <w:ilvl w:val="0"/>
          <w:numId w:val="10"/>
        </w:numPr>
      </w:pPr>
      <w:r w:rsidRPr="00FC62FE">
        <w:t xml:space="preserve">a vehicle for </w:t>
      </w:r>
      <w:r w:rsidRPr="0067295B">
        <w:rPr>
          <w:rStyle w:val="Strong"/>
          <w:b w:val="0"/>
          <w:bCs w:val="0"/>
        </w:rPr>
        <w:t>implementing the voices of Aboriginal people</w:t>
      </w:r>
    </w:p>
    <w:p w14:paraId="2633F24D" w14:textId="77777777" w:rsidR="00900728" w:rsidRDefault="006E2948" w:rsidP="003343AE">
      <w:pPr>
        <w:pStyle w:val="ListParagraph"/>
        <w:numPr>
          <w:ilvl w:val="0"/>
          <w:numId w:val="10"/>
        </w:numPr>
      </w:pPr>
      <w:r>
        <w:t>a</w:t>
      </w:r>
      <w:r w:rsidR="00B431A7" w:rsidRPr="00FC62FE">
        <w:t xml:space="preserve"> significant investment into Central Australia, with a focus on the scale of the investment</w:t>
      </w:r>
    </w:p>
    <w:p w14:paraId="49AC3072" w14:textId="19C49925" w:rsidR="00B431A7" w:rsidRPr="00900728" w:rsidRDefault="00B431A7" w:rsidP="003343AE">
      <w:pPr>
        <w:pStyle w:val="ListParagraph"/>
        <w:numPr>
          <w:ilvl w:val="0"/>
          <w:numId w:val="10"/>
        </w:numPr>
      </w:pPr>
      <w:r w:rsidRPr="00FC62FE">
        <w:t xml:space="preserve">a strategy to </w:t>
      </w:r>
      <w:r w:rsidRPr="00900728">
        <w:rPr>
          <w:rStyle w:val="Strong"/>
          <w:b w:val="0"/>
          <w:bCs w:val="0"/>
        </w:rPr>
        <w:t>address immediate concerns around community safety</w:t>
      </w:r>
      <w:r w:rsidRPr="00FC62FE">
        <w:t>, particularly in Alice Springs and surrounding areas.</w:t>
      </w:r>
      <w:r w:rsidR="00A70E25">
        <w:rPr>
          <w:rStyle w:val="FootnoteReference"/>
        </w:rPr>
        <w:t xml:space="preserve"> </w:t>
      </w:r>
    </w:p>
    <w:p w14:paraId="31390ACC" w14:textId="77777777" w:rsidR="0028010D" w:rsidRDefault="0028010D">
      <w:pPr>
        <w:keepLines w:val="0"/>
        <w:widowControl/>
        <w:spacing w:before="0" w:after="0"/>
        <w:rPr>
          <w:i/>
          <w:color w:val="009999"/>
        </w:rPr>
      </w:pPr>
      <w:r>
        <w:br w:type="page"/>
      </w:r>
    </w:p>
    <w:p w14:paraId="6DCB586F" w14:textId="7F4911B3" w:rsidR="00B431A7" w:rsidRPr="00FC62FE" w:rsidRDefault="00B431A7" w:rsidP="00900728">
      <w:pPr>
        <w:pStyle w:val="Heading4"/>
      </w:pPr>
      <w:r>
        <w:lastRenderedPageBreak/>
        <w:t xml:space="preserve">Doing things differently </w:t>
      </w:r>
    </w:p>
    <w:p w14:paraId="61DB0C7E" w14:textId="1B09DDD8" w:rsidR="00C15397" w:rsidRDefault="00B431A7" w:rsidP="00B431A7">
      <w:r w:rsidRPr="00FC62FE">
        <w:t xml:space="preserve">The concept of </w:t>
      </w:r>
      <w:r w:rsidR="00716C30">
        <w:t>'</w:t>
      </w:r>
      <w:r w:rsidRPr="00FC62FE">
        <w:t>doing things differently</w:t>
      </w:r>
      <w:r w:rsidR="00716C30">
        <w:t>'</w:t>
      </w:r>
      <w:r w:rsidRPr="00FC62FE">
        <w:t xml:space="preserve"> aligns with a commitment by government to work in a different way with </w:t>
      </w:r>
      <w:r w:rsidR="00B60EB5">
        <w:t>First Nations</w:t>
      </w:r>
      <w:r w:rsidRPr="00FC62FE">
        <w:t xml:space="preserve"> people</w:t>
      </w:r>
      <w:r w:rsidR="0017599E">
        <w:t>,</w:t>
      </w:r>
      <w:r w:rsidRPr="00FC62FE">
        <w:rPr>
          <w:rStyle w:val="FootnoteReference"/>
        </w:rPr>
        <w:footnoteReference w:id="31"/>
      </w:r>
      <w:r w:rsidRPr="00FC62FE">
        <w:t xml:space="preserve"> </w:t>
      </w:r>
      <w:r w:rsidR="005A5D02">
        <w:t>but</w:t>
      </w:r>
      <w:r w:rsidRPr="00FC62FE">
        <w:t xml:space="preserve"> </w:t>
      </w:r>
      <w:r w:rsidR="00F45EB3">
        <w:t xml:space="preserve">it </w:t>
      </w:r>
      <w:r w:rsidRPr="00FC62FE">
        <w:t xml:space="preserve">is not explicitly defined or operationalised within </w:t>
      </w:r>
      <w:r w:rsidR="0077738F">
        <w:t>CAP</w:t>
      </w:r>
      <w:r w:rsidRPr="00FC62FE">
        <w:t xml:space="preserve"> </w:t>
      </w:r>
      <w:r w:rsidRPr="1014EAC5">
        <w:t xml:space="preserve">documentation. </w:t>
      </w:r>
    </w:p>
    <w:p w14:paraId="2F595046" w14:textId="7A6E0DB3" w:rsidR="00C15397" w:rsidRDefault="003879D3" w:rsidP="00B431A7">
      <w:r>
        <w:t xml:space="preserve">Analysis of evaluation data suggests that </w:t>
      </w:r>
      <w:r w:rsidRPr="1014EAC5">
        <w:t>there is no shared understanding</w:t>
      </w:r>
      <w:r>
        <w:t xml:space="preserve">, across CAP stakeholder groups, </w:t>
      </w:r>
      <w:r w:rsidRPr="1014EAC5">
        <w:t xml:space="preserve">of </w:t>
      </w:r>
      <w:r>
        <w:t>what</w:t>
      </w:r>
      <w:r w:rsidRPr="1014EAC5">
        <w:t xml:space="preserve"> ‘doing things differently’ </w:t>
      </w:r>
      <w:r>
        <w:t>means</w:t>
      </w:r>
      <w:r w:rsidRPr="1014EAC5">
        <w:t>.</w:t>
      </w:r>
    </w:p>
    <w:p w14:paraId="2D0C7E0E" w14:textId="1763685A" w:rsidR="00B431A7" w:rsidRPr="00FC62FE" w:rsidRDefault="00B431A7" w:rsidP="00B431A7">
      <w:r w:rsidRPr="00FC62FE">
        <w:t xml:space="preserve">Documents and interviews with government stakeholders suggest </w:t>
      </w:r>
      <w:r w:rsidR="007351AC">
        <w:t>the</w:t>
      </w:r>
      <w:r w:rsidRPr="00FC62FE">
        <w:t xml:space="preserve"> concept is broadly</w:t>
      </w:r>
      <w:r w:rsidR="00A92F42">
        <w:t xml:space="preserve"> i</w:t>
      </w:r>
      <w:r w:rsidRPr="00FC62FE">
        <w:t xml:space="preserve">nterpreted as an intention to work in ‘genuine partnership’ with </w:t>
      </w:r>
      <w:r w:rsidR="00B60EB5">
        <w:t>First Nations</w:t>
      </w:r>
      <w:r w:rsidRPr="00FC62FE">
        <w:t xml:space="preserve"> organisations and communities,</w:t>
      </w:r>
      <w:r w:rsidR="000D44DA">
        <w:t xml:space="preserve"> including</w:t>
      </w:r>
      <w:r w:rsidRPr="00FC62FE">
        <w:t xml:space="preserve"> listening and creating real solutions with First Nations people.</w:t>
      </w:r>
      <w:r w:rsidRPr="00FC62FE">
        <w:rPr>
          <w:rStyle w:val="FootnoteReference"/>
        </w:rPr>
        <w:footnoteReference w:id="32"/>
      </w:r>
      <w:r w:rsidRPr="00FC62FE">
        <w:t xml:space="preserve"> </w:t>
      </w:r>
      <w:r w:rsidR="00EA3340">
        <w:t xml:space="preserve">Government stakeholders also describe </w:t>
      </w:r>
      <w:r w:rsidR="006979E2" w:rsidRPr="1014EAC5">
        <w:t xml:space="preserve">doing things differently’ as a commitment to work with </w:t>
      </w:r>
      <w:r w:rsidR="00B60EB5">
        <w:t>First Nations</w:t>
      </w:r>
      <w:r w:rsidR="006979E2" w:rsidRPr="1014EAC5">
        <w:t xml:space="preserve"> communities</w:t>
      </w:r>
      <w:r w:rsidR="00537289" w:rsidRPr="00537289">
        <w:t xml:space="preserve"> </w:t>
      </w:r>
      <w:r w:rsidR="00537289" w:rsidRPr="1014EAC5">
        <w:t>in a different way than in the past</w:t>
      </w:r>
      <w:r w:rsidR="006979E2" w:rsidRPr="1014EAC5">
        <w:t xml:space="preserve">. This includes a focus on more meaningful engagement. </w:t>
      </w:r>
      <w:r w:rsidRPr="00FC62FE">
        <w:t>Th</w:t>
      </w:r>
      <w:r w:rsidR="00537289">
        <w:t>ese are</w:t>
      </w:r>
      <w:r w:rsidRPr="00FC62FE">
        <w:t xml:space="preserve"> reflected in the Theory of Change drafted as part of this evaluation in consultation with NIAA and the ALG</w:t>
      </w:r>
      <w:r w:rsidR="00CB2894">
        <w:t xml:space="preserve"> (see Appendix</w:t>
      </w:r>
      <w:r w:rsidR="00A92F42">
        <w:t xml:space="preserve"> A</w:t>
      </w:r>
      <w:r w:rsidR="009A12CA">
        <w:t>)</w:t>
      </w:r>
      <w:r w:rsidRPr="00FC62FE">
        <w:t>.</w:t>
      </w:r>
      <w:r w:rsidRPr="00FC62FE">
        <w:rPr>
          <w:rStyle w:val="FootnoteReference"/>
        </w:rPr>
        <w:footnoteReference w:id="33"/>
      </w:r>
      <w:r w:rsidR="00A279EA">
        <w:t xml:space="preserve"> </w:t>
      </w:r>
      <w:r w:rsidR="00A47DA6">
        <w:t xml:space="preserve">One government stakeholder </w:t>
      </w:r>
      <w:r w:rsidR="005017AB">
        <w:t xml:space="preserve">stated: </w:t>
      </w:r>
    </w:p>
    <w:p w14:paraId="7FAA5415" w14:textId="70C8CA86" w:rsidR="003A77FF" w:rsidRDefault="003A77FF" w:rsidP="00C51C3A">
      <w:pPr>
        <w:pStyle w:val="Quote"/>
        <w:jc w:val="left"/>
      </w:pPr>
      <w:r w:rsidRPr="00FC7029">
        <w:t xml:space="preserve">“a really good thing about </w:t>
      </w:r>
      <w:r w:rsidR="00B45BBE" w:rsidRPr="00FC7029">
        <w:t>the C</w:t>
      </w:r>
      <w:r w:rsidRPr="00FC7029">
        <w:t xml:space="preserve">entral Australian </w:t>
      </w:r>
      <w:r w:rsidR="00B45BBE" w:rsidRPr="00FC7029">
        <w:t>P</w:t>
      </w:r>
      <w:r w:rsidRPr="00FC7029">
        <w:t>lan, is that we all came together and we all committed to doing things differently, I suppose, which was the catchphrase at the time within our remote communities, and we stood up and made promises about the funding and the impacts that that could have on the lives of people in those communities, and I suppose we have adopted practices from that program that we continue to use now, I feel like it's informed our agency to do things, to do work differently in terms of community consultation.</w:t>
      </w:r>
      <w:r w:rsidR="00196DE8" w:rsidRPr="00FC7029">
        <w:t>’</w:t>
      </w:r>
      <w:r w:rsidR="00A70E25">
        <w:rPr>
          <w:rStyle w:val="FootnoteReference"/>
        </w:rPr>
        <w:t xml:space="preserve"> </w:t>
      </w:r>
    </w:p>
    <w:p w14:paraId="50504A7D" w14:textId="29596E06" w:rsidR="00CE432F" w:rsidRDefault="00CE432F" w:rsidP="00CE432F">
      <w:r w:rsidRPr="00916B55">
        <w:t>In contrast, non-government stakeholders tended to interpret the concept more literally, directly assessing whether practice had, in fact, changed or not</w:t>
      </w:r>
      <w:r w:rsidR="00756E58">
        <w:t>.</w:t>
      </w:r>
      <w:r w:rsidR="00A70E25">
        <w:rPr>
          <w:rStyle w:val="FootnoteReference"/>
        </w:rPr>
        <w:t xml:space="preserve"> </w:t>
      </w:r>
      <w:r w:rsidRPr="00916B55">
        <w:t xml:space="preserve"> This</w:t>
      </w:r>
      <w:r w:rsidRPr="1014EAC5">
        <w:t xml:space="preserve"> divergence in interpretation </w:t>
      </w:r>
      <w:r w:rsidR="00104557">
        <w:t>points to</w:t>
      </w:r>
      <w:r w:rsidRPr="1014EAC5">
        <w:t xml:space="preserve"> conceptual </w:t>
      </w:r>
      <w:r w:rsidR="00DF4550">
        <w:t xml:space="preserve">ambiguity </w:t>
      </w:r>
      <w:r w:rsidR="00496D1C">
        <w:t xml:space="preserve">across stakeholders, </w:t>
      </w:r>
      <w:r w:rsidR="00D578BA">
        <w:t xml:space="preserve">likely </w:t>
      </w:r>
      <w:r w:rsidR="00DF4550">
        <w:t>stemming from</w:t>
      </w:r>
      <w:r w:rsidR="002129E3">
        <w:t xml:space="preserve"> </w:t>
      </w:r>
      <w:r w:rsidR="001670C1">
        <w:t>unclear or</w:t>
      </w:r>
      <w:r w:rsidR="00D578BA" w:rsidDel="001670C1">
        <w:t xml:space="preserve"> </w:t>
      </w:r>
      <w:r w:rsidR="001670C1">
        <w:t>undefined terms</w:t>
      </w:r>
      <w:r w:rsidR="00676C5F">
        <w:t xml:space="preserve">. </w:t>
      </w:r>
    </w:p>
    <w:p w14:paraId="7F469EAA" w14:textId="2D93E3E2" w:rsidR="00C516EC" w:rsidRPr="00FC62FE" w:rsidRDefault="00684D3A" w:rsidP="00C516EC">
      <w:r>
        <w:t>W</w:t>
      </w:r>
      <w:r w:rsidR="00D529FA">
        <w:t>ithout clear definitions, s</w:t>
      </w:r>
      <w:r w:rsidR="00FA66E9">
        <w:t xml:space="preserve">ome stakeholders looked </w:t>
      </w:r>
      <w:r w:rsidR="00D529FA">
        <w:t>outside the CAP to inform their interpretation of</w:t>
      </w:r>
      <w:r w:rsidR="00FA66E9">
        <w:t xml:space="preserve"> </w:t>
      </w:r>
      <w:r w:rsidR="00C57F97">
        <w:t xml:space="preserve">‘doing </w:t>
      </w:r>
      <w:r w:rsidR="00FA66E9">
        <w:t>things differently'</w:t>
      </w:r>
      <w:r w:rsidR="00F06F80">
        <w:t xml:space="preserve"> or working in genuine partnership</w:t>
      </w:r>
      <w:r w:rsidR="002B7B60">
        <w:t xml:space="preserve">. </w:t>
      </w:r>
      <w:r w:rsidR="00245196">
        <w:t>For example</w:t>
      </w:r>
      <w:r w:rsidR="002B7B60">
        <w:t>, s</w:t>
      </w:r>
      <w:r w:rsidR="003A77FF" w:rsidRPr="1014EAC5">
        <w:t xml:space="preserve">ome government stakeholders referenced the </w:t>
      </w:r>
      <w:r w:rsidR="5AFA4BAD">
        <w:t xml:space="preserve">National Agreement </w:t>
      </w:r>
      <w:r w:rsidR="003A77FF" w:rsidRPr="1014EAC5">
        <w:t>Priority Reform</w:t>
      </w:r>
      <w:r w:rsidR="00C20AF6">
        <w:t xml:space="preserve"> </w:t>
      </w:r>
      <w:r w:rsidR="00274808">
        <w:t>One</w:t>
      </w:r>
      <w:r w:rsidR="00984A99">
        <w:t xml:space="preserve"> </w:t>
      </w:r>
      <w:r w:rsidR="007419C8">
        <w:t xml:space="preserve">and </w:t>
      </w:r>
      <w:r w:rsidR="003A77FF" w:rsidRPr="1014EAC5">
        <w:t xml:space="preserve">the importance of community inclusion in decision-making, or framed their responses in terms of </w:t>
      </w:r>
      <w:r w:rsidR="00015EC8">
        <w:t xml:space="preserve">CAP </w:t>
      </w:r>
      <w:r w:rsidR="003A77FF" w:rsidRPr="1014EAC5">
        <w:t>alignment to the National Agreement</w:t>
      </w:r>
      <w:r w:rsidR="00B734F4">
        <w:t>.</w:t>
      </w:r>
      <w:r w:rsidR="00A70E25">
        <w:rPr>
          <w:rStyle w:val="FootnoteReference"/>
        </w:rPr>
        <w:t xml:space="preserve"> </w:t>
      </w:r>
      <w:r w:rsidR="00C516EC">
        <w:t xml:space="preserve"> Another s</w:t>
      </w:r>
      <w:r w:rsidR="00C516EC" w:rsidRPr="00FC62FE">
        <w:t xml:space="preserve">takeholder indicated that their understanding of working in genuine partnership had been informed by frameworks such as the local decision-making framework (LDM) as it gave clear direction on how to work with communities </w:t>
      </w:r>
      <w:r w:rsidR="7D441CC6" w:rsidRPr="00FC62FE">
        <w:t>in alignment</w:t>
      </w:r>
      <w:r w:rsidR="00C516EC" w:rsidRPr="00FC62FE">
        <w:t xml:space="preserve"> with </w:t>
      </w:r>
      <w:r w:rsidR="5BBE3DC1">
        <w:t xml:space="preserve"> National Agreement</w:t>
      </w:r>
      <w:r w:rsidR="00C516EC" w:rsidRPr="00FC62FE">
        <w:t>.</w:t>
      </w:r>
      <w:r w:rsidR="00A70E25">
        <w:rPr>
          <w:rStyle w:val="FootnoteReference"/>
        </w:rPr>
        <w:t xml:space="preserve"> </w:t>
      </w:r>
      <w:r w:rsidR="00C516EC" w:rsidRPr="00FC62FE">
        <w:t xml:space="preserve"> </w:t>
      </w:r>
    </w:p>
    <w:p w14:paraId="4BF84A5E" w14:textId="5F158F5D" w:rsidR="003A77FF" w:rsidRPr="00FC62FE" w:rsidRDefault="00FB45DB" w:rsidP="00DA4528">
      <w:r>
        <w:t xml:space="preserve">CAP documentation suggests however, that </w:t>
      </w:r>
      <w:r w:rsidR="003A77FF" w:rsidRPr="00FC62FE">
        <w:t xml:space="preserve">the concept of </w:t>
      </w:r>
      <w:r w:rsidR="00DA6E73">
        <w:t>'</w:t>
      </w:r>
      <w:r w:rsidR="003A77FF" w:rsidRPr="00FC62FE">
        <w:t>doing things differently</w:t>
      </w:r>
      <w:r w:rsidR="00DA6E73">
        <w:t>'</w:t>
      </w:r>
      <w:r w:rsidR="003A77FF" w:rsidRPr="00FC62FE">
        <w:t xml:space="preserve"> or working in genuine partnership </w:t>
      </w:r>
      <w:r w:rsidR="00DA6E73">
        <w:t>has</w:t>
      </w:r>
      <w:r w:rsidR="003A77FF" w:rsidRPr="00FC62FE">
        <w:t xml:space="preserve"> not been </w:t>
      </w:r>
      <w:r w:rsidR="00461251">
        <w:t>explicitly</w:t>
      </w:r>
      <w:r w:rsidR="00580028">
        <w:t xml:space="preserve"> </w:t>
      </w:r>
      <w:r w:rsidR="003A77FF" w:rsidRPr="00FC62FE">
        <w:t xml:space="preserve">aligned to the </w:t>
      </w:r>
      <w:r w:rsidR="004A2880">
        <w:t>National Agreement</w:t>
      </w:r>
      <w:r w:rsidR="00D12278">
        <w:t xml:space="preserve"> </w:t>
      </w:r>
      <w:r w:rsidR="00274808">
        <w:t>P</w:t>
      </w:r>
      <w:r w:rsidR="00D12278">
        <w:t xml:space="preserve">riority </w:t>
      </w:r>
      <w:r w:rsidR="00274808">
        <w:t>R</w:t>
      </w:r>
      <w:r w:rsidR="00D12278">
        <w:t xml:space="preserve">eform </w:t>
      </w:r>
      <w:r w:rsidR="00274808">
        <w:t>O</w:t>
      </w:r>
      <w:r w:rsidR="00D12278">
        <w:t xml:space="preserve">ne as there </w:t>
      </w:r>
      <w:r w:rsidR="00DF7AE5">
        <w:t>was</w:t>
      </w:r>
      <w:r w:rsidR="00D12278">
        <w:t xml:space="preserve"> no </w:t>
      </w:r>
      <w:r w:rsidR="004F15EA">
        <w:t>direct reference or clear link to it</w:t>
      </w:r>
      <w:r w:rsidR="00DF7AE5">
        <w:t xml:space="preserve"> identified </w:t>
      </w:r>
      <w:r w:rsidR="002906F8">
        <w:t>during</w:t>
      </w:r>
      <w:r w:rsidR="00DF7AE5">
        <w:t xml:space="preserve"> the evaluation</w:t>
      </w:r>
      <w:r w:rsidR="004F15EA">
        <w:t xml:space="preserve">. </w:t>
      </w:r>
    </w:p>
    <w:p w14:paraId="5EECCBDA" w14:textId="29D7D09B" w:rsidR="00D849E9" w:rsidRPr="00900728" w:rsidRDefault="009A5D07" w:rsidP="00900728">
      <w:r>
        <w:t xml:space="preserve">Overall, the </w:t>
      </w:r>
      <w:r w:rsidR="003A77FF" w:rsidRPr="00FC62FE">
        <w:t xml:space="preserve">data suggests </w:t>
      </w:r>
      <w:r w:rsidR="0007061D">
        <w:t xml:space="preserve">that </w:t>
      </w:r>
      <w:r w:rsidR="00AF64DB">
        <w:t xml:space="preserve">despite </w:t>
      </w:r>
      <w:r w:rsidR="006C64E5">
        <w:t>unclear</w:t>
      </w:r>
      <w:r w:rsidR="00AF64DB">
        <w:t xml:space="preserve"> definitions, </w:t>
      </w:r>
      <w:r w:rsidR="00C85AC8">
        <w:t xml:space="preserve">the </w:t>
      </w:r>
      <w:r w:rsidR="00274808">
        <w:t>g</w:t>
      </w:r>
      <w:r w:rsidR="00385583">
        <w:t>overnment</w:t>
      </w:r>
      <w:r w:rsidR="003A77FF" w:rsidRPr="00FC62FE">
        <w:t xml:space="preserve"> </w:t>
      </w:r>
      <w:r w:rsidR="00E17F51">
        <w:t xml:space="preserve">stated </w:t>
      </w:r>
      <w:r w:rsidR="0007061D">
        <w:t xml:space="preserve">a clear intention </w:t>
      </w:r>
      <w:r w:rsidR="003A77FF" w:rsidRPr="00FC62FE">
        <w:t xml:space="preserve">to adopt a </w:t>
      </w:r>
      <w:r w:rsidR="3A2C2EAB">
        <w:t>‘</w:t>
      </w:r>
      <w:r w:rsidR="2F6721A6">
        <w:t>different</w:t>
      </w:r>
      <w:r w:rsidR="152DBED3">
        <w:t>’</w:t>
      </w:r>
      <w:r w:rsidR="003A77FF" w:rsidRPr="00FC62FE">
        <w:t xml:space="preserve"> approach </w:t>
      </w:r>
      <w:r w:rsidR="00644B65">
        <w:t xml:space="preserve">for </w:t>
      </w:r>
      <w:r w:rsidR="009E18DB">
        <w:t>implementation of the CAP</w:t>
      </w:r>
      <w:r w:rsidR="00644B65">
        <w:t>.</w:t>
      </w:r>
      <w:r w:rsidR="001E613D">
        <w:t xml:space="preserve"> </w:t>
      </w:r>
      <w:r w:rsidR="0055613F">
        <w:t>Most visible w</w:t>
      </w:r>
      <w:r w:rsidR="00A146D1">
        <w:t>ere the</w:t>
      </w:r>
      <w:r w:rsidR="009E18DB" w:rsidDel="0055613F">
        <w:t xml:space="preserve"> </w:t>
      </w:r>
      <w:r w:rsidR="00F63027">
        <w:t xml:space="preserve">process </w:t>
      </w:r>
      <w:r w:rsidR="00E6015E">
        <w:t>changes</w:t>
      </w:r>
      <w:r w:rsidR="003A77FF" w:rsidRPr="00FC62FE">
        <w:t xml:space="preserve"> </w:t>
      </w:r>
      <w:r w:rsidR="00701D55">
        <w:t>to ensure that</w:t>
      </w:r>
      <w:r w:rsidR="003A77FF" w:rsidRPr="00FC62FE">
        <w:t xml:space="preserve"> First Nations people </w:t>
      </w:r>
      <w:r w:rsidR="00F63027">
        <w:t xml:space="preserve">were actively </w:t>
      </w:r>
      <w:r w:rsidR="00701D55">
        <w:t xml:space="preserve">included </w:t>
      </w:r>
      <w:r w:rsidR="003A77FF" w:rsidRPr="00FC62FE">
        <w:t xml:space="preserve">in </w:t>
      </w:r>
      <w:r w:rsidR="006B06B4">
        <w:t>CAP investment and implementation</w:t>
      </w:r>
      <w:r w:rsidR="003A77FF" w:rsidRPr="00FC62FE">
        <w:t xml:space="preserve"> decisions </w:t>
      </w:r>
      <w:r w:rsidR="00151928">
        <w:t xml:space="preserve">at </w:t>
      </w:r>
      <w:r w:rsidR="002F1C47">
        <w:t>critical</w:t>
      </w:r>
      <w:r w:rsidR="00376944">
        <w:t xml:space="preserve"> time points</w:t>
      </w:r>
      <w:r w:rsidR="002F1C47">
        <w:t xml:space="preserve"> in the policy cycle</w:t>
      </w:r>
      <w:r w:rsidR="003A77FF" w:rsidRPr="00FC62FE">
        <w:t>.</w:t>
      </w:r>
      <w:bookmarkStart w:id="37" w:name="_Ref201077927"/>
    </w:p>
    <w:p w14:paraId="224948DE" w14:textId="77777777" w:rsidR="0028010D" w:rsidRDefault="0028010D">
      <w:pPr>
        <w:keepLines w:val="0"/>
        <w:widowControl/>
        <w:spacing w:before="0" w:after="0"/>
        <w:rPr>
          <w:rFonts w:eastAsiaTheme="minorHAnsi" w:cs="Segoe UI"/>
          <w:b/>
          <w:color w:val="009999"/>
          <w:sz w:val="24"/>
          <w:lang w:val="en-US"/>
        </w:rPr>
      </w:pPr>
      <w:r>
        <w:rPr>
          <w:lang w:val="en-US"/>
        </w:rPr>
        <w:br w:type="page"/>
      </w:r>
    </w:p>
    <w:p w14:paraId="1D62F016" w14:textId="74600268" w:rsidR="003A77FF" w:rsidRPr="00FC62FE" w:rsidRDefault="003A77FF" w:rsidP="00900728">
      <w:pPr>
        <w:pStyle w:val="Heading3"/>
        <w:rPr>
          <w:lang w:val="en-US"/>
        </w:rPr>
      </w:pPr>
      <w:r>
        <w:rPr>
          <w:lang w:val="en-US"/>
        </w:rPr>
        <w:lastRenderedPageBreak/>
        <w:t>P</w:t>
      </w:r>
      <w:r w:rsidRPr="00FC62FE">
        <w:rPr>
          <w:lang w:val="en-US"/>
        </w:rPr>
        <w:t>riorities</w:t>
      </w:r>
      <w:bookmarkEnd w:id="37"/>
    </w:p>
    <w:p w14:paraId="77A137DB" w14:textId="31CDF282" w:rsidR="003A77FF" w:rsidRPr="00FC62FE" w:rsidRDefault="003A77FF" w:rsidP="00DA4528">
      <w:r>
        <w:t xml:space="preserve">Announced by the Prime Minister and informed by advice from the </w:t>
      </w:r>
      <w:r w:rsidR="00817849">
        <w:t>OCARC</w:t>
      </w:r>
      <w:r>
        <w:t xml:space="preserve">, the CAP focuses $250 million in </w:t>
      </w:r>
      <w:r w:rsidR="0016099A">
        <w:t xml:space="preserve">Australian </w:t>
      </w:r>
      <w:r w:rsidR="004B7610" w:rsidRPr="1A31B231">
        <w:rPr>
          <w:rFonts w:cs="Segoe UI"/>
        </w:rPr>
        <w:t>Government</w:t>
      </w:r>
      <w:r>
        <w:t xml:space="preserve"> investment on the six priority streams of:</w:t>
      </w:r>
    </w:p>
    <w:p w14:paraId="7EE8D1C7" w14:textId="4D3AA069" w:rsidR="003A77FF" w:rsidRPr="0087509C" w:rsidRDefault="003A77FF" w:rsidP="004C6984">
      <w:pPr>
        <w:pStyle w:val="ListParagraph"/>
        <w:numPr>
          <w:ilvl w:val="0"/>
          <w:numId w:val="39"/>
        </w:numPr>
      </w:pPr>
      <w:r w:rsidRPr="00900728">
        <w:rPr>
          <w:b/>
          <w:bCs/>
        </w:rPr>
        <w:t>Improved community safety and cohesion</w:t>
      </w:r>
      <w:r w:rsidR="00900728">
        <w:rPr>
          <w:b/>
          <w:bCs/>
        </w:rPr>
        <w:t xml:space="preserve"> </w:t>
      </w:r>
      <w:r w:rsidR="00900728" w:rsidRPr="0087509C">
        <w:t>($53.3m allocated)</w:t>
      </w:r>
      <w:r w:rsidRPr="00313680">
        <w:t xml:space="preserve"> – </w:t>
      </w:r>
      <w:r w:rsidRPr="0087509C">
        <w:t>through stronger youth engagement and diversion programs, high visibility policing and law enforcement operations, investments in emergency accommodation and safe places for women and children, and justice reinvestment. </w:t>
      </w:r>
    </w:p>
    <w:p w14:paraId="44C4BDD9" w14:textId="0D38E354" w:rsidR="003A77FF" w:rsidRPr="0087509C" w:rsidRDefault="003A77FF" w:rsidP="004C6984">
      <w:pPr>
        <w:pStyle w:val="ListParagraph"/>
        <w:numPr>
          <w:ilvl w:val="0"/>
          <w:numId w:val="39"/>
        </w:numPr>
      </w:pPr>
      <w:r w:rsidRPr="00900728">
        <w:rPr>
          <w:b/>
          <w:bCs/>
        </w:rPr>
        <w:t>Job creation</w:t>
      </w:r>
      <w:r w:rsidR="00900728">
        <w:rPr>
          <w:b/>
          <w:bCs/>
        </w:rPr>
        <w:t xml:space="preserve"> </w:t>
      </w:r>
      <w:r w:rsidR="00900728">
        <w:t>($34.5m allocated)</w:t>
      </w:r>
      <w:r>
        <w:t xml:space="preserve"> – particularly in the communities that surround Alice Springs – including urgent changes as part of replacing the Community Development Program (CDP) </w:t>
      </w:r>
      <w:r w:rsidR="00D85D8E">
        <w:t>and j</w:t>
      </w:r>
      <w:r w:rsidR="00643B33">
        <w:t>unior ranger programs</w:t>
      </w:r>
      <w:r>
        <w:t>. </w:t>
      </w:r>
    </w:p>
    <w:p w14:paraId="4AB3FFBA" w14:textId="47CD0C27" w:rsidR="003A77FF" w:rsidRPr="0087509C" w:rsidRDefault="003A77FF" w:rsidP="004C6984">
      <w:pPr>
        <w:pStyle w:val="ListParagraph"/>
        <w:numPr>
          <w:ilvl w:val="0"/>
          <w:numId w:val="39"/>
        </w:numPr>
      </w:pPr>
      <w:r w:rsidRPr="00900728">
        <w:rPr>
          <w:b/>
          <w:bCs/>
        </w:rPr>
        <w:t>Better services</w:t>
      </w:r>
      <w:r w:rsidR="00900728">
        <w:rPr>
          <w:b/>
          <w:bCs/>
        </w:rPr>
        <w:t xml:space="preserve"> </w:t>
      </w:r>
      <w:r w:rsidR="00900728">
        <w:t>($60.3m allocated)</w:t>
      </w:r>
      <w:r>
        <w:t xml:space="preserve"> – by improving services in surrounding communities, there will be less pressure on Alice Springs</w:t>
      </w:r>
      <w:r w:rsidR="00080AB0">
        <w:t xml:space="preserve">. </w:t>
      </w:r>
      <w:r w:rsidR="00B67E4F">
        <w:t xml:space="preserve">These </w:t>
      </w:r>
      <w:r w:rsidR="6FF19DB0">
        <w:t>inc</w:t>
      </w:r>
      <w:r w:rsidR="1442C394">
        <w:t>l</w:t>
      </w:r>
      <w:r w:rsidR="6FF19DB0">
        <w:t>ude</w:t>
      </w:r>
      <w:r>
        <w:t xml:space="preserve"> digital </w:t>
      </w:r>
      <w:r w:rsidR="00BC2E2F">
        <w:t>inclusion</w:t>
      </w:r>
      <w:r>
        <w:t>, and community and regional infrastructure. </w:t>
      </w:r>
    </w:p>
    <w:p w14:paraId="766670DD" w14:textId="4D54D0A3" w:rsidR="003A77FF" w:rsidRPr="0087509C" w:rsidRDefault="003A77FF" w:rsidP="004C6984">
      <w:pPr>
        <w:pStyle w:val="ListParagraph"/>
        <w:numPr>
          <w:ilvl w:val="0"/>
          <w:numId w:val="39"/>
        </w:numPr>
      </w:pPr>
      <w:r w:rsidRPr="00900728">
        <w:rPr>
          <w:b/>
          <w:bCs/>
        </w:rPr>
        <w:t xml:space="preserve">Preventing and addressing the issues caused by </w:t>
      </w:r>
      <w:proofErr w:type="spellStart"/>
      <w:r w:rsidRPr="00900728">
        <w:rPr>
          <w:b/>
          <w:bCs/>
        </w:rPr>
        <w:t>Fetal</w:t>
      </w:r>
      <w:proofErr w:type="spellEnd"/>
      <w:r w:rsidRPr="00900728">
        <w:rPr>
          <w:b/>
          <w:bCs/>
        </w:rPr>
        <w:t xml:space="preserve"> Alcohol Spectrum Disorders</w:t>
      </w:r>
      <w:r w:rsidR="00900728">
        <w:rPr>
          <w:b/>
          <w:bCs/>
        </w:rPr>
        <w:t xml:space="preserve"> </w:t>
      </w:r>
      <w:r w:rsidR="00900728">
        <w:t>($23.4m allocated)</w:t>
      </w:r>
      <w:r>
        <w:t xml:space="preserve"> – including </w:t>
      </w:r>
      <w:r w:rsidR="3C83AC14">
        <w:t>better health</w:t>
      </w:r>
      <w:r>
        <w:t xml:space="preserve"> and justice </w:t>
      </w:r>
      <w:r w:rsidR="2F6721A6">
        <w:t>system</w:t>
      </w:r>
      <w:r w:rsidR="2E6074B3">
        <w:t xml:space="preserve"> response</w:t>
      </w:r>
      <w:r w:rsidR="2F6721A6">
        <w:t>s</w:t>
      </w:r>
      <w:r>
        <w:t xml:space="preserve">, and funding </w:t>
      </w:r>
      <w:r w:rsidR="1349B3FE">
        <w:t xml:space="preserve">child and </w:t>
      </w:r>
      <w:r>
        <w:t>youth assessments and treatment services. </w:t>
      </w:r>
    </w:p>
    <w:p w14:paraId="5304B682" w14:textId="7EBCAA38" w:rsidR="003A77FF" w:rsidRPr="0087509C" w:rsidRDefault="003A77FF" w:rsidP="004C6984">
      <w:pPr>
        <w:pStyle w:val="ListParagraph"/>
        <w:numPr>
          <w:ilvl w:val="0"/>
          <w:numId w:val="39"/>
        </w:numPr>
      </w:pPr>
      <w:r w:rsidRPr="00900728">
        <w:rPr>
          <w:b/>
          <w:bCs/>
        </w:rPr>
        <w:t>Investing in families</w:t>
      </w:r>
      <w:r w:rsidR="00900728">
        <w:rPr>
          <w:b/>
          <w:bCs/>
        </w:rPr>
        <w:t xml:space="preserve"> </w:t>
      </w:r>
      <w:r w:rsidR="00900728">
        <w:t>($33.9m allocated)</w:t>
      </w:r>
      <w:r>
        <w:t xml:space="preserve"> – including better support</w:t>
      </w:r>
      <w:r w:rsidR="0050658E">
        <w:t xml:space="preserve"> of</w:t>
      </w:r>
      <w:r>
        <w:t xml:space="preserve"> Elders and parents, boosting domestic </w:t>
      </w:r>
      <w:r w:rsidR="641C33B2">
        <w:t>and family</w:t>
      </w:r>
      <w:r>
        <w:t xml:space="preserve"> violence service</w:t>
      </w:r>
      <w:r w:rsidR="5FFC79F8">
        <w:t>s</w:t>
      </w:r>
      <w:r>
        <w:t xml:space="preserve">, and developing a </w:t>
      </w:r>
      <w:r w:rsidR="00B455E3">
        <w:t>YSAP</w:t>
      </w:r>
      <w:r>
        <w:t xml:space="preserve"> for the region. </w:t>
      </w:r>
    </w:p>
    <w:p w14:paraId="76DA8C8A" w14:textId="7EF03339" w:rsidR="003A77FF" w:rsidRPr="0087509C" w:rsidRDefault="003A77FF" w:rsidP="004C6984">
      <w:pPr>
        <w:pStyle w:val="ListParagraph"/>
        <w:numPr>
          <w:ilvl w:val="0"/>
          <w:numId w:val="39"/>
        </w:numPr>
      </w:pPr>
      <w:r w:rsidRPr="00900728">
        <w:rPr>
          <w:b/>
          <w:bCs/>
        </w:rPr>
        <w:t>On</w:t>
      </w:r>
      <w:r w:rsidR="00900728">
        <w:rPr>
          <w:b/>
          <w:bCs/>
        </w:rPr>
        <w:t>-</w:t>
      </w:r>
      <w:r w:rsidRPr="00900728">
        <w:rPr>
          <w:b/>
          <w:bCs/>
        </w:rPr>
        <w:t>Country learning</w:t>
      </w:r>
      <w:r w:rsidR="00900728">
        <w:rPr>
          <w:b/>
          <w:bCs/>
        </w:rPr>
        <w:t xml:space="preserve"> </w:t>
      </w:r>
      <w:r w:rsidR="00900728">
        <w:t>($40.4m allocated)</w:t>
      </w:r>
      <w:r>
        <w:t xml:space="preserve"> – improving school engagement through caring for culture and Country. </w:t>
      </w:r>
    </w:p>
    <w:p w14:paraId="1280150D" w14:textId="02F24B1A" w:rsidR="003A77FF" w:rsidRDefault="003A77FF" w:rsidP="00DA4528">
      <w:r w:rsidRPr="001F07C1">
        <w:t>Specific findings on implementation relating to the CAP’s level of investment, priorities, mechanisms to support implementation, including roles and responsibilities, are below</w:t>
      </w:r>
      <w:r w:rsidR="574A652E">
        <w:t>.</w:t>
      </w:r>
    </w:p>
    <w:p w14:paraId="5D362009" w14:textId="620EE3C3" w:rsidR="003A77FF" w:rsidRDefault="003A77FF" w:rsidP="00900728">
      <w:pPr>
        <w:pStyle w:val="Heading3"/>
        <w:rPr>
          <w:lang w:val="en-US"/>
        </w:rPr>
      </w:pPr>
      <w:r w:rsidRPr="00FC62FE">
        <w:rPr>
          <w:lang w:val="en-US"/>
        </w:rPr>
        <w:t>Level of investment</w:t>
      </w:r>
    </w:p>
    <w:p w14:paraId="3CAF53F2" w14:textId="1E9FD1EC" w:rsidR="00A442C5" w:rsidRDefault="00A442C5" w:rsidP="00900728">
      <w:r>
        <w:t>As described in the section abov</w:t>
      </w:r>
      <w:r w:rsidR="008527DE">
        <w:t xml:space="preserve">e and shown in </w:t>
      </w:r>
      <w:r w:rsidR="00900728">
        <w:t xml:space="preserve">Figure </w:t>
      </w:r>
      <w:r w:rsidR="006709B0">
        <w:t>4</w:t>
      </w:r>
      <w:r w:rsidR="008527DE">
        <w:t>,</w:t>
      </w:r>
      <w:r>
        <w:t xml:space="preserve"> </w:t>
      </w:r>
      <w:proofErr w:type="gramStart"/>
      <w:r>
        <w:t>a</w:t>
      </w:r>
      <w:r w:rsidR="003A77FF">
        <w:t>t</w:t>
      </w:r>
      <w:proofErr w:type="gramEnd"/>
      <w:r w:rsidR="003A77FF">
        <w:t xml:space="preserve"> 30 April 2025, all CAP funding has been allocated</w:t>
      </w:r>
      <w:r w:rsidR="00DE2F56">
        <w:t xml:space="preserve"> to </w:t>
      </w:r>
      <w:r w:rsidR="00C03AC4">
        <w:t xml:space="preserve">the six </w:t>
      </w:r>
      <w:r w:rsidR="00801F4E">
        <w:t xml:space="preserve">funding </w:t>
      </w:r>
      <w:r w:rsidR="009A0811">
        <w:t>streams</w:t>
      </w:r>
      <w:r w:rsidR="006A68C8">
        <w:t xml:space="preserve">. </w:t>
      </w:r>
      <w:proofErr w:type="gramStart"/>
      <w:r w:rsidR="006A68C8">
        <w:t>T</w:t>
      </w:r>
      <w:r w:rsidR="003A77FF">
        <w:t>he majority of</w:t>
      </w:r>
      <w:proofErr w:type="gramEnd"/>
      <w:r w:rsidR="003A77FF">
        <w:t xml:space="preserve"> this funding (</w:t>
      </w:r>
      <w:r w:rsidR="00B95B96">
        <w:t>$</w:t>
      </w:r>
      <w:r w:rsidR="00564FB6">
        <w:t xml:space="preserve">156 </w:t>
      </w:r>
      <w:r w:rsidR="00B95B96">
        <w:t xml:space="preserve">million </w:t>
      </w:r>
      <w:r w:rsidR="02796E1E">
        <w:t>or</w:t>
      </w:r>
      <w:r w:rsidR="00B95B96">
        <w:t xml:space="preserve"> </w:t>
      </w:r>
      <w:r w:rsidR="00564FB6">
        <w:t>62</w:t>
      </w:r>
      <w:r w:rsidR="00044496">
        <w:t>%</w:t>
      </w:r>
      <w:r w:rsidR="003A77FF">
        <w:t xml:space="preserve">) has been committed </w:t>
      </w:r>
      <w:r w:rsidR="3153D37C">
        <w:t xml:space="preserve">to specific projects or governance </w:t>
      </w:r>
      <w:r w:rsidR="00F829BE">
        <w:t>through a financial arrangement with a provider</w:t>
      </w:r>
      <w:r w:rsidR="000C1B8B">
        <w:t>,</w:t>
      </w:r>
      <w:r w:rsidR="003A77FF">
        <w:t xml:space="preserve"> and some of the funding </w:t>
      </w:r>
      <w:r w:rsidR="00F829BE">
        <w:t xml:space="preserve">committed </w:t>
      </w:r>
      <w:r w:rsidR="003A77FF">
        <w:t>(</w:t>
      </w:r>
      <w:r w:rsidR="000904FB">
        <w:t xml:space="preserve">$84 million </w:t>
      </w:r>
      <w:r w:rsidR="14C92AC2">
        <w:t>or</w:t>
      </w:r>
      <w:r w:rsidR="000904FB">
        <w:t xml:space="preserve"> </w:t>
      </w:r>
      <w:r w:rsidR="003A77FF">
        <w:t>34</w:t>
      </w:r>
      <w:r w:rsidR="00044496">
        <w:t>%</w:t>
      </w:r>
      <w:r w:rsidR="003A77FF">
        <w:t xml:space="preserve">) has been paid to projects. </w:t>
      </w:r>
      <w:r w:rsidR="001504C1">
        <w:t xml:space="preserve">The remaining funding </w:t>
      </w:r>
      <w:r w:rsidR="001C1A39">
        <w:t xml:space="preserve">is </w:t>
      </w:r>
      <w:r w:rsidR="007414CC">
        <w:t>in the process of being committed</w:t>
      </w:r>
      <w:r w:rsidR="001C1A39">
        <w:t xml:space="preserve"> </w:t>
      </w:r>
      <w:r w:rsidR="00343B9E">
        <w:t xml:space="preserve">through financial arrangements </w:t>
      </w:r>
      <w:r w:rsidR="001C1A39">
        <w:t xml:space="preserve">to </w:t>
      </w:r>
      <w:r w:rsidR="00605254">
        <w:t>specific projects or funding recipients</w:t>
      </w:r>
      <w:r w:rsidR="00101790">
        <w:t xml:space="preserve">. </w:t>
      </w:r>
      <w:r w:rsidR="00E968AB">
        <w:t>T</w:t>
      </w:r>
      <w:r w:rsidR="00521E78">
        <w:t xml:space="preserve">here have been delays to </w:t>
      </w:r>
      <w:r w:rsidR="00092D15">
        <w:t>project</w:t>
      </w:r>
      <w:r w:rsidR="009076C0">
        <w:t xml:space="preserve"> delivery </w:t>
      </w:r>
      <w:r w:rsidR="00E51C8F">
        <w:t>in some projects</w:t>
      </w:r>
      <w:r w:rsidR="00E968AB">
        <w:t xml:space="preserve"> under the CAP, resulting from a range of issues including government processes and workforce challenges</w:t>
      </w:r>
      <w:r w:rsidR="00E51C8F">
        <w:t xml:space="preserve">. </w:t>
      </w:r>
      <w:r w:rsidR="00E968AB" w:rsidRPr="00B455E3">
        <w:t>Further detail</w:t>
      </w:r>
      <w:r w:rsidR="002E6092" w:rsidRPr="00B455E3">
        <w:t xml:space="preserve"> is</w:t>
      </w:r>
      <w:r w:rsidR="00E968AB" w:rsidRPr="00B455E3">
        <w:t xml:space="preserve"> </w:t>
      </w:r>
      <w:r w:rsidR="562EE9CB" w:rsidRPr="00B455E3">
        <w:t>described</w:t>
      </w:r>
      <w:r w:rsidR="002E6092" w:rsidRPr="00B455E3">
        <w:t xml:space="preserve"> </w:t>
      </w:r>
      <w:r w:rsidR="00E968AB" w:rsidRPr="00B455E3">
        <w:t xml:space="preserve">in the </w:t>
      </w:r>
      <w:r w:rsidR="00B455E3" w:rsidRPr="00B455E3">
        <w:t>findings related to evaluation question 5</w:t>
      </w:r>
      <w:r w:rsidR="00E968AB" w:rsidRPr="00B455E3">
        <w:t>.</w:t>
      </w:r>
      <w:r w:rsidR="00E968AB">
        <w:t xml:space="preserve"> </w:t>
      </w:r>
    </w:p>
    <w:p w14:paraId="655E46CB" w14:textId="5E817162" w:rsidR="003F3308" w:rsidRPr="00900728" w:rsidRDefault="003F3308" w:rsidP="003F3308">
      <w:pPr>
        <w:pStyle w:val="Heading6"/>
        <w:rPr>
          <w:lang w:val="en-US"/>
        </w:rPr>
      </w:pPr>
      <w:r>
        <w:rPr>
          <w:lang w:val="en-US"/>
        </w:rPr>
        <w:t xml:space="preserve">Figure </w:t>
      </w:r>
      <w:r w:rsidR="006709B0">
        <w:rPr>
          <w:lang w:val="en-US"/>
        </w:rPr>
        <w:t>4</w:t>
      </w:r>
      <w:r>
        <w:rPr>
          <w:lang w:val="en-US"/>
        </w:rPr>
        <w:t>. CAP funding announced, allocated, committed and spent.</w:t>
      </w:r>
    </w:p>
    <w:p w14:paraId="6CCECF9B" w14:textId="77777777" w:rsidR="003F3308" w:rsidRDefault="003F3308" w:rsidP="003F3308">
      <w:r>
        <w:rPr>
          <w:noProof/>
        </w:rPr>
        <w:drawing>
          <wp:inline distT="0" distB="0" distL="0" distR="0" wp14:anchorId="54FF62CC" wp14:editId="647DFEC1">
            <wp:extent cx="6184900" cy="698500"/>
            <wp:effectExtent l="0" t="0" r="0" b="0"/>
            <wp:docPr id="1694917115" name="Picture 1" descr="$250 million of funding has been announced, $250 million (100%) of funding has been allocated, $156 million (62.4%) of funding has been committed, and $85 million (34%) of funding has been sp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17115" name="Picture 1" descr="$250 million of funding has been announced, $250 million (100%) of funding has been allocated, $156 million (62.4%) of funding has been committed, and $85 million (34%) of funding has been sp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4900" cy="698500"/>
                    </a:xfrm>
                    <a:prstGeom prst="rect">
                      <a:avLst/>
                    </a:prstGeom>
                  </pic:spPr>
                </pic:pic>
              </a:graphicData>
            </a:graphic>
          </wp:inline>
        </w:drawing>
      </w:r>
    </w:p>
    <w:p w14:paraId="69178D0F" w14:textId="3696BC3F" w:rsidR="00A442C5" w:rsidRPr="0067001D" w:rsidRDefault="00A442C5" w:rsidP="00900728">
      <w:pPr>
        <w:keepLines w:val="0"/>
        <w:widowControl/>
        <w:autoSpaceDE w:val="0"/>
        <w:autoSpaceDN w:val="0"/>
        <w:adjustRightInd w:val="0"/>
        <w:rPr>
          <w:rFonts w:eastAsiaTheme="minorEastAsia"/>
          <w:lang w:val="en-GB"/>
        </w:rPr>
      </w:pPr>
      <w:r>
        <w:t xml:space="preserve">Funding is managed </w:t>
      </w:r>
      <w:r w:rsidRPr="7FEA8694">
        <w:rPr>
          <w:rFonts w:eastAsiaTheme="minorEastAsia"/>
        </w:rPr>
        <w:t xml:space="preserve">by the </w:t>
      </w:r>
      <w:r w:rsidR="003F3308">
        <w:rPr>
          <w:rFonts w:eastAsiaTheme="minorEastAsia"/>
        </w:rPr>
        <w:t>six</w:t>
      </w:r>
      <w:r w:rsidRPr="7FEA8694">
        <w:rPr>
          <w:rFonts w:eastAsiaTheme="minorEastAsia"/>
        </w:rPr>
        <w:t xml:space="preserve"> Australian Government agencies who have each invested in the CAP including the </w:t>
      </w:r>
      <w:r w:rsidRPr="7FEA8694">
        <w:rPr>
          <w:rFonts w:eastAsiaTheme="minorEastAsia"/>
          <w:lang w:val="en-GB"/>
        </w:rPr>
        <w:t xml:space="preserve">Department of Employment and Workplace Relations (DEWR), Department of Social Services (DSS), </w:t>
      </w:r>
      <w:r w:rsidR="00D366EE">
        <w:rPr>
          <w:rFonts w:eastAsiaTheme="minorEastAsia"/>
          <w:lang w:val="en-GB"/>
        </w:rPr>
        <w:t>Australian</w:t>
      </w:r>
      <w:r w:rsidRPr="7FEA8694">
        <w:rPr>
          <w:rFonts w:eastAsiaTheme="minorEastAsia"/>
          <w:lang w:val="en-GB"/>
        </w:rPr>
        <w:t xml:space="preserve"> Department of Education (DoE), Attorney</w:t>
      </w:r>
      <w:r w:rsidR="00900728">
        <w:rPr>
          <w:rFonts w:eastAsiaTheme="minorEastAsia"/>
          <w:lang w:val="en-GB"/>
        </w:rPr>
        <w:t>-</w:t>
      </w:r>
      <w:r w:rsidRPr="7FEA8694">
        <w:rPr>
          <w:rFonts w:eastAsiaTheme="minorEastAsia"/>
          <w:lang w:val="en-GB"/>
        </w:rPr>
        <w:t>General’s Department (AGD). Department of Health, Disability and Aging (DHDA), and the Department of Infrastructure, Transport, Regional Development, Communications, Sport and the Arts (DITRDCSA).</w:t>
      </w:r>
    </w:p>
    <w:p w14:paraId="2687F557" w14:textId="510E9B20" w:rsidR="00C24927" w:rsidRDefault="00455240" w:rsidP="00DA4528">
      <w:r>
        <w:t>There are two key types of funding commitment that ha</w:t>
      </w:r>
      <w:r w:rsidR="001853CB">
        <w:t>ve</w:t>
      </w:r>
      <w:r>
        <w:t xml:space="preserve"> been made </w:t>
      </w:r>
      <w:r w:rsidR="00443881">
        <w:t>under the CAP</w:t>
      </w:r>
      <w:r w:rsidR="00C24927">
        <w:t xml:space="preserve">: </w:t>
      </w:r>
    </w:p>
    <w:p w14:paraId="3455DEFA" w14:textId="4DC45AEB" w:rsidR="00C24927" w:rsidRPr="0087509C" w:rsidRDefault="008978A3" w:rsidP="003343AE">
      <w:pPr>
        <w:pStyle w:val="ListParagraph"/>
      </w:pPr>
      <w:r w:rsidRPr="007571F3">
        <w:rPr>
          <w:b/>
          <w:bCs/>
        </w:rPr>
        <w:t>D</w:t>
      </w:r>
      <w:r w:rsidR="00DE4D74" w:rsidRPr="007571F3">
        <w:rPr>
          <w:b/>
          <w:bCs/>
        </w:rPr>
        <w:t xml:space="preserve">epartmental </w:t>
      </w:r>
      <w:r w:rsidR="00CC793A" w:rsidRPr="007571F3">
        <w:rPr>
          <w:b/>
          <w:bCs/>
        </w:rPr>
        <w:t>funding</w:t>
      </w:r>
      <w:r w:rsidR="00CC793A">
        <w:t xml:space="preserve"> to contribute to the cost incurred by the Australian and Northern Territory </w:t>
      </w:r>
      <w:r w:rsidR="00900728">
        <w:t>g</w:t>
      </w:r>
      <w:r w:rsidR="00CC793A">
        <w:t xml:space="preserve">overnments </w:t>
      </w:r>
      <w:r w:rsidR="00377CDF">
        <w:t xml:space="preserve">for </w:t>
      </w:r>
      <w:r w:rsidR="00574417">
        <w:t xml:space="preserve">the </w:t>
      </w:r>
      <w:r w:rsidR="00CF36DA">
        <w:t>oversight</w:t>
      </w:r>
      <w:r w:rsidR="006C718B">
        <w:t xml:space="preserve">, governance and </w:t>
      </w:r>
      <w:r w:rsidR="0005248F">
        <w:t>coordination</w:t>
      </w:r>
      <w:r w:rsidR="00CF36DA">
        <w:t xml:space="preserve"> </w:t>
      </w:r>
      <w:r w:rsidR="009D5427">
        <w:t xml:space="preserve">of </w:t>
      </w:r>
      <w:r w:rsidR="00C24927">
        <w:t>CAP projects</w:t>
      </w:r>
      <w:r w:rsidR="00A11633">
        <w:t>.</w:t>
      </w:r>
    </w:p>
    <w:p w14:paraId="44A9D184" w14:textId="42CE9632" w:rsidR="00C24927" w:rsidRPr="0087509C" w:rsidRDefault="00610CE0" w:rsidP="003343AE">
      <w:pPr>
        <w:pStyle w:val="ListParagraph"/>
      </w:pPr>
      <w:r w:rsidRPr="007571F3">
        <w:rPr>
          <w:b/>
          <w:bCs/>
        </w:rPr>
        <w:t xml:space="preserve">Project-related </w:t>
      </w:r>
      <w:r w:rsidR="000442E1" w:rsidRPr="007571F3">
        <w:rPr>
          <w:b/>
          <w:bCs/>
        </w:rPr>
        <w:t>funding</w:t>
      </w:r>
      <w:r w:rsidR="000442E1">
        <w:t xml:space="preserve"> paid to provider</w:t>
      </w:r>
      <w:r w:rsidR="00914A2F">
        <w:t>/s</w:t>
      </w:r>
      <w:r w:rsidR="000442E1">
        <w:t xml:space="preserve"> to deliver </w:t>
      </w:r>
      <w:r w:rsidR="00D42E89">
        <w:t>a project/service</w:t>
      </w:r>
      <w:r w:rsidR="00CF36DA">
        <w:t>.</w:t>
      </w:r>
    </w:p>
    <w:p w14:paraId="73D7DFD2" w14:textId="5A3BECFB" w:rsidR="00CD75CF" w:rsidRDefault="0057186E" w:rsidP="00DA4528">
      <w:r>
        <w:t>Four government</w:t>
      </w:r>
      <w:r w:rsidR="00D33D8C">
        <w:t xml:space="preserve"> </w:t>
      </w:r>
      <w:r w:rsidR="00CD3CDB">
        <w:t>agencies have</w:t>
      </w:r>
      <w:r w:rsidR="00C9793C">
        <w:t xml:space="preserve"> received department</w:t>
      </w:r>
      <w:r w:rsidR="00B94B58">
        <w:t xml:space="preserve">al </w:t>
      </w:r>
      <w:r w:rsidR="006F1B77">
        <w:t>f</w:t>
      </w:r>
      <w:r w:rsidR="00B94B58">
        <w:t xml:space="preserve">unding to </w:t>
      </w:r>
      <w:r w:rsidR="0010482D">
        <w:t>oversee</w:t>
      </w:r>
      <w:r w:rsidR="00B94B58">
        <w:t xml:space="preserve"> CAP </w:t>
      </w:r>
      <w:r w:rsidR="00383FC6">
        <w:t>projects/services totalling $19</w:t>
      </w:r>
      <w:r w:rsidR="00CC0B7C">
        <w:t xml:space="preserve"> million</w:t>
      </w:r>
      <w:r w:rsidR="009104D7">
        <w:t xml:space="preserve"> </w:t>
      </w:r>
      <w:r w:rsidR="00CC0B7C">
        <w:t xml:space="preserve">(or </w:t>
      </w:r>
      <w:r w:rsidR="00196F0B">
        <w:t>8</w:t>
      </w:r>
      <w:r w:rsidR="008F40EB">
        <w:t>%</w:t>
      </w:r>
      <w:r w:rsidR="00CC0B7C">
        <w:t>) of the allocated</w:t>
      </w:r>
      <w:r w:rsidR="003B5936">
        <w:t xml:space="preserve"> CAP</w:t>
      </w:r>
      <w:r w:rsidR="00CC0B7C">
        <w:t xml:space="preserve"> funding</w:t>
      </w:r>
      <w:r w:rsidR="003B5936">
        <w:t>.</w:t>
      </w:r>
      <w:r w:rsidR="00CC0B7C">
        <w:t xml:space="preserve"> They are</w:t>
      </w:r>
      <w:r w:rsidR="00CD75CF">
        <w:t>:</w:t>
      </w:r>
    </w:p>
    <w:p w14:paraId="1F571DF7" w14:textId="62F7DAC1" w:rsidR="00CD75CF" w:rsidRDefault="00900728" w:rsidP="003343AE">
      <w:pPr>
        <w:pStyle w:val="ListParagraph"/>
      </w:pPr>
      <w:r>
        <w:t>DEWR</w:t>
      </w:r>
      <w:r w:rsidR="007667F4">
        <w:t xml:space="preserve"> </w:t>
      </w:r>
      <w:r w:rsidR="0045386C">
        <w:t>(</w:t>
      </w:r>
      <w:r w:rsidR="003553D8">
        <w:t>$9.7 million</w:t>
      </w:r>
      <w:r w:rsidR="0045386C">
        <w:t>)</w:t>
      </w:r>
      <w:r w:rsidR="00C5063D">
        <w:t xml:space="preserve"> for the Remote Training Hubs Network</w:t>
      </w:r>
    </w:p>
    <w:p w14:paraId="26AA3CE9" w14:textId="1093DF78" w:rsidR="00CD75CF" w:rsidRDefault="00CD75CF" w:rsidP="003343AE">
      <w:pPr>
        <w:pStyle w:val="ListParagraph"/>
      </w:pPr>
      <w:r>
        <w:t>t</w:t>
      </w:r>
      <w:r w:rsidR="009F6902">
        <w:t xml:space="preserve">he </w:t>
      </w:r>
      <w:r w:rsidR="0083493F">
        <w:t>Australian Government</w:t>
      </w:r>
      <w:r w:rsidR="0045386C">
        <w:t xml:space="preserve"> and Northern Territory</w:t>
      </w:r>
      <w:r w:rsidR="0083493F">
        <w:t xml:space="preserve"> </w:t>
      </w:r>
      <w:r w:rsidR="00C749C4">
        <w:t>D</w:t>
      </w:r>
      <w:r w:rsidR="009F6902">
        <w:t>epartment</w:t>
      </w:r>
      <w:r w:rsidR="005E7300">
        <w:t>s</w:t>
      </w:r>
      <w:r w:rsidR="009F6902">
        <w:t xml:space="preserve"> of Education </w:t>
      </w:r>
      <w:r w:rsidR="0045386C">
        <w:t>(</w:t>
      </w:r>
      <w:r w:rsidR="00C749C4">
        <w:t>$</w:t>
      </w:r>
      <w:r w:rsidR="00FA7B00">
        <w:t>0.</w:t>
      </w:r>
      <w:r w:rsidR="0083493F">
        <w:t>4</w:t>
      </w:r>
      <w:r w:rsidR="00FA7B00">
        <w:t xml:space="preserve"> million</w:t>
      </w:r>
      <w:r w:rsidR="005E7300">
        <w:t xml:space="preserve"> each</w:t>
      </w:r>
      <w:r w:rsidR="0045386C">
        <w:t xml:space="preserve">) </w:t>
      </w:r>
      <w:r w:rsidR="007718AA">
        <w:t>for</w:t>
      </w:r>
      <w:r w:rsidR="005E7300">
        <w:t xml:space="preserve"> the</w:t>
      </w:r>
      <w:r w:rsidR="007718AA">
        <w:t xml:space="preserve"> On-Country Learning</w:t>
      </w:r>
      <w:r w:rsidR="000337A7">
        <w:t xml:space="preserve"> Program</w:t>
      </w:r>
    </w:p>
    <w:p w14:paraId="67CBF97D" w14:textId="12CEDBA0" w:rsidR="00FA1F0C" w:rsidRDefault="00FA7B00" w:rsidP="003343AE">
      <w:pPr>
        <w:pStyle w:val="ListParagraph"/>
      </w:pPr>
      <w:r>
        <w:lastRenderedPageBreak/>
        <w:t xml:space="preserve">NIAA </w:t>
      </w:r>
      <w:r w:rsidR="008C6DBA">
        <w:t>(</w:t>
      </w:r>
      <w:r w:rsidR="00C749C4">
        <w:t>$8.4 million</w:t>
      </w:r>
      <w:r w:rsidR="008C6DBA">
        <w:t>)</w:t>
      </w:r>
      <w:r w:rsidR="00244FA2">
        <w:t xml:space="preserve"> </w:t>
      </w:r>
      <w:r w:rsidR="008C6DBA">
        <w:t xml:space="preserve">to coordinate and deliver </w:t>
      </w:r>
      <w:r w:rsidR="00BE28FD">
        <w:t>the</w:t>
      </w:r>
      <w:r w:rsidR="00DE4306">
        <w:t xml:space="preserve"> </w:t>
      </w:r>
      <w:r w:rsidR="00244FA2">
        <w:t>CAP</w:t>
      </w:r>
      <w:r w:rsidR="00DE4306">
        <w:t xml:space="preserve">, </w:t>
      </w:r>
      <w:r w:rsidR="008C6DBA">
        <w:t xml:space="preserve">including </w:t>
      </w:r>
      <w:r w:rsidR="00DB7CBD">
        <w:t>the ALG</w:t>
      </w:r>
      <w:r w:rsidR="008C6DBA">
        <w:t xml:space="preserve">, </w:t>
      </w:r>
      <w:r w:rsidR="00DB7CBD">
        <w:t>YRT</w:t>
      </w:r>
      <w:r w:rsidR="001A52CD">
        <w:t>,</w:t>
      </w:r>
      <w:r w:rsidR="008C6DBA">
        <w:t xml:space="preserve"> </w:t>
      </w:r>
      <w:r w:rsidR="00BC13F3">
        <w:t>Community of Practice</w:t>
      </w:r>
      <w:r w:rsidR="00DB7CBD">
        <w:t>,</w:t>
      </w:r>
      <w:r w:rsidR="00244FA2">
        <w:t xml:space="preserve"> </w:t>
      </w:r>
      <w:r w:rsidR="004100F0">
        <w:t>and the</w:t>
      </w:r>
      <w:r w:rsidR="00954D96">
        <w:t xml:space="preserve"> </w:t>
      </w:r>
      <w:r w:rsidR="00900728">
        <w:t>YSAP</w:t>
      </w:r>
      <w:r w:rsidR="00954D96">
        <w:t xml:space="preserve">. </w:t>
      </w:r>
      <w:r w:rsidR="00C749C4">
        <w:t xml:space="preserve"> </w:t>
      </w:r>
    </w:p>
    <w:p w14:paraId="0077D3F0" w14:textId="1BEE39AA" w:rsidR="003A77FF" w:rsidRDefault="00BD1C59" w:rsidP="00DA4528">
      <w:r>
        <w:t xml:space="preserve">The remaining </w:t>
      </w:r>
      <w:r w:rsidR="00D26422">
        <w:t>$2</w:t>
      </w:r>
      <w:r w:rsidR="00EE3121">
        <w:t xml:space="preserve">31 million </w:t>
      </w:r>
      <w:r w:rsidR="7C735980">
        <w:t xml:space="preserve">in </w:t>
      </w:r>
      <w:r w:rsidR="3F9FAE83">
        <w:t>CAP</w:t>
      </w:r>
      <w:r w:rsidR="00A53655">
        <w:t xml:space="preserve"> </w:t>
      </w:r>
      <w:r>
        <w:t xml:space="preserve">funds </w:t>
      </w:r>
      <w:r w:rsidR="009B6D72">
        <w:t>ha</w:t>
      </w:r>
      <w:r w:rsidR="00390AB3">
        <w:t xml:space="preserve">s </w:t>
      </w:r>
      <w:r w:rsidR="009B6D72">
        <w:t>been allocated for project-related costs</w:t>
      </w:r>
      <w:r w:rsidR="00BE502E">
        <w:t xml:space="preserve">. At the time of the evaluation, </w:t>
      </w:r>
      <w:r w:rsidR="00D671F1">
        <w:t xml:space="preserve">$137 million </w:t>
      </w:r>
      <w:r w:rsidR="00C45128">
        <w:t>(37</w:t>
      </w:r>
      <w:r w:rsidR="003E3729">
        <w:t>%</w:t>
      </w:r>
      <w:r w:rsidR="00C45128">
        <w:t xml:space="preserve"> allocated CAP funding) </w:t>
      </w:r>
      <w:r>
        <w:t>ha</w:t>
      </w:r>
      <w:r w:rsidR="00B86510">
        <w:t xml:space="preserve">s </w:t>
      </w:r>
      <w:r>
        <w:t xml:space="preserve">been </w:t>
      </w:r>
      <w:r w:rsidR="00C078F7">
        <w:t>committed</w:t>
      </w:r>
      <w:r w:rsidR="00891E68">
        <w:t xml:space="preserve"> through financial arrangement</w:t>
      </w:r>
      <w:r w:rsidR="00B86004">
        <w:t>s</w:t>
      </w:r>
      <w:r w:rsidR="00891E68">
        <w:t xml:space="preserve"> with </w:t>
      </w:r>
      <w:r w:rsidR="006A7C06">
        <w:t>provider</w:t>
      </w:r>
      <w:r w:rsidR="00B86004">
        <w:t>s</w:t>
      </w:r>
      <w:r w:rsidR="00B86510">
        <w:t xml:space="preserve"> </w:t>
      </w:r>
      <w:r w:rsidR="00E00389">
        <w:t>for</w:t>
      </w:r>
      <w:r w:rsidR="00FA081F">
        <w:t xml:space="preserve"> 144 projects</w:t>
      </w:r>
      <w:r w:rsidR="00C45128">
        <w:t>. A</w:t>
      </w:r>
      <w:r w:rsidR="00F07A87">
        <w:t xml:space="preserve"> further $94 million </w:t>
      </w:r>
      <w:r w:rsidR="000E796D">
        <w:t>will be rolled out to projects as implementation pro</w:t>
      </w:r>
      <w:r w:rsidR="00C45128">
        <w:t>gresses</w:t>
      </w:r>
      <w:r w:rsidR="00C70FD3">
        <w:t>.</w:t>
      </w:r>
      <w:r w:rsidR="00257D91">
        <w:t xml:space="preserve"> Further detail </w:t>
      </w:r>
      <w:r w:rsidR="00C70FD3">
        <w:t xml:space="preserve">is </w:t>
      </w:r>
      <w:r w:rsidR="00C70FD3" w:rsidRPr="00D85CC4">
        <w:t xml:space="preserve">shown in </w:t>
      </w:r>
      <w:r w:rsidR="00900728" w:rsidRPr="00D85CC4">
        <w:t>F</w:t>
      </w:r>
      <w:r w:rsidR="00C70FD3" w:rsidRPr="00D85CC4">
        <w:t xml:space="preserve">igure </w:t>
      </w:r>
      <w:r w:rsidR="006709B0">
        <w:t>5</w:t>
      </w:r>
      <w:r w:rsidR="00C70FD3">
        <w:t xml:space="preserve"> below</w:t>
      </w:r>
      <w:r w:rsidR="00257D91">
        <w:t>.</w:t>
      </w:r>
    </w:p>
    <w:p w14:paraId="746DFE25" w14:textId="77777777" w:rsidR="003F3308" w:rsidRDefault="003F3308" w:rsidP="00DA4528"/>
    <w:p w14:paraId="1260E1EF" w14:textId="17E177E2" w:rsidR="003655F1" w:rsidRPr="007571F3" w:rsidRDefault="003655F1" w:rsidP="00900728">
      <w:pPr>
        <w:pStyle w:val="Heading6"/>
      </w:pPr>
      <w:r w:rsidRPr="007571F3">
        <w:t xml:space="preserve">Figure </w:t>
      </w:r>
      <w:r w:rsidR="006709B0">
        <w:t>5</w:t>
      </w:r>
      <w:r w:rsidR="003F3308">
        <w:t>.</w:t>
      </w:r>
      <w:r w:rsidRPr="007571F3">
        <w:t xml:space="preserve"> CAP </w:t>
      </w:r>
      <w:r w:rsidR="00C2761A" w:rsidRPr="007571F3">
        <w:t xml:space="preserve">funding </w:t>
      </w:r>
      <w:r w:rsidR="00F07A87" w:rsidRPr="007571F3">
        <w:t xml:space="preserve">allocated </w:t>
      </w:r>
      <w:r w:rsidR="000D2807" w:rsidRPr="007571F3">
        <w:t xml:space="preserve">for departmental </w:t>
      </w:r>
      <w:r w:rsidR="00E83516" w:rsidRPr="007571F3">
        <w:t xml:space="preserve">and project-related costs </w:t>
      </w:r>
      <w:proofErr w:type="gramStart"/>
      <w:r w:rsidR="00E83516" w:rsidRPr="007571F3">
        <w:t>at</w:t>
      </w:r>
      <w:proofErr w:type="gramEnd"/>
      <w:r w:rsidR="00C45128" w:rsidRPr="007571F3">
        <w:t xml:space="preserve"> </w:t>
      </w:r>
      <w:r w:rsidR="00E83516" w:rsidRPr="007571F3">
        <w:t>30 April 2025</w:t>
      </w:r>
      <w:r w:rsidR="00900728">
        <w:t>.</w:t>
      </w:r>
    </w:p>
    <w:p w14:paraId="446A5E1D" w14:textId="60F9045B" w:rsidR="00DE4D74" w:rsidRDefault="00D21033" w:rsidP="00DA4528">
      <w:r w:rsidRPr="00D21033">
        <w:rPr>
          <w:noProof/>
        </w:rPr>
        <w:drawing>
          <wp:inline distT="0" distB="0" distL="0" distR="0" wp14:anchorId="4C28F219" wp14:editId="545E7A12">
            <wp:extent cx="5598368" cy="2174033"/>
            <wp:effectExtent l="0" t="0" r="2540" b="0"/>
            <wp:docPr id="1225901141" name="Chart 1" descr="$94 million (37%) of funding is project related funding not yet committed, $137 million (55%) of funding is committed project-related funding, and $19 million (8%) of funding is departmental funding.">
              <a:extLst xmlns:a="http://schemas.openxmlformats.org/drawingml/2006/main">
                <a:ext uri="{FF2B5EF4-FFF2-40B4-BE49-F238E27FC236}">
                  <a16:creationId xmlns:a16="http://schemas.microsoft.com/office/drawing/2014/main" id="{8A2B9710-8396-B6F5-78B5-886333B287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DDC620" w14:textId="4949F900" w:rsidR="00ED5B3E" w:rsidRDefault="00156921" w:rsidP="00900728">
      <w:r>
        <w:t xml:space="preserve">The </w:t>
      </w:r>
      <w:r w:rsidR="00F918DA">
        <w:t>$137</w:t>
      </w:r>
      <w:r w:rsidR="00511F36">
        <w:t xml:space="preserve"> </w:t>
      </w:r>
      <w:r w:rsidR="00F918DA">
        <w:t xml:space="preserve">million </w:t>
      </w:r>
      <w:r>
        <w:t>that ha</w:t>
      </w:r>
      <w:r w:rsidR="00511F36">
        <w:t>s</w:t>
      </w:r>
      <w:r>
        <w:t xml:space="preserve"> already </w:t>
      </w:r>
      <w:r w:rsidR="005B02AC">
        <w:t xml:space="preserve">been </w:t>
      </w:r>
      <w:r w:rsidR="00D55CCC">
        <w:t xml:space="preserve">committed </w:t>
      </w:r>
      <w:r w:rsidR="007C3B98">
        <w:t xml:space="preserve">through a financial arrangement </w:t>
      </w:r>
      <w:r w:rsidR="001C6661">
        <w:t xml:space="preserve">with </w:t>
      </w:r>
      <w:r w:rsidR="00511F36">
        <w:t>providers</w:t>
      </w:r>
      <w:r w:rsidR="00E97DB6">
        <w:t xml:space="preserve"> </w:t>
      </w:r>
      <w:r w:rsidR="00511F36">
        <w:t>has gone to</w:t>
      </w:r>
      <w:r w:rsidR="009315E7">
        <w:t xml:space="preserve"> three main </w:t>
      </w:r>
      <w:r w:rsidR="00010C60">
        <w:t>project types</w:t>
      </w:r>
      <w:r w:rsidR="00710D46">
        <w:t xml:space="preserve"> described below</w:t>
      </w:r>
      <w:r w:rsidR="003F1CA2">
        <w:t>:</w:t>
      </w:r>
      <w:r w:rsidR="00A70E25">
        <w:rPr>
          <w:rStyle w:val="FootnoteReference"/>
        </w:rPr>
        <w:t xml:space="preserve"> </w:t>
      </w:r>
      <w:r w:rsidR="0040344D">
        <w:t xml:space="preserve">  </w:t>
      </w:r>
      <w:r w:rsidR="000D5F4E">
        <w:t xml:space="preserve"> </w:t>
      </w:r>
      <w:r w:rsidR="00D03BAF">
        <w:t xml:space="preserve"> </w:t>
      </w:r>
    </w:p>
    <w:p w14:paraId="20D8AE66" w14:textId="5BD9F8A4" w:rsidR="00977D49" w:rsidRPr="00FA424E" w:rsidRDefault="00D03BAF" w:rsidP="003343AE">
      <w:pPr>
        <w:pStyle w:val="ListParagraph"/>
      </w:pPr>
      <w:r w:rsidRPr="007571F3">
        <w:rPr>
          <w:b/>
          <w:bCs/>
        </w:rPr>
        <w:t xml:space="preserve">Workforce development </w:t>
      </w:r>
      <w:r w:rsidR="002E036C" w:rsidRPr="007571F3">
        <w:rPr>
          <w:b/>
          <w:bCs/>
        </w:rPr>
        <w:t xml:space="preserve">including education </w:t>
      </w:r>
      <w:r w:rsidR="00B61BCF" w:rsidRPr="00FA424E">
        <w:rPr>
          <w:b/>
          <w:bCs/>
        </w:rPr>
        <w:t>(</w:t>
      </w:r>
      <w:r w:rsidR="00E4693D" w:rsidRPr="00FA424E">
        <w:rPr>
          <w:b/>
          <w:bCs/>
        </w:rPr>
        <w:t>$47 million</w:t>
      </w:r>
      <w:r w:rsidR="001E397F" w:rsidRPr="00FA424E">
        <w:rPr>
          <w:b/>
          <w:bCs/>
        </w:rPr>
        <w:t xml:space="preserve"> for</w:t>
      </w:r>
      <w:r w:rsidR="002F74C4" w:rsidRPr="007571F3">
        <w:rPr>
          <w:b/>
          <w:bCs/>
        </w:rPr>
        <w:t xml:space="preserve"> </w:t>
      </w:r>
      <w:r w:rsidR="00C10410" w:rsidRPr="00FA424E">
        <w:rPr>
          <w:b/>
          <w:bCs/>
        </w:rPr>
        <w:t>67 projects</w:t>
      </w:r>
      <w:r w:rsidR="00B61BCF" w:rsidRPr="00FA424E">
        <w:rPr>
          <w:b/>
          <w:bCs/>
        </w:rPr>
        <w:t>)</w:t>
      </w:r>
      <w:r w:rsidR="00C10410" w:rsidRPr="00FA424E">
        <w:rPr>
          <w:b/>
          <w:bCs/>
        </w:rPr>
        <w:t>.</w:t>
      </w:r>
      <w:r w:rsidR="00C10410" w:rsidRPr="007571F3">
        <w:rPr>
          <w:b/>
          <w:bCs/>
        </w:rPr>
        <w:t xml:space="preserve"> </w:t>
      </w:r>
      <w:r w:rsidR="00FA424E">
        <w:t>I</w:t>
      </w:r>
      <w:r w:rsidR="002F74C4" w:rsidRPr="00FA424E">
        <w:t>nclude</w:t>
      </w:r>
      <w:r w:rsidR="00FA424E">
        <w:t>s</w:t>
      </w:r>
      <w:r w:rsidR="002F74C4" w:rsidRPr="00FA424E">
        <w:t xml:space="preserve"> </w:t>
      </w:r>
      <w:r w:rsidR="00FF087F" w:rsidRPr="00FA424E">
        <w:t xml:space="preserve">projects relating to the </w:t>
      </w:r>
      <w:r w:rsidR="00367E24" w:rsidRPr="00FA424E">
        <w:t xml:space="preserve">Supporting </w:t>
      </w:r>
      <w:r w:rsidR="00FF087F" w:rsidRPr="00FA424E">
        <w:t xml:space="preserve">Youth </w:t>
      </w:r>
      <w:r w:rsidR="00367E24" w:rsidRPr="00FA424E">
        <w:t>in Central Australia</w:t>
      </w:r>
      <w:r w:rsidR="00062651" w:rsidRPr="00FA424E">
        <w:t xml:space="preserve"> stream</w:t>
      </w:r>
      <w:r w:rsidR="00FF087F" w:rsidRPr="00FA424E">
        <w:t xml:space="preserve">, </w:t>
      </w:r>
      <w:r w:rsidR="006C3C0B" w:rsidRPr="00FA424E">
        <w:t>Remote Training Hubs Network</w:t>
      </w:r>
      <w:r w:rsidR="003A4BA3" w:rsidRPr="00FA424E">
        <w:t>,</w:t>
      </w:r>
      <w:r w:rsidR="006C3C0B" w:rsidRPr="00FA424E">
        <w:t xml:space="preserve"> On-Country Learning</w:t>
      </w:r>
      <w:r w:rsidR="00E56675" w:rsidRPr="00FA424E">
        <w:t xml:space="preserve"> Program</w:t>
      </w:r>
      <w:r w:rsidR="003A4BA3" w:rsidRPr="00FA424E">
        <w:t>,</w:t>
      </w:r>
      <w:r w:rsidR="006C3C0B" w:rsidRPr="00FA424E">
        <w:t xml:space="preserve"> and</w:t>
      </w:r>
      <w:r w:rsidR="00E56675" w:rsidRPr="00FA424E">
        <w:t xml:space="preserve"> the</w:t>
      </w:r>
      <w:r w:rsidR="006C3C0B" w:rsidRPr="00FA424E">
        <w:t xml:space="preserve"> Junior Ranger sites. </w:t>
      </w:r>
    </w:p>
    <w:p w14:paraId="33FCC142" w14:textId="188690BC" w:rsidR="00FA424E" w:rsidRPr="0087509C" w:rsidRDefault="00977D49" w:rsidP="003343AE">
      <w:pPr>
        <w:pStyle w:val="ListParagraph"/>
      </w:pPr>
      <w:r w:rsidRPr="007571F3">
        <w:rPr>
          <w:b/>
          <w:bCs/>
        </w:rPr>
        <w:t>Infrastructure improvements</w:t>
      </w:r>
      <w:r w:rsidR="00B61BCF" w:rsidRPr="007571F3">
        <w:rPr>
          <w:b/>
          <w:bCs/>
        </w:rPr>
        <w:t xml:space="preserve"> (</w:t>
      </w:r>
      <w:r w:rsidR="008C3C06" w:rsidRPr="00FA424E">
        <w:rPr>
          <w:b/>
          <w:bCs/>
        </w:rPr>
        <w:t>$46 million</w:t>
      </w:r>
      <w:r w:rsidR="003A2E24" w:rsidRPr="00FA424E">
        <w:rPr>
          <w:b/>
          <w:bCs/>
        </w:rPr>
        <w:t xml:space="preserve"> </w:t>
      </w:r>
      <w:r w:rsidR="001E397F" w:rsidRPr="00FA424E">
        <w:rPr>
          <w:b/>
          <w:bCs/>
        </w:rPr>
        <w:t>for</w:t>
      </w:r>
      <w:r w:rsidR="00C10410" w:rsidRPr="00FA424E">
        <w:rPr>
          <w:b/>
          <w:bCs/>
        </w:rPr>
        <w:t xml:space="preserve"> </w:t>
      </w:r>
      <w:r w:rsidR="00F062E8" w:rsidRPr="00FA424E">
        <w:rPr>
          <w:b/>
          <w:bCs/>
        </w:rPr>
        <w:t>42 projects</w:t>
      </w:r>
      <w:r w:rsidR="00B61BCF" w:rsidRPr="00FA424E">
        <w:rPr>
          <w:b/>
          <w:bCs/>
        </w:rPr>
        <w:t>)</w:t>
      </w:r>
      <w:r w:rsidR="00395B17" w:rsidRPr="00FA424E">
        <w:rPr>
          <w:b/>
          <w:bCs/>
        </w:rPr>
        <w:t>.</w:t>
      </w:r>
      <w:r w:rsidR="00395B17" w:rsidRPr="00ED5B3E">
        <w:rPr>
          <w:b/>
          <w:bCs/>
        </w:rPr>
        <w:t xml:space="preserve"> </w:t>
      </w:r>
      <w:r w:rsidR="00FA424E">
        <w:t>Includes</w:t>
      </w:r>
      <w:r w:rsidR="00395B17">
        <w:t xml:space="preserve"> </w:t>
      </w:r>
      <w:r w:rsidR="00F062E8">
        <w:t>social</w:t>
      </w:r>
      <w:r w:rsidR="17EE372B">
        <w:t>,</w:t>
      </w:r>
      <w:r w:rsidR="00F062E8">
        <w:t xml:space="preserve"> </w:t>
      </w:r>
      <w:r w:rsidR="00C71313">
        <w:t>community and regional infrastructures projects</w:t>
      </w:r>
      <w:r w:rsidR="00066541">
        <w:t xml:space="preserve"> like upgrading sporting </w:t>
      </w:r>
      <w:r w:rsidR="00C17418">
        <w:t xml:space="preserve">fields </w:t>
      </w:r>
      <w:r w:rsidR="00066541">
        <w:t>and other community facilities</w:t>
      </w:r>
      <w:r>
        <w:t xml:space="preserve">, improving </w:t>
      </w:r>
      <w:r w:rsidR="00E82B22">
        <w:t>digital inclusion</w:t>
      </w:r>
      <w:r w:rsidR="008A4256">
        <w:t xml:space="preserve">, </w:t>
      </w:r>
      <w:r w:rsidR="00E82B22">
        <w:t xml:space="preserve">increasing capacity and </w:t>
      </w:r>
      <w:r w:rsidR="008A4256">
        <w:t xml:space="preserve">improvements to </w:t>
      </w:r>
      <w:r w:rsidR="007B1FF4">
        <w:t>First Nations</w:t>
      </w:r>
      <w:r w:rsidR="008A4256">
        <w:t xml:space="preserve"> Hostels, </w:t>
      </w:r>
      <w:r>
        <w:t xml:space="preserve">and </w:t>
      </w:r>
      <w:r w:rsidR="00EF4B95">
        <w:t xml:space="preserve">the Todd St Health Hub.  </w:t>
      </w:r>
    </w:p>
    <w:p w14:paraId="6DEE4D19" w14:textId="53C2B391" w:rsidR="000F245B" w:rsidRPr="00900728" w:rsidRDefault="000D5F4E" w:rsidP="003343AE">
      <w:pPr>
        <w:pStyle w:val="ListParagraph"/>
      </w:pPr>
      <w:r w:rsidRPr="007571F3">
        <w:rPr>
          <w:b/>
          <w:bCs/>
        </w:rPr>
        <w:t>Service delivery</w:t>
      </w:r>
      <w:r>
        <w:t xml:space="preserve"> </w:t>
      </w:r>
      <w:r w:rsidR="00FA424E">
        <w:t>(</w:t>
      </w:r>
      <w:r w:rsidR="008C3C06" w:rsidRPr="00FA424E">
        <w:rPr>
          <w:b/>
          <w:bCs/>
        </w:rPr>
        <w:t xml:space="preserve">$44 million </w:t>
      </w:r>
      <w:r w:rsidR="00E6519E" w:rsidRPr="00FA424E">
        <w:rPr>
          <w:b/>
          <w:bCs/>
        </w:rPr>
        <w:t xml:space="preserve">for </w:t>
      </w:r>
      <w:r w:rsidR="000F69DC" w:rsidRPr="00FA424E">
        <w:rPr>
          <w:b/>
          <w:bCs/>
        </w:rPr>
        <w:t>3</w:t>
      </w:r>
      <w:r w:rsidR="00A3773E" w:rsidRPr="00FA424E">
        <w:rPr>
          <w:b/>
          <w:bCs/>
        </w:rPr>
        <w:t>4 projects</w:t>
      </w:r>
      <w:r w:rsidR="00FA424E">
        <w:rPr>
          <w:b/>
          <w:bCs/>
        </w:rPr>
        <w:t>)</w:t>
      </w:r>
      <w:r w:rsidR="008C3C06" w:rsidRPr="00FA424E">
        <w:rPr>
          <w:b/>
          <w:bCs/>
        </w:rPr>
        <w:t>.</w:t>
      </w:r>
      <w:r w:rsidR="008C3C06">
        <w:t xml:space="preserve"> </w:t>
      </w:r>
      <w:r w:rsidR="00FA424E">
        <w:t>Includes s</w:t>
      </w:r>
      <w:r w:rsidR="00595EA6">
        <w:t>chool holiday programs</w:t>
      </w:r>
      <w:r w:rsidR="00B31C63">
        <w:t xml:space="preserve">, diversion services, </w:t>
      </w:r>
      <w:r w:rsidR="2668A7C3">
        <w:t xml:space="preserve">child and </w:t>
      </w:r>
      <w:r w:rsidR="00B31C63">
        <w:t>youth assessment</w:t>
      </w:r>
      <w:r w:rsidR="000F245B">
        <w:t xml:space="preserve"> </w:t>
      </w:r>
      <w:r w:rsidR="00B31C63">
        <w:t>and treatment services</w:t>
      </w:r>
      <w:r w:rsidR="35ED6419">
        <w:t xml:space="preserve">, </w:t>
      </w:r>
      <w:r w:rsidR="00B31C63">
        <w:t xml:space="preserve">and </w:t>
      </w:r>
      <w:r w:rsidR="30DC8C27">
        <w:t>y</w:t>
      </w:r>
      <w:r w:rsidR="00B31C63">
        <w:t xml:space="preserve">outh </w:t>
      </w:r>
      <w:r w:rsidR="1F619660">
        <w:t>o</w:t>
      </w:r>
      <w:r w:rsidR="00B31C63">
        <w:t>utreach services</w:t>
      </w:r>
      <w:r w:rsidR="008C3C06">
        <w:t>.</w:t>
      </w:r>
    </w:p>
    <w:p w14:paraId="6B41F200" w14:textId="2006259E" w:rsidR="003A77FF" w:rsidRDefault="003A77FF" w:rsidP="00900728">
      <w:pPr>
        <w:pStyle w:val="Heading3"/>
        <w:rPr>
          <w:lang w:val="en-US"/>
        </w:rPr>
      </w:pPr>
      <w:r w:rsidRPr="1A31B231">
        <w:rPr>
          <w:lang w:val="en-US"/>
        </w:rPr>
        <w:t>Mechanisms to support implementation</w:t>
      </w:r>
    </w:p>
    <w:p w14:paraId="545CCA8D" w14:textId="36097545" w:rsidR="007C4495" w:rsidRDefault="00900728" w:rsidP="00900728">
      <w:proofErr w:type="gramStart"/>
      <w:r w:rsidRPr="1014EAC5">
        <w:t>A number of</w:t>
      </w:r>
      <w:proofErr w:type="gramEnd"/>
      <w:r w:rsidRPr="1014EAC5">
        <w:t xml:space="preserve"> mechanisms at the community, </w:t>
      </w:r>
      <w:r>
        <w:t xml:space="preserve">Australian </w:t>
      </w:r>
      <w:r w:rsidRPr="00141FEE" w:rsidDel="00FE3F26">
        <w:rPr>
          <w:rFonts w:cs="Segoe UI"/>
        </w:rPr>
        <w:t>Government</w:t>
      </w:r>
      <w:r w:rsidRPr="1014EAC5">
        <w:t xml:space="preserve"> and NTG levels have been established to support implementation of the CAP. This includes mechanisms to deploy the CAP investments and to support ‘working in a different way’</w:t>
      </w:r>
      <w:r>
        <w:t>.</w:t>
      </w:r>
    </w:p>
    <w:p w14:paraId="0E541A20" w14:textId="77777777" w:rsidR="0028010D" w:rsidRDefault="0028010D">
      <w:pPr>
        <w:keepLines w:val="0"/>
        <w:widowControl/>
        <w:spacing w:before="0" w:after="0"/>
        <w:rPr>
          <w:rFonts w:eastAsiaTheme="minorHAnsi" w:cs="Segoe UI"/>
          <w:bCs/>
          <w:color w:val="009999"/>
        </w:rPr>
      </w:pPr>
      <w:r>
        <w:br w:type="page"/>
      </w:r>
    </w:p>
    <w:p w14:paraId="1738C343" w14:textId="707D3481" w:rsidR="00900728" w:rsidRPr="00131465" w:rsidRDefault="00900728" w:rsidP="00900728">
      <w:pPr>
        <w:pStyle w:val="Heading6"/>
        <w:rPr>
          <w:color w:val="404040" w:themeColor="text1" w:themeTint="BF"/>
          <w:lang w:val="en-US"/>
        </w:rPr>
      </w:pPr>
      <w:r>
        <w:lastRenderedPageBreak/>
        <w:t xml:space="preserve">Figure </w:t>
      </w:r>
      <w:r w:rsidR="006709B0">
        <w:t>6</w:t>
      </w:r>
      <w:r>
        <w:t>. Stakeholder involvement in government funding decisions for administered funds</w:t>
      </w:r>
      <w:r w:rsidR="00B8568C">
        <w:t>.</w:t>
      </w:r>
      <w:r>
        <w:t xml:space="preserve"> </w:t>
      </w:r>
    </w:p>
    <w:p w14:paraId="1AF4C74D" w14:textId="7BAE8C6E" w:rsidR="003F3308" w:rsidRDefault="006709B0" w:rsidP="00900728">
      <w:pPr>
        <w:pStyle w:val="Heading3"/>
      </w:pPr>
      <w:r w:rsidRPr="006709B0">
        <w:rPr>
          <w:noProof/>
        </w:rPr>
        <w:drawing>
          <wp:inline distT="0" distB="0" distL="0" distR="0" wp14:anchorId="724E49A0" wp14:editId="3125C829">
            <wp:extent cx="6184900" cy="2660650"/>
            <wp:effectExtent l="0" t="0" r="0" b="6350"/>
            <wp:docPr id="963484386" name="Picture 1" descr="The figure depicts the involvement of various stakeholders at various stages of of decision making for administered funds. At the Announcement of Funds, funding decisions made with the involvement of Australian Government stakeholders. This then flows onto the Allocation of Funds, which involves project allocation decisions made with the involvement of Australian Government agencies and NTG agencies. This then flows onto the Commitment and Payment of Funds, where implementation decisions are made with the involvement of Service Provider organisations, including ACCOs, NTG and local governments. The 'Allocation of Funds' stage and the 'Commitment and Payment' of funds stage involve  'Advice from Community', which includes influence from OCARC Community Consultations, the ALG and YRT, supported by the NIAA Regional Office and CAPI Tas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84386" name="Picture 1" descr="The figure depicts the involvement of various stakeholders at various stages of of decision making for administered funds. At the Announcement of Funds, funding decisions made with the involvement of Australian Government stakeholders. This then flows onto the Allocation of Funds, which involves project allocation decisions made with the involvement of Australian Government agencies and NTG agencies. This then flows onto the Commitment and Payment of Funds, where implementation decisions are made with the involvement of Service Provider organisations, including ACCOs, NTG and local governments. The 'Allocation of Funds' stage and the 'Commitment and Payment' of funds stage involve  'Advice from Community', which includes influence from OCARC Community Consultations, the ALG and YRT, supported by the NIAA Regional Office and CAPI Taskforce."/>
                    <pic:cNvPicPr/>
                  </pic:nvPicPr>
                  <pic:blipFill>
                    <a:blip r:embed="rId20"/>
                    <a:stretch>
                      <a:fillRect/>
                    </a:stretch>
                  </pic:blipFill>
                  <pic:spPr>
                    <a:xfrm>
                      <a:off x="0" y="0"/>
                      <a:ext cx="6184900" cy="2660650"/>
                    </a:xfrm>
                    <a:prstGeom prst="rect">
                      <a:avLst/>
                    </a:prstGeom>
                  </pic:spPr>
                </pic:pic>
              </a:graphicData>
            </a:graphic>
          </wp:inline>
        </w:drawing>
      </w:r>
    </w:p>
    <w:p w14:paraId="663AD3C4" w14:textId="77777777" w:rsidR="003F3308" w:rsidRDefault="003F3308" w:rsidP="00900728">
      <w:pPr>
        <w:pStyle w:val="Heading3"/>
      </w:pPr>
    </w:p>
    <w:p w14:paraId="6F6ABFD8" w14:textId="3B8E896C" w:rsidR="00AA1F25" w:rsidRPr="00FC62FE" w:rsidRDefault="00AA1F25" w:rsidP="00900728">
      <w:pPr>
        <w:pStyle w:val="Heading3"/>
      </w:pPr>
      <w:r>
        <w:t>Stakeholder r</w:t>
      </w:r>
      <w:r w:rsidRPr="00FC62FE">
        <w:t>oles and responsibilities</w:t>
      </w:r>
    </w:p>
    <w:p w14:paraId="6D4EAA84" w14:textId="5C11B2F0" w:rsidR="00AA1F25" w:rsidRPr="00FC62FE" w:rsidRDefault="00696FF5" w:rsidP="00900728">
      <w:r>
        <w:t>The i</w:t>
      </w:r>
      <w:r w:rsidR="00AA1F25">
        <w:t xml:space="preserve">mplementation of the CAP involves </w:t>
      </w:r>
      <w:r w:rsidR="00AA1F25" w:rsidRPr="1A31B231">
        <w:rPr>
          <w:rStyle w:val="Strong"/>
          <w:b w:val="0"/>
          <w:bCs w:val="0"/>
        </w:rPr>
        <w:t>multiple tiers of government and delivery partners</w:t>
      </w:r>
      <w:r w:rsidR="00AA1F25">
        <w:t xml:space="preserve">, including the Australian </w:t>
      </w:r>
      <w:r w:rsidR="00AA1F25" w:rsidRPr="1A31B231">
        <w:rPr>
          <w:rFonts w:cs="Segoe UI"/>
        </w:rPr>
        <w:t>Government</w:t>
      </w:r>
      <w:r w:rsidR="00AA1F25">
        <w:t xml:space="preserve">, </w:t>
      </w:r>
      <w:r w:rsidR="00AA1F25" w:rsidRPr="00696FF5">
        <w:rPr>
          <w:rStyle w:val="Strong"/>
          <w:b w:val="0"/>
          <w:bCs w:val="0"/>
        </w:rPr>
        <w:t>NTG</w:t>
      </w:r>
      <w:r w:rsidR="00AA1F25" w:rsidRPr="00696FF5">
        <w:t>,</w:t>
      </w:r>
      <w:r w:rsidR="00AA1F25" w:rsidRPr="00696FF5">
        <w:rPr>
          <w:b/>
          <w:bCs/>
        </w:rPr>
        <w:t xml:space="preserve"> </w:t>
      </w:r>
      <w:r w:rsidR="00AA1F25" w:rsidRPr="00696FF5">
        <w:rPr>
          <w:rStyle w:val="Strong"/>
          <w:b w:val="0"/>
          <w:bCs w:val="0"/>
        </w:rPr>
        <w:t>service</w:t>
      </w:r>
      <w:r w:rsidR="00AA1F25" w:rsidRPr="1A31B231">
        <w:rPr>
          <w:rStyle w:val="Strong"/>
          <w:b w:val="0"/>
          <w:bCs w:val="0"/>
        </w:rPr>
        <w:t xml:space="preserve"> providers</w:t>
      </w:r>
      <w:r w:rsidR="00AA1F25">
        <w:t xml:space="preserve">, and </w:t>
      </w:r>
      <w:r w:rsidR="00AA1F25" w:rsidRPr="1A31B231">
        <w:rPr>
          <w:rStyle w:val="Strong"/>
          <w:b w:val="0"/>
          <w:bCs w:val="0"/>
        </w:rPr>
        <w:t>community</w:t>
      </w:r>
      <w:r w:rsidR="00AA1F25" w:rsidRPr="1A31B231">
        <w:rPr>
          <w:rStyle w:val="Strong"/>
          <w:rFonts w:eastAsiaTheme="majorEastAsia"/>
          <w:b w:val="0"/>
          <w:bCs w:val="0"/>
        </w:rPr>
        <w:t xml:space="preserve"> partners</w:t>
      </w:r>
      <w:r w:rsidR="00AA1F25">
        <w:t>. These contribute across 2 broad functional domains:</w:t>
      </w:r>
    </w:p>
    <w:p w14:paraId="7DF07D1D" w14:textId="091F7C83" w:rsidR="00AA1F25" w:rsidRPr="0044242D" w:rsidRDefault="00AA1F25" w:rsidP="004C6984">
      <w:pPr>
        <w:pStyle w:val="ListParagraph"/>
        <w:numPr>
          <w:ilvl w:val="0"/>
          <w:numId w:val="40"/>
        </w:numPr>
      </w:pPr>
      <w:r w:rsidRPr="00900728">
        <w:rPr>
          <w:rStyle w:val="Strong"/>
          <w:rFonts w:eastAsiaTheme="majorEastAsia"/>
        </w:rPr>
        <w:t>Oversight and</w:t>
      </w:r>
      <w:r w:rsidRPr="1A31B231">
        <w:rPr>
          <w:rStyle w:val="Strong"/>
        </w:rPr>
        <w:t xml:space="preserve"> decision-making</w:t>
      </w:r>
      <w:r>
        <w:t xml:space="preserve"> on priorities and funding led by the Australian Government with NTG agencies, with input from advisory mechanisms such as the </w:t>
      </w:r>
      <w:r w:rsidRPr="00900728">
        <w:rPr>
          <w:rStyle w:val="Strong"/>
          <w:rFonts w:eastAsiaTheme="majorEastAsia"/>
        </w:rPr>
        <w:t xml:space="preserve">ALG, the YRT (via the ALG), </w:t>
      </w:r>
      <w:r>
        <w:t xml:space="preserve">and formerly, </w:t>
      </w:r>
      <w:r w:rsidRPr="00900728">
        <w:rPr>
          <w:rStyle w:val="Strong"/>
          <w:rFonts w:eastAsiaTheme="majorEastAsia"/>
        </w:rPr>
        <w:t>OCARC.</w:t>
      </w:r>
      <w:r>
        <w:t xml:space="preserve"> </w:t>
      </w:r>
    </w:p>
    <w:p w14:paraId="0DFCC8C9" w14:textId="15936846" w:rsidR="00AA1F25" w:rsidRPr="0044242D" w:rsidRDefault="00AA1F25" w:rsidP="004C6984">
      <w:pPr>
        <w:pStyle w:val="ListParagraph"/>
        <w:numPr>
          <w:ilvl w:val="0"/>
          <w:numId w:val="40"/>
        </w:numPr>
      </w:pPr>
      <w:r w:rsidRPr="1A31B231">
        <w:rPr>
          <w:rStyle w:val="Strong"/>
        </w:rPr>
        <w:t>Program implementation and service delivery</w:t>
      </w:r>
      <w:r>
        <w:t xml:space="preserve"> led by various government agencies and primarily undertaken by community organisations and service providers through funded initiatives aligned to the CAP streams.</w:t>
      </w:r>
    </w:p>
    <w:p w14:paraId="35AF7540" w14:textId="77777777" w:rsidR="00AA1F25" w:rsidRPr="00FC62FE" w:rsidRDefault="00AA1F25" w:rsidP="00900728">
      <w:r>
        <w:t xml:space="preserve">The CAP operates through a multi-layered structure that involves numerous actors across different levels of government and sectors. Coordination currently takes place across several domains, including between the Australian </w:t>
      </w:r>
      <w:r w:rsidRPr="1A31B231">
        <w:rPr>
          <w:rFonts w:cs="Segoe UI"/>
        </w:rPr>
        <w:t>Government</w:t>
      </w:r>
      <w:r>
        <w:t xml:space="preserve"> and the NTG, within interagency forums, and through formal advisory mechanisms such as the ALG. These mechanisms intersect with service providers and community organisations responsible for delivering on-the-ground initiatives. Each of the 6 streams of CAP engages with different lead agencies, partners, and local stakeholders, resulting in varying coordination arrangements and degrees of alignment. This layered approach means that decision-making, planning, and implementation occur across multiple forums, with overlapping responsibilities and interdependencies that require ongoing engagement across jurisdictions and sectors.</w:t>
      </w:r>
    </w:p>
    <w:p w14:paraId="2731F4DD" w14:textId="7CCD9704" w:rsidR="00AA1F25" w:rsidRDefault="00AA1F25" w:rsidP="00B8568C">
      <w:pPr>
        <w:pStyle w:val="Heading6"/>
      </w:pPr>
      <w:r>
        <w:t xml:space="preserve">Table </w:t>
      </w:r>
      <w:r w:rsidR="0053376D">
        <w:t>1</w:t>
      </w:r>
      <w:r>
        <w:t xml:space="preserve">. </w:t>
      </w:r>
      <w:r w:rsidR="003F3308">
        <w:t>CAP p</w:t>
      </w:r>
      <w:r w:rsidRPr="00896FB4">
        <w:t xml:space="preserve">artner </w:t>
      </w:r>
      <w:r w:rsidR="00B8568C">
        <w:t>r</w:t>
      </w:r>
      <w:r w:rsidRPr="00896FB4">
        <w:t xml:space="preserve">oles and </w:t>
      </w:r>
      <w:r w:rsidR="00B8568C">
        <w:t>r</w:t>
      </w:r>
      <w:r w:rsidRPr="00896FB4">
        <w:t>esponsibilities</w:t>
      </w:r>
      <w:r w:rsidR="00B8568C">
        <w:t>.</w:t>
      </w:r>
    </w:p>
    <w:tbl>
      <w:tblPr>
        <w:tblW w:w="97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7490"/>
      </w:tblGrid>
      <w:tr w:rsidR="00AA1F25" w:rsidRPr="007C4495" w14:paraId="3645858D" w14:textId="77777777" w:rsidTr="00E0438E">
        <w:trPr>
          <w:trHeight w:val="300"/>
          <w:tblHeader/>
        </w:trPr>
        <w:tc>
          <w:tcPr>
            <w:tcW w:w="2250" w:type="dxa"/>
            <w:tcBorders>
              <w:top w:val="single" w:sz="6" w:space="0" w:color="BFBFBF" w:themeColor="background1" w:themeShade="BF"/>
              <w:left w:val="nil"/>
              <w:bottom w:val="single" w:sz="6" w:space="0" w:color="BFBFBF" w:themeColor="background1" w:themeShade="BF"/>
              <w:right w:val="nil"/>
            </w:tcBorders>
            <w:hideMark/>
          </w:tcPr>
          <w:p w14:paraId="428B893E" w14:textId="77777777" w:rsidR="00AA1F25" w:rsidRPr="00F50D6C" w:rsidRDefault="00AA1F25">
            <w:pPr>
              <w:rPr>
                <w:color w:val="008080"/>
              </w:rPr>
            </w:pPr>
            <w:r w:rsidRPr="00F50D6C">
              <w:rPr>
                <w:color w:val="008080"/>
              </w:rPr>
              <w:t xml:space="preserve">Partner </w:t>
            </w:r>
          </w:p>
        </w:tc>
        <w:tc>
          <w:tcPr>
            <w:tcW w:w="7490" w:type="dxa"/>
            <w:tcBorders>
              <w:top w:val="single" w:sz="6" w:space="0" w:color="BFBFBF" w:themeColor="background1" w:themeShade="BF"/>
              <w:left w:val="nil"/>
              <w:bottom w:val="single" w:sz="6" w:space="0" w:color="BFBFBF" w:themeColor="background1" w:themeShade="BF"/>
              <w:right w:val="nil"/>
            </w:tcBorders>
            <w:hideMark/>
          </w:tcPr>
          <w:p w14:paraId="7E1CE9E2" w14:textId="77777777" w:rsidR="00AA1F25" w:rsidRPr="00F50D6C" w:rsidRDefault="00AA1F25">
            <w:pPr>
              <w:rPr>
                <w:color w:val="008080"/>
              </w:rPr>
            </w:pPr>
            <w:r w:rsidRPr="00F50D6C">
              <w:rPr>
                <w:color w:val="008080"/>
              </w:rPr>
              <w:t>Description of role </w:t>
            </w:r>
          </w:p>
        </w:tc>
      </w:tr>
      <w:tr w:rsidR="00AA1F25" w:rsidRPr="007C4495" w14:paraId="2DCE83B5" w14:textId="77777777" w:rsidTr="00B8568C">
        <w:trPr>
          <w:trHeight w:val="300"/>
        </w:trPr>
        <w:tc>
          <w:tcPr>
            <w:tcW w:w="9740" w:type="dxa"/>
            <w:gridSpan w:val="2"/>
            <w:tcBorders>
              <w:top w:val="single" w:sz="6" w:space="0" w:color="BFBFBF" w:themeColor="background1" w:themeShade="BF"/>
              <w:left w:val="nil"/>
              <w:bottom w:val="single" w:sz="6" w:space="0" w:color="BFBFBF" w:themeColor="background1" w:themeShade="BF"/>
              <w:right w:val="nil"/>
            </w:tcBorders>
            <w:shd w:val="clear" w:color="auto" w:fill="F2F2F2" w:themeFill="background1" w:themeFillShade="F2"/>
          </w:tcPr>
          <w:p w14:paraId="24215534" w14:textId="632529B2" w:rsidR="00AA1F25" w:rsidRPr="00B8568C" w:rsidRDefault="00B8568C" w:rsidP="007C4495">
            <w:pPr>
              <w:rPr>
                <w:b/>
                <w:bCs/>
              </w:rPr>
            </w:pPr>
            <w:r>
              <w:rPr>
                <w:b/>
                <w:bCs/>
              </w:rPr>
              <w:t>Australian Government</w:t>
            </w:r>
          </w:p>
        </w:tc>
      </w:tr>
      <w:tr w:rsidR="00AA1F25" w:rsidRPr="007C4495" w14:paraId="3CFE9DD3"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hideMark/>
          </w:tcPr>
          <w:p w14:paraId="669F8C18" w14:textId="77777777" w:rsidR="00AA1F25" w:rsidRPr="007C4495" w:rsidRDefault="00AA1F25">
            <w:r w:rsidRPr="007C4495">
              <w:t xml:space="preserve">NIAA </w:t>
            </w:r>
          </w:p>
        </w:tc>
        <w:tc>
          <w:tcPr>
            <w:tcW w:w="7490" w:type="dxa"/>
            <w:tcBorders>
              <w:top w:val="single" w:sz="6" w:space="0" w:color="BFBFBF" w:themeColor="background1" w:themeShade="BF"/>
              <w:left w:val="nil"/>
              <w:bottom w:val="single" w:sz="6" w:space="0" w:color="BFBFBF" w:themeColor="background1" w:themeShade="BF"/>
              <w:right w:val="nil"/>
            </w:tcBorders>
            <w:hideMark/>
          </w:tcPr>
          <w:p w14:paraId="11CE70A7" w14:textId="56C33B71" w:rsidR="00AA1F25" w:rsidRPr="007C4495" w:rsidRDefault="00AA1F25" w:rsidP="003343AE">
            <w:pPr>
              <w:pStyle w:val="ListParagraph"/>
              <w:rPr>
                <w:rFonts w:eastAsia="Times New Roman" w:cs="Times New Roman"/>
                <w:color w:val="000000"/>
                <w14:textFill>
                  <w14:solidFill>
                    <w14:srgbClr w14:val="000000">
                      <w14:lumMod w14:val="75000"/>
                      <w14:lumOff w14:val="25000"/>
                    </w14:srgbClr>
                  </w14:solidFill>
                </w14:textFill>
              </w:rPr>
            </w:pPr>
            <w:r w:rsidRPr="007C4495">
              <w:t>Provide overarching strategic leadership and funding coordination</w:t>
            </w:r>
            <w:r w:rsidR="00B8568C">
              <w:t>.</w:t>
            </w:r>
          </w:p>
          <w:p w14:paraId="37C47AC7" w14:textId="1ACC3FAF" w:rsidR="00AA1F25" w:rsidRPr="007C4495" w:rsidRDefault="00AA1F25" w:rsidP="003343AE">
            <w:pPr>
              <w:pStyle w:val="ListParagraph"/>
              <w:rPr>
                <w:rFonts w:eastAsia="Times New Roman" w:cs="Times New Roman"/>
                <w:color w:val="000000"/>
                <w14:textFill>
                  <w14:solidFill>
                    <w14:srgbClr w14:val="000000">
                      <w14:lumMod w14:val="75000"/>
                      <w14:lumOff w14:val="25000"/>
                    </w14:srgbClr>
                  </w14:solidFill>
                </w14:textFill>
              </w:rPr>
            </w:pPr>
            <w:r w:rsidRPr="007C4495">
              <w:t xml:space="preserve">Ensure alignment with national priorities including </w:t>
            </w:r>
            <w:r w:rsidR="00D43AF9" w:rsidRPr="007C4495">
              <w:t>the National Agreement</w:t>
            </w:r>
            <w:r w:rsidR="00B8568C">
              <w:t>.</w:t>
            </w:r>
          </w:p>
          <w:p w14:paraId="07A70268" w14:textId="28B3EA0D" w:rsidR="00AA1F25" w:rsidRPr="007C4495" w:rsidRDefault="00AA1F25" w:rsidP="003343AE">
            <w:pPr>
              <w:pStyle w:val="ListParagraph"/>
              <w:rPr>
                <w:rFonts w:eastAsia="Times New Roman" w:cs="Times New Roman"/>
                <w:color w:val="000000"/>
                <w14:textFill>
                  <w14:solidFill>
                    <w14:srgbClr w14:val="000000">
                      <w14:lumMod w14:val="75000"/>
                      <w14:lumOff w14:val="25000"/>
                    </w14:srgbClr>
                  </w14:solidFill>
                </w14:textFill>
              </w:rPr>
            </w:pPr>
            <w:r w:rsidRPr="007C4495">
              <w:t>Facilitate interdepartmental coordination to reduce duplication</w:t>
            </w:r>
            <w:r w:rsidR="00B8568C">
              <w:t>.</w:t>
            </w:r>
          </w:p>
          <w:p w14:paraId="2D1408A7" w14:textId="1926C785" w:rsidR="00AA1F25" w:rsidRPr="007C4495" w:rsidRDefault="00AA1F25" w:rsidP="003343AE">
            <w:pPr>
              <w:pStyle w:val="ListParagraph"/>
              <w:rPr>
                <w:rFonts w:eastAsia="Times New Roman" w:cs="Times New Roman"/>
                <w:color w:val="000000"/>
                <w14:textFill>
                  <w14:solidFill>
                    <w14:srgbClr w14:val="000000">
                      <w14:lumMod w14:val="75000"/>
                      <w14:lumOff w14:val="25000"/>
                    </w14:srgbClr>
                  </w14:solidFill>
                </w14:textFill>
              </w:rPr>
            </w:pPr>
            <w:r w:rsidRPr="007C4495">
              <w:t>Monitor and report on national-level outcomes and commitments</w:t>
            </w:r>
            <w:r w:rsidR="00B8568C">
              <w:t>.</w:t>
            </w:r>
          </w:p>
          <w:p w14:paraId="749CC356" w14:textId="7FC10823" w:rsidR="00AA1F25" w:rsidRPr="007C4495" w:rsidRDefault="00AA1F25" w:rsidP="003343AE">
            <w:pPr>
              <w:pStyle w:val="ListParagraph"/>
              <w:rPr>
                <w:rFonts w:eastAsia="Times New Roman" w:cs="Times New Roman"/>
                <w:color w:val="000000"/>
                <w14:textFill>
                  <w14:solidFill>
                    <w14:srgbClr w14:val="000000">
                      <w14:lumMod w14:val="75000"/>
                      <w14:lumOff w14:val="25000"/>
                    </w14:srgbClr>
                  </w14:solidFill>
                </w14:textFill>
              </w:rPr>
            </w:pPr>
            <w:r w:rsidRPr="007C4495">
              <w:lastRenderedPageBreak/>
              <w:t>Oversight of multiple funding streams under CAP (Supporting youth in Central Australia ($24.1m), Youth Services Action Plan ($3.9m), Strengthening Community Safety in Central Australia ($9.2m), Strengthening leadership in Central Australia ($10m) and Junior Ranger Sites ($4.3m))</w:t>
            </w:r>
            <w:r w:rsidR="00B8568C">
              <w:t>.</w:t>
            </w:r>
          </w:p>
        </w:tc>
      </w:tr>
      <w:tr w:rsidR="00AA1F25" w:rsidRPr="007C4495" w14:paraId="3FD95504"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0EF96A91" w14:textId="08DCDB18" w:rsidR="00AA1F25" w:rsidRPr="007C4495" w:rsidRDefault="00B8568C">
            <w:r>
              <w:lastRenderedPageBreak/>
              <w:t>DSS</w:t>
            </w:r>
          </w:p>
        </w:tc>
        <w:tc>
          <w:tcPr>
            <w:tcW w:w="7490" w:type="dxa"/>
            <w:tcBorders>
              <w:top w:val="single" w:sz="6" w:space="0" w:color="BFBFBF" w:themeColor="background1" w:themeShade="BF"/>
              <w:left w:val="nil"/>
              <w:bottom w:val="single" w:sz="6" w:space="0" w:color="BFBFBF" w:themeColor="background1" w:themeShade="BF"/>
              <w:right w:val="nil"/>
            </w:tcBorders>
          </w:tcPr>
          <w:p w14:paraId="1179F806" w14:textId="2B622A37" w:rsidR="00AA1F25" w:rsidRPr="007C4495" w:rsidRDefault="00AA1F25" w:rsidP="003343AE">
            <w:pPr>
              <w:pStyle w:val="ListParagraph"/>
            </w:pPr>
            <w:r w:rsidRPr="007C4495">
              <w:t>Oversight and delivery of the Strengthening Communities and Families Partnership ($30m)</w:t>
            </w:r>
            <w:r w:rsidR="00B8568C">
              <w:t>.</w:t>
            </w:r>
          </w:p>
          <w:p w14:paraId="0F2CAC44" w14:textId="6FFA516D" w:rsidR="00AA1F25" w:rsidRPr="007C4495" w:rsidRDefault="00AA1F25" w:rsidP="003343AE">
            <w:pPr>
              <w:pStyle w:val="ListParagraph"/>
            </w:pPr>
            <w:r w:rsidRPr="007C4495">
              <w:t>Oversight and delivery of the Wi-Fi Solutions for Alice Springs Town Camps ($500k)</w:t>
            </w:r>
            <w:r w:rsidR="00B8568C">
              <w:t>.</w:t>
            </w:r>
          </w:p>
        </w:tc>
      </w:tr>
      <w:tr w:rsidR="00AA1F25" w:rsidRPr="007C4495" w14:paraId="6B0F5E49"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0F9F49A8" w14:textId="67C90D5D" w:rsidR="00AA1F25" w:rsidRPr="007C4495" w:rsidRDefault="00B8568C">
            <w:pPr>
              <w:rPr>
                <w:color w:val="404040"/>
              </w:rPr>
            </w:pPr>
            <w:r>
              <w:rPr>
                <w:lang w:val="en-US"/>
              </w:rPr>
              <w:t>DoE</w:t>
            </w:r>
          </w:p>
        </w:tc>
        <w:tc>
          <w:tcPr>
            <w:tcW w:w="7490" w:type="dxa"/>
            <w:tcBorders>
              <w:top w:val="single" w:sz="6" w:space="0" w:color="BFBFBF" w:themeColor="background1" w:themeShade="BF"/>
              <w:left w:val="nil"/>
              <w:bottom w:val="single" w:sz="6" w:space="0" w:color="BFBFBF" w:themeColor="background1" w:themeShade="BF"/>
              <w:right w:val="nil"/>
            </w:tcBorders>
          </w:tcPr>
          <w:p w14:paraId="6CD96548" w14:textId="7112AD71" w:rsidR="00AA1F25" w:rsidRPr="007C4495" w:rsidRDefault="00AA1F25" w:rsidP="003343AE">
            <w:pPr>
              <w:pStyle w:val="ListParagraph"/>
            </w:pPr>
            <w:r w:rsidRPr="007C4495">
              <w:t>Oversight of the NTG’s delivery of the On Country Learning initiative across Central Australia ($40.4m)</w:t>
            </w:r>
            <w:r w:rsidR="00B8568C">
              <w:t>.</w:t>
            </w:r>
          </w:p>
        </w:tc>
      </w:tr>
      <w:tr w:rsidR="00AA1F25" w:rsidRPr="007C4495" w14:paraId="714E3F7B"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47A0FC59" w14:textId="169F02D4" w:rsidR="00AA1F25" w:rsidRPr="007C4495" w:rsidRDefault="00B8568C">
            <w:r>
              <w:t>AGD</w:t>
            </w:r>
          </w:p>
        </w:tc>
        <w:tc>
          <w:tcPr>
            <w:tcW w:w="7490" w:type="dxa"/>
            <w:tcBorders>
              <w:top w:val="single" w:sz="6" w:space="0" w:color="BFBFBF" w:themeColor="background1" w:themeShade="BF"/>
              <w:left w:val="nil"/>
              <w:bottom w:val="single" w:sz="6" w:space="0" w:color="BFBFBF" w:themeColor="background1" w:themeShade="BF"/>
              <w:right w:val="nil"/>
            </w:tcBorders>
          </w:tcPr>
          <w:p w14:paraId="05FDB67B" w14:textId="025F58AA" w:rsidR="00AA1F25" w:rsidRPr="007C4495" w:rsidRDefault="00AA1F25" w:rsidP="003343AE">
            <w:pPr>
              <w:pStyle w:val="ListParagraph"/>
            </w:pPr>
            <w:r w:rsidRPr="007C4495">
              <w:t>Oversight of delivery of the Justice Reinvestment in Central Australia Program, with funding for multiple projects ($10m)</w:t>
            </w:r>
            <w:r w:rsidR="00B8568C">
              <w:t>.</w:t>
            </w:r>
          </w:p>
        </w:tc>
      </w:tr>
      <w:tr w:rsidR="00AA1F25" w:rsidRPr="007C4495" w14:paraId="414606BE"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61E657BB" w14:textId="51BB870F" w:rsidR="00AA1F25" w:rsidRPr="007C4495" w:rsidRDefault="00AA1F25">
            <w:r w:rsidRPr="007C4495">
              <w:t>DHDA</w:t>
            </w:r>
          </w:p>
        </w:tc>
        <w:tc>
          <w:tcPr>
            <w:tcW w:w="7490" w:type="dxa"/>
            <w:tcBorders>
              <w:top w:val="single" w:sz="6" w:space="0" w:color="BFBFBF" w:themeColor="background1" w:themeShade="BF"/>
              <w:left w:val="nil"/>
              <w:bottom w:val="single" w:sz="6" w:space="0" w:color="BFBFBF" w:themeColor="background1" w:themeShade="BF"/>
              <w:right w:val="nil"/>
            </w:tcBorders>
          </w:tcPr>
          <w:p w14:paraId="5EF39272" w14:textId="56D4B0C6" w:rsidR="00AA1F25" w:rsidRPr="007C4495" w:rsidRDefault="00AA1F25" w:rsidP="003343AE">
            <w:pPr>
              <w:pStyle w:val="ListParagraph"/>
            </w:pPr>
            <w:r w:rsidRPr="007C4495">
              <w:t xml:space="preserve">Oversight and delivery of the Improved health infrastructure in Central Australia stream ($23.4m). </w:t>
            </w:r>
          </w:p>
        </w:tc>
      </w:tr>
      <w:tr w:rsidR="00AA1F25" w:rsidRPr="007C4495" w14:paraId="1B756230"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367D6D02" w14:textId="287BE3CD" w:rsidR="00AA1F25" w:rsidRPr="007C4495" w:rsidRDefault="00AA1F25">
            <w:pPr>
              <w:rPr>
                <w:color w:val="404040"/>
              </w:rPr>
            </w:pPr>
            <w:r w:rsidRPr="007C4495">
              <w:rPr>
                <w:shd w:val="clear" w:color="auto" w:fill="FFFFFF"/>
              </w:rPr>
              <w:t>DITRDCSA</w:t>
            </w:r>
          </w:p>
        </w:tc>
        <w:tc>
          <w:tcPr>
            <w:tcW w:w="7490" w:type="dxa"/>
            <w:tcBorders>
              <w:top w:val="single" w:sz="6" w:space="0" w:color="BFBFBF" w:themeColor="background1" w:themeShade="BF"/>
              <w:left w:val="nil"/>
              <w:bottom w:val="single" w:sz="6" w:space="0" w:color="BFBFBF" w:themeColor="background1" w:themeShade="BF"/>
              <w:right w:val="nil"/>
            </w:tcBorders>
          </w:tcPr>
          <w:p w14:paraId="04CBB23B" w14:textId="1ED9168D" w:rsidR="00AA1F25" w:rsidRPr="007C4495" w:rsidRDefault="00AA1F25" w:rsidP="003343AE">
            <w:pPr>
              <w:pStyle w:val="ListParagraph"/>
            </w:pPr>
            <w:r w:rsidRPr="007C4495">
              <w:t>Oversight of the NTG’s delivery of the Community and Regional Infrastructure projects stream ($50m)</w:t>
            </w:r>
            <w:r w:rsidR="00B8568C">
              <w:t>.</w:t>
            </w:r>
          </w:p>
          <w:p w14:paraId="1581465F" w14:textId="0942D9D3" w:rsidR="00AA1F25" w:rsidRPr="007C4495" w:rsidRDefault="00AA1F25" w:rsidP="003343AE">
            <w:pPr>
              <w:pStyle w:val="ListParagraph"/>
            </w:pPr>
            <w:r w:rsidRPr="007C4495">
              <w:t>Oversight and delivery of the First Nations Connectivity - Regional Connectivity Program ($10m)</w:t>
            </w:r>
            <w:r w:rsidR="00B8568C">
              <w:t>.</w:t>
            </w:r>
          </w:p>
        </w:tc>
      </w:tr>
      <w:tr w:rsidR="00AA1F25" w:rsidRPr="007C4495" w14:paraId="1D1E44E6"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01447D58" w14:textId="7590BFCC" w:rsidR="00AA1F25" w:rsidRPr="007C4495" w:rsidRDefault="00AA1F25">
            <w:r w:rsidRPr="007C4495">
              <w:t>DEWR</w:t>
            </w:r>
          </w:p>
        </w:tc>
        <w:tc>
          <w:tcPr>
            <w:tcW w:w="7490" w:type="dxa"/>
            <w:tcBorders>
              <w:top w:val="single" w:sz="6" w:space="0" w:color="BFBFBF" w:themeColor="background1" w:themeShade="BF"/>
              <w:left w:val="nil"/>
              <w:bottom w:val="single" w:sz="6" w:space="0" w:color="BFBFBF" w:themeColor="background1" w:themeShade="BF"/>
              <w:right w:val="nil"/>
            </w:tcBorders>
          </w:tcPr>
          <w:p w14:paraId="3B894B65" w14:textId="77777777" w:rsidR="00AA1F25" w:rsidRPr="007C4495" w:rsidRDefault="00AA1F25" w:rsidP="003343AE">
            <w:pPr>
              <w:pStyle w:val="ListParagraph"/>
            </w:pPr>
            <w:r w:rsidRPr="007C4495">
              <w:t>Oversight and delivery of the Remote Training Hubs Network ($30.2m)</w:t>
            </w:r>
          </w:p>
        </w:tc>
      </w:tr>
      <w:tr w:rsidR="00AA1F25" w:rsidRPr="007C4495" w14:paraId="71163333" w14:textId="77777777" w:rsidTr="00B8568C">
        <w:trPr>
          <w:trHeight w:val="300"/>
        </w:trPr>
        <w:tc>
          <w:tcPr>
            <w:tcW w:w="9740" w:type="dxa"/>
            <w:gridSpan w:val="2"/>
            <w:tcBorders>
              <w:top w:val="single" w:sz="6" w:space="0" w:color="BFBFBF" w:themeColor="background1" w:themeShade="BF"/>
              <w:left w:val="nil"/>
              <w:bottom w:val="single" w:sz="6" w:space="0" w:color="BFBFBF" w:themeColor="background1" w:themeShade="BF"/>
              <w:right w:val="nil"/>
            </w:tcBorders>
            <w:shd w:val="clear" w:color="auto" w:fill="F2F2F2" w:themeFill="background1" w:themeFillShade="F2"/>
          </w:tcPr>
          <w:p w14:paraId="2D45FD61" w14:textId="28EC56F8" w:rsidR="00AA1F25" w:rsidRPr="00B8568C" w:rsidRDefault="00B8568C">
            <w:pPr>
              <w:rPr>
                <w:b/>
                <w:bCs/>
              </w:rPr>
            </w:pPr>
            <w:r w:rsidRPr="00B8568C">
              <w:rPr>
                <w:b/>
                <w:bCs/>
              </w:rPr>
              <w:t>Northern Territory Government</w:t>
            </w:r>
            <w:r w:rsidR="00AA1F25" w:rsidRPr="00B8568C">
              <w:rPr>
                <w:b/>
                <w:bCs/>
              </w:rPr>
              <w:t xml:space="preserve"> </w:t>
            </w:r>
          </w:p>
        </w:tc>
      </w:tr>
      <w:tr w:rsidR="00AA1F25" w:rsidRPr="007C4495" w14:paraId="2F97D31F"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7BB717DF" w14:textId="35EFDE3E" w:rsidR="00AA1F25" w:rsidRPr="007C4495" w:rsidRDefault="00C42AC2">
            <w:r>
              <w:t>NTG</w:t>
            </w:r>
            <w:r w:rsidR="00AA1F25" w:rsidRPr="007C4495">
              <w:t xml:space="preserve"> </w:t>
            </w:r>
          </w:p>
        </w:tc>
        <w:tc>
          <w:tcPr>
            <w:tcW w:w="7490" w:type="dxa"/>
            <w:tcBorders>
              <w:top w:val="single" w:sz="6" w:space="0" w:color="BFBFBF" w:themeColor="background1" w:themeShade="BF"/>
              <w:left w:val="nil"/>
              <w:bottom w:val="single" w:sz="6" w:space="0" w:color="BFBFBF" w:themeColor="background1" w:themeShade="BF"/>
              <w:right w:val="nil"/>
            </w:tcBorders>
          </w:tcPr>
          <w:p w14:paraId="3A1BB8E1" w14:textId="77777777" w:rsidR="00AA1F25" w:rsidRPr="007C4495" w:rsidRDefault="00AA1F25" w:rsidP="003343AE">
            <w:pPr>
              <w:pStyle w:val="ListParagraph"/>
            </w:pPr>
            <w:r w:rsidRPr="007C4495">
              <w:t xml:space="preserve">Coordinate Community and Regional Infrastructure Projects, </w:t>
            </w:r>
            <w:proofErr w:type="spellStart"/>
            <w:r w:rsidRPr="007C4495">
              <w:t>Mparntwe</w:t>
            </w:r>
            <w:proofErr w:type="spellEnd"/>
            <w:r w:rsidRPr="007C4495">
              <w:t xml:space="preserve"> Community Justice Centre (a justice reinvestment project) and the NTG Department of Education coordinates the On Country Learning investment in Central Australian schools.</w:t>
            </w:r>
          </w:p>
          <w:p w14:paraId="549054BF" w14:textId="2E1E9387" w:rsidR="00AA1F25" w:rsidRPr="007C4495" w:rsidRDefault="00AA1F25" w:rsidP="003343AE">
            <w:pPr>
              <w:pStyle w:val="ListParagraph"/>
              <w:rPr>
                <w:rFonts w:eastAsia="Times New Roman" w:cs="Times New Roman"/>
              </w:rPr>
            </w:pPr>
            <w:r w:rsidRPr="007C4495">
              <w:t>Lead service delivery and program implementation on the ground</w:t>
            </w:r>
            <w:r w:rsidR="00A25AB5" w:rsidRPr="007C4495">
              <w:t>.</w:t>
            </w:r>
          </w:p>
          <w:p w14:paraId="40100864" w14:textId="138EC198" w:rsidR="00AA1F25" w:rsidRPr="007C4495" w:rsidRDefault="00AA1F25" w:rsidP="003343AE">
            <w:pPr>
              <w:pStyle w:val="ListParagraph"/>
              <w:rPr>
                <w:rFonts w:eastAsia="Times New Roman" w:cs="Times New Roman"/>
              </w:rPr>
            </w:pPr>
            <w:r w:rsidRPr="007C4495">
              <w:t>Embed CAP priorities within NT policies and initiatives</w:t>
            </w:r>
            <w:r w:rsidR="00A25AB5" w:rsidRPr="007C4495">
              <w:t>.</w:t>
            </w:r>
          </w:p>
          <w:p w14:paraId="421EB879" w14:textId="035026DF" w:rsidR="00AA1F25" w:rsidRPr="007C4495" w:rsidRDefault="00AA1F25" w:rsidP="003343AE">
            <w:pPr>
              <w:pStyle w:val="ListParagraph"/>
              <w:rPr>
                <w:rFonts w:eastAsia="Times New Roman" w:cs="Times New Roman"/>
              </w:rPr>
            </w:pPr>
            <w:r w:rsidRPr="007C4495">
              <w:t>Ensure place-based, culturally responsive approaches in coordination with community partners</w:t>
            </w:r>
            <w:r w:rsidR="00A25AB5" w:rsidRPr="007C4495">
              <w:t>.</w:t>
            </w:r>
          </w:p>
        </w:tc>
      </w:tr>
      <w:tr w:rsidR="00AA1F25" w:rsidRPr="007C4495" w14:paraId="6C21BB07" w14:textId="77777777" w:rsidTr="00B8568C">
        <w:trPr>
          <w:trHeight w:val="300"/>
        </w:trPr>
        <w:tc>
          <w:tcPr>
            <w:tcW w:w="9740" w:type="dxa"/>
            <w:gridSpan w:val="2"/>
            <w:tcBorders>
              <w:top w:val="single" w:sz="6" w:space="0" w:color="BFBFBF" w:themeColor="background1" w:themeShade="BF"/>
              <w:left w:val="nil"/>
              <w:bottom w:val="single" w:sz="6" w:space="0" w:color="BFBFBF" w:themeColor="background1" w:themeShade="BF"/>
              <w:right w:val="nil"/>
            </w:tcBorders>
            <w:shd w:val="clear" w:color="auto" w:fill="F2F2F2" w:themeFill="background1" w:themeFillShade="F2"/>
          </w:tcPr>
          <w:p w14:paraId="6E8B2BF1" w14:textId="06CC0323" w:rsidR="00AA1F25" w:rsidRPr="00B8568C" w:rsidRDefault="00B8568C">
            <w:pPr>
              <w:rPr>
                <w:b/>
                <w:bCs/>
              </w:rPr>
            </w:pPr>
            <w:r>
              <w:rPr>
                <w:b/>
                <w:bCs/>
              </w:rPr>
              <w:t>Community</w:t>
            </w:r>
          </w:p>
        </w:tc>
      </w:tr>
      <w:tr w:rsidR="00AA1F25" w:rsidRPr="007C4495" w14:paraId="0D7FBD0A"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6510ECC2" w14:textId="77777777" w:rsidR="00AA1F25" w:rsidRPr="007C4495" w:rsidRDefault="00AA1F25">
            <w:r w:rsidRPr="007C4495">
              <w:t xml:space="preserve">ALG </w:t>
            </w:r>
          </w:p>
        </w:tc>
        <w:tc>
          <w:tcPr>
            <w:tcW w:w="7490" w:type="dxa"/>
            <w:tcBorders>
              <w:top w:val="single" w:sz="6" w:space="0" w:color="BFBFBF" w:themeColor="background1" w:themeShade="BF"/>
              <w:left w:val="nil"/>
              <w:bottom w:val="single" w:sz="6" w:space="0" w:color="BFBFBF" w:themeColor="background1" w:themeShade="BF"/>
              <w:right w:val="nil"/>
            </w:tcBorders>
          </w:tcPr>
          <w:p w14:paraId="5557B9FF" w14:textId="5BA11B52" w:rsidR="00AA1F25" w:rsidRPr="007C4495" w:rsidRDefault="00AA1F25" w:rsidP="003343AE">
            <w:pPr>
              <w:pStyle w:val="ListParagraph"/>
              <w:rPr>
                <w:rFonts w:eastAsia="Times New Roman" w:cs="Times New Roman"/>
              </w:rPr>
            </w:pPr>
            <w:r w:rsidRPr="007C4495">
              <w:t>Identify regional priorities for investment, strategies and outcomes—particularly for children and young people</w:t>
            </w:r>
            <w:r w:rsidR="00B8568C">
              <w:t>.</w:t>
            </w:r>
          </w:p>
          <w:p w14:paraId="21875E94" w14:textId="4EA20F2D" w:rsidR="00AA1F25" w:rsidRPr="007C4495" w:rsidRDefault="00AA1F25" w:rsidP="003343AE">
            <w:pPr>
              <w:pStyle w:val="ListParagraph"/>
              <w:rPr>
                <w:rFonts w:eastAsia="Times New Roman" w:cs="Times New Roman"/>
              </w:rPr>
            </w:pPr>
            <w:r w:rsidRPr="007C4495">
              <w:t>Provide culturally grounded advice on service delivery, program effectiveness, and ways to strengthen Aboriginal lore and culture</w:t>
            </w:r>
            <w:r w:rsidR="00B8568C">
              <w:t>.</w:t>
            </w:r>
          </w:p>
          <w:p w14:paraId="61441FAB" w14:textId="3A2D0AE3" w:rsidR="00AA1F25" w:rsidRPr="007C4495" w:rsidRDefault="00AA1F25" w:rsidP="003343AE">
            <w:pPr>
              <w:pStyle w:val="ListParagraph"/>
              <w:rPr>
                <w:rFonts w:eastAsia="Times New Roman" w:cs="Times New Roman"/>
              </w:rPr>
            </w:pPr>
            <w:r w:rsidRPr="007C4495">
              <w:t>Represent and amplify the views and aspirations of Aboriginal people across Central Australia</w:t>
            </w:r>
            <w:r w:rsidR="00B8568C">
              <w:t>.</w:t>
            </w:r>
          </w:p>
        </w:tc>
      </w:tr>
      <w:tr w:rsidR="00AA1F25" w:rsidRPr="007C4495" w14:paraId="58FFAF86" w14:textId="77777777">
        <w:trPr>
          <w:trHeight w:val="300"/>
        </w:trPr>
        <w:tc>
          <w:tcPr>
            <w:tcW w:w="2250" w:type="dxa"/>
            <w:tcBorders>
              <w:top w:val="single" w:sz="6" w:space="0" w:color="BFBFBF" w:themeColor="background1" w:themeShade="BF"/>
              <w:left w:val="nil"/>
              <w:bottom w:val="single" w:sz="6" w:space="0" w:color="BFBFBF" w:themeColor="background1" w:themeShade="BF"/>
              <w:right w:val="nil"/>
            </w:tcBorders>
          </w:tcPr>
          <w:p w14:paraId="7883DAE8" w14:textId="77777777" w:rsidR="00AA1F25" w:rsidRPr="007C4495" w:rsidRDefault="00AA1F25">
            <w:r w:rsidRPr="007C4495">
              <w:t xml:space="preserve">YRT </w:t>
            </w:r>
          </w:p>
        </w:tc>
        <w:tc>
          <w:tcPr>
            <w:tcW w:w="7490" w:type="dxa"/>
            <w:tcBorders>
              <w:top w:val="single" w:sz="6" w:space="0" w:color="BFBFBF" w:themeColor="background1" w:themeShade="BF"/>
              <w:left w:val="nil"/>
              <w:bottom w:val="single" w:sz="6" w:space="0" w:color="BFBFBF" w:themeColor="background1" w:themeShade="BF"/>
              <w:right w:val="nil"/>
            </w:tcBorders>
          </w:tcPr>
          <w:p w14:paraId="7571F1E9" w14:textId="6D0782A0" w:rsidR="00AA1F25" w:rsidRPr="007C4495" w:rsidRDefault="00AA1F25" w:rsidP="003343AE">
            <w:pPr>
              <w:pStyle w:val="ListParagraph"/>
            </w:pPr>
            <w:r w:rsidRPr="007C4495">
              <w:t>Advise on what programs, services and investments are most important to Aboriginal young people in Central Australia</w:t>
            </w:r>
            <w:r w:rsidR="00B8568C">
              <w:t>.</w:t>
            </w:r>
          </w:p>
          <w:p w14:paraId="2F5A6C9C" w14:textId="542B1DFF" w:rsidR="00AA1F25" w:rsidRPr="007C4495" w:rsidRDefault="00AA1F25" w:rsidP="003343AE">
            <w:pPr>
              <w:pStyle w:val="ListParagraph"/>
            </w:pPr>
            <w:r w:rsidRPr="007C4495">
              <w:t>Share how young people want government to engage with them and their communities</w:t>
            </w:r>
            <w:r w:rsidR="00B8568C">
              <w:t>.</w:t>
            </w:r>
          </w:p>
          <w:p w14:paraId="3B0564FA" w14:textId="152AB2CE" w:rsidR="00AA1F25" w:rsidRPr="007C4495" w:rsidRDefault="00AA1F25" w:rsidP="003343AE">
            <w:pPr>
              <w:pStyle w:val="ListParagraph"/>
            </w:pPr>
            <w:r w:rsidRPr="007C4495">
              <w:t>Highlight emerging issues and provide youth-led perspectives to the Aboriginal Leadership Group and the Australian Government</w:t>
            </w:r>
            <w:r w:rsidR="00B8568C">
              <w:t>.</w:t>
            </w:r>
          </w:p>
        </w:tc>
      </w:tr>
    </w:tbl>
    <w:p w14:paraId="101694B7" w14:textId="37EF83E4" w:rsidR="00AA1F25" w:rsidRPr="00FC62FE" w:rsidRDefault="00AA1F25" w:rsidP="00AA1F25">
      <w:pPr>
        <w:rPr>
          <w:rFonts w:eastAsia="Helvetica" w:cs="Helvetica"/>
        </w:rPr>
      </w:pPr>
      <w:r w:rsidRPr="00FC62FE">
        <w:lastRenderedPageBreak/>
        <w:t xml:space="preserve">Interviews with stakeholders indicate that clarity of roles and responsibilities under the CAP is an ongoing challenge particularly for the ALG </w:t>
      </w:r>
      <w:r w:rsidR="00BD52AF">
        <w:t xml:space="preserve">and </w:t>
      </w:r>
      <w:r w:rsidRPr="00FC62FE">
        <w:t>the NTG</w:t>
      </w:r>
      <w:r w:rsidR="00BD52AF">
        <w:t>,</w:t>
      </w:r>
      <w:r w:rsidRPr="00FC62FE">
        <w:t xml:space="preserve"> </w:t>
      </w:r>
      <w:r w:rsidR="00BD52AF">
        <w:t>which has</w:t>
      </w:r>
      <w:r w:rsidRPr="00FC62FE">
        <w:t xml:space="preserve"> ongoing responsibilities for CAP projects and infrastructure.</w:t>
      </w:r>
      <w:r w:rsidR="00A70E25">
        <w:rPr>
          <w:rStyle w:val="FootnoteReference"/>
        </w:rPr>
        <w:t xml:space="preserve"> </w:t>
      </w:r>
      <w:r w:rsidRPr="00FC62FE">
        <w:t xml:space="preserve"> Staff turnover and the large numbers of government entities involved in CAP implementation both appear to be </w:t>
      </w:r>
      <w:r>
        <w:t>contributing factors</w:t>
      </w:r>
      <w:r w:rsidRPr="00FC62FE">
        <w:t>.</w:t>
      </w:r>
      <w:r w:rsidRPr="00FC62FE">
        <w:rPr>
          <w:rFonts w:eastAsia="Helvetica" w:cs="Helvetica"/>
        </w:rPr>
        <w:t xml:space="preserve"> </w:t>
      </w:r>
    </w:p>
    <w:p w14:paraId="4D53E84D" w14:textId="3D8C2D45" w:rsidR="00AA1F25" w:rsidRPr="00FC62FE" w:rsidRDefault="00861460" w:rsidP="00AA1F25">
      <w:r>
        <w:rPr>
          <w:rFonts w:eastAsia="Helvetica" w:cs="Helvetica"/>
        </w:rPr>
        <w:t>A range of government and non-government s</w:t>
      </w:r>
      <w:r w:rsidR="42F5848C" w:rsidRPr="643EAA6C">
        <w:rPr>
          <w:rFonts w:eastAsia="Helvetica" w:cs="Helvetica"/>
        </w:rPr>
        <w:t xml:space="preserve">takeholders raised concerns about the lack of clarity regarding who would manage CAP projects </w:t>
      </w:r>
      <w:r w:rsidR="614019CF" w:rsidRPr="376DA6E9">
        <w:rPr>
          <w:rFonts w:eastAsia="Helvetica" w:cs="Helvetica"/>
        </w:rPr>
        <w:t>if CAP</w:t>
      </w:r>
      <w:r w:rsidR="42F5848C" w:rsidRPr="643EAA6C">
        <w:rPr>
          <w:rFonts w:eastAsia="Helvetica" w:cs="Helvetica"/>
        </w:rPr>
        <w:t xml:space="preserve"> funding </w:t>
      </w:r>
      <w:proofErr w:type="gramStart"/>
      <w:r w:rsidR="45B9DF16" w:rsidRPr="376DA6E9">
        <w:rPr>
          <w:rFonts w:eastAsia="Helvetica" w:cs="Helvetica"/>
        </w:rPr>
        <w:t>concludes</w:t>
      </w:r>
      <w:proofErr w:type="gramEnd"/>
      <w:r w:rsidR="45B9DF16" w:rsidRPr="376DA6E9">
        <w:rPr>
          <w:rFonts w:eastAsia="Helvetica" w:cs="Helvetica"/>
        </w:rPr>
        <w:t xml:space="preserve">. This related predominantly to infrastructure projects </w:t>
      </w:r>
      <w:r w:rsidR="45B9DF16" w:rsidRPr="15379673">
        <w:rPr>
          <w:rFonts w:eastAsia="Helvetica" w:cs="Helvetica"/>
        </w:rPr>
        <w:t xml:space="preserve">that would require ongoing </w:t>
      </w:r>
      <w:r w:rsidR="00F840DE" w:rsidRPr="15379673">
        <w:rPr>
          <w:rFonts w:eastAsia="Helvetica" w:cs="Helvetica"/>
        </w:rPr>
        <w:t>maintenance</w:t>
      </w:r>
      <w:r w:rsidR="45B9DF16" w:rsidRPr="15379673">
        <w:rPr>
          <w:rFonts w:eastAsia="Helvetica" w:cs="Helvetica"/>
        </w:rPr>
        <w:t xml:space="preserve">. </w:t>
      </w:r>
      <w:r w:rsidR="00AA1F25">
        <w:t>Many government stakeholders noted that no maintenance funding was provided and the capacity for local councils and organisations such as ACCOs to take responsibility for ongoing service delivery or maintenance of infrastructure is limited.</w:t>
      </w:r>
      <w:r w:rsidR="00A70E25">
        <w:rPr>
          <w:rStyle w:val="FootnoteReference"/>
        </w:rPr>
        <w:t xml:space="preserve"> </w:t>
      </w:r>
      <w:r w:rsidR="00AA1F25">
        <w:t xml:space="preserve"> Further, stakeholders expressed that there had not been any handovers to First Nations organisations undertaken or long-term plans developed to determine the future of projects at the end of the CAP.</w:t>
      </w:r>
      <w:r w:rsidR="00A70E25">
        <w:rPr>
          <w:rStyle w:val="FootnoteReference"/>
        </w:rPr>
        <w:t xml:space="preserve"> </w:t>
      </w:r>
    </w:p>
    <w:p w14:paraId="2703B82D" w14:textId="4671E7D4" w:rsidR="00AA1F25" w:rsidRPr="00FC62FE" w:rsidRDefault="00AA1F25" w:rsidP="00AA1F25">
      <w:r w:rsidRPr="00FC62FE">
        <w:t>CAP documentation indicates that the ALG have a broad scope when it comes to input and advice. Interviews with stakeholders across different stakeholder groups identified that could be greater clarity around the role of the ALG</w:t>
      </w:r>
      <w:r w:rsidR="00E56772">
        <w:t>,</w:t>
      </w:r>
      <w:r w:rsidRPr="00FC62FE">
        <w:t xml:space="preserve"> including how advice is used.</w:t>
      </w:r>
      <w:r w:rsidR="00A70E25">
        <w:rPr>
          <w:rStyle w:val="FootnoteReference"/>
          <w:rFonts w:eastAsia="Helvetica" w:cs="Helvetica"/>
        </w:rPr>
        <w:t xml:space="preserve"> </w:t>
      </w:r>
      <w:r w:rsidRPr="00FC62FE">
        <w:t xml:space="preserve">  S</w:t>
      </w:r>
      <w:r>
        <w:t xml:space="preserve">ome stakeholders </w:t>
      </w:r>
      <w:r w:rsidR="00CB240D">
        <w:t>(</w:t>
      </w:r>
      <w:r>
        <w:t xml:space="preserve">including the ALG </w:t>
      </w:r>
      <w:r w:rsidR="00C370C1">
        <w:t>itself</w:t>
      </w:r>
      <w:r w:rsidR="00CB240D">
        <w:t>)</w:t>
      </w:r>
      <w:r>
        <w:t xml:space="preserve"> perceive that the role of the ALG has solidified over time, with government becoming more proactive about engaging with the ALG for advice and guidance.</w:t>
      </w:r>
      <w:r w:rsidR="00A70E25">
        <w:rPr>
          <w:rStyle w:val="FootnoteReference"/>
        </w:rPr>
        <w:t xml:space="preserve"> </w:t>
      </w:r>
      <w:r>
        <w:t xml:space="preserve"> The ALG members also reported </w:t>
      </w:r>
      <w:r w:rsidR="005F1433">
        <w:t xml:space="preserve">a </w:t>
      </w:r>
      <w:r>
        <w:t xml:space="preserve">better understanding </w:t>
      </w:r>
      <w:r w:rsidR="005F1433">
        <w:t xml:space="preserve">of </w:t>
      </w:r>
      <w:r>
        <w:t>their roles and maturing as a mechanism to hear from Aboriginal people in Central Australia as implementation has progressed.</w:t>
      </w:r>
      <w:r w:rsidR="00A70E25">
        <w:rPr>
          <w:rStyle w:val="FootnoteReference"/>
        </w:rPr>
        <w:t xml:space="preserve"> </w:t>
      </w:r>
    </w:p>
    <w:p w14:paraId="54BD66E5" w14:textId="4BDEEA7C" w:rsidR="00AA1F25" w:rsidRPr="00FC62FE" w:rsidRDefault="00AA1F25" w:rsidP="00AA1F25">
      <w:r>
        <w:t>Across interviews, Australian</w:t>
      </w:r>
      <w:r w:rsidRPr="00141FEE" w:rsidDel="00FE3F26">
        <w:rPr>
          <w:rFonts w:cs="Segoe UI"/>
        </w:rPr>
        <w:t xml:space="preserve"> Government</w:t>
      </w:r>
      <w:r>
        <w:t xml:space="preserve"> stakeholders indicated that it was clear that </w:t>
      </w:r>
      <w:r w:rsidR="009228F0">
        <w:t xml:space="preserve">the </w:t>
      </w:r>
      <w:r w:rsidR="0091342F">
        <w:t>Australian Government</w:t>
      </w:r>
      <w:r w:rsidR="00CA6085">
        <w:t xml:space="preserve"> </w:t>
      </w:r>
      <w:r w:rsidR="009228F0">
        <w:t>h</w:t>
      </w:r>
      <w:r w:rsidR="00203AEE">
        <w:t>olds</w:t>
      </w:r>
      <w:r w:rsidR="009228F0">
        <w:t xml:space="preserve"> decision-making responsibility</w:t>
      </w:r>
      <w:r>
        <w:t xml:space="preserve"> under the CAP.</w:t>
      </w:r>
      <w:r w:rsidR="00A70E25">
        <w:rPr>
          <w:rStyle w:val="FootnoteReference"/>
        </w:rPr>
        <w:t xml:space="preserve"> </w:t>
      </w:r>
      <w:r w:rsidR="005B3638">
        <w:t xml:space="preserve"> </w:t>
      </w:r>
      <w:r w:rsidR="001E5CDD">
        <w:t xml:space="preserve"> W</w:t>
      </w:r>
      <w:r w:rsidR="00B736D8">
        <w:t>hilst the</w:t>
      </w:r>
      <w:r w:rsidR="007708D8">
        <w:t xml:space="preserve">re is evidence that ALG advice has been followed by </w:t>
      </w:r>
      <w:r w:rsidR="001E5CDD">
        <w:t xml:space="preserve">the Government, this indicates that there could be more work done to align the CAP with the National Agreement and Priority Reform One </w:t>
      </w:r>
      <w:r w:rsidR="00F20E0B">
        <w:t>which</w:t>
      </w:r>
      <w:r w:rsidR="001E5CDD">
        <w:t xml:space="preserve"> </w:t>
      </w:r>
      <w:r w:rsidR="00415423">
        <w:t xml:space="preserve">seeks </w:t>
      </w:r>
      <w:r w:rsidR="00F20E0B">
        <w:t xml:space="preserve">structural </w:t>
      </w:r>
      <w:r w:rsidR="00415423">
        <w:t>shared decision-making responsibility</w:t>
      </w:r>
      <w:r w:rsidR="00F20E0B">
        <w:t xml:space="preserve"> between First Nations people and government</w:t>
      </w:r>
      <w:r>
        <w:t>.</w:t>
      </w:r>
      <w:r w:rsidR="00A70E25">
        <w:rPr>
          <w:rStyle w:val="FootnoteReference"/>
        </w:rPr>
        <w:t xml:space="preserve"> </w:t>
      </w:r>
      <w:r>
        <w:t xml:space="preserve"> </w:t>
      </w:r>
    </w:p>
    <w:p w14:paraId="01214326" w14:textId="271F483D" w:rsidR="00AA1F25" w:rsidRPr="00FC62FE" w:rsidRDefault="00AA1F25" w:rsidP="00AA1F25">
      <w:r w:rsidRPr="00FC62FE">
        <w:t>The future of the ALG and YRT was also questioned with their current terms extend</w:t>
      </w:r>
      <w:r w:rsidR="005D150F">
        <w:t xml:space="preserve">ed </w:t>
      </w:r>
      <w:r w:rsidRPr="00FC62FE">
        <w:t>until July 2025. Some documentation suggests that the ALG will continue to play a role in providing oversight and monitoring under the CAP</w:t>
      </w:r>
      <w:r>
        <w:t>, however it is unclear if this has been formalised</w:t>
      </w:r>
      <w:r w:rsidRPr="00FC62FE">
        <w:t>.</w:t>
      </w:r>
      <w:r w:rsidRPr="00FC62FE">
        <w:rPr>
          <w:rStyle w:val="FootnoteReference"/>
        </w:rPr>
        <w:footnoteReference w:id="34"/>
      </w:r>
    </w:p>
    <w:p w14:paraId="7419C81E" w14:textId="64012ADB" w:rsidR="00AA1F25" w:rsidRDefault="00AA1F25" w:rsidP="00AA1F25">
      <w:r>
        <w:t xml:space="preserve">The NTG </w:t>
      </w:r>
      <w:r w:rsidR="18BA78F5">
        <w:t>supports</w:t>
      </w:r>
      <w:r>
        <w:t xml:space="preserve"> CAP investments translat</w:t>
      </w:r>
      <w:r w:rsidR="0CF2A3C7">
        <w:t>ing</w:t>
      </w:r>
      <w:r>
        <w:t xml:space="preserve"> into positive outcomes for community</w:t>
      </w:r>
      <w:r w:rsidR="36B228A4">
        <w:t>, for example through</w:t>
      </w:r>
      <w:r>
        <w:t xml:space="preserve"> on the ground support and monitoring, working collaboratively with local and Australian Government agencies that have a presence in the NT (such as NIAA and </w:t>
      </w:r>
      <w:r w:rsidR="00DC5379">
        <w:t>DSS</w:t>
      </w:r>
      <w:r>
        <w:t xml:space="preserve"> regional staff). </w:t>
      </w:r>
    </w:p>
    <w:p w14:paraId="1C1F1366" w14:textId="1FDE4B3E" w:rsidR="00AA1F25" w:rsidRPr="00FC62FE" w:rsidRDefault="00AA1F25" w:rsidP="00AA1F25">
      <w:pPr>
        <w:rPr>
          <w:highlight w:val="yellow"/>
        </w:rPr>
      </w:pPr>
      <w:r w:rsidRPr="007F5627">
        <w:t>The NTG is in a unique position to support working in partnership so that funding can be aligned with local priorities. NTG stakeholders held the view that there were still opportunities under the CAP to work with the new NT government to facilitate genuine engagement with community and to continue to inform program design and delivery.</w:t>
      </w:r>
      <w:r w:rsidR="00A70E25">
        <w:rPr>
          <w:rStyle w:val="FootnoteReference"/>
        </w:rPr>
        <w:t xml:space="preserve"> </w:t>
      </w:r>
      <w:r w:rsidRPr="007F5627">
        <w:t xml:space="preserve"> While this may be the intent and vision at the officer level, revised policy and legislative changes are likely to impact progress. For example, Local Decision Making Agreements (LDMs) which were designed to give greater control of service delivery back to community, will not be renewed under the current Country Liberal Party government.</w:t>
      </w:r>
      <w:r w:rsidRPr="007F5627">
        <w:rPr>
          <w:rStyle w:val="FootnoteReference"/>
        </w:rPr>
        <w:footnoteReference w:id="35"/>
      </w:r>
      <w:r w:rsidRPr="007F5627">
        <w:t xml:space="preserve"> It was also acknowledged by NTG stakeholders that the </w:t>
      </w:r>
      <w:r>
        <w:t>Australian Government</w:t>
      </w:r>
      <w:r w:rsidRPr="007F5627">
        <w:t xml:space="preserve"> had a role in continuing to drive momentum for CAP implementation </w:t>
      </w:r>
      <w:r>
        <w:t xml:space="preserve">where it has influence and </w:t>
      </w:r>
      <w:r w:rsidRPr="007A5201">
        <w:t xml:space="preserve">control (e.g., through its funding arrangements, policy settings such as </w:t>
      </w:r>
      <w:r w:rsidR="00C44087" w:rsidRPr="007A5201">
        <w:t>The National Agreement</w:t>
      </w:r>
      <w:r w:rsidRPr="007A5201">
        <w:t xml:space="preserve"> and existing partnerships</w:t>
      </w:r>
      <w:r w:rsidR="007A5201" w:rsidRPr="007A5201">
        <w:t>)</w:t>
      </w:r>
      <w:r w:rsidRPr="007A5201">
        <w:t>.</w:t>
      </w:r>
    </w:p>
    <w:p w14:paraId="523EF5CB" w14:textId="77777777" w:rsidR="00E0777F" w:rsidRDefault="00E0777F">
      <w:pPr>
        <w:keepLines w:val="0"/>
        <w:widowControl/>
        <w:spacing w:before="0" w:after="0"/>
        <w:rPr>
          <w:rFonts w:eastAsiaTheme="minorHAnsi" w:cs="Segoe UI"/>
          <w:b/>
          <w:color w:val="009999"/>
          <w:sz w:val="24"/>
        </w:rPr>
      </w:pPr>
      <w:r>
        <w:br w:type="page"/>
      </w:r>
    </w:p>
    <w:p w14:paraId="4CB670C8" w14:textId="71011992" w:rsidR="003A77FF" w:rsidRPr="00FB79DF" w:rsidRDefault="0032250E" w:rsidP="00DA4528">
      <w:pPr>
        <w:pStyle w:val="Heading3"/>
      </w:pPr>
      <w:r>
        <w:lastRenderedPageBreak/>
        <w:t>Austral</w:t>
      </w:r>
      <w:r w:rsidR="001D1FF8">
        <w:t xml:space="preserve">ian </w:t>
      </w:r>
      <w:r w:rsidR="003A77FF">
        <w:t xml:space="preserve">Government </w:t>
      </w:r>
    </w:p>
    <w:p w14:paraId="29FAFF97" w14:textId="2566B4B6" w:rsidR="00064A4D" w:rsidRDefault="003A77FF" w:rsidP="00DA4528">
      <w:r>
        <w:t xml:space="preserve">At the </w:t>
      </w:r>
      <w:r w:rsidR="001D1FF8">
        <w:t xml:space="preserve">Australian </w:t>
      </w:r>
      <w:r w:rsidR="002A78D3" w:rsidRPr="1A31B231">
        <w:rPr>
          <w:rFonts w:cs="Segoe UI"/>
        </w:rPr>
        <w:t>Government</w:t>
      </w:r>
      <w:r>
        <w:t xml:space="preserve"> level, </w:t>
      </w:r>
      <w:r w:rsidR="00424E1D">
        <w:t>4</w:t>
      </w:r>
      <w:r>
        <w:t xml:space="preserve"> mechanisms exist to support the CAP’s implementation</w:t>
      </w:r>
      <w:r w:rsidR="004E5EF2">
        <w:t xml:space="preserve">. </w:t>
      </w:r>
      <w:r w:rsidR="005A3433">
        <w:t xml:space="preserve">The </w:t>
      </w:r>
      <w:r w:rsidR="009061FA">
        <w:t xml:space="preserve">Australian </w:t>
      </w:r>
      <w:r w:rsidR="005A3433">
        <w:t>Government is the</w:t>
      </w:r>
      <w:r w:rsidR="00064A4D">
        <w:t xml:space="preserve"> primary decision maker for the CAP</w:t>
      </w:r>
      <w:r w:rsidR="00C0776B">
        <w:t xml:space="preserve"> </w:t>
      </w:r>
      <w:r w:rsidR="00DD2CBE">
        <w:t xml:space="preserve">policy and </w:t>
      </w:r>
      <w:r w:rsidR="00C0776B">
        <w:t>funding</w:t>
      </w:r>
      <w:r w:rsidR="00064A4D">
        <w:t xml:space="preserve">. </w:t>
      </w:r>
    </w:p>
    <w:p w14:paraId="0E1187BE" w14:textId="1D2C17B4" w:rsidR="003A77FF" w:rsidRPr="00FC62FE" w:rsidRDefault="004E5EF2" w:rsidP="00DA4528">
      <w:r>
        <w:t>Each are briefly outlined below</w:t>
      </w:r>
      <w:r w:rsidR="003A77FF" w:rsidRPr="00FC62FE">
        <w:t>:</w:t>
      </w:r>
    </w:p>
    <w:p w14:paraId="51914AC1" w14:textId="6194C4B8" w:rsidR="003A77FF" w:rsidRPr="00FC62FE" w:rsidRDefault="003A77FF" w:rsidP="3FA24CA5">
      <w:pPr>
        <w:pStyle w:val="Heading4"/>
      </w:pPr>
      <w:r>
        <w:t>NIAA CAP</w:t>
      </w:r>
      <w:r w:rsidR="00E271E3">
        <w:t>I</w:t>
      </w:r>
      <w:r>
        <w:t xml:space="preserve"> Taskforce </w:t>
      </w:r>
    </w:p>
    <w:p w14:paraId="5B45B0E0" w14:textId="6A0DBF19" w:rsidR="00120C06" w:rsidRPr="00415F62" w:rsidRDefault="73506AA6" w:rsidP="003343AE">
      <w:pPr>
        <w:pStyle w:val="ListParagraph"/>
      </w:pPr>
      <w:r>
        <w:t>H</w:t>
      </w:r>
      <w:r w:rsidR="6FF19DB0">
        <w:t>as</w:t>
      </w:r>
      <w:r w:rsidR="00120C06" w:rsidRPr="00415F62">
        <w:t xml:space="preserve"> responsibility and oversight of all policy and initiatives related to implementing the CAP</w:t>
      </w:r>
      <w:r w:rsidR="00467456">
        <w:t>.</w:t>
      </w:r>
    </w:p>
    <w:p w14:paraId="159A4151" w14:textId="7A7601BB" w:rsidR="00120C06" w:rsidRPr="00AE4430" w:rsidRDefault="00120C06" w:rsidP="003343AE">
      <w:pPr>
        <w:pStyle w:val="ListParagraph"/>
      </w:pPr>
      <w:r>
        <w:t>Members of the taskforce are</w:t>
      </w:r>
      <w:r w:rsidR="00AE29AC">
        <w:t xml:space="preserve"> primarily</w:t>
      </w:r>
      <w:r>
        <w:t xml:space="preserve"> located in Alice Springs and Canberra.</w:t>
      </w:r>
    </w:p>
    <w:p w14:paraId="75E499A4" w14:textId="55E7AADF" w:rsidR="00183471" w:rsidRPr="00183471" w:rsidRDefault="00183471" w:rsidP="3FA24CA5">
      <w:pPr>
        <w:pStyle w:val="Heading4"/>
      </w:pPr>
      <w:r>
        <w:t xml:space="preserve">NIAA’s </w:t>
      </w:r>
      <w:r w:rsidR="004F4A0D">
        <w:t>Central Australia Regional Office</w:t>
      </w:r>
      <w:r w:rsidR="00457592">
        <w:t xml:space="preserve"> in Alice Springs</w:t>
      </w:r>
    </w:p>
    <w:p w14:paraId="5DE7285E" w14:textId="2D031372" w:rsidR="00183471" w:rsidRPr="00AE4430" w:rsidRDefault="00183471" w:rsidP="003343AE">
      <w:pPr>
        <w:pStyle w:val="ListParagraph"/>
      </w:pPr>
      <w:r w:rsidDel="59D0434A">
        <w:t>W</w:t>
      </w:r>
      <w:r w:rsidR="59D0434A">
        <w:t>orks</w:t>
      </w:r>
      <w:r w:rsidRPr="00AE4430">
        <w:t xml:space="preserve"> in a place-based way with First Nations communities to identify, support and address their needs and aspirations</w:t>
      </w:r>
      <w:r w:rsidR="00467456">
        <w:t>.</w:t>
      </w:r>
    </w:p>
    <w:p w14:paraId="08048315" w14:textId="2CA6FDAD" w:rsidR="00183471" w:rsidRPr="00AE4430" w:rsidRDefault="00183471" w:rsidP="003343AE">
      <w:pPr>
        <w:pStyle w:val="ListParagraph"/>
      </w:pPr>
      <w:r>
        <w:t xml:space="preserve">Works with </w:t>
      </w:r>
      <w:r w:rsidR="009061FA">
        <w:t xml:space="preserve">Australian </w:t>
      </w:r>
      <w:r w:rsidR="002A78D3">
        <w:t>Government</w:t>
      </w:r>
      <w:r>
        <w:t xml:space="preserve"> agencies and providers</w:t>
      </w:r>
      <w:r w:rsidR="00467456">
        <w:t>.</w:t>
      </w:r>
    </w:p>
    <w:p w14:paraId="30256371" w14:textId="4A1BF167" w:rsidR="00183471" w:rsidRPr="00AE4430" w:rsidRDefault="00183471" w:rsidP="003343AE">
      <w:pPr>
        <w:pStyle w:val="ListParagraph"/>
      </w:pPr>
      <w:r>
        <w:t xml:space="preserve">Responsible for implementation of </w:t>
      </w:r>
      <w:r w:rsidR="002C0B3E">
        <w:t>some</w:t>
      </w:r>
      <w:r>
        <w:t xml:space="preserve"> CAP NIAA funded initiatives.</w:t>
      </w:r>
    </w:p>
    <w:p w14:paraId="75B9B416" w14:textId="7231C658" w:rsidR="003A77FF" w:rsidRPr="00FC62FE" w:rsidRDefault="00206027" w:rsidP="3FA24CA5">
      <w:pPr>
        <w:pStyle w:val="Heading4"/>
      </w:pPr>
      <w:r>
        <w:t>Australian Government</w:t>
      </w:r>
      <w:r w:rsidR="003A77FF">
        <w:t xml:space="preserve"> Inter-Departmental Committee (IDC)</w:t>
      </w:r>
    </w:p>
    <w:p w14:paraId="25A6998E" w14:textId="202CC328" w:rsidR="00183471" w:rsidRPr="00AE4430" w:rsidRDefault="00183471" w:rsidP="003343AE">
      <w:pPr>
        <w:pStyle w:val="ListParagraph"/>
      </w:pPr>
      <w:r>
        <w:t xml:space="preserve">Cross-agency collaboration between </w:t>
      </w:r>
      <w:r w:rsidR="0034263A">
        <w:t xml:space="preserve">senior representatives </w:t>
      </w:r>
      <w:r w:rsidR="4DE8DC9A">
        <w:t>of</w:t>
      </w:r>
      <w:r w:rsidR="0034263A">
        <w:t xml:space="preserve"> </w:t>
      </w:r>
      <w:r w:rsidR="009061FA">
        <w:t xml:space="preserve">Australian </w:t>
      </w:r>
      <w:r w:rsidR="796CD936">
        <w:t>G</w:t>
      </w:r>
      <w:r>
        <w:t>overnment agencies</w:t>
      </w:r>
      <w:r w:rsidR="0034263A">
        <w:t xml:space="preserve"> involved in the CAP. </w:t>
      </w:r>
    </w:p>
    <w:p w14:paraId="035D91DD" w14:textId="77777777" w:rsidR="00183471" w:rsidRPr="00AE4430" w:rsidRDefault="00183471" w:rsidP="003343AE">
      <w:pPr>
        <w:pStyle w:val="ListParagraph"/>
      </w:pPr>
      <w:r w:rsidRPr="00AE4430">
        <w:t>Discusses policy development, progress of initiatives and implementation</w:t>
      </w:r>
    </w:p>
    <w:p w14:paraId="37B18462" w14:textId="77777777" w:rsidR="00183471" w:rsidRPr="00AE4430" w:rsidRDefault="00183471" w:rsidP="003343AE">
      <w:pPr>
        <w:pStyle w:val="ListParagraph"/>
      </w:pPr>
      <w:r w:rsidRPr="00AE4430">
        <w:t>Comprised of senior executives from representative agencies.</w:t>
      </w:r>
    </w:p>
    <w:p w14:paraId="303066D0" w14:textId="671E9BAA" w:rsidR="00183471" w:rsidRPr="00183471" w:rsidRDefault="00183471" w:rsidP="00183471">
      <w:pPr>
        <w:pStyle w:val="Heading4"/>
      </w:pPr>
      <w:r>
        <w:t>Communit</w:t>
      </w:r>
      <w:r w:rsidR="0004687A">
        <w:t>y</w:t>
      </w:r>
      <w:r>
        <w:t xml:space="preserve"> of Practice</w:t>
      </w:r>
    </w:p>
    <w:p w14:paraId="4BE510C7" w14:textId="20E238EF" w:rsidR="00183471" w:rsidRPr="00AE4430" w:rsidRDefault="00183471" w:rsidP="003343AE">
      <w:pPr>
        <w:pStyle w:val="ListParagraph"/>
      </w:pPr>
      <w:r w:rsidRPr="00AE4430">
        <w:t>Brings together the NTG, implementing agencies</w:t>
      </w:r>
      <w:r w:rsidR="2E68929D">
        <w:t>,</w:t>
      </w:r>
      <w:r w:rsidRPr="00AE4430">
        <w:t xml:space="preserve"> and regional office staff</w:t>
      </w:r>
    </w:p>
    <w:p w14:paraId="2DC18C9E" w14:textId="77777777" w:rsidR="00183471" w:rsidRPr="00AE4430" w:rsidRDefault="00183471" w:rsidP="003343AE">
      <w:pPr>
        <w:pStyle w:val="ListParagraph"/>
      </w:pPr>
      <w:r w:rsidRPr="00AE4430">
        <w:t>Discusses and troubleshoots issues.</w:t>
      </w:r>
    </w:p>
    <w:p w14:paraId="52EE9E92" w14:textId="77777777" w:rsidR="003A77FF" w:rsidRPr="00FB79DF" w:rsidRDefault="003A77FF" w:rsidP="00DA4528">
      <w:pPr>
        <w:pStyle w:val="Heading3"/>
      </w:pPr>
      <w:r w:rsidRPr="00FC62FE">
        <w:t xml:space="preserve">Northern Territory Government </w:t>
      </w:r>
    </w:p>
    <w:p w14:paraId="27461F3B" w14:textId="3306B485" w:rsidR="003A77FF" w:rsidRPr="00FC62FE" w:rsidRDefault="003A77FF" w:rsidP="00DA4528">
      <w:r>
        <w:t xml:space="preserve">At the NTG level, </w:t>
      </w:r>
      <w:r w:rsidR="008E19B4">
        <w:t>there was one</w:t>
      </w:r>
      <w:r>
        <w:t xml:space="preserve"> </w:t>
      </w:r>
      <w:r w:rsidR="73673404">
        <w:t xml:space="preserve">key </w:t>
      </w:r>
      <w:r>
        <w:t xml:space="preserve">mechanism </w:t>
      </w:r>
      <w:r w:rsidR="000C50AE">
        <w:t xml:space="preserve">that supported </w:t>
      </w:r>
      <w:r>
        <w:t>the CAP’s implementation:</w:t>
      </w:r>
    </w:p>
    <w:p w14:paraId="375D4C2A" w14:textId="0919FFA3" w:rsidR="00A848AE" w:rsidRPr="00A848AE" w:rsidRDefault="003A77FF" w:rsidP="00A848AE">
      <w:pPr>
        <w:pStyle w:val="Heading4"/>
      </w:pPr>
      <w:r>
        <w:t>The Office of the Central Australian Regional Controller (</w:t>
      </w:r>
      <w:r w:rsidR="00D52EC2">
        <w:t>OCARC</w:t>
      </w:r>
      <w:r>
        <w:t>)</w:t>
      </w:r>
    </w:p>
    <w:p w14:paraId="113FCBBD" w14:textId="1A9B3FFE" w:rsidR="00A848AE" w:rsidRPr="00AE4430" w:rsidRDefault="00034816" w:rsidP="003343AE">
      <w:pPr>
        <w:pStyle w:val="ListParagraph"/>
      </w:pPr>
      <w:r>
        <w:t>E</w:t>
      </w:r>
      <w:r w:rsidR="003A77FF">
        <w:t>stablished jointly between the</w:t>
      </w:r>
      <w:r w:rsidR="0085133C">
        <w:t xml:space="preserve"> </w:t>
      </w:r>
      <w:r w:rsidR="008C434B">
        <w:t>Australian Gover</w:t>
      </w:r>
      <w:r w:rsidR="0039395D">
        <w:t>nment</w:t>
      </w:r>
      <w:r w:rsidR="003A77FF" w:rsidRPr="002D7276">
        <w:rPr>
          <w:i/>
          <w:iCs/>
        </w:rPr>
        <w:t xml:space="preserve"> </w:t>
      </w:r>
      <w:r w:rsidR="003A77FF">
        <w:t xml:space="preserve">and </w:t>
      </w:r>
      <w:r w:rsidR="0039395D">
        <w:t xml:space="preserve">the </w:t>
      </w:r>
      <w:r w:rsidR="00352938">
        <w:t>NTG</w:t>
      </w:r>
      <w:r w:rsidR="003A77FF">
        <w:t xml:space="preserve"> in January 2023. </w:t>
      </w:r>
    </w:p>
    <w:p w14:paraId="5777DB63" w14:textId="0C01BDC1" w:rsidR="00A848AE" w:rsidRPr="00AE4430" w:rsidRDefault="00034816" w:rsidP="003343AE">
      <w:pPr>
        <w:pStyle w:val="ListParagraph"/>
      </w:pPr>
      <w:r>
        <w:t>I</w:t>
      </w:r>
      <w:r w:rsidR="00A848AE">
        <w:t>n</w:t>
      </w:r>
      <w:r w:rsidR="003A77FF">
        <w:t xml:space="preserve"> January 2025, following machinery of government changes in the NT</w:t>
      </w:r>
      <w:r w:rsidR="006B7225">
        <w:t>G</w:t>
      </w:r>
      <w:r w:rsidR="003A77FF">
        <w:t xml:space="preserve">, the </w:t>
      </w:r>
      <w:r w:rsidR="00986617">
        <w:t>OCARC</w:t>
      </w:r>
      <w:r w:rsidR="00747698">
        <w:t>’</w:t>
      </w:r>
      <w:r w:rsidR="00A848AE">
        <w:t>s</w:t>
      </w:r>
      <w:r w:rsidR="003A77FF">
        <w:t xml:space="preserve"> functions were redistributed across the N</w:t>
      </w:r>
      <w:r w:rsidR="006B7225">
        <w:t>TG</w:t>
      </w:r>
      <w:r w:rsidR="003A77FF">
        <w:t xml:space="preserve">. </w:t>
      </w:r>
    </w:p>
    <w:p w14:paraId="2C285AFA" w14:textId="4A09DB82" w:rsidR="003A77FF" w:rsidRPr="00AE4430" w:rsidRDefault="00FB6B34" w:rsidP="003343AE">
      <w:pPr>
        <w:pStyle w:val="ListParagraph"/>
      </w:pPr>
      <w:r>
        <w:t xml:space="preserve">When the OCARC was in place, </w:t>
      </w:r>
      <w:r w:rsidR="003A77FF">
        <w:t xml:space="preserve">the </w:t>
      </w:r>
      <w:r w:rsidR="00D20804">
        <w:t>Regional Controller</w:t>
      </w:r>
      <w:r w:rsidR="00193522">
        <w:t xml:space="preserve"> </w:t>
      </w:r>
      <w:r w:rsidR="003A77FF">
        <w:t xml:space="preserve">was </w:t>
      </w:r>
      <w:r w:rsidR="003A77FF" w:rsidRPr="002D7276">
        <w:rPr>
          <w:lang w:val="en-US"/>
        </w:rPr>
        <w:t>an ex officio member of the ALG</w:t>
      </w:r>
      <w:r w:rsidR="00A848AE" w:rsidRPr="002D7276">
        <w:rPr>
          <w:lang w:val="en-US"/>
        </w:rPr>
        <w:t xml:space="preserve"> and </w:t>
      </w:r>
      <w:r w:rsidR="003A77FF" w:rsidRPr="002D7276">
        <w:rPr>
          <w:lang w:val="en-US"/>
        </w:rPr>
        <w:t>delivered a report on alcohol</w:t>
      </w:r>
      <w:r w:rsidR="00A848AE" w:rsidRPr="002D7276">
        <w:rPr>
          <w:lang w:val="en-US"/>
        </w:rPr>
        <w:t xml:space="preserve"> </w:t>
      </w:r>
      <w:r w:rsidR="003A77FF" w:rsidRPr="002D7276">
        <w:rPr>
          <w:lang w:val="en-US"/>
        </w:rPr>
        <w:t xml:space="preserve">related harm, </w:t>
      </w:r>
      <w:r w:rsidR="00A848AE" w:rsidRPr="002D7276">
        <w:rPr>
          <w:lang w:val="en-US"/>
        </w:rPr>
        <w:t>fostered</w:t>
      </w:r>
      <w:r w:rsidR="003A77FF" w:rsidRPr="002D7276">
        <w:rPr>
          <w:lang w:val="en-US"/>
        </w:rPr>
        <w:t xml:space="preserve"> collaboration </w:t>
      </w:r>
      <w:r w:rsidR="00A848AE" w:rsidRPr="002D7276">
        <w:rPr>
          <w:lang w:val="en-US"/>
        </w:rPr>
        <w:t>between</w:t>
      </w:r>
      <w:r w:rsidR="003A77FF" w:rsidRPr="002D7276">
        <w:rPr>
          <w:lang w:val="en-US"/>
        </w:rPr>
        <w:t xml:space="preserve"> government</w:t>
      </w:r>
      <w:r w:rsidR="00A848AE" w:rsidRPr="002D7276">
        <w:rPr>
          <w:lang w:val="en-US"/>
        </w:rPr>
        <w:t>, led</w:t>
      </w:r>
      <w:r w:rsidR="003A77FF" w:rsidRPr="002D7276">
        <w:rPr>
          <w:lang w:val="en-US"/>
        </w:rPr>
        <w:t xml:space="preserve"> a </w:t>
      </w:r>
      <w:r w:rsidR="00A848AE" w:rsidRPr="002D7276">
        <w:rPr>
          <w:lang w:val="en-US"/>
        </w:rPr>
        <w:t>2</w:t>
      </w:r>
      <w:r w:rsidR="003A77FF" w:rsidRPr="002D7276">
        <w:rPr>
          <w:lang w:val="en-US"/>
        </w:rPr>
        <w:t xml:space="preserve">-phase </w:t>
      </w:r>
      <w:r w:rsidR="00A848AE" w:rsidRPr="002D7276">
        <w:rPr>
          <w:lang w:val="en-US"/>
        </w:rPr>
        <w:t xml:space="preserve">community </w:t>
      </w:r>
      <w:r w:rsidR="003A77FF" w:rsidRPr="002D7276">
        <w:rPr>
          <w:lang w:val="en-US"/>
        </w:rPr>
        <w:t>engagement process</w:t>
      </w:r>
      <w:r w:rsidR="00A848AE" w:rsidRPr="002D7276">
        <w:rPr>
          <w:lang w:val="en-US"/>
        </w:rPr>
        <w:t xml:space="preserve">, and </w:t>
      </w:r>
      <w:r w:rsidR="005D0FEF" w:rsidRPr="002D7276">
        <w:rPr>
          <w:lang w:val="en-US"/>
        </w:rPr>
        <w:t>informed</w:t>
      </w:r>
      <w:r w:rsidR="007E11F7" w:rsidRPr="002D7276">
        <w:rPr>
          <w:lang w:val="en-US"/>
        </w:rPr>
        <w:t xml:space="preserve"> </w:t>
      </w:r>
      <w:r w:rsidR="003A77FF" w:rsidRPr="002D7276">
        <w:rPr>
          <w:lang w:val="en-US"/>
        </w:rPr>
        <w:t>the</w:t>
      </w:r>
      <w:r w:rsidR="007E11F7" w:rsidRPr="002D7276">
        <w:rPr>
          <w:lang w:val="en-US"/>
        </w:rPr>
        <w:t xml:space="preserve"> </w:t>
      </w:r>
      <w:r w:rsidR="0039395D" w:rsidRPr="002D7276">
        <w:rPr>
          <w:lang w:val="en-US"/>
        </w:rPr>
        <w:t>Australian</w:t>
      </w:r>
      <w:r w:rsidR="002A78D3">
        <w:t xml:space="preserve"> Government</w:t>
      </w:r>
      <w:r w:rsidR="003A77FF" w:rsidRPr="002D7276">
        <w:rPr>
          <w:lang w:val="en-US"/>
        </w:rPr>
        <w:t xml:space="preserve"> on </w:t>
      </w:r>
      <w:r w:rsidR="00424E1D" w:rsidRPr="002D7276">
        <w:rPr>
          <w:lang w:val="en-US"/>
        </w:rPr>
        <w:t xml:space="preserve">the potential </w:t>
      </w:r>
      <w:r w:rsidR="003A77FF" w:rsidRPr="002D7276">
        <w:rPr>
          <w:lang w:val="en-US"/>
        </w:rPr>
        <w:t>key investment priorities under the CAP</w:t>
      </w:r>
      <w:r w:rsidR="00A848AE" w:rsidRPr="002D7276">
        <w:rPr>
          <w:lang w:val="en-US"/>
        </w:rPr>
        <w:t>.</w:t>
      </w:r>
    </w:p>
    <w:p w14:paraId="0B170431" w14:textId="77777777" w:rsidR="003A77FF" w:rsidRPr="00FC62FE" w:rsidRDefault="003A77FF" w:rsidP="00DA4528">
      <w:pPr>
        <w:pStyle w:val="Heading3"/>
      </w:pPr>
      <w:r w:rsidRPr="00FC62FE">
        <w:t xml:space="preserve">Community Level </w:t>
      </w:r>
    </w:p>
    <w:p w14:paraId="0D089143" w14:textId="77777777" w:rsidR="003A77FF" w:rsidRPr="00FC62FE" w:rsidRDefault="003A77FF" w:rsidP="00DA4528">
      <w:r w:rsidRPr="00FC62FE">
        <w:t>At the</w:t>
      </w:r>
      <w:r w:rsidRPr="6B93157E">
        <w:rPr>
          <w:b/>
        </w:rPr>
        <w:t xml:space="preserve"> </w:t>
      </w:r>
      <w:r w:rsidRPr="00171639">
        <w:t>community level,</w:t>
      </w:r>
      <w:r w:rsidRPr="6B93157E">
        <w:rPr>
          <w:b/>
        </w:rPr>
        <w:t xml:space="preserve"> </w:t>
      </w:r>
      <w:r w:rsidRPr="00FC62FE">
        <w:t>three mechanisms exist to support the CAP’s implementation:</w:t>
      </w:r>
    </w:p>
    <w:p w14:paraId="1CB9796E" w14:textId="77777777" w:rsidR="003A77FF" w:rsidRPr="00FC62FE" w:rsidRDefault="003A77FF" w:rsidP="004C55C8">
      <w:pPr>
        <w:pStyle w:val="Heading4"/>
      </w:pPr>
      <w:r w:rsidRPr="00FC62FE">
        <w:t>Central Australian Aboriginal Leadership Group (ALG)</w:t>
      </w:r>
      <w:r w:rsidRPr="00FC62FE">
        <w:rPr>
          <w:color w:val="009193"/>
        </w:rPr>
        <w:t xml:space="preserve"> </w:t>
      </w:r>
    </w:p>
    <w:p w14:paraId="12742C62" w14:textId="3B73422D" w:rsidR="003A77FF" w:rsidRPr="00FC62FE" w:rsidRDefault="003A77FF" w:rsidP="00467456">
      <w:r>
        <w:t xml:space="preserve">The ALG </w:t>
      </w:r>
      <w:r w:rsidR="00887C68">
        <w:t xml:space="preserve">first met </w:t>
      </w:r>
      <w:r w:rsidR="005824C9">
        <w:t xml:space="preserve">on 19 </w:t>
      </w:r>
      <w:r w:rsidR="00696FF5">
        <w:t>June 2023</w:t>
      </w:r>
      <w:r w:rsidR="00754175">
        <w:t xml:space="preserve"> and up until April 2025 had met 1</w:t>
      </w:r>
      <w:r w:rsidR="006C7C15">
        <w:t>6</w:t>
      </w:r>
      <w:r w:rsidR="00E6130B">
        <w:t xml:space="preserve"> times</w:t>
      </w:r>
      <w:r>
        <w:t xml:space="preserve">. The purpose of the ALG is to: </w:t>
      </w:r>
    </w:p>
    <w:p w14:paraId="0DD760A7" w14:textId="0A9C193A" w:rsidR="003A77FF" w:rsidRPr="005C3445" w:rsidRDefault="003A77FF" w:rsidP="003343AE">
      <w:pPr>
        <w:pStyle w:val="ListParagraph"/>
      </w:pPr>
      <w:r>
        <w:t xml:space="preserve">provide independent advice to the Minister for Indigenous Australians, the Northern Territory Chief Minister, and the (former) </w:t>
      </w:r>
      <w:r w:rsidR="7BBE6B21">
        <w:t>Regional Controller</w:t>
      </w:r>
      <w:r>
        <w:t xml:space="preserve"> on the Better, Safer Future for Central Australia </w:t>
      </w:r>
      <w:r w:rsidR="362F2653">
        <w:t>Plan</w:t>
      </w:r>
      <w:r w:rsidR="00597830">
        <w:t xml:space="preserve"> under the </w:t>
      </w:r>
      <w:r w:rsidR="21140689">
        <w:t>6</w:t>
      </w:r>
      <w:r w:rsidR="00597830">
        <w:t xml:space="preserve"> priority areas</w:t>
      </w:r>
    </w:p>
    <w:p w14:paraId="1AA3B139" w14:textId="39492B2A" w:rsidR="003A77FF" w:rsidRPr="005C3445" w:rsidRDefault="003A77FF" w:rsidP="003343AE">
      <w:pPr>
        <w:pStyle w:val="ListParagraph"/>
      </w:pPr>
      <w:r w:rsidRPr="005C3445">
        <w:t xml:space="preserve">complement existing structures through which diverse community voices have been, and will continue to, actively contribute to identifying priorities, needs and solutions </w:t>
      </w:r>
    </w:p>
    <w:p w14:paraId="471CE0F8" w14:textId="4778AA3D" w:rsidR="001407B1" w:rsidRPr="005C3445" w:rsidRDefault="00497356" w:rsidP="003343AE">
      <w:pPr>
        <w:pStyle w:val="ListParagraph"/>
      </w:pPr>
      <w:r w:rsidRPr="005C3445">
        <w:t>actively contribute to identifying priorities, needs and solutions</w:t>
      </w:r>
      <w:r w:rsidR="00597830" w:rsidRPr="005C3445">
        <w:t xml:space="preserve"> for the future in areas such as health, education, town camps, economic development, law and order issues.</w:t>
      </w:r>
    </w:p>
    <w:p w14:paraId="05701B1B" w14:textId="5627D800" w:rsidR="00497356" w:rsidRPr="001407B1" w:rsidRDefault="001407B1" w:rsidP="001407B1">
      <w:pPr>
        <w:rPr>
          <w:rFonts w:eastAsia="Calibri" w:cs="Calibri"/>
          <w:color w:val="262626" w:themeColor="text1" w:themeTint="D9"/>
        </w:rPr>
      </w:pPr>
      <w:r>
        <w:t xml:space="preserve">The ALG does </w:t>
      </w:r>
      <w:r w:rsidRPr="00171639">
        <w:t xml:space="preserve">not </w:t>
      </w:r>
      <w:r w:rsidR="003E0BE5" w:rsidRPr="00171639">
        <w:t>make funding decisions or</w:t>
      </w:r>
      <w:r w:rsidR="003E0BE5" w:rsidRPr="1A31B231">
        <w:rPr>
          <w:b/>
          <w:bCs/>
        </w:rPr>
        <w:t xml:space="preserve"> </w:t>
      </w:r>
      <w:r w:rsidR="00497356">
        <w:t>select providers</w:t>
      </w:r>
      <w:r w:rsidR="003E0BE5">
        <w:t>.</w:t>
      </w:r>
      <w:r w:rsidR="00497356">
        <w:t xml:space="preserve"> </w:t>
      </w:r>
    </w:p>
    <w:p w14:paraId="6C1BA4C6" w14:textId="77777777" w:rsidR="003A77FF" w:rsidRPr="00FC62FE" w:rsidRDefault="003A77FF" w:rsidP="00DA4528">
      <w:pPr>
        <w:rPr>
          <w:color w:val="009193"/>
        </w:rPr>
      </w:pPr>
      <w:r w:rsidRPr="00FC62FE">
        <w:t>At the outset of the CAP, functions of the ALG were expected to include:</w:t>
      </w:r>
    </w:p>
    <w:p w14:paraId="7B8D278D" w14:textId="2CFB8E13" w:rsidR="003A77FF" w:rsidRPr="005C3445" w:rsidRDefault="003A77FF" w:rsidP="003343AE">
      <w:pPr>
        <w:pStyle w:val="ListParagraph"/>
      </w:pPr>
      <w:r>
        <w:t xml:space="preserve">identification of any priorities for coordinated investment from the </w:t>
      </w:r>
      <w:r w:rsidR="0039395D">
        <w:t>Australian</w:t>
      </w:r>
      <w:r w:rsidR="002A78D3">
        <w:t xml:space="preserve"> Government</w:t>
      </w:r>
      <w:r>
        <w:t xml:space="preserve"> and N</w:t>
      </w:r>
      <w:r w:rsidR="002445DF">
        <w:t>TG</w:t>
      </w:r>
    </w:p>
    <w:p w14:paraId="71335484" w14:textId="7E6F0188" w:rsidR="003A77FF" w:rsidRPr="005C3445" w:rsidRDefault="003A77FF" w:rsidP="003343AE">
      <w:pPr>
        <w:pStyle w:val="ListParagraph"/>
      </w:pPr>
      <w:r w:rsidRPr="005C3445">
        <w:lastRenderedPageBreak/>
        <w:t xml:space="preserve">identification of priorities, strategies and investments to improve outcomes and opportunities for </w:t>
      </w:r>
      <w:r w:rsidR="002445DF" w:rsidRPr="005C3445">
        <w:t>First Nations</w:t>
      </w:r>
      <w:r w:rsidRPr="005C3445">
        <w:t xml:space="preserve"> people in Central Australia, with a particular focus on children and young people</w:t>
      </w:r>
    </w:p>
    <w:p w14:paraId="593E3560" w14:textId="7B385860" w:rsidR="003A77FF" w:rsidRPr="005C3445" w:rsidRDefault="003A77FF" w:rsidP="003343AE">
      <w:pPr>
        <w:pStyle w:val="ListParagraph"/>
      </w:pPr>
      <w:r>
        <w:t xml:space="preserve">advice on the effectiveness and efficiency of </w:t>
      </w:r>
      <w:r w:rsidR="002445DF">
        <w:t>g</w:t>
      </w:r>
      <w:r>
        <w:t>overnment service delivery and program implementation, including opportunities to improve service delivery, address gaps and duplication</w:t>
      </w:r>
      <w:r w:rsidR="63869137">
        <w:t>,</w:t>
      </w:r>
      <w:r>
        <w:t xml:space="preserve"> and enhance local service provision</w:t>
      </w:r>
    </w:p>
    <w:p w14:paraId="42929398" w14:textId="1F21A117" w:rsidR="003A77FF" w:rsidRPr="005C3445" w:rsidRDefault="003A77FF" w:rsidP="003343AE">
      <w:pPr>
        <w:pStyle w:val="ListParagraph"/>
      </w:pPr>
      <w:r>
        <w:t xml:space="preserve">advice on the views of </w:t>
      </w:r>
      <w:r w:rsidR="002445DF">
        <w:t>First Nations</w:t>
      </w:r>
      <w:r>
        <w:t xml:space="preserve"> people across the region, cultural protocols</w:t>
      </w:r>
      <w:r w:rsidR="710CD8B8">
        <w:t>,</w:t>
      </w:r>
      <w:r>
        <w:t xml:space="preserve"> and options to strengthen </w:t>
      </w:r>
      <w:r w:rsidR="002445DF">
        <w:t>First Nations</w:t>
      </w:r>
      <w:r>
        <w:t xml:space="preserve"> l</w:t>
      </w:r>
      <w:r w:rsidR="008D65F5">
        <w:t xml:space="preserve">ore </w:t>
      </w:r>
      <w:r>
        <w:t>and culture</w:t>
      </w:r>
    </w:p>
    <w:p w14:paraId="0C350165" w14:textId="2604BEA0" w:rsidR="003A77FF" w:rsidRPr="005C3445" w:rsidRDefault="003A77FF" w:rsidP="003343AE">
      <w:pPr>
        <w:pStyle w:val="ListParagraph"/>
      </w:pPr>
      <w:r w:rsidRPr="005C3445">
        <w:t xml:space="preserve">any other advice as the </w:t>
      </w:r>
      <w:r w:rsidR="00FA07FF">
        <w:t>ALG</w:t>
      </w:r>
      <w:r w:rsidRPr="005C3445">
        <w:t xml:space="preserve"> sees fit.</w:t>
      </w:r>
    </w:p>
    <w:p w14:paraId="345739D9" w14:textId="2492C203" w:rsidR="003A77FF" w:rsidRPr="00FC62FE" w:rsidRDefault="003A77FF" w:rsidP="00DA4528">
      <w:r>
        <w:t xml:space="preserve">The </w:t>
      </w:r>
      <w:r w:rsidR="00D77177">
        <w:t>ALG</w:t>
      </w:r>
      <w:r>
        <w:t xml:space="preserve"> comprises 11 </w:t>
      </w:r>
      <w:r w:rsidR="002445DF">
        <w:t>First Nations</w:t>
      </w:r>
      <w:r>
        <w:t xml:space="preserve"> members from the following groups: </w:t>
      </w:r>
    </w:p>
    <w:p w14:paraId="11530C1B" w14:textId="50FAD4DE" w:rsidR="003A77FF" w:rsidRPr="002D7276" w:rsidRDefault="003A77FF" w:rsidP="003343AE">
      <w:pPr>
        <w:pStyle w:val="ListParagraph"/>
        <w:rPr>
          <w:lang w:val="en-GB"/>
        </w:rPr>
      </w:pPr>
      <w:r w:rsidRPr="002D7276">
        <w:rPr>
          <w:lang w:val="en-GB"/>
        </w:rPr>
        <w:t>Four remote members (Central Land Council to nominate two elected Central Land Council remote community delegates, Central Desert Regional Council and MacDonnell Regional Council to each nominate one elected local authority remote representatives)</w:t>
      </w:r>
      <w:r w:rsidR="00467456">
        <w:rPr>
          <w:lang w:val="en-GB"/>
        </w:rPr>
        <w:t>.</w:t>
      </w:r>
    </w:p>
    <w:p w14:paraId="3A042C38" w14:textId="41C51680" w:rsidR="003A77FF" w:rsidRPr="002D7276" w:rsidRDefault="003A77FF" w:rsidP="003343AE">
      <w:pPr>
        <w:pStyle w:val="ListParagraph"/>
        <w:rPr>
          <w:lang w:val="en-GB"/>
        </w:rPr>
      </w:pPr>
      <w:r w:rsidRPr="002D7276">
        <w:rPr>
          <w:lang w:val="en-GB"/>
        </w:rPr>
        <w:t xml:space="preserve">Four service provider representatives (nominated from Lhere Artepe Aboriginal Corporation, Central Land Council (chair), </w:t>
      </w:r>
      <w:r w:rsidR="00B15A4F" w:rsidRPr="002D7276">
        <w:rPr>
          <w:lang w:val="en-GB"/>
        </w:rPr>
        <w:t xml:space="preserve">and </w:t>
      </w:r>
      <w:r w:rsidRPr="002D7276">
        <w:rPr>
          <w:lang w:val="en-GB"/>
        </w:rPr>
        <w:t>Central Australian Aboriginal Congress</w:t>
      </w:r>
      <w:r w:rsidR="00B15A4F" w:rsidRPr="002D7276">
        <w:rPr>
          <w:lang w:val="en-GB"/>
        </w:rPr>
        <w:t>.</w:t>
      </w:r>
      <w:r w:rsidRPr="002D7276">
        <w:rPr>
          <w:lang w:val="en-GB"/>
        </w:rPr>
        <w:t xml:space="preserve"> Tangentyere Council</w:t>
      </w:r>
      <w:r w:rsidR="00B15A4F" w:rsidRPr="002D7276">
        <w:rPr>
          <w:lang w:val="en-GB"/>
        </w:rPr>
        <w:t xml:space="preserve"> has also been invited to sit on this group, </w:t>
      </w:r>
      <w:r w:rsidR="00B67E4F" w:rsidRPr="002D7276">
        <w:rPr>
          <w:lang w:val="en-GB"/>
        </w:rPr>
        <w:t>however,</w:t>
      </w:r>
      <w:r w:rsidR="00B15A4F" w:rsidRPr="002D7276">
        <w:rPr>
          <w:lang w:val="en-GB"/>
        </w:rPr>
        <w:t xml:space="preserve"> has declined</w:t>
      </w:r>
      <w:r w:rsidR="0097129F" w:rsidRPr="002D7276">
        <w:rPr>
          <w:lang w:val="en-GB"/>
        </w:rPr>
        <w:t xml:space="preserve"> to participate</w:t>
      </w:r>
      <w:r w:rsidR="00B15A4F" w:rsidRPr="002D7276">
        <w:rPr>
          <w:lang w:val="en-GB"/>
        </w:rPr>
        <w:t xml:space="preserve"> at</w:t>
      </w:r>
      <w:r w:rsidR="0097129F" w:rsidRPr="002D7276">
        <w:rPr>
          <w:lang w:val="en-GB"/>
        </w:rPr>
        <w:t xml:space="preserve"> the</w:t>
      </w:r>
      <w:r w:rsidR="00B15A4F" w:rsidRPr="002D7276">
        <w:rPr>
          <w:lang w:val="en-GB"/>
        </w:rPr>
        <w:t xml:space="preserve"> time of writing</w:t>
      </w:r>
      <w:r w:rsidR="00467456">
        <w:rPr>
          <w:lang w:val="en-GB"/>
        </w:rPr>
        <w:t>.</w:t>
      </w:r>
    </w:p>
    <w:p w14:paraId="4D2133F7" w14:textId="40FCFBC6" w:rsidR="003A77FF" w:rsidRPr="002D7276" w:rsidRDefault="009C29B4" w:rsidP="003343AE">
      <w:pPr>
        <w:pStyle w:val="ListParagraph"/>
        <w:rPr>
          <w:lang w:val="en-GB"/>
        </w:rPr>
      </w:pPr>
      <w:r w:rsidRPr="002D7276">
        <w:rPr>
          <w:lang w:val="en-GB"/>
        </w:rPr>
        <w:t xml:space="preserve">One </w:t>
      </w:r>
      <w:r w:rsidR="003A77FF" w:rsidRPr="002D7276">
        <w:rPr>
          <w:lang w:val="en-GB"/>
        </w:rPr>
        <w:t>member of the Strong Grandmothers Group of the Central Desert</w:t>
      </w:r>
      <w:r w:rsidR="00467456">
        <w:rPr>
          <w:lang w:val="en-GB"/>
        </w:rPr>
        <w:t>.</w:t>
      </w:r>
    </w:p>
    <w:p w14:paraId="0DD3597C" w14:textId="4453BB83" w:rsidR="003A77FF" w:rsidRPr="002D7276" w:rsidRDefault="00AB7129" w:rsidP="003343AE">
      <w:pPr>
        <w:pStyle w:val="ListParagraph"/>
        <w:rPr>
          <w:lang w:val="en-GB"/>
        </w:rPr>
      </w:pPr>
      <w:r w:rsidRPr="002D7276">
        <w:rPr>
          <w:lang w:val="en-GB"/>
        </w:rPr>
        <w:t>One</w:t>
      </w:r>
      <w:r w:rsidR="003A77FF" w:rsidRPr="002D7276">
        <w:rPr>
          <w:lang w:val="en-GB"/>
        </w:rPr>
        <w:t xml:space="preserve"> member of the Alice Springs Town Council</w:t>
      </w:r>
      <w:r w:rsidR="00467456">
        <w:rPr>
          <w:lang w:val="en-GB"/>
        </w:rPr>
        <w:t>.</w:t>
      </w:r>
    </w:p>
    <w:p w14:paraId="001C99DB" w14:textId="73424916" w:rsidR="003A77FF" w:rsidRPr="002D7276" w:rsidRDefault="00DC77E3" w:rsidP="003343AE">
      <w:pPr>
        <w:pStyle w:val="ListParagraph"/>
        <w:rPr>
          <w:rFonts w:eastAsia="Calibri" w:cs="Calibri"/>
          <w:color w:val="000000" w:themeColor="text1"/>
          <w14:textFill>
            <w14:solidFill>
              <w14:schemeClr w14:val="tx1">
                <w14:lumMod w14:val="85000"/>
                <w14:lumOff w14:val="15000"/>
                <w14:lumMod w14:val="75000"/>
                <w14:lumOff w14:val="25000"/>
              </w14:schemeClr>
            </w14:solidFill>
          </w14:textFill>
        </w:rPr>
      </w:pPr>
      <w:r w:rsidRPr="002D7276">
        <w:rPr>
          <w:lang w:val="en-GB"/>
        </w:rPr>
        <w:t>One</w:t>
      </w:r>
      <w:r w:rsidR="003A77FF" w:rsidRPr="002D7276">
        <w:rPr>
          <w:lang w:val="en-GB"/>
        </w:rPr>
        <w:t xml:space="preserve"> member of the </w:t>
      </w:r>
      <w:r w:rsidR="00467456">
        <w:rPr>
          <w:lang w:val="en-GB"/>
        </w:rPr>
        <w:t>YRT</w:t>
      </w:r>
      <w:r w:rsidR="003A77FF" w:rsidRPr="002D7276">
        <w:rPr>
          <w:lang w:val="en-GB"/>
        </w:rPr>
        <w:t>.</w:t>
      </w:r>
    </w:p>
    <w:p w14:paraId="6367187C" w14:textId="3F9AF22D" w:rsidR="002F2E91" w:rsidRDefault="003A77FF" w:rsidP="00DA4528">
      <w:r>
        <w:t>Ex-officio positions include</w:t>
      </w:r>
      <w:r w:rsidR="00013DDE">
        <w:t xml:space="preserve"> one representative from the</w:t>
      </w:r>
      <w:r w:rsidR="002F2E91">
        <w:t>:</w:t>
      </w:r>
    </w:p>
    <w:p w14:paraId="2ECF6813" w14:textId="15704B07" w:rsidR="00D84836" w:rsidRDefault="004403DC" w:rsidP="003343AE">
      <w:pPr>
        <w:pStyle w:val="ListParagraph"/>
      </w:pPr>
      <w:r>
        <w:t>NTG</w:t>
      </w:r>
      <w:r w:rsidR="003A77FF">
        <w:t xml:space="preserve"> Department of the Chief Minister and Cabinet</w:t>
      </w:r>
    </w:p>
    <w:p w14:paraId="0E20411F" w14:textId="06872D42" w:rsidR="00D84836" w:rsidRDefault="000B07E9" w:rsidP="003343AE">
      <w:pPr>
        <w:pStyle w:val="ListParagraph"/>
      </w:pPr>
      <w:r>
        <w:t>NIAA</w:t>
      </w:r>
    </w:p>
    <w:p w14:paraId="644715B0" w14:textId="3393122A" w:rsidR="003A77FF" w:rsidRPr="00FC62FE" w:rsidRDefault="00D84836" w:rsidP="003343AE">
      <w:pPr>
        <w:pStyle w:val="ListParagraph"/>
      </w:pPr>
      <w:r>
        <w:t xml:space="preserve">OCARC when </w:t>
      </w:r>
      <w:r w:rsidR="001728D5">
        <w:t>it was operational</w:t>
      </w:r>
      <w:r w:rsidR="003A77FF" w:rsidRPr="00FC62FE">
        <w:t>.</w:t>
      </w:r>
      <w:r w:rsidR="003A77FF" w:rsidRPr="00FC62FE">
        <w:rPr>
          <w:rStyle w:val="FootnoteReference"/>
          <w:rFonts w:eastAsia="Calibri" w:cs="Calibri"/>
          <w:color w:val="000000" w:themeColor="text1"/>
          <w14:textFill>
            <w14:solidFill>
              <w14:schemeClr w14:val="tx1">
                <w14:lumMod w14:val="85000"/>
                <w14:lumOff w14:val="15000"/>
                <w14:lumMod w14:val="75000"/>
                <w14:lumOff w14:val="25000"/>
              </w14:schemeClr>
            </w14:solidFill>
          </w14:textFill>
        </w:rPr>
        <w:footnoteReference w:id="36"/>
      </w:r>
      <w:r w:rsidR="003A77FF" w:rsidRPr="00FC62FE">
        <w:t xml:space="preserve"> </w:t>
      </w:r>
    </w:p>
    <w:p w14:paraId="2DA3B3AB" w14:textId="5DDAF935" w:rsidR="003A77FF" w:rsidRPr="00FC62FE" w:rsidRDefault="003A77FF" w:rsidP="00DA4528">
      <w:r>
        <w:t>Meetings initially occurred twice monthly</w:t>
      </w:r>
      <w:r w:rsidR="0A187DC9">
        <w:t xml:space="preserve"> and in April 2025 were being held monthly</w:t>
      </w:r>
      <w:r>
        <w:t xml:space="preserve">, however </w:t>
      </w:r>
      <w:r w:rsidR="00D66830">
        <w:t xml:space="preserve">have moved to </w:t>
      </w:r>
      <w:r>
        <w:t>once a month</w:t>
      </w:r>
      <w:r w:rsidR="00D66830">
        <w:t xml:space="preserve"> to once every 2 months</w:t>
      </w:r>
      <w:r w:rsidR="000B07E9">
        <w:t xml:space="preserve">. </w:t>
      </w:r>
      <w:proofErr w:type="gramStart"/>
      <w:r w:rsidR="51144973">
        <w:t>At</w:t>
      </w:r>
      <w:proofErr w:type="gramEnd"/>
      <w:r w:rsidR="51144973">
        <w:t xml:space="preserve"> 30 April 2025, there had</w:t>
      </w:r>
      <w:r w:rsidR="38849775">
        <w:t xml:space="preserve"> been 1</w:t>
      </w:r>
      <w:r w:rsidR="006C7C15">
        <w:t xml:space="preserve">6 </w:t>
      </w:r>
      <w:r w:rsidR="13E89AC4">
        <w:t xml:space="preserve">ALG </w:t>
      </w:r>
      <w:r w:rsidR="38849775">
        <w:t>meetings since June 2023 (including sub-group meetings).</w:t>
      </w:r>
      <w:r>
        <w:t xml:space="preserve"> Members are supported with travel and other arrangements (including sitting fees) for attendance at meetings.</w:t>
      </w:r>
    </w:p>
    <w:p w14:paraId="2813FAF6" w14:textId="2E9F4E78" w:rsidR="003A77FF" w:rsidRPr="00FC62FE" w:rsidRDefault="0F0B8075" w:rsidP="00DA4528">
      <w:r>
        <w:t xml:space="preserve">In April 2025, </w:t>
      </w:r>
      <w:r w:rsidR="47126841">
        <w:t>t</w:t>
      </w:r>
      <w:r w:rsidR="003A77FF">
        <w:t>he ALG’s term ha</w:t>
      </w:r>
      <w:r w:rsidR="23E2E6CB">
        <w:t>d</w:t>
      </w:r>
      <w:r w:rsidR="003A77FF">
        <w:t xml:space="preserve"> been extended until 3</w:t>
      </w:r>
      <w:r w:rsidR="00A62EFF">
        <w:t>1</w:t>
      </w:r>
      <w:r w:rsidR="003A77FF">
        <w:t xml:space="preserve"> </w:t>
      </w:r>
      <w:r w:rsidR="00270C70">
        <w:t>July</w:t>
      </w:r>
      <w:r w:rsidR="003A77FF">
        <w:t xml:space="preserve"> 202</w:t>
      </w:r>
      <w:r w:rsidR="00A62EFF">
        <w:t>5</w:t>
      </w:r>
      <w:r w:rsidR="003A77FF">
        <w:t>.</w:t>
      </w:r>
    </w:p>
    <w:p w14:paraId="218F7235" w14:textId="0CCD566D" w:rsidR="003A77FF" w:rsidRPr="00FC62FE" w:rsidRDefault="003A77FF" w:rsidP="005C3DF1">
      <w:pPr>
        <w:pStyle w:val="Heading4"/>
        <w:rPr>
          <w:color w:val="404040" w:themeColor="text1" w:themeTint="BF"/>
        </w:rPr>
      </w:pPr>
      <w:r w:rsidRPr="00FC62FE">
        <w:t xml:space="preserve">Central Australia Aboriginal Youth Roundtable </w:t>
      </w:r>
      <w:r w:rsidRPr="00FC62FE">
        <w:rPr>
          <w:color w:val="009193"/>
        </w:rPr>
        <w:t xml:space="preserve"> </w:t>
      </w:r>
    </w:p>
    <w:p w14:paraId="50ED6C0E" w14:textId="4FCC188E" w:rsidR="003A77FF" w:rsidRPr="00FC62FE" w:rsidRDefault="003A77FF" w:rsidP="00DA4528">
      <w:r w:rsidRPr="00FC62FE">
        <w:t xml:space="preserve">The </w:t>
      </w:r>
      <w:r w:rsidR="00467456">
        <w:t>YRT</w:t>
      </w:r>
      <w:r w:rsidRPr="00FC62FE">
        <w:t xml:space="preserve"> </w:t>
      </w:r>
      <w:r w:rsidR="487FF3A2">
        <w:t>was established in late 2023</w:t>
      </w:r>
      <w:r w:rsidR="00467456">
        <w:t xml:space="preserve"> and</w:t>
      </w:r>
      <w:r w:rsidRPr="00FC62FE">
        <w:t xml:space="preserve"> intends to support the development of young </w:t>
      </w:r>
      <w:r w:rsidR="006B3491">
        <w:t>First Nations</w:t>
      </w:r>
      <w:r w:rsidRPr="00FC62FE">
        <w:t xml:space="preserve"> leaders across Central Australia, while offering opportunities to identify and consider topics of importance to young people in the region.</w:t>
      </w:r>
    </w:p>
    <w:p w14:paraId="3F572363" w14:textId="165B1554" w:rsidR="003A77FF" w:rsidRPr="00FC62FE" w:rsidRDefault="003A77FF" w:rsidP="00DA4528">
      <w:r>
        <w:t xml:space="preserve">The </w:t>
      </w:r>
      <w:r w:rsidR="006009B3">
        <w:t>YRT</w:t>
      </w:r>
      <w:r>
        <w:t xml:space="preserve"> provides advice to the </w:t>
      </w:r>
      <w:r w:rsidR="0039395D">
        <w:t xml:space="preserve">Australian </w:t>
      </w:r>
      <w:r w:rsidR="002A78D3" w:rsidRPr="1A31B231">
        <w:rPr>
          <w:rFonts w:cs="Segoe UI"/>
        </w:rPr>
        <w:t>Government</w:t>
      </w:r>
      <w:r>
        <w:t xml:space="preserve"> about what is important to </w:t>
      </w:r>
      <w:r w:rsidR="006B3491">
        <w:t>First Nations</w:t>
      </w:r>
      <w:r>
        <w:t xml:space="preserve"> youth in Central Australia</w:t>
      </w:r>
      <w:r w:rsidR="0D83DA83">
        <w:t>. YRT priorities are passed</w:t>
      </w:r>
      <w:r>
        <w:t xml:space="preserve"> through the ALG</w:t>
      </w:r>
      <w:r w:rsidR="25656D6D">
        <w:t xml:space="preserve"> via the YRT chair</w:t>
      </w:r>
      <w:r>
        <w:t xml:space="preserve">. The Youth Roundtable may provide advice on: </w:t>
      </w:r>
    </w:p>
    <w:p w14:paraId="0CF55FB0" w14:textId="77777777" w:rsidR="003A77FF" w:rsidRPr="002D7276" w:rsidRDefault="003A77FF" w:rsidP="003343AE">
      <w:pPr>
        <w:pStyle w:val="ListParagraph"/>
        <w:rPr>
          <w:b/>
        </w:rPr>
      </w:pPr>
      <w:r w:rsidRPr="0044242D">
        <w:t xml:space="preserve">what programs and services are working in Central Australia  </w:t>
      </w:r>
    </w:p>
    <w:p w14:paraId="3C64AACB" w14:textId="77777777" w:rsidR="003A77FF" w:rsidRPr="0044242D" w:rsidRDefault="003A77FF" w:rsidP="003343AE">
      <w:pPr>
        <w:pStyle w:val="ListParagraph"/>
      </w:pPr>
      <w:r w:rsidRPr="0044242D">
        <w:t xml:space="preserve">how young people want government to engage with them </w:t>
      </w:r>
    </w:p>
    <w:p w14:paraId="7CF90F00" w14:textId="77777777" w:rsidR="003A77FF" w:rsidRPr="0044242D" w:rsidRDefault="003A77FF" w:rsidP="003343AE">
      <w:pPr>
        <w:pStyle w:val="ListParagraph"/>
      </w:pPr>
      <w:r w:rsidRPr="0044242D">
        <w:t xml:space="preserve">how the government should spend money in Central Australia </w:t>
      </w:r>
    </w:p>
    <w:p w14:paraId="79C16A5C" w14:textId="77777777" w:rsidR="003A77FF" w:rsidRPr="0044242D" w:rsidRDefault="003A77FF" w:rsidP="003343AE">
      <w:pPr>
        <w:pStyle w:val="ListParagraph"/>
      </w:pPr>
      <w:r w:rsidRPr="0044242D">
        <w:t>anything else that is important to them.</w:t>
      </w:r>
      <w:r w:rsidRPr="002D7276">
        <w:rPr>
          <w:vertAlign w:val="superscript"/>
        </w:rPr>
        <w:t>9</w:t>
      </w:r>
      <w:r w:rsidRPr="0044242D">
        <w:t xml:space="preserve"> </w:t>
      </w:r>
    </w:p>
    <w:p w14:paraId="641F758C" w14:textId="6F47BA81" w:rsidR="003A77FF" w:rsidRPr="00FC62FE" w:rsidRDefault="003A77FF" w:rsidP="00DA4528">
      <w:r>
        <w:t xml:space="preserve">Members of the YRT must be a </w:t>
      </w:r>
      <w:r w:rsidR="000F02E1">
        <w:t>First Nations</w:t>
      </w:r>
      <w:r>
        <w:t xml:space="preserve"> person aged between 16-25 years from Central Australia. The Chair of the YRT sits on the ALG.</w:t>
      </w:r>
    </w:p>
    <w:p w14:paraId="40F3C0FE" w14:textId="22A9381F" w:rsidR="298C46D3" w:rsidRDefault="003A77FF" w:rsidP="0053383A">
      <w:r w:rsidRPr="009A07F5">
        <w:t xml:space="preserve">The </w:t>
      </w:r>
      <w:r w:rsidR="00977126">
        <w:t>YRT</w:t>
      </w:r>
      <w:r w:rsidRPr="009A07F5">
        <w:t xml:space="preserve"> meets approximately </w:t>
      </w:r>
      <w:r w:rsidR="00352004">
        <w:t>two</w:t>
      </w:r>
      <w:r w:rsidRPr="009A07F5">
        <w:t xml:space="preserve"> weeks before each ALG meeting. The </w:t>
      </w:r>
      <w:r w:rsidR="00977126">
        <w:t>YRT</w:t>
      </w:r>
      <w:r w:rsidRPr="009A07F5">
        <w:t xml:space="preserve"> held initial meetings in 2023, refreshed membership in 2024, and held </w:t>
      </w:r>
      <w:r w:rsidR="00352004">
        <w:t>five</w:t>
      </w:r>
      <w:r w:rsidRPr="009A07F5">
        <w:t xml:space="preserve"> meetings in 2024. In 2025, there has been a total of </w:t>
      </w:r>
      <w:r w:rsidR="00352004">
        <w:t>three</w:t>
      </w:r>
      <w:r w:rsidRPr="009A07F5">
        <w:t xml:space="preserve"> meetings.</w:t>
      </w:r>
      <w:r w:rsidR="00352004">
        <w:t xml:space="preserve"> </w:t>
      </w:r>
      <w:r w:rsidRPr="00843DF0">
        <w:t>The YRT term has been extended until</w:t>
      </w:r>
      <w:r w:rsidRPr="00FC62FE">
        <w:t xml:space="preserve"> </w:t>
      </w:r>
      <w:r>
        <w:t>3</w:t>
      </w:r>
      <w:r w:rsidR="00A62EFF">
        <w:t>1</w:t>
      </w:r>
      <w:r>
        <w:t xml:space="preserve"> Ju</w:t>
      </w:r>
      <w:r w:rsidR="00A62EFF">
        <w:t>ly</w:t>
      </w:r>
      <w:r>
        <w:t xml:space="preserve"> 202</w:t>
      </w:r>
      <w:r w:rsidR="00A62EFF">
        <w:t>5</w:t>
      </w:r>
      <w:r>
        <w:t>.</w:t>
      </w:r>
    </w:p>
    <w:p w14:paraId="219CFACF" w14:textId="77777777" w:rsidR="003A77FF" w:rsidRPr="00FC62FE" w:rsidRDefault="003A77FF" w:rsidP="298C46D3">
      <w:pPr>
        <w:pStyle w:val="Heading4"/>
      </w:pPr>
      <w:r w:rsidRPr="00FC62FE">
        <w:t xml:space="preserve">Community Consultations </w:t>
      </w:r>
    </w:p>
    <w:p w14:paraId="4852C7B0" w14:textId="5749E713" w:rsidR="003A77FF" w:rsidRPr="00467456" w:rsidRDefault="003A77FF" w:rsidP="00467456">
      <w:r w:rsidRPr="00467456">
        <w:t xml:space="preserve">Between March and August 2023, a series of community consultation were undertaken to inform the CAP. These consultations were led by the </w:t>
      </w:r>
      <w:r w:rsidR="0038516A" w:rsidRPr="00467456">
        <w:t>OCARC</w:t>
      </w:r>
      <w:r w:rsidR="00290392" w:rsidRPr="00467456">
        <w:t xml:space="preserve"> </w:t>
      </w:r>
      <w:r w:rsidRPr="00467456">
        <w:t>and comprised engagements with over 1000 people</w:t>
      </w:r>
      <w:r w:rsidR="00703D17" w:rsidRPr="00467456">
        <w:t>,</w:t>
      </w:r>
      <w:r w:rsidRPr="00467456">
        <w:t xml:space="preserve"> including:</w:t>
      </w:r>
    </w:p>
    <w:p w14:paraId="2AC392B7" w14:textId="0B8EA0FF" w:rsidR="003A77FF" w:rsidRPr="00467456" w:rsidRDefault="003A77FF" w:rsidP="003343AE">
      <w:pPr>
        <w:pStyle w:val="ListParagraph"/>
      </w:pPr>
      <w:r w:rsidRPr="00467456">
        <w:lastRenderedPageBreak/>
        <w:t>80 sessions with the community sector (</w:t>
      </w:r>
      <w:r w:rsidR="009879E4" w:rsidRPr="00467456">
        <w:t xml:space="preserve">including </w:t>
      </w:r>
      <w:r w:rsidRPr="00467456">
        <w:t xml:space="preserve">land council, service providers, </w:t>
      </w:r>
      <w:r w:rsidR="009E4257">
        <w:t>A</w:t>
      </w:r>
      <w:r w:rsidRPr="00467456">
        <w:t xml:space="preserve">boriginal peak bodies, regional industry groups, community organisations). </w:t>
      </w:r>
    </w:p>
    <w:p w14:paraId="2BE03FE9" w14:textId="5C7AC697" w:rsidR="003A77FF" w:rsidRPr="00467456" w:rsidRDefault="003A77FF" w:rsidP="003343AE">
      <w:pPr>
        <w:pStyle w:val="ListParagraph"/>
      </w:pPr>
      <w:r w:rsidRPr="00467456">
        <w:t>22 sessions directly with communities (</w:t>
      </w:r>
      <w:r w:rsidR="009879E4" w:rsidRPr="00467456">
        <w:t xml:space="preserve">including </w:t>
      </w:r>
      <w:proofErr w:type="spellStart"/>
      <w:r w:rsidRPr="00467456">
        <w:t>Atitjere</w:t>
      </w:r>
      <w:proofErr w:type="spellEnd"/>
      <w:r w:rsidRPr="00467456">
        <w:t xml:space="preserve">, </w:t>
      </w:r>
      <w:proofErr w:type="spellStart"/>
      <w:r w:rsidR="0054003A" w:rsidRPr="00467456">
        <w:rPr>
          <w:rFonts w:eastAsiaTheme="minorEastAsia" w:cs="Helvetica"/>
          <w:lang w:val="en-GB"/>
        </w:rPr>
        <w:t>Kaltukatjara</w:t>
      </w:r>
      <w:proofErr w:type="spellEnd"/>
      <w:r w:rsidRPr="00467456">
        <w:t xml:space="preserve">, Finke, </w:t>
      </w:r>
      <w:proofErr w:type="spellStart"/>
      <w:r w:rsidRPr="00467456">
        <w:t>Haasts</w:t>
      </w:r>
      <w:proofErr w:type="spellEnd"/>
      <w:r w:rsidRPr="00467456">
        <w:t xml:space="preserve"> Bluff, </w:t>
      </w:r>
      <w:proofErr w:type="spellStart"/>
      <w:r w:rsidRPr="00467456">
        <w:t>Imanpa</w:t>
      </w:r>
      <w:proofErr w:type="spellEnd"/>
      <w:r w:rsidRPr="00467456">
        <w:t xml:space="preserve">, Kintore, </w:t>
      </w:r>
      <w:proofErr w:type="spellStart"/>
      <w:r w:rsidRPr="00467456">
        <w:t>Laramba</w:t>
      </w:r>
      <w:proofErr w:type="spellEnd"/>
      <w:r w:rsidRPr="00467456">
        <w:t xml:space="preserve">, Mt Liebig, </w:t>
      </w:r>
      <w:proofErr w:type="spellStart"/>
      <w:r w:rsidRPr="00467456">
        <w:t>Ntaria</w:t>
      </w:r>
      <w:proofErr w:type="spellEnd"/>
      <w:r w:rsidRPr="00467456">
        <w:t xml:space="preserve">, </w:t>
      </w:r>
      <w:proofErr w:type="spellStart"/>
      <w:r w:rsidRPr="00467456">
        <w:t>Nyirripi</w:t>
      </w:r>
      <w:proofErr w:type="spellEnd"/>
      <w:r w:rsidRPr="00467456">
        <w:t xml:space="preserve">, Papunya, Santa Teresa, </w:t>
      </w:r>
      <w:proofErr w:type="spellStart"/>
      <w:r w:rsidRPr="00467456">
        <w:t>Titj</w:t>
      </w:r>
      <w:r w:rsidR="00B363AC" w:rsidRPr="00467456">
        <w:t>i</w:t>
      </w:r>
      <w:r w:rsidRPr="00467456">
        <w:t>kala</w:t>
      </w:r>
      <w:proofErr w:type="spellEnd"/>
      <w:r w:rsidRPr="00467456">
        <w:t xml:space="preserve">, Ti-Tree, Yuendumu and </w:t>
      </w:r>
      <w:proofErr w:type="spellStart"/>
      <w:r w:rsidRPr="00467456">
        <w:t>Willowra</w:t>
      </w:r>
      <w:proofErr w:type="spellEnd"/>
      <w:r w:rsidRPr="00467456">
        <w:t xml:space="preserve">). </w:t>
      </w:r>
    </w:p>
    <w:p w14:paraId="5500A7C8" w14:textId="768B0E32" w:rsidR="003A77FF" w:rsidRPr="00467456" w:rsidRDefault="003A77FF" w:rsidP="00467456">
      <w:pPr>
        <w:rPr>
          <w:rFonts w:ascii="Times New Roman" w:eastAsia="Times New Roman" w:hAnsi="Times New Roman" w:cs="Times New Roman"/>
        </w:rPr>
      </w:pPr>
      <w:r w:rsidRPr="00467456">
        <w:t xml:space="preserve">These consultations helped inform the </w:t>
      </w:r>
      <w:r w:rsidR="00F2010E" w:rsidRPr="00467456">
        <w:t xml:space="preserve">Australian </w:t>
      </w:r>
      <w:r w:rsidR="00FE3F26" w:rsidRPr="00467456">
        <w:rPr>
          <w:rFonts w:cs="Segoe UI"/>
        </w:rPr>
        <w:t>Government</w:t>
      </w:r>
      <w:r w:rsidR="002A78D3" w:rsidRPr="00467456">
        <w:rPr>
          <w:rFonts w:cs="Segoe UI"/>
        </w:rPr>
        <w:t>’s</w:t>
      </w:r>
      <w:r w:rsidRPr="00467456">
        <w:t xml:space="preserve"> understanding of community priorities and potential projects, guiding decisions around targeted investment and funding allocations.</w:t>
      </w:r>
    </w:p>
    <w:p w14:paraId="5522A03D" w14:textId="77777777" w:rsidR="004C11DA" w:rsidRPr="0059555A" w:rsidRDefault="004C11DA" w:rsidP="00467456">
      <w:pPr>
        <w:pStyle w:val="Heading3"/>
      </w:pPr>
      <w:r w:rsidRPr="0059555A">
        <w:t>Communication and accountability</w:t>
      </w:r>
    </w:p>
    <w:p w14:paraId="2C6A2E2F" w14:textId="36D4F8A7" w:rsidR="004C11DA" w:rsidRPr="0059555A" w:rsidRDefault="004C11DA" w:rsidP="004C11DA">
      <w:r w:rsidRPr="0059555A">
        <w:t xml:space="preserve">Effective communication and accountability between government, non-government, and community stakeholders are essential components </w:t>
      </w:r>
      <w:r w:rsidR="006F3FAA">
        <w:t>for</w:t>
      </w:r>
      <w:r w:rsidRPr="0059555A">
        <w:t xml:space="preserve"> the effectiveness of the CAP.</w:t>
      </w:r>
      <w:r w:rsidR="008E62DC" w:rsidRPr="0059555A">
        <w:t xml:space="preserve">  Documents show that efforts were made to </w:t>
      </w:r>
      <w:r w:rsidR="00DB3EFF" w:rsidRPr="0059555A">
        <w:t xml:space="preserve">track progress of </w:t>
      </w:r>
      <w:r w:rsidR="008D31EB" w:rsidRPr="0059555A">
        <w:t>projects</w:t>
      </w:r>
      <w:r w:rsidR="00DB3EFF" w:rsidRPr="0059555A">
        <w:t xml:space="preserve"> and </w:t>
      </w:r>
      <w:r w:rsidR="008E62DC" w:rsidRPr="0059555A">
        <w:t xml:space="preserve">demonstrate progress of </w:t>
      </w:r>
      <w:r w:rsidR="00DB3EFF" w:rsidRPr="0059555A">
        <w:t>the CAP</w:t>
      </w:r>
      <w:r w:rsidR="008E62DC" w:rsidRPr="0059555A">
        <w:t xml:space="preserve"> to </w:t>
      </w:r>
      <w:r w:rsidR="00373A73" w:rsidRPr="0059555A">
        <w:t xml:space="preserve">stakeholders including the </w:t>
      </w:r>
      <w:r w:rsidR="008E62DC" w:rsidRPr="0059555A">
        <w:t>ALG</w:t>
      </w:r>
      <w:r w:rsidR="00373A73" w:rsidRPr="0059555A">
        <w:t xml:space="preserve">, </w:t>
      </w:r>
      <w:r w:rsidR="008E62DC" w:rsidRPr="0059555A">
        <w:t xml:space="preserve">YRT and </w:t>
      </w:r>
      <w:r w:rsidR="00373A73" w:rsidRPr="0059555A">
        <w:t>the IDC</w:t>
      </w:r>
      <w:r w:rsidR="00821CAC">
        <w:t>.</w:t>
      </w:r>
      <w:r w:rsidR="008E62DC" w:rsidRPr="0059555A">
        <w:t xml:space="preserve"> </w:t>
      </w:r>
      <w:r w:rsidR="00A57700">
        <w:t>Stakeholder</w:t>
      </w:r>
      <w:r w:rsidR="00A57700" w:rsidRPr="0059555A">
        <w:t xml:space="preserve"> </w:t>
      </w:r>
      <w:r w:rsidR="008E62DC" w:rsidRPr="0059555A">
        <w:t>interviews suggest</w:t>
      </w:r>
      <w:r w:rsidR="00A57700">
        <w:t>ed</w:t>
      </w:r>
      <w:r w:rsidR="008E62DC" w:rsidRPr="0059555A">
        <w:t xml:space="preserve"> that </w:t>
      </w:r>
      <w:r w:rsidR="00504506" w:rsidRPr="0059555A">
        <w:t xml:space="preserve">further </w:t>
      </w:r>
      <w:r w:rsidR="00A4323C" w:rsidRPr="0059555A">
        <w:t>refinement of</w:t>
      </w:r>
      <w:r w:rsidR="008E62DC" w:rsidRPr="0059555A">
        <w:t xml:space="preserve"> </w:t>
      </w:r>
      <w:r w:rsidR="00A4323C" w:rsidRPr="0059555A">
        <w:t>communication and accountability processes for the CAP are still required</w:t>
      </w:r>
      <w:r w:rsidR="00A4323C" w:rsidRPr="0059555A" w:rsidDel="00515E33">
        <w:t xml:space="preserve">. </w:t>
      </w:r>
      <w:r w:rsidR="00A84CAD" w:rsidRPr="0059555A">
        <w:t xml:space="preserve">Further detail is outlined below. </w:t>
      </w:r>
    </w:p>
    <w:p w14:paraId="007A9BBE" w14:textId="77777777" w:rsidR="004C11DA" w:rsidRPr="0059555A" w:rsidRDefault="004C11DA" w:rsidP="0044242D">
      <w:pPr>
        <w:pStyle w:val="Heading4"/>
      </w:pPr>
      <w:r w:rsidRPr="0059555A">
        <w:t xml:space="preserve">Communication with the ALG </w:t>
      </w:r>
    </w:p>
    <w:p w14:paraId="6292A929" w14:textId="1DF1FD05" w:rsidR="0053383A" w:rsidRDefault="004C11DA" w:rsidP="004C11DA">
      <w:pPr>
        <w:rPr>
          <w:rFonts w:cs="Times New Roman"/>
          <w:color w:val="404040"/>
        </w:rPr>
      </w:pPr>
      <w:r w:rsidRPr="0059555A">
        <w:t>Across documents it was identified that ALG members have repeatedly requested greater access to data and implementation updates, particularly regarding the influence of their input on CAP-funded activities and on broader progress</w:t>
      </w:r>
      <w:r w:rsidRPr="0059555A">
        <w:rPr>
          <w:rFonts w:cs="Times New Roman"/>
          <w:color w:val="404040"/>
        </w:rPr>
        <w:t>.</w:t>
      </w:r>
      <w:r w:rsidRPr="0059555A">
        <w:rPr>
          <w:rFonts w:cs="Times New Roman"/>
          <w:color w:val="404040"/>
          <w:vertAlign w:val="superscript"/>
        </w:rPr>
        <w:footnoteReference w:id="37"/>
      </w:r>
      <w:r w:rsidRPr="0059555A">
        <w:rPr>
          <w:rFonts w:cs="Times New Roman"/>
          <w:color w:val="404040"/>
        </w:rPr>
        <w:t xml:space="preserve"> </w:t>
      </w:r>
      <w:r w:rsidRPr="0059555A">
        <w:t>While internal documents show regular reporting and briefing materials are prepared by the NIAA, the persistence of these requests may indicate that communications are not being delivered in formats or methods that meet the needs and preferences of ALG members. It was highlighted in an interview that greater clarity and plain language are required in ALG meetings for members to understand what is being asked of them or delivered to them</w:t>
      </w:r>
      <w:r w:rsidRPr="0059555A">
        <w:rPr>
          <w:rFonts w:cs="Times New Roman"/>
          <w:color w:val="404040"/>
        </w:rPr>
        <w:t>.</w:t>
      </w:r>
      <w:r w:rsidR="00A70E25">
        <w:rPr>
          <w:rFonts w:cs="Times New Roman"/>
          <w:color w:val="404040"/>
          <w:vertAlign w:val="superscript"/>
        </w:rPr>
        <w:t xml:space="preserve"> </w:t>
      </w:r>
      <w:r w:rsidRPr="0059555A">
        <w:rPr>
          <w:rFonts w:cs="Times New Roman"/>
          <w:color w:val="404040"/>
        </w:rPr>
        <w:t xml:space="preserve"> </w:t>
      </w:r>
    </w:p>
    <w:p w14:paraId="1E137D67" w14:textId="678467E7" w:rsidR="004C11DA" w:rsidRPr="0059555A" w:rsidRDefault="004C11DA" w:rsidP="004C11DA">
      <w:pPr>
        <w:rPr>
          <w:rFonts w:cs="Times New Roman"/>
          <w:color w:val="404040"/>
        </w:rPr>
      </w:pPr>
      <w:r w:rsidRPr="0059555A">
        <w:t>Interviews with stakeholders identified that there should be several formalised avenues to hear from the voices of community that are not solely through the ALG.</w:t>
      </w:r>
      <w:r w:rsidRPr="0059555A">
        <w:rPr>
          <w:rFonts w:cs="Times New Roman"/>
          <w:color w:val="404040"/>
        </w:rPr>
        <w:t xml:space="preserve"> </w:t>
      </w:r>
      <w:r w:rsidRPr="0059555A">
        <w:t>These findings highlight that community governance structures are inherently complex, shaped by diverse cultural, social, historical, and political contexts. They often involve multiple layers of leadership including traditional bodies, elected representatives, community-based organisations, and advocacy groups.</w:t>
      </w:r>
      <w:r w:rsidRPr="0059555A">
        <w:rPr>
          <w:rFonts w:eastAsia="Times New Roman" w:cs="Times New Roman"/>
          <w:color w:val="404040"/>
          <w:vertAlign w:val="superscript"/>
        </w:rPr>
        <w:footnoteReference w:id="38"/>
      </w:r>
      <w:r w:rsidRPr="0059555A">
        <w:rPr>
          <w:rFonts w:eastAsia="Times New Roman" w:cs="Times New Roman"/>
          <w:color w:val="404040"/>
        </w:rPr>
        <w:t xml:space="preserve"> </w:t>
      </w:r>
      <w:r w:rsidRPr="0059555A">
        <w:t>This complexity is compounded when community governance intersects with government systems, which often operate through more rigid, top-down structures and statutory obligations and are under significant pressure to act rapidly.</w:t>
      </w:r>
      <w:r w:rsidRPr="0059555A">
        <w:rPr>
          <w:rStyle w:val="FootnoteReference"/>
        </w:rPr>
        <w:footnoteReference w:id="39"/>
      </w:r>
      <w:r w:rsidRPr="0059555A">
        <w:t xml:space="preserve"> However, it also highlights an opportunity to strengthen the ALG and other avenues for community input, and align these mechanisms with the </w:t>
      </w:r>
      <w:r w:rsidR="00C44087">
        <w:t>National Agreement</w:t>
      </w:r>
      <w:r w:rsidRPr="0059555A">
        <w:t xml:space="preserve"> commitments to enhance the government’s commitment to </w:t>
      </w:r>
      <w:r w:rsidRPr="00EC6EA7">
        <w:t>‘doing things differently</w:t>
      </w:r>
      <w:r w:rsidR="00EC6EA7" w:rsidRPr="00EC6EA7">
        <w:t>’</w:t>
      </w:r>
      <w:r w:rsidR="3F9E4443">
        <w:t xml:space="preserve"> under the CAP</w:t>
      </w:r>
      <w:r w:rsidRPr="00EC6EA7">
        <w:t>.</w:t>
      </w:r>
    </w:p>
    <w:p w14:paraId="6CBE8FF0" w14:textId="77777777" w:rsidR="004C11DA" w:rsidRPr="0059555A" w:rsidRDefault="004C11DA" w:rsidP="0044242D">
      <w:pPr>
        <w:pStyle w:val="Heading4"/>
      </w:pPr>
      <w:r w:rsidRPr="0059555A">
        <w:t>Communication with service providers and community</w:t>
      </w:r>
    </w:p>
    <w:p w14:paraId="65A4DAE1" w14:textId="7D8ABD66" w:rsidR="004C11DA" w:rsidRPr="0059555A" w:rsidRDefault="004C11DA" w:rsidP="004C11DA">
      <w:r w:rsidRPr="0059555A">
        <w:t xml:space="preserve">Accountability mechanisms to the wider First Nations community </w:t>
      </w:r>
      <w:r w:rsidR="00050A51" w:rsidRPr="0059555A">
        <w:t>need to</w:t>
      </w:r>
      <w:r w:rsidRPr="0059555A">
        <w:t xml:space="preserve"> be strengthened to inform and engage community in CAP investment, planning, and implementation updates. The reliance on the ALG to inform community of CAP activities is insufficient to support community awareness of </w:t>
      </w:r>
      <w:r w:rsidR="000B12C9">
        <w:t>implementation</w:t>
      </w:r>
      <w:r w:rsidRPr="0059555A">
        <w:t xml:space="preserve"> in the Central Australia region</w:t>
      </w:r>
      <w:r w:rsidR="00387864">
        <w:t>.</w:t>
      </w:r>
      <w:r w:rsidRPr="0059555A">
        <w:t xml:space="preserve"> </w:t>
      </w:r>
      <w:r w:rsidR="00387864">
        <w:t>This reliance</w:t>
      </w:r>
      <w:r w:rsidR="00841825">
        <w:t xml:space="preserve"> on the ALG</w:t>
      </w:r>
      <w:r w:rsidRPr="0059555A">
        <w:t xml:space="preserve"> has resulted in the formation of social tensions in community, and </w:t>
      </w:r>
      <w:r w:rsidR="00841825">
        <w:t xml:space="preserve">a </w:t>
      </w:r>
      <w:r w:rsidRPr="0059555A">
        <w:t>lack</w:t>
      </w:r>
      <w:r w:rsidR="00841825">
        <w:t xml:space="preserve"> of</w:t>
      </w:r>
      <w:r w:rsidRPr="0059555A">
        <w:t xml:space="preserve"> community understanding and buy-in.</w:t>
      </w:r>
      <w:r w:rsidR="00A70E25">
        <w:rPr>
          <w:rStyle w:val="FootnoteReference"/>
        </w:rPr>
        <w:t xml:space="preserve"> </w:t>
      </w:r>
      <w:r w:rsidRPr="0059555A">
        <w:t xml:space="preserve"> With no formalised process for regularly reporting progress of the CAP back to community organisations or communities across Central Australia, most stakeholders raised concerns about a lack of visibility and transparency</w:t>
      </w:r>
      <w:r w:rsidR="00BE5B03">
        <w:t>.</w:t>
      </w:r>
      <w:r w:rsidRPr="0059555A">
        <w:t xml:space="preserve"> </w:t>
      </w:r>
      <w:r w:rsidR="00BE5B03">
        <w:t>M</w:t>
      </w:r>
      <w:r w:rsidRPr="0059555A">
        <w:t>any stakeholders who had received CAP funding stating they knew little about the CAP</w:t>
      </w:r>
      <w:r w:rsidR="00E95B00">
        <w:t>.</w:t>
      </w:r>
      <w:r w:rsidR="00F01B13">
        <w:rPr>
          <w:rFonts w:cs="Times New Roman"/>
          <w:color w:val="404040"/>
          <w:vertAlign w:val="superscript"/>
        </w:rPr>
        <w:t xml:space="preserve"> </w:t>
      </w:r>
      <w:r w:rsidRPr="0059555A">
        <w:rPr>
          <w:rFonts w:cs="Times New Roman"/>
          <w:color w:val="404040"/>
        </w:rPr>
        <w:t xml:space="preserve"> </w:t>
      </w:r>
      <w:r w:rsidRPr="0059555A">
        <w:t>As a stakeholder commented:</w:t>
      </w:r>
    </w:p>
    <w:p w14:paraId="006DCAC6" w14:textId="34EF9652" w:rsidR="004C11DA" w:rsidRPr="0059555A" w:rsidRDefault="004C11DA" w:rsidP="003B13B6">
      <w:pPr>
        <w:pStyle w:val="Quote"/>
        <w:rPr>
          <w:i w:val="0"/>
        </w:rPr>
      </w:pPr>
      <w:r w:rsidRPr="0059555A">
        <w:t>“In our community, the reality is the community is talking and saying, what did that group of people do with the money? You know, that's our money. Where did it go?”</w:t>
      </w:r>
      <w:r w:rsidR="00043CF7">
        <w:rPr>
          <w:i w:val="0"/>
          <w:vertAlign w:val="superscript"/>
        </w:rPr>
        <w:t xml:space="preserve"> </w:t>
      </w:r>
    </w:p>
    <w:p w14:paraId="0F08CA07" w14:textId="130BCF07" w:rsidR="004C11DA" w:rsidRPr="0059555A" w:rsidRDefault="004C11DA" w:rsidP="004C11DA">
      <w:r w:rsidRPr="0059555A">
        <w:lastRenderedPageBreak/>
        <w:t>Participants called for increased feedback loops</w:t>
      </w:r>
      <w:r w:rsidR="4AEA47B2" w:rsidRPr="0059555A">
        <w:t xml:space="preserve"> and</w:t>
      </w:r>
      <w:r w:rsidRPr="0059555A">
        <w:t xml:space="preserve"> more accessible progress updates to ensure communities remain informed and engaged</w:t>
      </w:r>
      <w:r w:rsidR="002F1396">
        <w:t>.</w:t>
      </w:r>
      <w:r w:rsidR="00043CF7">
        <w:rPr>
          <w:vertAlign w:val="superscript"/>
        </w:rPr>
        <w:t xml:space="preserve"> </w:t>
      </w:r>
      <w:r w:rsidRPr="0059555A">
        <w:t xml:space="preserve"> DSS under the Strengthening Family and Communities Partnership </w:t>
      </w:r>
      <w:r w:rsidR="5D516E14" w:rsidRPr="0059555A">
        <w:t>(SFCP)</w:t>
      </w:r>
      <w:r w:rsidRPr="0059555A">
        <w:t xml:space="preserve"> has developed a community engagement process that has been endorsed by the ALG which includes ‘feedback </w:t>
      </w:r>
      <w:proofErr w:type="gramStart"/>
      <w:r w:rsidRPr="0059555A">
        <w:t>loops’</w:t>
      </w:r>
      <w:proofErr w:type="gramEnd"/>
      <w:r w:rsidRPr="0059555A">
        <w:t>.</w:t>
      </w:r>
      <w:r w:rsidRPr="0059555A">
        <w:rPr>
          <w:vertAlign w:val="superscript"/>
        </w:rPr>
        <w:t xml:space="preserve"> </w:t>
      </w:r>
      <w:r w:rsidRPr="0059555A">
        <w:rPr>
          <w:vertAlign w:val="superscript"/>
        </w:rPr>
        <w:footnoteReference w:id="40"/>
      </w:r>
      <w:r w:rsidRPr="0059555A">
        <w:t xml:space="preserve"> This process could be adopted more broadly under the CAP.</w:t>
      </w:r>
    </w:p>
    <w:p w14:paraId="5F3B1595" w14:textId="58D8BC81" w:rsidR="004C11DA" w:rsidRPr="0059555A" w:rsidRDefault="004C11DA" w:rsidP="004C11DA">
      <w:pPr>
        <w:rPr>
          <w:rFonts w:cs="Times New Roman"/>
          <w:color w:val="404040"/>
        </w:rPr>
      </w:pPr>
      <w:r w:rsidRPr="0059555A">
        <w:t xml:space="preserve">As highlighted across interviews, without clearly defined roles and shared accountability frameworks, there is a danger that perceived failures or implementation challenges may be attributed to First Nations-led mechanisms, even where these groups lack formal authority over resourcing, program design, or service delivery. </w:t>
      </w:r>
      <w:r w:rsidR="004E0ED2" w:rsidRPr="0059555A">
        <w:t>These dynamic</w:t>
      </w:r>
      <w:r w:rsidR="4BB63A76" w:rsidRPr="0059555A">
        <w:t>s</w:t>
      </w:r>
      <w:r w:rsidR="004E0ED2" w:rsidRPr="0059555A">
        <w:t xml:space="preserve"> risk</w:t>
      </w:r>
      <w:r w:rsidRPr="0059555A">
        <w:t xml:space="preserve"> undermining the principle of genuine partnership and may reproduce power imbalances under the guise of local leadership.</w:t>
      </w:r>
      <w:r w:rsidR="00043CF7">
        <w:rPr>
          <w:rFonts w:cs="Times New Roman"/>
          <w:color w:val="404040"/>
          <w:vertAlign w:val="superscript"/>
        </w:rPr>
        <w:t xml:space="preserve"> </w:t>
      </w:r>
      <w:r w:rsidRPr="0059555A">
        <w:rPr>
          <w:rFonts w:cs="Times New Roman"/>
          <w:color w:val="404040"/>
        </w:rPr>
        <w:t xml:space="preserve"> </w:t>
      </w:r>
      <w:r w:rsidRPr="0059555A">
        <w:t>Increased transparency could also assist in ensuring that stakeholders including community organisations are working collaboratively and not duplicating services. As a stakeholder commented:</w:t>
      </w:r>
      <w:r w:rsidRPr="0059555A">
        <w:rPr>
          <w:rFonts w:cs="Times New Roman"/>
          <w:color w:val="404040"/>
        </w:rPr>
        <w:t xml:space="preserve"> </w:t>
      </w:r>
    </w:p>
    <w:p w14:paraId="78B7CC74" w14:textId="3A3B19AB" w:rsidR="004C11DA" w:rsidRPr="0059555A" w:rsidRDefault="004C11DA" w:rsidP="00731960">
      <w:pPr>
        <w:pStyle w:val="Quote"/>
        <w:jc w:val="left"/>
        <w:rPr>
          <w:i w:val="0"/>
        </w:rPr>
      </w:pPr>
      <w:r w:rsidRPr="0059555A">
        <w:t>“</w:t>
      </w:r>
      <w:r w:rsidRPr="00493B3C">
        <w:t xml:space="preserve">Want to know where the money's gone in spaces that you work </w:t>
      </w:r>
      <w:proofErr w:type="gramStart"/>
      <w:r w:rsidRPr="00493B3C">
        <w:t>in order to</w:t>
      </w:r>
      <w:proofErr w:type="gramEnd"/>
      <w:r w:rsidRPr="00493B3C">
        <w:t xml:space="preserve"> potentially maximi</w:t>
      </w:r>
      <w:r w:rsidR="00F23C4F" w:rsidRPr="00493B3C">
        <w:t>s</w:t>
      </w:r>
      <w:r w:rsidRPr="00493B3C">
        <w:t xml:space="preserve">e the benefit and so we avoid duplication. We can partner, not in silos. And what we've found where government has previously done that, they've put money into [x] for another service. We haven't known what they're doing. We're going off trying to do our work, and then everyone's seeing the same clients, and we've created conflicts, and it's been </w:t>
      </w:r>
      <w:proofErr w:type="gramStart"/>
      <w:r w:rsidRPr="00493B3C">
        <w:t>really troubling</w:t>
      </w:r>
      <w:proofErr w:type="gramEnd"/>
      <w:r w:rsidRPr="00493B3C">
        <w:t xml:space="preserve"> for community members and troubling for us</w:t>
      </w:r>
      <w:r w:rsidRPr="0059555A">
        <w:rPr>
          <w:i w:val="0"/>
        </w:rPr>
        <w:t>”.</w:t>
      </w:r>
      <w:r w:rsidR="00043CF7">
        <w:rPr>
          <w:i w:val="0"/>
          <w:vertAlign w:val="superscript"/>
        </w:rPr>
        <w:t xml:space="preserve"> </w:t>
      </w:r>
    </w:p>
    <w:p w14:paraId="65DCD34A" w14:textId="5CBCAC52" w:rsidR="004C11DA" w:rsidRDefault="004C11DA" w:rsidP="1A31B231">
      <w:pPr>
        <w:rPr>
          <w:rFonts w:eastAsia="Helvetica" w:cs="Helvetica"/>
        </w:rPr>
      </w:pPr>
      <w:r w:rsidRPr="0059555A">
        <w:t xml:space="preserve">Some stakeholders called for greater transparency to ensure equitable, consistent, and evidence-based </w:t>
      </w:r>
      <w:r w:rsidR="00225081">
        <w:t>funding processes.</w:t>
      </w:r>
      <w:r w:rsidRPr="0059555A">
        <w:t xml:space="preserve"> </w:t>
      </w:r>
      <w:r w:rsidR="003B595A" w:rsidRPr="006F4A20">
        <w:t>Many s</w:t>
      </w:r>
      <w:r w:rsidR="00686B13" w:rsidRPr="006F4A20">
        <w:t>takeholders interviewed</w:t>
      </w:r>
      <w:r w:rsidR="007C7503" w:rsidRPr="006F4A20">
        <w:t xml:space="preserve"> </w:t>
      </w:r>
      <w:r w:rsidR="00D3366D" w:rsidRPr="006F4A20">
        <w:t xml:space="preserve">highlighted the application process for funding, describing it as </w:t>
      </w:r>
      <w:r w:rsidR="008C24DF" w:rsidRPr="006F4A20">
        <w:t xml:space="preserve">ad hoc in nature and </w:t>
      </w:r>
      <w:r w:rsidR="008E00FF" w:rsidRPr="006F4A20">
        <w:t>not aligned with typical government funding proce</w:t>
      </w:r>
      <w:r w:rsidR="005E5AE3" w:rsidRPr="006F4A20">
        <w:t>sses</w:t>
      </w:r>
      <w:r w:rsidR="008E00FF" w:rsidRPr="006F4A20">
        <w:t xml:space="preserve">. </w:t>
      </w:r>
      <w:r w:rsidR="0000013A" w:rsidRPr="006F4A20">
        <w:t xml:space="preserve">In addition, stakeholders reported markedly </w:t>
      </w:r>
      <w:r w:rsidR="00BA3D19" w:rsidRPr="006F4A20">
        <w:t xml:space="preserve">different experiences </w:t>
      </w:r>
      <w:r w:rsidR="003549C8" w:rsidRPr="006F4A20">
        <w:t>w</w:t>
      </w:r>
      <w:r w:rsidR="00734567" w:rsidRPr="006F4A20">
        <w:t>hen</w:t>
      </w:r>
      <w:r w:rsidR="003549C8" w:rsidRPr="006F4A20">
        <w:t xml:space="preserve"> applying for and receiving funding</w:t>
      </w:r>
      <w:r w:rsidR="00C87F62" w:rsidRPr="006F4A20">
        <w:t xml:space="preserve">, ranging from being invited to apply </w:t>
      </w:r>
      <w:r w:rsidR="00C606F0">
        <w:t>in different ways</w:t>
      </w:r>
      <w:r w:rsidR="00C606F0" w:rsidRPr="006F4A20">
        <w:t xml:space="preserve">, </w:t>
      </w:r>
      <w:r w:rsidR="00666658">
        <w:t>to navigating unclear or informal processes with varying expectations and timeframes</w:t>
      </w:r>
      <w:r w:rsidR="00666658" w:rsidRPr="006F4A20">
        <w:t>. Some of th</w:t>
      </w:r>
      <w:r w:rsidR="00632015" w:rsidRPr="006F4A20">
        <w:t xml:space="preserve">ese experiences may be related to the nature of the CAP, with different </w:t>
      </w:r>
      <w:r w:rsidR="000065D8" w:rsidRPr="006F4A20">
        <w:t>agencies involved delivering different projects</w:t>
      </w:r>
      <w:r w:rsidR="00632015" w:rsidRPr="006F4A20">
        <w:t xml:space="preserve">, or due to </w:t>
      </w:r>
      <w:r w:rsidR="002B6AE5" w:rsidRPr="006F4A20">
        <w:t>the nature of the organisation applying for funding</w:t>
      </w:r>
      <w:r w:rsidR="005B091D">
        <w:t>.</w:t>
      </w:r>
      <w:r w:rsidR="00043CF7">
        <w:rPr>
          <w:rFonts w:cs="Times New Roman"/>
          <w:color w:val="404040"/>
          <w:vertAlign w:val="superscript"/>
        </w:rPr>
        <w:t xml:space="preserve"> </w:t>
      </w:r>
      <w:r w:rsidR="002B6AE5" w:rsidRPr="006F4A20">
        <w:t xml:space="preserve"> However, interviews with stakeholders consistently identified the benefit of </w:t>
      </w:r>
      <w:r w:rsidR="006D65A1" w:rsidRPr="006F4A20">
        <w:t xml:space="preserve">transparency </w:t>
      </w:r>
      <w:r w:rsidR="000065D8" w:rsidRPr="006F4A20">
        <w:t>from NIAA</w:t>
      </w:r>
      <w:r w:rsidR="006D65A1" w:rsidRPr="006F4A20">
        <w:t xml:space="preserve"> to foster trust </w:t>
      </w:r>
      <w:r w:rsidR="009E5E95" w:rsidRPr="006F4A20">
        <w:t>and confidence in the integrity of funding decisions.</w:t>
      </w:r>
      <w:r w:rsidR="009E5E95">
        <w:t xml:space="preserve"> </w:t>
      </w:r>
    </w:p>
    <w:p w14:paraId="21B1E291" w14:textId="1092EDBD" w:rsidR="00092CF2" w:rsidRDefault="00092CF2" w:rsidP="004C11DA">
      <w:r>
        <w:t xml:space="preserve">Stakeholder interviews identified </w:t>
      </w:r>
      <w:r w:rsidR="005E13ED">
        <w:t xml:space="preserve">broader confusion around the CAP, </w:t>
      </w:r>
      <w:r w:rsidR="00D3069C">
        <w:t>including</w:t>
      </w:r>
      <w:r w:rsidR="005E13ED">
        <w:t xml:space="preserve"> </w:t>
      </w:r>
      <w:r w:rsidR="00CC6C5D">
        <w:t>which organisations had received what levels of</w:t>
      </w:r>
      <w:r w:rsidR="00370F1D">
        <w:t xml:space="preserve"> funding</w:t>
      </w:r>
      <w:r w:rsidR="00CC6C5D">
        <w:t>,</w:t>
      </w:r>
      <w:r w:rsidR="00370F1D">
        <w:t xml:space="preserve"> </w:t>
      </w:r>
      <w:r w:rsidR="00FF62D2">
        <w:t xml:space="preserve">how decisions were made, and how investment aligned with community priorities. </w:t>
      </w:r>
      <w:r w:rsidR="0046199D">
        <w:t xml:space="preserve">This included confusion around some stakeholders </w:t>
      </w:r>
      <w:r w:rsidR="000001A1">
        <w:t xml:space="preserve">and their </w:t>
      </w:r>
      <w:r w:rsidR="0046199D">
        <w:t>own organisation</w:t>
      </w:r>
      <w:r w:rsidR="000001A1">
        <w:t>al</w:t>
      </w:r>
      <w:r w:rsidR="0046199D">
        <w:t xml:space="preserve"> funding</w:t>
      </w:r>
      <w:r w:rsidR="003240DB">
        <w:t xml:space="preserve">, with </w:t>
      </w:r>
      <w:r w:rsidR="00EF600F">
        <w:t>some</w:t>
      </w:r>
      <w:r w:rsidR="003240DB">
        <w:t xml:space="preserve"> </w:t>
      </w:r>
      <w:r w:rsidR="00D71963">
        <w:t>unclear about what funding they had received and when.</w:t>
      </w:r>
      <w:r w:rsidR="00D71963" w:rsidRPr="003F3F35">
        <w:rPr>
          <w:rStyle w:val="FootnoteReference"/>
          <w:rFonts w:eastAsia="Helvetica" w:cs="Helvetica"/>
        </w:rPr>
        <w:t xml:space="preserve"> </w:t>
      </w:r>
      <w:r w:rsidR="00043CF7">
        <w:rPr>
          <w:rStyle w:val="FootnoteReference"/>
          <w:rFonts w:eastAsia="Helvetica" w:cs="Helvetica"/>
        </w:rPr>
        <w:t xml:space="preserve"> </w:t>
      </w:r>
      <w:r w:rsidR="00D71963">
        <w:t xml:space="preserve"> </w:t>
      </w:r>
    </w:p>
    <w:p w14:paraId="245F28BE" w14:textId="17D20D49" w:rsidR="00CB2E68" w:rsidRDefault="00D71963" w:rsidP="1A31B231">
      <w:r>
        <w:t>Given the high profile nature of the CAP and its visibility within the region, stakeholders expressed a strong interest in understanding the distribution of funding, including clear articulation of how funding decisions have been made</w:t>
      </w:r>
      <w:r w:rsidR="009D2447">
        <w:t xml:space="preserve">, </w:t>
      </w:r>
      <w:r w:rsidR="003F3F35">
        <w:t xml:space="preserve">and </w:t>
      </w:r>
      <w:r w:rsidR="009D2447">
        <w:t xml:space="preserve">how resources are </w:t>
      </w:r>
      <w:r w:rsidR="6296509B">
        <w:t>distributed</w:t>
      </w:r>
      <w:r w:rsidR="009D2447">
        <w:t xml:space="preserve"> across communities and sectors</w:t>
      </w:r>
      <w:r w:rsidR="00D6623C">
        <w:t>.</w:t>
      </w:r>
      <w:r w:rsidR="00043CF7">
        <w:rPr>
          <w:rStyle w:val="FootnoteReference"/>
        </w:rPr>
        <w:t xml:space="preserve"> </w:t>
      </w:r>
      <w:r w:rsidR="009D2447">
        <w:t xml:space="preserve"> Whil</w:t>
      </w:r>
      <w:r w:rsidR="00FB41AF">
        <w:t>e</w:t>
      </w:r>
      <w:r w:rsidR="009D2447">
        <w:t xml:space="preserve"> there will be opportunities to provide this clarity moving forward, this interview data </w:t>
      </w:r>
      <w:r w:rsidR="79201473">
        <w:t>indicates</w:t>
      </w:r>
      <w:r w:rsidR="009D2447">
        <w:t xml:space="preserve"> a desire for </w:t>
      </w:r>
      <w:r w:rsidR="00496CC7">
        <w:t>funding</w:t>
      </w:r>
      <w:r w:rsidR="009D2447">
        <w:t xml:space="preserve"> transparency to </w:t>
      </w:r>
      <w:r w:rsidR="00401F3E">
        <w:t xml:space="preserve">be </w:t>
      </w:r>
      <w:r w:rsidR="009D2447">
        <w:t xml:space="preserve">provided early on when governments are investing money or delivering initiatives into communities. </w:t>
      </w:r>
    </w:p>
    <w:p w14:paraId="5F0990EE" w14:textId="652E4D03" w:rsidR="00DB533E" w:rsidRPr="00352004" w:rsidRDefault="004C11DA" w:rsidP="00352004">
      <w:pPr>
        <w:rPr>
          <w:rFonts w:eastAsia="Helvetica" w:cs="Helvetica"/>
        </w:rPr>
      </w:pPr>
      <w:r w:rsidRPr="0059555A">
        <w:t>NIAA communications received by some service providers supported their project implementation, facilitated the process, and improved relationship building.</w:t>
      </w:r>
      <w:r w:rsidR="00043CF7">
        <w:rPr>
          <w:rStyle w:val="FootnoteReference"/>
        </w:rPr>
        <w:t xml:space="preserve"> </w:t>
      </w:r>
      <w:r w:rsidRPr="0059555A">
        <w:t xml:space="preserve"> Increased formal communication and accountability mechanisms would continue to strengthen relationships between government and community stakeholders. </w:t>
      </w:r>
      <w:r w:rsidR="00DB533E">
        <w:br w:type="page"/>
      </w:r>
    </w:p>
    <w:p w14:paraId="17134F6A" w14:textId="3AD0B5D9" w:rsidR="003A77FF" w:rsidRDefault="003A77FF" w:rsidP="00731960">
      <w:pPr>
        <w:pStyle w:val="Heading2"/>
        <w:rPr>
          <w:kern w:val="2"/>
          <w:sz w:val="20"/>
          <w:lang w:eastAsia="en-US"/>
          <w14:ligatures w14:val="standardContextual"/>
        </w:rPr>
      </w:pPr>
      <w:r w:rsidRPr="00FC62FE">
        <w:lastRenderedPageBreak/>
        <w:t>KEQ2: How has the CAP been implemented differently?</w:t>
      </w:r>
      <w:r w:rsidRPr="00FC62FE">
        <w:rPr>
          <w:rFonts w:cs="Arial"/>
        </w:rPr>
        <w:t>​</w:t>
      </w:r>
      <w:r w:rsidRPr="00DD4C0B">
        <w:rPr>
          <w:kern w:val="2"/>
          <w:sz w:val="20"/>
          <w:lang w:eastAsia="en-US"/>
          <w14:ligatures w14:val="standardContextual"/>
        </w:rPr>
        <w:t xml:space="preserve"> </w:t>
      </w:r>
    </w:p>
    <w:p w14:paraId="2B522846" w14:textId="5E68217A" w:rsidR="003A77FF" w:rsidRPr="00C40B11" w:rsidRDefault="00165E6F" w:rsidP="00B20C91">
      <w:r>
        <w:t>These findings explore</w:t>
      </w:r>
      <w:r w:rsidR="00B20C91">
        <w:t xml:space="preserve"> the extent to which the CAP is “doing things differently” and focuses on d</w:t>
      </w:r>
      <w:r w:rsidR="003A77FF" w:rsidRPr="00C40B11">
        <w:t>ecision-making processes</w:t>
      </w:r>
      <w:r w:rsidR="00B20C91">
        <w:t>, the l</w:t>
      </w:r>
      <w:r w:rsidR="003A77FF" w:rsidRPr="00C40B11">
        <w:t>ocation and focus of investment</w:t>
      </w:r>
      <w:r w:rsidR="00B20C91">
        <w:t>s, a</w:t>
      </w:r>
      <w:r w:rsidR="003A77FF" w:rsidRPr="00C40B11">
        <w:t xml:space="preserve">lignment </w:t>
      </w:r>
      <w:r w:rsidR="00B20C91">
        <w:t xml:space="preserve">investment </w:t>
      </w:r>
      <w:r w:rsidR="003A77FF" w:rsidRPr="00C40B11">
        <w:t xml:space="preserve">to </w:t>
      </w:r>
      <w:r w:rsidR="00B20C91">
        <w:t xml:space="preserve">the </w:t>
      </w:r>
      <w:r w:rsidR="003A77FF" w:rsidRPr="00C40B11">
        <w:t>advice</w:t>
      </w:r>
      <w:r w:rsidR="00B20C91">
        <w:t xml:space="preserve"> provided, and the a</w:t>
      </w:r>
      <w:r w:rsidR="003A77FF" w:rsidRPr="00C40B11">
        <w:t xml:space="preserve">lignment of funding to </w:t>
      </w:r>
      <w:r w:rsidR="00B20C91">
        <w:t>CAP (and broader policy)</w:t>
      </w:r>
      <w:r w:rsidR="003A77FF" w:rsidRPr="00C40B11">
        <w:t xml:space="preserve"> priorities</w:t>
      </w:r>
      <w:r w:rsidR="00731960">
        <w:t>.</w:t>
      </w:r>
      <w:r w:rsidR="003A77FF" w:rsidRPr="00C40B11">
        <w:t xml:space="preserve">  </w:t>
      </w:r>
    </w:p>
    <w:tbl>
      <w:tblPr>
        <w:tblStyle w:val="TableGrid2"/>
        <w:tblpPr w:leftFromText="180" w:rightFromText="180" w:vertAnchor="text" w:horzAnchor="margin" w:tblpY="24"/>
        <w:tblW w:w="5000" w:type="pct"/>
        <w:tblLook w:val="04A0" w:firstRow="1" w:lastRow="0" w:firstColumn="1" w:lastColumn="0" w:noHBand="0" w:noVBand="1"/>
      </w:tblPr>
      <w:tblGrid>
        <w:gridCol w:w="9680"/>
      </w:tblGrid>
      <w:tr w:rsidR="003A77FF" w:rsidRPr="00FC62FE" w14:paraId="0CABF997" w14:textId="77777777" w:rsidTr="70B5EB4B">
        <w:trPr>
          <w:trHeight w:val="4335"/>
        </w:trPr>
        <w:tc>
          <w:tcPr>
            <w:tcW w:w="5000" w:type="pct"/>
            <w:tcBorders>
              <w:top w:val="single" w:sz="24" w:space="0" w:color="009999"/>
              <w:left w:val="single" w:sz="24" w:space="0" w:color="009999"/>
              <w:bottom w:val="single" w:sz="24" w:space="0" w:color="009999"/>
              <w:right w:val="single" w:sz="24" w:space="0" w:color="009999"/>
            </w:tcBorders>
          </w:tcPr>
          <w:p w14:paraId="6C27670F" w14:textId="63345E08" w:rsidR="00B20C91" w:rsidRPr="009917B3" w:rsidRDefault="00B20C91" w:rsidP="00B20C91">
            <w:pPr>
              <w:pStyle w:val="Heading3"/>
            </w:pPr>
            <w:r>
              <w:t xml:space="preserve">Summary of </w:t>
            </w:r>
            <w:r w:rsidR="00DE3850">
              <w:t xml:space="preserve">evaluation </w:t>
            </w:r>
            <w:r w:rsidRPr="009917B3">
              <w:t>findings</w:t>
            </w:r>
          </w:p>
          <w:p w14:paraId="6B93B699" w14:textId="58199B90" w:rsidR="003A77FF" w:rsidRDefault="0060021F" w:rsidP="00DA4528">
            <w:r w:rsidRPr="0060021F">
              <w:t xml:space="preserve">The CAP included some important elements where implementation differed from </w:t>
            </w:r>
            <w:r w:rsidR="3DCA1ABE">
              <w:t>‘</w:t>
            </w:r>
            <w:r w:rsidRPr="0060021F">
              <w:t xml:space="preserve">business as </w:t>
            </w:r>
            <w:r>
              <w:t>usual</w:t>
            </w:r>
            <w:r w:rsidR="7F270921">
              <w:t>’</w:t>
            </w:r>
            <w:r>
              <w:t>.</w:t>
            </w:r>
            <w:r w:rsidRPr="0060021F">
              <w:t xml:space="preserve"> The first is the use of </w:t>
            </w:r>
            <w:r w:rsidR="003A77FF" w:rsidRPr="0060021F">
              <w:t>dedicated mechanism</w:t>
            </w:r>
            <w:r w:rsidR="004663CC" w:rsidRPr="0060021F">
              <w:t xml:space="preserve">s to meaningfully and consistently engage </w:t>
            </w:r>
            <w:r w:rsidR="0083444C" w:rsidRPr="0060021F">
              <w:t>First Nations</w:t>
            </w:r>
            <w:r w:rsidR="003A77FF" w:rsidRPr="0060021F">
              <w:t xml:space="preserve"> people</w:t>
            </w:r>
            <w:r w:rsidR="0083444C" w:rsidRPr="0060021F">
              <w:t>s</w:t>
            </w:r>
            <w:r w:rsidR="003A77FF" w:rsidRPr="0060021F">
              <w:t xml:space="preserve"> in investment decisions.</w:t>
            </w:r>
            <w:r w:rsidR="004663CC" w:rsidRPr="0060021F">
              <w:t xml:space="preserve"> </w:t>
            </w:r>
            <w:r w:rsidRPr="0060021F">
              <w:t xml:space="preserve">Second, there is a </w:t>
            </w:r>
            <w:r w:rsidR="003A77FF" w:rsidRPr="0060021F">
              <w:t xml:space="preserve">focus on </w:t>
            </w:r>
            <w:r>
              <w:t>ensuring that remote communities that have</w:t>
            </w:r>
            <w:r w:rsidR="00931286">
              <w:t xml:space="preserve"> poorer access to services receive equal or more </w:t>
            </w:r>
            <w:r w:rsidR="003A77FF" w:rsidRPr="0060021F">
              <w:t xml:space="preserve">funding </w:t>
            </w:r>
            <w:r w:rsidR="00931286">
              <w:t>compared to the more urbanised Alice Springs</w:t>
            </w:r>
            <w:r w:rsidR="003A77FF" w:rsidRPr="0060021F">
              <w:t xml:space="preserve">. </w:t>
            </w:r>
            <w:r w:rsidRPr="0060021F">
              <w:t xml:space="preserve">Finally, a dedicated, ongoing </w:t>
            </w:r>
            <w:r w:rsidR="00774519">
              <w:t>i</w:t>
            </w:r>
            <w:r w:rsidRPr="0060021F">
              <w:t>nteragency response, and working through the IDC is a key feature of CAP implementation.</w:t>
            </w:r>
            <w:r>
              <w:t xml:space="preserve"> </w:t>
            </w:r>
          </w:p>
          <w:p w14:paraId="52C9EA8C" w14:textId="77777777" w:rsidR="00731960" w:rsidRDefault="003A77FF" w:rsidP="00731960">
            <w:pPr>
              <w:rPr>
                <w:rStyle w:val="Heading3Char"/>
                <w:b w:val="0"/>
                <w:bCs/>
                <w:color w:val="404040" w:themeColor="text1" w:themeTint="BF"/>
              </w:rPr>
            </w:pPr>
            <w:r w:rsidRPr="00731960">
              <w:rPr>
                <w:rStyle w:val="Heading3Char"/>
                <w:b w:val="0"/>
                <w:bCs/>
                <w:sz w:val="24"/>
                <w:szCs w:val="24"/>
              </w:rPr>
              <w:t>Decision-making processes</w:t>
            </w:r>
          </w:p>
          <w:p w14:paraId="1CD10C3D" w14:textId="419A2D55" w:rsidR="003A77FF" w:rsidRPr="00963742" w:rsidRDefault="003A77FF" w:rsidP="00731960">
            <w:pPr>
              <w:rPr>
                <w:lang w:eastAsia="en-GB"/>
              </w:rPr>
            </w:pPr>
            <w:r w:rsidRPr="00963742">
              <w:rPr>
                <w:lang w:eastAsia="en-GB"/>
              </w:rPr>
              <w:t xml:space="preserve">The </w:t>
            </w:r>
            <w:r>
              <w:rPr>
                <w:lang w:eastAsia="en-GB"/>
              </w:rPr>
              <w:t>CAP</w:t>
            </w:r>
            <w:r w:rsidRPr="00963742">
              <w:rPr>
                <w:lang w:eastAsia="en-GB"/>
              </w:rPr>
              <w:t xml:space="preserve"> marks a notable shift in the way governments</w:t>
            </w:r>
            <w:r>
              <w:rPr>
                <w:lang w:eastAsia="en-GB"/>
              </w:rPr>
              <w:t xml:space="preserve"> are</w:t>
            </w:r>
            <w:r w:rsidRPr="00963742">
              <w:rPr>
                <w:lang w:eastAsia="en-GB"/>
              </w:rPr>
              <w:t xml:space="preserve"> engag</w:t>
            </w:r>
            <w:r>
              <w:rPr>
                <w:lang w:eastAsia="en-GB"/>
              </w:rPr>
              <w:t>ing</w:t>
            </w:r>
            <w:r w:rsidRPr="00963742">
              <w:rPr>
                <w:lang w:eastAsia="en-GB"/>
              </w:rPr>
              <w:t xml:space="preserve"> with First Nations communities</w:t>
            </w:r>
            <w:r>
              <w:rPr>
                <w:lang w:eastAsia="en-GB"/>
              </w:rPr>
              <w:t xml:space="preserve"> to make important policy and investment decisions. </w:t>
            </w:r>
            <w:r w:rsidRPr="00963742">
              <w:rPr>
                <w:lang w:eastAsia="en-GB"/>
              </w:rPr>
              <w:t xml:space="preserve">There is a growing commitment to more respectful and collaborative approaches that involve </w:t>
            </w:r>
            <w:r w:rsidR="00A5079C">
              <w:rPr>
                <w:lang w:eastAsia="en-GB"/>
              </w:rPr>
              <w:t>First Nations</w:t>
            </w:r>
            <w:r w:rsidRPr="00963742">
              <w:rPr>
                <w:lang w:eastAsia="en-GB"/>
              </w:rPr>
              <w:t xml:space="preserve"> leadership in policy and planning</w:t>
            </w:r>
            <w:r>
              <w:rPr>
                <w:lang w:eastAsia="en-GB"/>
              </w:rPr>
              <w:t xml:space="preserve"> namely through the ALG and the YRT</w:t>
            </w:r>
            <w:r w:rsidRPr="00963742">
              <w:rPr>
                <w:lang w:eastAsia="en-GB"/>
              </w:rPr>
              <w:t>. This shift is seen as essential for building trust and improving long-term outcomes.</w:t>
            </w:r>
            <w:r>
              <w:rPr>
                <w:lang w:eastAsia="en-GB"/>
              </w:rPr>
              <w:t xml:space="preserve"> </w:t>
            </w:r>
            <w:r w:rsidRPr="00963742">
              <w:rPr>
                <w:lang w:eastAsia="en-GB"/>
              </w:rPr>
              <w:t xml:space="preserve">The </w:t>
            </w:r>
            <w:r>
              <w:rPr>
                <w:lang w:eastAsia="en-GB"/>
              </w:rPr>
              <w:t>ALG</w:t>
            </w:r>
            <w:r w:rsidRPr="00963742">
              <w:rPr>
                <w:lang w:eastAsia="en-GB"/>
              </w:rPr>
              <w:t xml:space="preserve"> is widely regarded as a key strength of the CAP. It provides a meaningful mechanism for </w:t>
            </w:r>
            <w:r w:rsidR="000258D3">
              <w:rPr>
                <w:lang w:eastAsia="en-GB"/>
              </w:rPr>
              <w:t>First Nations</w:t>
            </w:r>
            <w:r w:rsidRPr="00963742">
              <w:rPr>
                <w:lang w:eastAsia="en-GB"/>
              </w:rPr>
              <w:t xml:space="preserve"> voices to shape decisions, influence investment priorities, and hold governments accountable</w:t>
            </w:r>
            <w:r>
              <w:rPr>
                <w:lang w:eastAsia="en-GB"/>
              </w:rPr>
              <w:t xml:space="preserve"> to community priorities</w:t>
            </w:r>
            <w:r w:rsidRPr="00963742">
              <w:rPr>
                <w:lang w:eastAsia="en-GB"/>
              </w:rPr>
              <w:t>. The ALG has played a direct role in shaping funding decisions and ensuring discussions remain grounded in community realities.</w:t>
            </w:r>
            <w:r>
              <w:rPr>
                <w:lang w:eastAsia="en-GB"/>
              </w:rPr>
              <w:t xml:space="preserve"> </w:t>
            </w:r>
          </w:p>
          <w:p w14:paraId="4F0D6E20" w14:textId="77777777" w:rsidR="00931286" w:rsidRPr="00731960" w:rsidRDefault="003A77FF" w:rsidP="00A8689B">
            <w:pPr>
              <w:pStyle w:val="Heading3"/>
              <w:rPr>
                <w:b w:val="0"/>
                <w:bCs/>
              </w:rPr>
            </w:pPr>
            <w:r w:rsidRPr="00731960">
              <w:rPr>
                <w:b w:val="0"/>
                <w:bCs/>
              </w:rPr>
              <w:t>Location and focus of investment</w:t>
            </w:r>
          </w:p>
          <w:p w14:paraId="1ACF2EFE" w14:textId="1CED483E" w:rsidR="003A77FF" w:rsidRPr="006B3BD8" w:rsidRDefault="00931286" w:rsidP="00DA4528">
            <w:r>
              <w:t xml:space="preserve">At the time of the evaluation, remote locations have been allocated the largest amount of CAP funding at $96 million, with more projects in the pipeline for </w:t>
            </w:r>
            <w:r w:rsidR="000053D1">
              <w:t xml:space="preserve">additional </w:t>
            </w:r>
            <w:r>
              <w:t>remote location</w:t>
            </w:r>
            <w:r w:rsidR="000053D1">
              <w:t>s</w:t>
            </w:r>
            <w:r>
              <w:t xml:space="preserve">. Alice Springs has been allocated $69 million. </w:t>
            </w:r>
            <w:r w:rsidR="001C7279">
              <w:t>It is noted that</w:t>
            </w:r>
            <w:r w:rsidR="00A42D33">
              <w:t xml:space="preserve"> </w:t>
            </w:r>
            <w:r w:rsidR="004406A2">
              <w:t>a</w:t>
            </w:r>
            <w:r w:rsidR="00477143">
              <w:t xml:space="preserve">dditional </w:t>
            </w:r>
            <w:r w:rsidR="001C7279">
              <w:t>complexities and requirements to</w:t>
            </w:r>
            <w:r w:rsidR="00477143">
              <w:t xml:space="preserve"> implementing </w:t>
            </w:r>
            <w:r w:rsidR="00911719">
              <w:t xml:space="preserve">projects </w:t>
            </w:r>
            <w:r w:rsidR="00794496">
              <w:t xml:space="preserve">in </w:t>
            </w:r>
            <w:r w:rsidR="00837D6C">
              <w:t xml:space="preserve">remote </w:t>
            </w:r>
            <w:r w:rsidR="00FF5CD2">
              <w:t>locations</w:t>
            </w:r>
            <w:r w:rsidR="009B0434">
              <w:t xml:space="preserve"> </w:t>
            </w:r>
            <w:r w:rsidR="00C937CB">
              <w:t xml:space="preserve">has led to relative delays in </w:t>
            </w:r>
            <w:r w:rsidR="00741711">
              <w:t xml:space="preserve">those areas </w:t>
            </w:r>
            <w:r w:rsidR="00DF7EE5">
              <w:t xml:space="preserve">compared to Alice Springs. These include </w:t>
            </w:r>
            <w:r w:rsidR="005871C1">
              <w:t>i</w:t>
            </w:r>
            <w:r w:rsidR="00DF7EE5">
              <w:t>denti</w:t>
            </w:r>
            <w:r w:rsidR="00B07234">
              <w:t>f</w:t>
            </w:r>
            <w:r w:rsidR="00DF7EE5">
              <w:t xml:space="preserve">ication of </w:t>
            </w:r>
            <w:r w:rsidR="005871C1">
              <w:t xml:space="preserve">appropriate </w:t>
            </w:r>
            <w:r w:rsidR="00DF7EE5">
              <w:t>cultural authority</w:t>
            </w:r>
            <w:r w:rsidR="005871C1">
              <w:t xml:space="preserve"> for a region</w:t>
            </w:r>
            <w:r w:rsidR="0072614D">
              <w:t xml:space="preserve"> and approvals from the Central Land Council</w:t>
            </w:r>
            <w:r w:rsidR="0047624C">
              <w:t>,</w:t>
            </w:r>
            <w:r w:rsidR="007D3CC6">
              <w:t xml:space="preserve"> </w:t>
            </w:r>
            <w:r w:rsidR="00036E0A">
              <w:t xml:space="preserve">assessments of existing </w:t>
            </w:r>
            <w:r w:rsidR="00306AEE">
              <w:t xml:space="preserve">infrastructure </w:t>
            </w:r>
            <w:r w:rsidR="00036E0A">
              <w:t xml:space="preserve">and challenges </w:t>
            </w:r>
            <w:r w:rsidR="008344CC">
              <w:t xml:space="preserve">relating to </w:t>
            </w:r>
            <w:r w:rsidR="00164E4F">
              <w:t>remoteness</w:t>
            </w:r>
            <w:r w:rsidR="00DF7EE5">
              <w:t>.</w:t>
            </w:r>
            <w:r w:rsidR="00325727">
              <w:t xml:space="preserve"> </w:t>
            </w:r>
            <w:r w:rsidR="005B06FE">
              <w:t>A</w:t>
            </w:r>
            <w:r w:rsidR="003A77FF">
              <w:t xml:space="preserve"> total of $46</w:t>
            </w:r>
            <w:r w:rsidR="006B3BD8">
              <w:t xml:space="preserve"> million</w:t>
            </w:r>
            <w:r w:rsidR="003A77FF">
              <w:t xml:space="preserve"> </w:t>
            </w:r>
            <w:r w:rsidR="005B06FE">
              <w:t xml:space="preserve">has been </w:t>
            </w:r>
            <w:r w:rsidR="003A77FF">
              <w:t>paid to Alice Springs initiatives and $22</w:t>
            </w:r>
            <w:r w:rsidR="00B93520">
              <w:t>.8 million</w:t>
            </w:r>
            <w:r w:rsidR="003A77FF">
              <w:t xml:space="preserve"> </w:t>
            </w:r>
            <w:r w:rsidR="005B06FE">
              <w:t xml:space="preserve">has been </w:t>
            </w:r>
            <w:r w:rsidR="003A77FF">
              <w:t>paid to remote projects</w:t>
            </w:r>
            <w:r w:rsidR="00B93520">
              <w:t xml:space="preserve"> to date</w:t>
            </w:r>
            <w:r w:rsidR="003A77FF">
              <w:t xml:space="preserve">. </w:t>
            </w:r>
          </w:p>
          <w:p w14:paraId="194A8DE8" w14:textId="6DD63EE0" w:rsidR="003A77FF" w:rsidRPr="00731960" w:rsidRDefault="003A77FF" w:rsidP="00A8689B">
            <w:pPr>
              <w:pStyle w:val="Heading3"/>
              <w:rPr>
                <w:b w:val="0"/>
                <w:bCs/>
              </w:rPr>
            </w:pPr>
            <w:r w:rsidRPr="00731960">
              <w:rPr>
                <w:b w:val="0"/>
                <w:bCs/>
              </w:rPr>
              <w:t xml:space="preserve">Alignment </w:t>
            </w:r>
            <w:r w:rsidR="00CE056D" w:rsidRPr="00731960">
              <w:rPr>
                <w:b w:val="0"/>
                <w:bCs/>
              </w:rPr>
              <w:t>to</w:t>
            </w:r>
            <w:r w:rsidRPr="00731960">
              <w:rPr>
                <w:b w:val="0"/>
                <w:bCs/>
              </w:rPr>
              <w:t xml:space="preserve"> advice</w:t>
            </w:r>
          </w:p>
          <w:p w14:paraId="32F36109" w14:textId="7B462B5D" w:rsidR="00E37841" w:rsidRDefault="00EE455F" w:rsidP="00DA4528">
            <w:r>
              <w:t>As the ALG was established after the CAP had already commenced</w:t>
            </w:r>
            <w:r w:rsidR="00170EF9">
              <w:t xml:space="preserve"> and certain funding allocations had been made</w:t>
            </w:r>
            <w:r>
              <w:t xml:space="preserve">, it has not been involved in informing all aspects of CAP </w:t>
            </w:r>
            <w:r w:rsidR="00B83CCC">
              <w:t>funding</w:t>
            </w:r>
            <w:r>
              <w:t xml:space="preserve"> decisions</w:t>
            </w:r>
            <w:r w:rsidR="00170EF9">
              <w:t>.</w:t>
            </w:r>
            <w:r>
              <w:t xml:space="preserve"> </w:t>
            </w:r>
            <w:r w:rsidR="00170EF9">
              <w:t>Despite this, since commencing, the ALG’s</w:t>
            </w:r>
            <w:r w:rsidR="00B83CCC">
              <w:t xml:space="preserve"> advice has been sought on approximately $160 million dollars of CAP funding</w:t>
            </w:r>
            <w:r w:rsidR="00BA3429">
              <w:t xml:space="preserve"> (</w:t>
            </w:r>
            <w:r w:rsidR="008918B9">
              <w:t>64</w:t>
            </w:r>
            <w:r w:rsidR="001D2ACD">
              <w:t>%</w:t>
            </w:r>
            <w:r w:rsidR="008918B9">
              <w:t xml:space="preserve"> of the total $250 million)</w:t>
            </w:r>
            <w:r w:rsidR="00344AB8">
              <w:t>,</w:t>
            </w:r>
            <w:r w:rsidR="00B83CCC">
              <w:t xml:space="preserve"> with a further $6.8 million yet to be determined. </w:t>
            </w:r>
            <w:r w:rsidR="00E37841">
              <w:t xml:space="preserve">ALG advice directly </w:t>
            </w:r>
            <w:r w:rsidR="00E37841" w:rsidRPr="00473ADF">
              <w:t>influenced implementation and/or design</w:t>
            </w:r>
            <w:r w:rsidR="00E37841">
              <w:t xml:space="preserve"> on $20.8 million of funding. </w:t>
            </w:r>
            <w:r w:rsidR="003147D5">
              <w:t>The ALG</w:t>
            </w:r>
            <w:r w:rsidR="00E37841">
              <w:t xml:space="preserve"> </w:t>
            </w:r>
            <w:r w:rsidR="00E37841" w:rsidRPr="008D540D">
              <w:t>provided advice on implementation or policy advice</w:t>
            </w:r>
            <w:r w:rsidR="00E37841">
              <w:t xml:space="preserve"> on $54.4 million of funding</w:t>
            </w:r>
            <w:r w:rsidR="003147D5">
              <w:t>. In addition</w:t>
            </w:r>
            <w:r w:rsidR="00530502">
              <w:t>,</w:t>
            </w:r>
            <w:r w:rsidR="00E37841">
              <w:t xml:space="preserve"> their advice </w:t>
            </w:r>
            <w:r w:rsidR="00E37841" w:rsidRPr="007E2B0A">
              <w:t xml:space="preserve">shaped funding allocation implementation </w:t>
            </w:r>
            <w:r w:rsidR="00880AC4">
              <w:t>on</w:t>
            </w:r>
            <w:r w:rsidR="00E37841" w:rsidRPr="007E2B0A">
              <w:t xml:space="preserve"> design</w:t>
            </w:r>
            <w:r w:rsidR="164C4021">
              <w:t>,</w:t>
            </w:r>
            <w:r w:rsidR="00E37841" w:rsidRPr="007E2B0A">
              <w:t xml:space="preserve"> location</w:t>
            </w:r>
            <w:r w:rsidR="6B673439">
              <w:t>, and</w:t>
            </w:r>
            <w:r w:rsidR="00E37841" w:rsidRPr="007E2B0A">
              <w:t xml:space="preserve"> other advice</w:t>
            </w:r>
            <w:r w:rsidR="00E37841">
              <w:t xml:space="preserve"> in $84 million of the </w:t>
            </w:r>
            <w:r w:rsidR="00E37841" w:rsidRPr="00722C73">
              <w:t>funding</w:t>
            </w:r>
            <w:r w:rsidR="0036075C">
              <w:t>.</w:t>
            </w:r>
          </w:p>
          <w:p w14:paraId="236E2937" w14:textId="613F777B" w:rsidR="003A77FF" w:rsidRPr="00731960" w:rsidRDefault="003A77FF" w:rsidP="00A8689B">
            <w:pPr>
              <w:pStyle w:val="Heading3"/>
              <w:rPr>
                <w:b w:val="0"/>
                <w:bCs/>
              </w:rPr>
            </w:pPr>
            <w:r w:rsidRPr="00731960">
              <w:rPr>
                <w:b w:val="0"/>
                <w:bCs/>
              </w:rPr>
              <w:t xml:space="preserve">Alignment of funding to policy priorities </w:t>
            </w:r>
          </w:p>
          <w:p w14:paraId="0E696F4B" w14:textId="49E9431C" w:rsidR="00A4239C" w:rsidRDefault="00A4239C" w:rsidP="00731960">
            <w:pPr>
              <w:rPr>
                <w:rFonts w:eastAsia="Helvetica" w:cs="Helvetica"/>
                <w:sz w:val="22"/>
                <w:szCs w:val="22"/>
                <w:highlight w:val="yellow"/>
              </w:rPr>
            </w:pPr>
            <w:r w:rsidRPr="00E66F64">
              <w:t>Almost all the CAP funding has been allocated to the six priority streams, with only $7.5 million (</w:t>
            </w:r>
            <w:r w:rsidR="00383EFE">
              <w:t>3%</w:t>
            </w:r>
            <w:r w:rsidRPr="00E66F64">
              <w:t>) being allocated to the governance of the CAP program</w:t>
            </w:r>
            <w:r>
              <w:t xml:space="preserve"> (see below)</w:t>
            </w:r>
            <w:r w:rsidRPr="00E66F64">
              <w:t>.</w:t>
            </w:r>
            <w:r>
              <w:t xml:space="preserve"> </w:t>
            </w:r>
          </w:p>
          <w:p w14:paraId="7DDF40A5" w14:textId="0A9962D1" w:rsidR="00A4239C" w:rsidRPr="002D7276" w:rsidRDefault="00A4239C" w:rsidP="003343AE">
            <w:pPr>
              <w:pStyle w:val="ListParagraph"/>
            </w:pPr>
            <w:r>
              <w:t xml:space="preserve">Community safety and cohesion - $53 million allocated, $14 </w:t>
            </w:r>
            <w:r w:rsidR="00696FF5">
              <w:t>million committed</w:t>
            </w:r>
            <w:r w:rsidR="00D859F0">
              <w:t xml:space="preserve"> through a financial arrangement with </w:t>
            </w:r>
            <w:r w:rsidR="28BD2F06">
              <w:t>a</w:t>
            </w:r>
            <w:r w:rsidR="00D859F0">
              <w:t xml:space="preserve"> provider</w:t>
            </w:r>
            <w:r>
              <w:t xml:space="preserve">, $7 million paid </w:t>
            </w:r>
            <w:r w:rsidR="003462D9">
              <w:t>to date</w:t>
            </w:r>
            <w:r>
              <w:t xml:space="preserve"> </w:t>
            </w:r>
          </w:p>
          <w:p w14:paraId="78C0072E" w14:textId="4CB8EE40" w:rsidR="00A4239C" w:rsidRPr="002D7276" w:rsidRDefault="00A4239C" w:rsidP="003343AE">
            <w:pPr>
              <w:pStyle w:val="ListParagraph"/>
            </w:pPr>
            <w:r w:rsidRPr="002D7276">
              <w:t xml:space="preserve">Job creation - $31 million allocated, $17 million </w:t>
            </w:r>
            <w:r w:rsidR="00D859F0" w:rsidRPr="002D7276">
              <w:t>committed through a financial arrangement with a provider</w:t>
            </w:r>
            <w:r w:rsidR="003462D9" w:rsidRPr="002D7276">
              <w:t>,</w:t>
            </w:r>
            <w:r w:rsidRPr="002D7276">
              <w:t xml:space="preserve"> $5 million paid</w:t>
            </w:r>
            <w:r w:rsidR="003462D9" w:rsidRPr="002D7276">
              <w:t xml:space="preserve"> to date</w:t>
            </w:r>
          </w:p>
          <w:p w14:paraId="79E058AF" w14:textId="2FC86DCA" w:rsidR="00A4239C" w:rsidRPr="002D7276" w:rsidRDefault="00A4239C" w:rsidP="003343AE">
            <w:pPr>
              <w:pStyle w:val="ListParagraph"/>
            </w:pPr>
            <w:r w:rsidRPr="002D7276">
              <w:t xml:space="preserve">Better services in Alice </w:t>
            </w:r>
            <w:r w:rsidR="00696FF5" w:rsidRPr="002D7276">
              <w:t>Springs -</w:t>
            </w:r>
            <w:r w:rsidRPr="002D7276">
              <w:t xml:space="preserve"> $60 million allocated, $41 million</w:t>
            </w:r>
            <w:r w:rsidR="00D859F0" w:rsidRPr="002D7276">
              <w:t xml:space="preserve"> committed through a financial arrangement with a provider</w:t>
            </w:r>
            <w:r w:rsidRPr="002D7276">
              <w:t xml:space="preserve">, $3 million </w:t>
            </w:r>
            <w:r w:rsidR="003462D9" w:rsidRPr="002D7276">
              <w:t>paid to date</w:t>
            </w:r>
          </w:p>
          <w:p w14:paraId="2EB71DD9" w14:textId="38794EB2" w:rsidR="00A4239C" w:rsidRPr="002D7276" w:rsidRDefault="00A4239C" w:rsidP="003343AE">
            <w:pPr>
              <w:pStyle w:val="ListParagraph"/>
            </w:pPr>
            <w:r>
              <w:t>FASD</w:t>
            </w:r>
            <w:r w:rsidR="007D13F1">
              <w:t xml:space="preserve"> </w:t>
            </w:r>
            <w:r w:rsidR="0BEAACF2">
              <w:t>and health infrastructure</w:t>
            </w:r>
            <w:r w:rsidR="007D13F1" w:rsidRPr="002D7276">
              <w:t xml:space="preserve"> </w:t>
            </w:r>
            <w:r w:rsidRPr="002D7276">
              <w:t xml:space="preserve">- $23 million allocated, $23 million </w:t>
            </w:r>
            <w:r w:rsidR="00D859F0" w:rsidRPr="002D7276">
              <w:t>committed through a financial arrangement with a provider</w:t>
            </w:r>
            <w:r w:rsidRPr="002D7276">
              <w:t>, $17 million paid</w:t>
            </w:r>
            <w:r w:rsidR="003462D9" w:rsidRPr="002D7276">
              <w:t xml:space="preserve"> to date</w:t>
            </w:r>
          </w:p>
          <w:p w14:paraId="4200D371" w14:textId="40F99CF3" w:rsidR="00A4239C" w:rsidRPr="002D7276" w:rsidRDefault="00A4239C" w:rsidP="003343AE">
            <w:pPr>
              <w:pStyle w:val="ListParagraph"/>
            </w:pPr>
            <w:r w:rsidRPr="002D7276">
              <w:t>Investing in Families - $34 million allocated, $14 million committed</w:t>
            </w:r>
            <w:r w:rsidR="00D859F0" w:rsidRPr="002D7276">
              <w:t xml:space="preserve"> through a financial arrangement with a provider</w:t>
            </w:r>
            <w:r w:rsidRPr="002D7276">
              <w:t>, $7 million paid</w:t>
            </w:r>
            <w:r w:rsidR="007F7D3B" w:rsidRPr="002D7276">
              <w:t xml:space="preserve"> to date</w:t>
            </w:r>
          </w:p>
          <w:p w14:paraId="0AD6D559" w14:textId="77777777" w:rsidR="00731960" w:rsidRDefault="00A4239C" w:rsidP="003343AE">
            <w:pPr>
              <w:pStyle w:val="ListParagraph"/>
            </w:pPr>
            <w:r w:rsidRPr="002D7276">
              <w:lastRenderedPageBreak/>
              <w:t>On-Country learning - $40 million allocated, $40 million committed</w:t>
            </w:r>
            <w:r w:rsidR="00D859F0" w:rsidRPr="002D7276">
              <w:t xml:space="preserve"> through a financial arrangement with a provider</w:t>
            </w:r>
            <w:r w:rsidRPr="002D7276">
              <w:t>, $38 million paid</w:t>
            </w:r>
            <w:r w:rsidR="007F7D3B" w:rsidRPr="002D7276">
              <w:t xml:space="preserve"> to date</w:t>
            </w:r>
          </w:p>
          <w:p w14:paraId="6A307B43" w14:textId="56A26BB8" w:rsidR="003B43EE" w:rsidRPr="00731960" w:rsidRDefault="00632C03" w:rsidP="00731960">
            <w:r w:rsidRPr="00731960">
              <w:t xml:space="preserve">The decisions and funding allocations under the CAP were not explicitly formed through the lens of the </w:t>
            </w:r>
            <w:r w:rsidR="00780C8F" w:rsidRPr="00731960">
              <w:t>National Agreement</w:t>
            </w:r>
            <w:r w:rsidRPr="00731960">
              <w:t xml:space="preserve"> framework, however data indicates that the CAP broadly contributed to the aims of </w:t>
            </w:r>
            <w:r w:rsidR="00276162" w:rsidRPr="00731960">
              <w:t>t</w:t>
            </w:r>
            <w:r w:rsidR="00780C8F" w:rsidRPr="00731960">
              <w:t>he National Agreement</w:t>
            </w:r>
            <w:r w:rsidR="00043CF7" w:rsidRPr="00731960">
              <w:rPr>
                <w:rStyle w:val="FootnoteReference"/>
                <w:rFonts w:eastAsiaTheme="minorEastAsia"/>
              </w:rPr>
              <w:t xml:space="preserve"> </w:t>
            </w:r>
            <w:r w:rsidRPr="00731960">
              <w:t xml:space="preserve">. Analysis of funding commitments under the CAP shows that </w:t>
            </w:r>
            <w:r w:rsidR="003E592C" w:rsidRPr="00731960">
              <w:t>all</w:t>
            </w:r>
            <w:r w:rsidRPr="00731960">
              <w:t xml:space="preserve"> the </w:t>
            </w:r>
            <w:r w:rsidR="009B00D5" w:rsidRPr="00731960">
              <w:t xml:space="preserve">administered </w:t>
            </w:r>
            <w:r w:rsidRPr="00731960">
              <w:t xml:space="preserve">CAP funding that has been committed </w:t>
            </w:r>
            <w:r w:rsidR="00D859F0" w:rsidRPr="00731960">
              <w:t xml:space="preserve">through a financial arrangement </w:t>
            </w:r>
            <w:r w:rsidRPr="00731960">
              <w:t xml:space="preserve">to date </w:t>
            </w:r>
            <w:r w:rsidRPr="00731960" w:rsidDel="009B00D5">
              <w:t xml:space="preserve">aligns in some way to </w:t>
            </w:r>
            <w:r w:rsidR="00FA13E6" w:rsidRPr="00731960">
              <w:t>National Agreement</w:t>
            </w:r>
            <w:r w:rsidRPr="00731960">
              <w:t xml:space="preserve"> </w:t>
            </w:r>
            <w:r w:rsidR="00B20C91">
              <w:t>Outcome Areas</w:t>
            </w:r>
            <w:r w:rsidRPr="00731960">
              <w:t>.</w:t>
            </w:r>
          </w:p>
          <w:p w14:paraId="4C2042B5" w14:textId="02CEBEE4" w:rsidR="003A77FF" w:rsidRPr="00734CE2" w:rsidRDefault="00FA13E6" w:rsidP="00731960">
            <w:pPr>
              <w:rPr>
                <w:rFonts w:eastAsia="Helvetica" w:cs="Helvetica"/>
                <w:b/>
                <w:bCs/>
                <w:sz w:val="22"/>
                <w:szCs w:val="22"/>
              </w:rPr>
            </w:pPr>
            <w:r>
              <w:t>National Agreement</w:t>
            </w:r>
            <w:r w:rsidR="003E0E16">
              <w:t xml:space="preserve"> </w:t>
            </w:r>
            <w:r w:rsidR="00B20C91">
              <w:t>Outcome Areas 1</w:t>
            </w:r>
            <w:r w:rsidR="00632C03">
              <w:t xml:space="preserve">, </w:t>
            </w:r>
            <w:r w:rsidR="00B20C91">
              <w:t>5</w:t>
            </w:r>
            <w:r w:rsidR="00632C03">
              <w:t xml:space="preserve"> to 11, 13 to 15 and 17 are all addressed in some way by the CAP initiatives. </w:t>
            </w:r>
            <w:r w:rsidR="3DCFF277">
              <w:t xml:space="preserve"> </w:t>
            </w:r>
            <w:r w:rsidR="00632C03">
              <w:t xml:space="preserve">It is not possible to </w:t>
            </w:r>
            <w:r w:rsidR="3DCFF277">
              <w:t xml:space="preserve">determine how much </w:t>
            </w:r>
            <w:r w:rsidR="00632C03">
              <w:t xml:space="preserve">funding </w:t>
            </w:r>
            <w:r w:rsidR="24A4D429">
              <w:t xml:space="preserve">relates </w:t>
            </w:r>
            <w:r w:rsidR="60139673">
              <w:t>to</w:t>
            </w:r>
            <w:r w:rsidR="00632C03">
              <w:t xml:space="preserve"> each </w:t>
            </w:r>
            <w:r w:rsidR="00B20C91">
              <w:t>Outcome Area</w:t>
            </w:r>
            <w:r w:rsidR="3DCFF277">
              <w:t>, as</w:t>
            </w:r>
            <w:r w:rsidR="00632C03">
              <w:t xml:space="preserve"> projects were not designed to </w:t>
            </w:r>
            <w:r w:rsidR="3DCFF277">
              <w:t>target just</w:t>
            </w:r>
            <w:r w:rsidR="00632C03">
              <w:t xml:space="preserve"> one area and </w:t>
            </w:r>
            <w:r w:rsidR="3DCFF277">
              <w:t>often</w:t>
            </w:r>
            <w:r w:rsidR="00632C03">
              <w:t xml:space="preserve"> contribute to multiple outcome</w:t>
            </w:r>
            <w:r w:rsidR="004E2FDC">
              <w:t>s</w:t>
            </w:r>
            <w:r w:rsidR="00632C03">
              <w:t xml:space="preserve">. However, at least $23 million of the funding appears to be related to </w:t>
            </w:r>
            <w:r w:rsidR="00B20C91">
              <w:t xml:space="preserve"> Outcome Area 1</w:t>
            </w:r>
            <w:r w:rsidR="00632C03">
              <w:t xml:space="preserve"> - </w:t>
            </w:r>
            <w:r w:rsidR="00701B56">
              <w:t>First Nations</w:t>
            </w:r>
            <w:r w:rsidR="00632C03">
              <w:t xml:space="preserve"> people enjoy long and healthy lives, $10 million to </w:t>
            </w:r>
            <w:r w:rsidR="00B20C91">
              <w:t xml:space="preserve"> Outcome Area </w:t>
            </w:r>
            <w:r w:rsidR="00632C03">
              <w:t>13</w:t>
            </w:r>
            <w:r w:rsidR="008B3C53">
              <w:t xml:space="preserve"> </w:t>
            </w:r>
            <w:r w:rsidR="00632C03">
              <w:t xml:space="preserve">- </w:t>
            </w:r>
            <w:r w:rsidR="00701B56">
              <w:t>First Nations</w:t>
            </w:r>
            <w:r w:rsidR="00632C03">
              <w:t xml:space="preserve"> families and households are safe, $7 million to </w:t>
            </w:r>
            <w:r w:rsidR="00B20C91">
              <w:t>O</w:t>
            </w:r>
            <w:r w:rsidR="00632C03">
              <w:t xml:space="preserve">utcome </w:t>
            </w:r>
            <w:r w:rsidR="00B20C91">
              <w:t>A</w:t>
            </w:r>
            <w:r w:rsidR="00632C03">
              <w:t>rea 17</w:t>
            </w:r>
            <w:r w:rsidR="008B3C53">
              <w:t xml:space="preserve"> </w:t>
            </w:r>
            <w:r w:rsidR="00632C03">
              <w:t xml:space="preserve">- </w:t>
            </w:r>
            <w:r w:rsidR="00701B56">
              <w:t>First Nations</w:t>
            </w:r>
            <w:r w:rsidR="00632C03">
              <w:t xml:space="preserve"> people have access to information and services enabling participation in informed decision-making regarding their own lives</w:t>
            </w:r>
            <w:r w:rsidR="0051038D">
              <w:t>,</w:t>
            </w:r>
            <w:r w:rsidR="00632C03">
              <w:t xml:space="preserve"> and $33 million to </w:t>
            </w:r>
            <w:r w:rsidR="00B20C91">
              <w:t>Outcome Area 9</w:t>
            </w:r>
            <w:r w:rsidR="00632C03">
              <w:t xml:space="preserve"> - </w:t>
            </w:r>
            <w:r w:rsidR="00701B56">
              <w:t>First Nations</w:t>
            </w:r>
            <w:r w:rsidR="00632C03">
              <w:t xml:space="preserve"> people secure appropriate, affordable housing that is aligned with their priorities and need.</w:t>
            </w:r>
          </w:p>
        </w:tc>
      </w:tr>
    </w:tbl>
    <w:p w14:paraId="68171E78" w14:textId="66FB45BB" w:rsidR="003A77FF" w:rsidRPr="00731960" w:rsidRDefault="003A77FF" w:rsidP="00731960">
      <w:pPr>
        <w:pStyle w:val="Heading3"/>
      </w:pPr>
      <w:r w:rsidRPr="00731960">
        <w:lastRenderedPageBreak/>
        <w:t xml:space="preserve">Decision-making processes </w:t>
      </w:r>
      <w:r w:rsidR="00806700" w:rsidRPr="00731960">
        <w:t xml:space="preserve"> </w:t>
      </w:r>
    </w:p>
    <w:p w14:paraId="0E58CF55" w14:textId="0568AB36" w:rsidR="00C57695" w:rsidRDefault="003A77FF" w:rsidP="00DA4528">
      <w:r w:rsidRPr="000A6855">
        <w:t xml:space="preserve">The </w:t>
      </w:r>
      <w:r w:rsidR="0007319B">
        <w:t>CAP</w:t>
      </w:r>
      <w:r w:rsidRPr="000A6855">
        <w:t xml:space="preserve"> demonstrates a growing commitment by government to </w:t>
      </w:r>
      <w:r w:rsidR="009A45A9">
        <w:t>involve</w:t>
      </w:r>
      <w:r w:rsidRPr="000A6855">
        <w:t xml:space="preserve"> First Nations people in decisions that impact </w:t>
      </w:r>
      <w:r w:rsidR="009A45A9">
        <w:t>their</w:t>
      </w:r>
      <w:r w:rsidRPr="000A6855">
        <w:t xml:space="preserve"> people and communities. Historically, many government decisions impacting </w:t>
      </w:r>
      <w:r w:rsidR="000410DD">
        <w:t>First Nations</w:t>
      </w:r>
      <w:r w:rsidRPr="000A6855">
        <w:t xml:space="preserve"> communities were made without meaningful engagement, leading to policies and programs that failed to reflect local context or support community aspirations</w:t>
      </w:r>
      <w:r w:rsidRPr="000A6855">
        <w:rPr>
          <w:rStyle w:val="FootnoteReference"/>
          <w:rFonts w:eastAsia="Times New Roman" w:cs="Times New Roman"/>
          <w:color w:val="auto"/>
        </w:rPr>
        <w:footnoteReference w:id="41"/>
      </w:r>
      <w:r w:rsidRPr="000A6855">
        <w:t xml:space="preserve">. In recent years, there has been increasing recognition that genuine partnerships with </w:t>
      </w:r>
      <w:r w:rsidR="000410DD">
        <w:t>First Nations</w:t>
      </w:r>
      <w:r w:rsidRPr="000A6855">
        <w:t xml:space="preserve"> people are essential to improving outcomes and rebuilding trust.</w:t>
      </w:r>
      <w:r w:rsidRPr="000A6855">
        <w:rPr>
          <w:rStyle w:val="FootnoteReference"/>
          <w:rFonts w:eastAsia="Times New Roman" w:cs="Times New Roman"/>
          <w:color w:val="auto"/>
        </w:rPr>
        <w:footnoteReference w:id="42"/>
      </w:r>
      <w:r w:rsidR="0017797E">
        <w:t xml:space="preserve"> This includes a </w:t>
      </w:r>
      <w:r w:rsidR="0017797E" w:rsidRPr="000A6855">
        <w:t xml:space="preserve">move away from top-down, transactional consultation approaches and towards more respectful, collaborative processes that centre </w:t>
      </w:r>
      <w:r w:rsidR="000410DD">
        <w:t>First Nations</w:t>
      </w:r>
      <w:r w:rsidR="0017797E" w:rsidRPr="000A6855">
        <w:t xml:space="preserve"> leadership. </w:t>
      </w:r>
    </w:p>
    <w:p w14:paraId="6B7C43DA" w14:textId="3A032A8B" w:rsidR="004037CE" w:rsidRPr="00C57695" w:rsidRDefault="00C57695" w:rsidP="00DA4528">
      <w:r>
        <w:t xml:space="preserve">There are multiple ways that decision making processes </w:t>
      </w:r>
      <w:r w:rsidR="00A96765">
        <w:t xml:space="preserve">for programs </w:t>
      </w:r>
      <w:r>
        <w:t xml:space="preserve">are being implemented differently in the CAP compared to </w:t>
      </w:r>
      <w:r w:rsidR="45595E08">
        <w:t>‘</w:t>
      </w:r>
      <w:r>
        <w:t>business as usual</w:t>
      </w:r>
      <w:r w:rsidR="7B5D980C">
        <w:t>’</w:t>
      </w:r>
      <w:r>
        <w:t xml:space="preserve"> for government</w:t>
      </w:r>
      <w:r w:rsidR="00987D28">
        <w:t>. This includes</w:t>
      </w:r>
      <w:r>
        <w:t xml:space="preserve"> incorporat</w:t>
      </w:r>
      <w:r w:rsidR="00987D28">
        <w:t>ing</w:t>
      </w:r>
      <w:r>
        <w:t xml:space="preserve"> First Nations voices earlier and more consistently. </w:t>
      </w:r>
      <w:r w:rsidR="004037CE">
        <w:t xml:space="preserve">Evidence of </w:t>
      </w:r>
      <w:r>
        <w:t>different decision</w:t>
      </w:r>
      <w:r w:rsidR="00EF1D8A">
        <w:t>-</w:t>
      </w:r>
      <w:r>
        <w:t>making processes are noted in CAP documents</w:t>
      </w:r>
      <w:r w:rsidR="004037CE">
        <w:t xml:space="preserve">, financial analysis, </w:t>
      </w:r>
      <w:r>
        <w:t>and</w:t>
      </w:r>
      <w:r w:rsidR="004037CE">
        <w:t xml:space="preserve"> feedback from government stakeholders.</w:t>
      </w:r>
    </w:p>
    <w:p w14:paraId="6E047F85" w14:textId="4CA159E4" w:rsidR="009A45A9" w:rsidRDefault="00C57695" w:rsidP="009A45A9">
      <w:pPr>
        <w:rPr>
          <w:rStyle w:val="Strong"/>
          <w:b w:val="0"/>
          <w:bCs w:val="0"/>
        </w:rPr>
      </w:pPr>
      <w:r>
        <w:t>The most notable</w:t>
      </w:r>
      <w:r w:rsidR="009A45A9">
        <w:t xml:space="preserve"> structure supporting change in the way government is working with First Nations people in Central Australia is the</w:t>
      </w:r>
      <w:r w:rsidR="009A45A9" w:rsidRPr="1A31B231">
        <w:rPr>
          <w:b/>
          <w:bCs/>
        </w:rPr>
        <w:t xml:space="preserve"> </w:t>
      </w:r>
      <w:r w:rsidR="00CF5B86" w:rsidRPr="1A31B231">
        <w:rPr>
          <w:rStyle w:val="Strong"/>
          <w:b w:val="0"/>
          <w:bCs w:val="0"/>
        </w:rPr>
        <w:t>ALG.</w:t>
      </w:r>
      <w:r w:rsidR="009A45A9" w:rsidRPr="1A31B231">
        <w:rPr>
          <w:rStyle w:val="Strong"/>
          <w:b w:val="0"/>
          <w:bCs w:val="0"/>
        </w:rPr>
        <w:t xml:space="preserve"> </w:t>
      </w:r>
      <w:r w:rsidR="008C500A">
        <w:rPr>
          <w:rStyle w:val="Strong"/>
          <w:b w:val="0"/>
          <w:bCs w:val="0"/>
        </w:rPr>
        <w:t>Government d</w:t>
      </w:r>
      <w:r w:rsidR="009A45A9" w:rsidRPr="1A31B231">
        <w:rPr>
          <w:rStyle w:val="Strong"/>
          <w:b w:val="0"/>
          <w:bCs w:val="0"/>
        </w:rPr>
        <w:t>ocument</w:t>
      </w:r>
      <w:r w:rsidR="000D3098">
        <w:rPr>
          <w:rStyle w:val="Strong"/>
          <w:b w:val="0"/>
          <w:bCs w:val="0"/>
        </w:rPr>
        <w:t>s</w:t>
      </w:r>
      <w:r w:rsidR="009A45A9" w:rsidRPr="1A31B231">
        <w:rPr>
          <w:rStyle w:val="Strong"/>
          <w:b w:val="0"/>
          <w:bCs w:val="0"/>
        </w:rPr>
        <w:t xml:space="preserve"> and stakeholder feedback indica</w:t>
      </w:r>
      <w:r w:rsidR="000A57F0" w:rsidRPr="1A31B231">
        <w:rPr>
          <w:rStyle w:val="Strong"/>
          <w:b w:val="0"/>
          <w:bCs w:val="0"/>
        </w:rPr>
        <w:t>tes</w:t>
      </w:r>
      <w:r w:rsidR="009A45A9" w:rsidRPr="1A31B231">
        <w:rPr>
          <w:rStyle w:val="Strong"/>
          <w:b w:val="0"/>
          <w:bCs w:val="0"/>
        </w:rPr>
        <w:t xml:space="preserve"> that </w:t>
      </w:r>
      <w:r w:rsidR="003873E3" w:rsidRPr="1A31B231">
        <w:rPr>
          <w:rStyle w:val="Strong"/>
          <w:b w:val="0"/>
          <w:bCs w:val="0"/>
        </w:rPr>
        <w:t>ALG</w:t>
      </w:r>
      <w:r w:rsidR="009A45A9" w:rsidRPr="1A31B231">
        <w:rPr>
          <w:rStyle w:val="Strong"/>
          <w:b w:val="0"/>
          <w:bCs w:val="0"/>
        </w:rPr>
        <w:t xml:space="preserve"> advice has directly influenced</w:t>
      </w:r>
      <w:r w:rsidR="004037CE" w:rsidRPr="1A31B231">
        <w:rPr>
          <w:rStyle w:val="Strong"/>
          <w:b w:val="0"/>
          <w:bCs w:val="0"/>
        </w:rPr>
        <w:t xml:space="preserve"> </w:t>
      </w:r>
      <w:r w:rsidR="003E592C" w:rsidRPr="1A31B231">
        <w:rPr>
          <w:rStyle w:val="Strong"/>
          <w:b w:val="0"/>
          <w:bCs w:val="0"/>
        </w:rPr>
        <w:t>many</w:t>
      </w:r>
      <w:r w:rsidR="009A45A9" w:rsidRPr="1A31B231">
        <w:rPr>
          <w:rStyle w:val="Strong"/>
          <w:b w:val="0"/>
          <w:bCs w:val="0"/>
        </w:rPr>
        <w:t xml:space="preserve"> funding and program decisions</w:t>
      </w:r>
      <w:r w:rsidR="00431FDD" w:rsidRPr="1A31B231">
        <w:rPr>
          <w:rStyle w:val="Strong"/>
          <w:b w:val="0"/>
          <w:bCs w:val="0"/>
        </w:rPr>
        <w:t>,</w:t>
      </w:r>
      <w:r w:rsidR="004037CE" w:rsidRPr="1A31B231">
        <w:rPr>
          <w:rStyle w:val="Strong"/>
          <w:b w:val="0"/>
          <w:bCs w:val="0"/>
        </w:rPr>
        <w:t xml:space="preserve"> including </w:t>
      </w:r>
      <w:r w:rsidR="740EFB20" w:rsidRPr="27AF1994">
        <w:rPr>
          <w:rStyle w:val="Strong"/>
          <w:b w:val="0"/>
          <w:bCs w:val="0"/>
        </w:rPr>
        <w:t xml:space="preserve">for </w:t>
      </w:r>
      <w:r w:rsidR="004037CE" w:rsidRPr="1A31B231">
        <w:rPr>
          <w:rStyle w:val="Strong"/>
          <w:b w:val="0"/>
          <w:bCs w:val="0"/>
        </w:rPr>
        <w:t>over half the allocation of funds</w:t>
      </w:r>
      <w:r w:rsidR="009A45A9" w:rsidRPr="1A31B231">
        <w:rPr>
          <w:rStyle w:val="Strong"/>
          <w:b w:val="0"/>
          <w:bCs w:val="0"/>
        </w:rPr>
        <w:t xml:space="preserve">. </w:t>
      </w:r>
      <w:r w:rsidR="004037CE" w:rsidRPr="1A31B231">
        <w:rPr>
          <w:rStyle w:val="Strong"/>
          <w:b w:val="0"/>
          <w:bCs w:val="0"/>
        </w:rPr>
        <w:t>Further detail on this is described below</w:t>
      </w:r>
      <w:r w:rsidR="00320528" w:rsidRPr="1A31B231">
        <w:rPr>
          <w:rStyle w:val="Strong"/>
          <w:b w:val="0"/>
          <w:bCs w:val="0"/>
        </w:rPr>
        <w:t>.</w:t>
      </w:r>
      <w:r w:rsidR="00A96765" w:rsidRPr="1A31B231">
        <w:rPr>
          <w:rStyle w:val="Strong"/>
          <w:b w:val="0"/>
          <w:bCs w:val="0"/>
        </w:rPr>
        <w:t xml:space="preserve"> </w:t>
      </w:r>
    </w:p>
    <w:p w14:paraId="59EA9F64" w14:textId="6B35B343" w:rsidR="000B7CB9" w:rsidRPr="00DA50BF" w:rsidRDefault="00A96765" w:rsidP="001C7C81">
      <w:r>
        <w:t xml:space="preserve">As mentioned in </w:t>
      </w:r>
      <w:r w:rsidR="00974397">
        <w:t>the ‘</w:t>
      </w:r>
      <w:r w:rsidR="000B7CB9">
        <w:t>Mechanisms to Support Implementation</w:t>
      </w:r>
      <w:r w:rsidR="00974397">
        <w:t>’</w:t>
      </w:r>
      <w:r>
        <w:t xml:space="preserve"> section, the ALG provides advice on </w:t>
      </w:r>
      <w:r w:rsidR="00154A3A">
        <w:t xml:space="preserve">priorities for coordinated investment from the </w:t>
      </w:r>
      <w:r w:rsidR="004841AA">
        <w:t>Australian</w:t>
      </w:r>
      <w:r w:rsidR="00154A3A">
        <w:t xml:space="preserve"> Government and NTG, </w:t>
      </w:r>
      <w:r w:rsidR="00F0381D">
        <w:t xml:space="preserve">including </w:t>
      </w:r>
      <w:r w:rsidR="00154A3A">
        <w:t xml:space="preserve">needs and solutions for the future in areas such as health, education, economic development, </w:t>
      </w:r>
      <w:r w:rsidR="00974397">
        <w:t xml:space="preserve">and </w:t>
      </w:r>
      <w:r w:rsidR="00154A3A">
        <w:t>law and order issues.</w:t>
      </w:r>
      <w:r w:rsidR="00F0381D">
        <w:t xml:space="preserve"> </w:t>
      </w:r>
      <w:r w:rsidR="00225AA5" w:rsidRPr="00DA50BF">
        <w:t>The ALG</w:t>
      </w:r>
      <w:r w:rsidR="006771D7" w:rsidRPr="00DA50BF">
        <w:t xml:space="preserve"> also advise on the effectiveness and efficiency of government service delivery and program implementation, including opportunities to improve service delivery, address gaps and duplication and enhance local service provision</w:t>
      </w:r>
      <w:r w:rsidR="00DB2658" w:rsidRPr="00DA50BF">
        <w:t>.</w:t>
      </w:r>
      <w:r w:rsidR="00DB2658">
        <w:t xml:space="preserve"> </w:t>
      </w:r>
      <w:r w:rsidR="000B7CB9" w:rsidRPr="00DA50BF">
        <w:t>The purpose of the ALG is to</w:t>
      </w:r>
      <w:r w:rsidR="00DB2658" w:rsidRPr="00DA50BF">
        <w:t xml:space="preserve"> advise</w:t>
      </w:r>
      <w:r w:rsidR="00386115" w:rsidRPr="00DA50BF">
        <w:t xml:space="preserve"> on the views of First Nations people across the region, cultural protocols and options to strengthen First Nations law and culture</w:t>
      </w:r>
      <w:r w:rsidR="00DB2658" w:rsidRPr="00DA50BF">
        <w:t xml:space="preserve">. </w:t>
      </w:r>
      <w:r w:rsidR="000B7CB9" w:rsidRPr="00DA50BF">
        <w:t xml:space="preserve">The ALG does </w:t>
      </w:r>
      <w:r w:rsidR="000B7CB9" w:rsidRPr="00DA50BF">
        <w:rPr>
          <w:b/>
        </w:rPr>
        <w:t xml:space="preserve">not </w:t>
      </w:r>
      <w:r w:rsidR="000B7CB9" w:rsidRPr="00DA50BF">
        <w:t>select providers or make investment decisions.</w:t>
      </w:r>
    </w:p>
    <w:p w14:paraId="2D1779C7" w14:textId="6BEC6B13" w:rsidR="00A96765" w:rsidRDefault="00A96765" w:rsidP="00A96765">
      <w:pPr>
        <w:rPr>
          <w:rFonts w:eastAsia="Helvetica" w:cs="Helvetica"/>
        </w:rPr>
      </w:pPr>
      <w:r w:rsidRPr="4662A343">
        <w:rPr>
          <w:rFonts w:eastAsia="Helvetica" w:cs="Helvetica"/>
        </w:rPr>
        <w:t>A review of the ALG meeting minutes identified that members consistently raise issues, concerns, and priorities that, while not always articulated in explicit terms, clearly reflect an underlying commitment to improving cultural safety across programs and services and in the way governments work. These contributions often centre on:</w:t>
      </w:r>
    </w:p>
    <w:p w14:paraId="78A7A22E" w14:textId="67D4BA93" w:rsidR="00A96765" w:rsidRPr="00C40B11" w:rsidRDefault="00A96765" w:rsidP="003343AE">
      <w:pPr>
        <w:pStyle w:val="ListParagraph"/>
      </w:pPr>
      <w:r w:rsidRPr="00C40B11">
        <w:t>the importance of representative local decision-making</w:t>
      </w:r>
      <w:r w:rsidR="00835537">
        <w:t>,</w:t>
      </w:r>
      <w:r w:rsidRPr="00C40B11">
        <w:t xml:space="preserve"> including utilising already existing structures</w:t>
      </w:r>
    </w:p>
    <w:p w14:paraId="5205A536" w14:textId="756EADF5" w:rsidR="00A96765" w:rsidRPr="00C40B11" w:rsidRDefault="00A96765" w:rsidP="003343AE">
      <w:pPr>
        <w:pStyle w:val="ListParagraph"/>
      </w:pPr>
      <w:r w:rsidRPr="00C40B11">
        <w:lastRenderedPageBreak/>
        <w:t xml:space="preserve">continuously reminding government </w:t>
      </w:r>
      <w:r w:rsidR="003B42E9">
        <w:t>to be mindful of</w:t>
      </w:r>
      <w:r w:rsidRPr="00C40B11">
        <w:t xml:space="preserve"> community consultation fatigue</w:t>
      </w:r>
    </w:p>
    <w:p w14:paraId="3D9FF50A" w14:textId="70DB12F0" w:rsidR="00A96765" w:rsidRPr="00C40B11" w:rsidRDefault="00A96765" w:rsidP="003343AE">
      <w:pPr>
        <w:pStyle w:val="ListParagraph"/>
      </w:pPr>
      <w:r w:rsidRPr="00C40B11">
        <w:t>embedding cultural knowledge and practices</w:t>
      </w:r>
    </w:p>
    <w:p w14:paraId="3C88541A" w14:textId="04008BED" w:rsidR="00A96765" w:rsidRPr="00C40B11" w:rsidRDefault="00A96765" w:rsidP="003343AE">
      <w:pPr>
        <w:pStyle w:val="ListParagraph"/>
      </w:pPr>
      <w:r w:rsidRPr="00C40B11">
        <w:t>fostering trust</w:t>
      </w:r>
    </w:p>
    <w:p w14:paraId="550F509F" w14:textId="7BC9D44B" w:rsidR="00A96765" w:rsidRPr="00C40B11" w:rsidRDefault="00A96765" w:rsidP="003343AE">
      <w:pPr>
        <w:pStyle w:val="ListParagraph"/>
      </w:pPr>
      <w:r w:rsidRPr="00C40B11">
        <w:t>two-way learning between government and community to ensure capability building of all parties</w:t>
      </w:r>
    </w:p>
    <w:p w14:paraId="15F72FDB" w14:textId="77777777" w:rsidR="00225AA5" w:rsidRDefault="00A96765" w:rsidP="003343AE">
      <w:pPr>
        <w:pStyle w:val="ListParagraph"/>
      </w:pPr>
      <w:r w:rsidRPr="00C40B11">
        <w:t>ensuring that service delivery is responsive to the needs and realities of First Nations peoples.</w:t>
      </w:r>
    </w:p>
    <w:p w14:paraId="30E9E6BB" w14:textId="47795D25" w:rsidR="00A96765" w:rsidRPr="00225AA5" w:rsidRDefault="00A96765" w:rsidP="00225AA5">
      <w:pPr>
        <w:rPr>
          <w:rFonts w:cs="Helvetica"/>
        </w:rPr>
      </w:pPr>
      <w:r w:rsidRPr="00225AA5">
        <w:rPr>
          <w:rFonts w:cs="Helvetica"/>
        </w:rPr>
        <w:t>The frequency and consistency with which these culturally grounded perspectives are raised suggests that cultural safety is a foundational concern for members even when not directly named as such.</w:t>
      </w:r>
    </w:p>
    <w:p w14:paraId="2D5475A0" w14:textId="77C70B07" w:rsidR="006716DB" w:rsidRDefault="006716DB" w:rsidP="006716DB">
      <w:r>
        <w:t>The ALG has also provided advice to government departments on how to engage with community, including driving departments to undertake broader community engagement.</w:t>
      </w:r>
      <w:r w:rsidR="00043CF7">
        <w:rPr>
          <w:rStyle w:val="FootnoteReference"/>
          <w:rFonts w:eastAsiaTheme="minorEastAsia"/>
        </w:rPr>
        <w:t xml:space="preserve"> </w:t>
      </w:r>
      <w:r>
        <w:t xml:space="preserve"> There was an example where one </w:t>
      </w:r>
      <w:r w:rsidR="004841AA">
        <w:t>Australian</w:t>
      </w:r>
      <w:r w:rsidR="003F428B" w:rsidRPr="00141FEE" w:rsidDel="00FE3F26">
        <w:t xml:space="preserve"> Government</w:t>
      </w:r>
      <w:r>
        <w:t xml:space="preserve"> department sought advice on the best way to reach community following unsuccessful attempts, and the advice provided supported the agency to reach community.</w:t>
      </w:r>
      <w:r w:rsidR="00043CF7">
        <w:rPr>
          <w:rStyle w:val="FootnoteReference"/>
          <w:rFonts w:eastAsiaTheme="minorEastAsia"/>
        </w:rPr>
        <w:t xml:space="preserve"> </w:t>
      </w:r>
    </w:p>
    <w:p w14:paraId="0422A78C" w14:textId="757CBACD" w:rsidR="00CD6267" w:rsidRDefault="00A96765" w:rsidP="00A96765">
      <w:r>
        <w:t>Stakeholders consistently identified the ALG as a valuable and meaningful mechanism within the CAP. It</w:t>
      </w:r>
      <w:r w:rsidDel="006716DB">
        <w:t xml:space="preserve"> </w:t>
      </w:r>
      <w:r w:rsidR="006716DB">
        <w:t xml:space="preserve">is </w:t>
      </w:r>
      <w:r>
        <w:t>seen as a structure that enable</w:t>
      </w:r>
      <w:r w:rsidR="006716DB">
        <w:t>s</w:t>
      </w:r>
      <w:r>
        <w:t xml:space="preserve"> First Nations voices to inform and influence decision-making processes. Stakeholders note that the ALG play</w:t>
      </w:r>
      <w:r w:rsidR="006716DB">
        <w:t>s</w:t>
      </w:r>
      <w:r>
        <w:t xml:space="preserve"> a key role in grounding discussions in community realities and ensuring that local knowledge and lived experience informed government planning and investment. In particular, the ALG </w:t>
      </w:r>
      <w:r w:rsidR="006716DB">
        <w:t>i</w:t>
      </w:r>
      <w:r>
        <w:t>s viewed as a trusted forum for navigating complex issues</w:t>
      </w:r>
      <w:r w:rsidR="00801E41">
        <w:t>,</w:t>
      </w:r>
      <w:r w:rsidR="00043CF7">
        <w:rPr>
          <w:rStyle w:val="FootnoteReference"/>
        </w:rPr>
        <w:t xml:space="preserve"> </w:t>
      </w:r>
      <w:r>
        <w:t xml:space="preserve"> strengthening accountability</w:t>
      </w:r>
      <w:r w:rsidR="00801E41">
        <w:t>,</w:t>
      </w:r>
      <w:r w:rsidR="00043CF7">
        <w:rPr>
          <w:rStyle w:val="FootnoteReference"/>
        </w:rPr>
        <w:t xml:space="preserve"> </w:t>
      </w:r>
      <w:r>
        <w:t xml:space="preserve"> and fostering a more genuine collaboration between government and First Nations communities.</w:t>
      </w:r>
      <w:r w:rsidR="00043CF7">
        <w:rPr>
          <w:rStyle w:val="FootnoteReference"/>
        </w:rPr>
        <w:t xml:space="preserve"> </w:t>
      </w:r>
      <w:r>
        <w:t xml:space="preserve"> This change in approach has resulted in a notable difference in outcomes, with government stakeholders pointing to clear examples where the ALG influenced ministers’ funding decisions.</w:t>
      </w:r>
      <w:r w:rsidR="00043CF7">
        <w:rPr>
          <w:rStyle w:val="FootnoteReference"/>
          <w:rFonts w:eastAsiaTheme="minorEastAsia"/>
        </w:rPr>
        <w:t xml:space="preserve"> </w:t>
      </w:r>
      <w:r w:rsidR="00CD6267">
        <w:t xml:space="preserve"> An example of the accountability function of the ALG is seen in the comment below from a government stakeholder:</w:t>
      </w:r>
    </w:p>
    <w:p w14:paraId="2B35503D" w14:textId="6AA12C6C" w:rsidR="00A96765" w:rsidRPr="00050A2E" w:rsidRDefault="003B13B6" w:rsidP="003B13B6">
      <w:pPr>
        <w:pStyle w:val="Quote"/>
      </w:pPr>
      <w:r>
        <w:t>“</w:t>
      </w:r>
      <w:r w:rsidR="00CD6267" w:rsidRPr="00050A2E">
        <w:t xml:space="preserve">The broader mechanism being the Aboriginal </w:t>
      </w:r>
      <w:r w:rsidR="00B11744">
        <w:t>L</w:t>
      </w:r>
      <w:r w:rsidR="00CD6267" w:rsidRPr="00050A2E">
        <w:t xml:space="preserve">eadership </w:t>
      </w:r>
      <w:r w:rsidR="00B11744">
        <w:t>G</w:t>
      </w:r>
      <w:r w:rsidR="00CD6267" w:rsidRPr="00050A2E">
        <w:t xml:space="preserve">roup,  held both the Commonwealth side and the Northern Territory Government side and the ALG accountable for not moving away from the voices of the end users of the systems that we work within, and the products or programs that we deliver to those end users, and keeping their voices and their solutions to the issues that they experience based on their lived experience, and making sure that that that we didn't </w:t>
      </w:r>
      <w:r w:rsidR="008C7422">
        <w:t>…</w:t>
      </w:r>
      <w:r w:rsidR="00CD6267" w:rsidRPr="00050A2E">
        <w:t>that the that the mechanism, uh, being the ALG and the two tiers of government didn't deviate from what it is that the people said that they needed and wanted in order to address the issues that they were experiencing</w:t>
      </w:r>
      <w:r w:rsidR="00460A23">
        <w:t>”</w:t>
      </w:r>
      <w:r w:rsidR="00CD6267" w:rsidRPr="00050A2E">
        <w:t>.</w:t>
      </w:r>
      <w:r w:rsidR="00043CF7" w:rsidRPr="3B3046B4">
        <w:rPr>
          <w:rStyle w:val="FootnoteReference"/>
          <w:rFonts w:cs="Segoe UI"/>
          <w:i w:val="0"/>
          <w:iCs w:val="0"/>
        </w:rPr>
        <w:t xml:space="preserve"> </w:t>
      </w:r>
    </w:p>
    <w:p w14:paraId="5051CA8A" w14:textId="39C8F8AC" w:rsidR="00A96765" w:rsidRPr="00906069" w:rsidRDefault="00A96765" w:rsidP="00A96765">
      <w:r w:rsidRPr="26682E33">
        <w:t>The involvement of the ALG in ministerial funding decisions under the CAP is a key shift in the way government ministers engage with First Nations communities in their decision making.</w:t>
      </w:r>
      <w:r w:rsidR="007C30F3">
        <w:rPr>
          <w:rStyle w:val="FootnoteReference"/>
        </w:rPr>
        <w:t xml:space="preserve"> </w:t>
      </w:r>
      <w:r w:rsidRPr="26682E33">
        <w:t xml:space="preserve"> In a typical budget process, a department will develop a detailed proposal for consideration by ministers often without direct input from community. This reflects standard practice around material that is being prepared for Budget and treated as ‘Cabinet-in-Confidence’. In a normal budget process, communities would be engaged after government has already taken a funding decision and determined the scope of an initiative. The involvement of the </w:t>
      </w:r>
      <w:r w:rsidR="3754D1B4" w:rsidRPr="26682E33">
        <w:t>OCARC</w:t>
      </w:r>
      <w:r w:rsidRPr="26682E33">
        <w:t xml:space="preserve"> in recommending the priority streams of the CAP, and the ALG in advising on the development of proposals, is a significant departure from normal government funding processes. This change in approach has resulted in a notable difference in process, with government stakeholders pointing to clear examples where the ALG influenced ministers’ funding decisions.</w:t>
      </w:r>
      <w:r w:rsidR="007C30F3">
        <w:rPr>
          <w:rStyle w:val="FootnoteReference"/>
          <w:rFonts w:eastAsiaTheme="minorEastAsia"/>
        </w:rPr>
        <w:t xml:space="preserve"> </w:t>
      </w:r>
      <w:r w:rsidRPr="26682E33">
        <w:t xml:space="preserve"> </w:t>
      </w:r>
    </w:p>
    <w:p w14:paraId="5CB80E07" w14:textId="49D50F70" w:rsidR="004037CE" w:rsidRDefault="00CD6267" w:rsidP="009A45A9">
      <w:r>
        <w:t>T</w:t>
      </w:r>
      <w:r w:rsidR="004037CE">
        <w:t xml:space="preserve">he </w:t>
      </w:r>
      <w:r w:rsidR="00A96765">
        <w:t xml:space="preserve">ALG minutes and interview </w:t>
      </w:r>
      <w:r w:rsidR="004037CE">
        <w:t xml:space="preserve">data </w:t>
      </w:r>
      <w:r>
        <w:t xml:space="preserve">also </w:t>
      </w:r>
      <w:r w:rsidR="004037CE">
        <w:t>suggest that</w:t>
      </w:r>
      <w:r w:rsidR="009A45A9">
        <w:t xml:space="preserve"> there has been a trend toward earlier engagement </w:t>
      </w:r>
      <w:r w:rsidR="004037CE">
        <w:t xml:space="preserve">of the ALG as CAP implementation has progressed. This has enabled </w:t>
      </w:r>
      <w:r w:rsidR="005C37BD">
        <w:t>the ALG</w:t>
      </w:r>
      <w:r w:rsidR="004037CE">
        <w:t xml:space="preserve"> to give</w:t>
      </w:r>
      <w:r w:rsidR="009A45A9">
        <w:t xml:space="preserve"> more timely and meaningful input</w:t>
      </w:r>
      <w:r w:rsidR="004037CE">
        <w:t xml:space="preserve"> </w:t>
      </w:r>
      <w:r w:rsidR="005C37BD">
        <w:t>on</w:t>
      </w:r>
      <w:r w:rsidR="004037CE">
        <w:t xml:space="preserve"> investment discussions and is a</w:t>
      </w:r>
      <w:r w:rsidR="009A45A9">
        <w:t xml:space="preserve"> positive step </w:t>
      </w:r>
      <w:r w:rsidR="004037CE">
        <w:t>toward</w:t>
      </w:r>
      <w:r w:rsidR="009A45A9">
        <w:t xml:space="preserve"> moving from reactive consultation to more proactive, structured engagement.</w:t>
      </w:r>
    </w:p>
    <w:p w14:paraId="35DC0FA0" w14:textId="2091A202" w:rsidR="003A77FF" w:rsidRPr="00906069" w:rsidRDefault="00CD6267" w:rsidP="00DA4528">
      <w:r w:rsidRPr="26682E33">
        <w:t xml:space="preserve">In addition to changes in high level decisions, there also appears to be some change in the way that decisions are made within funding streams as a result of the CAP. Interviews with stakeholders </w:t>
      </w:r>
      <w:r w:rsidR="00307713">
        <w:t xml:space="preserve">from </w:t>
      </w:r>
      <w:r w:rsidR="00D8363A">
        <w:t>Australian</w:t>
      </w:r>
      <w:r w:rsidR="003F428B" w:rsidRPr="00141FEE" w:rsidDel="00FE3F26">
        <w:t xml:space="preserve"> Government</w:t>
      </w:r>
      <w:r w:rsidR="006716DB" w:rsidRPr="26682E33">
        <w:t xml:space="preserve"> agencies involved in overseeing CAP projects </w:t>
      </w:r>
      <w:r w:rsidRPr="26682E33">
        <w:t xml:space="preserve">indicated that they </w:t>
      </w:r>
      <w:r w:rsidR="006716DB" w:rsidRPr="26682E33">
        <w:t>are either making meaningful steps to engaging First Nations people in procurement and implementation decisions</w:t>
      </w:r>
      <w:r w:rsidR="007C30F3">
        <w:rPr>
          <w:rStyle w:val="FootnoteReference"/>
          <w:rFonts w:eastAsiaTheme="minorEastAsia"/>
        </w:rPr>
        <w:t xml:space="preserve"> </w:t>
      </w:r>
      <w:r>
        <w:t xml:space="preserve"> or that </w:t>
      </w:r>
      <w:r w:rsidR="006716DB" w:rsidRPr="26682E33">
        <w:t>that they were already working in this way</w:t>
      </w:r>
      <w:r w:rsidR="006716DB">
        <w:t xml:space="preserve"> prior to the commencement of the CAP</w:t>
      </w:r>
      <w:r w:rsidR="489248DA">
        <w:t>.</w:t>
      </w:r>
      <w:r w:rsidRPr="26682E33">
        <w:t xml:space="preserve"> </w:t>
      </w:r>
    </w:p>
    <w:p w14:paraId="594B9E3D" w14:textId="2BA39F2D" w:rsidR="407085C6" w:rsidRDefault="7451C8A3" w:rsidP="2AC86B5A">
      <w:r>
        <w:t xml:space="preserve">Many emphasised the importance of continuing to strengthen and support the ALG to maintain momentum, build trust, and deliver outcomes that reflect the aspirations and priorities of </w:t>
      </w:r>
      <w:r w:rsidR="00C62F61">
        <w:t>First Nations</w:t>
      </w:r>
      <w:r>
        <w:t xml:space="preserve"> people in Central Australia.</w:t>
      </w:r>
      <w:r w:rsidR="007C30F3">
        <w:rPr>
          <w:rStyle w:val="FootnoteReference"/>
        </w:rPr>
        <w:t xml:space="preserve"> </w:t>
      </w:r>
    </w:p>
    <w:p w14:paraId="4B3B3814" w14:textId="3DA77890" w:rsidR="29E5A25F" w:rsidRDefault="5F3CB638">
      <w:r>
        <w:lastRenderedPageBreak/>
        <w:t>While the ALG is recognised as an important mechanism, stakeholders highlighted the need for broader, more connected engagement structures that reflect the diversity of community perspectives and provide clear pathways for influence and accountability. Strengthening these connections and ensuring visible responses to community input is essential to rebuilding trust and demonstrating that consultation is a genuine driver of change.</w:t>
      </w:r>
      <w:r w:rsidR="007C30F3">
        <w:rPr>
          <w:rStyle w:val="FootnoteReference"/>
        </w:rPr>
        <w:t xml:space="preserve"> </w:t>
      </w:r>
    </w:p>
    <w:p w14:paraId="6BEB13EE" w14:textId="18E71275" w:rsidR="29E5A25F" w:rsidRDefault="7706ACFF" w:rsidP="564D7093">
      <w:r>
        <w:t xml:space="preserve">The YRT represents another mechanism within the </w:t>
      </w:r>
      <w:r w:rsidR="00A63952">
        <w:t>CAP</w:t>
      </w:r>
      <w:r>
        <w:t xml:space="preserve"> to ensure that the voices, perspectives, and leadership of First Nations young people are meaningfully embedded in the process. As a demographic disproportionately affected by the complex social and structural challenges facing Central Australia, young people</w:t>
      </w:r>
      <w:r w:rsidR="009D4183">
        <w:t>,</w:t>
      </w:r>
      <w:r>
        <w:t xml:space="preserve"> particularly </w:t>
      </w:r>
      <w:r w:rsidR="009D4183">
        <w:t>First Nations</w:t>
      </w:r>
      <w:r>
        <w:t xml:space="preserve"> youth</w:t>
      </w:r>
      <w:r w:rsidR="009D4183">
        <w:t>,</w:t>
      </w:r>
      <w:r>
        <w:t xml:space="preserve"> are central to both identifying issues and shaping the solutions</w:t>
      </w:r>
      <w:r w:rsidR="00DA5040">
        <w:t>.</w:t>
      </w:r>
      <w:r w:rsidR="29E5A25F" w:rsidRPr="2AC86B5A">
        <w:rPr>
          <w:rStyle w:val="FootnoteReference"/>
        </w:rPr>
        <w:footnoteReference w:id="43"/>
      </w:r>
      <w:r>
        <w:t xml:space="preserve"> </w:t>
      </w:r>
      <w:r w:rsidRPr="00E23F04">
        <w:t>The YRT advised on Tranch</w:t>
      </w:r>
      <w:r w:rsidR="7B60441E" w:rsidRPr="00E23F04">
        <w:t>e</w:t>
      </w:r>
      <w:r w:rsidRPr="00E23F04">
        <w:t xml:space="preserve"> 2 </w:t>
      </w:r>
      <w:r w:rsidR="0094764D">
        <w:t xml:space="preserve">of infrastructure </w:t>
      </w:r>
      <w:r w:rsidRPr="00E23F04">
        <w:t xml:space="preserve">funding and </w:t>
      </w:r>
      <w:r w:rsidR="0045368D">
        <w:t xml:space="preserve">provided </w:t>
      </w:r>
      <w:r w:rsidRPr="00E23F04">
        <w:t>input into the Youth Action Plan.</w:t>
      </w:r>
      <w:r w:rsidR="007C30F3" w:rsidRPr="3B3046B4">
        <w:rPr>
          <w:rStyle w:val="FootnoteReference"/>
        </w:rPr>
        <w:t xml:space="preserve"> </w:t>
      </w:r>
      <w:r>
        <w:t xml:space="preserve"> </w:t>
      </w:r>
    </w:p>
    <w:p w14:paraId="11AFEF0C" w14:textId="05B217F2" w:rsidR="29E5A25F" w:rsidRDefault="7451C8A3">
      <w:r>
        <w:t xml:space="preserve">Stakeholders </w:t>
      </w:r>
      <w:r w:rsidR="00CD6267">
        <w:t xml:space="preserve">interviewed </w:t>
      </w:r>
      <w:r>
        <w:t>vie</w:t>
      </w:r>
      <w:r w:rsidR="00CD6267">
        <w:t>w</w:t>
      </w:r>
      <w:r w:rsidDel="00CD6267">
        <w:t xml:space="preserve"> </w:t>
      </w:r>
      <w:r>
        <w:t xml:space="preserve">the YRT as an important and emerging mechanism within the CAP, recognising its potential to ensure that the voices of young people are actively included in shaping policies and programs that directly affect them. Stakeholders acknowledged that young people in Central Australia face complex and compounding </w:t>
      </w:r>
      <w:r w:rsidR="00681A5D">
        <w:t>challenges and</w:t>
      </w:r>
      <w:r>
        <w:t xml:space="preserve"> represent a significant portion of the population across Central Australia. The group was valued not only for bringing youth-specific insights into CAP discussions but also for fostering leadership and agency among young </w:t>
      </w:r>
      <w:r w:rsidR="00DD20CB">
        <w:t>First Nations</w:t>
      </w:r>
      <w:r>
        <w:t xml:space="preserve"> people</w:t>
      </w:r>
      <w:r w:rsidR="00DA5040">
        <w:t>.</w:t>
      </w:r>
      <w:r w:rsidR="007C30F3">
        <w:rPr>
          <w:rStyle w:val="FootnoteReference"/>
        </w:rPr>
        <w:t xml:space="preserve"> </w:t>
      </w:r>
      <w:r w:rsidR="00DA5040">
        <w:t xml:space="preserve"> </w:t>
      </w:r>
      <w:r>
        <w:t>While documents identify that the YRT is still developing in its structure and influence</w:t>
      </w:r>
      <w:r w:rsidR="00DA5040">
        <w:t>,</w:t>
      </w:r>
      <w:r w:rsidR="29E5A25F" w:rsidRPr="2AC86B5A">
        <w:rPr>
          <w:rStyle w:val="FootnoteReference"/>
        </w:rPr>
        <w:footnoteReference w:id="44"/>
      </w:r>
      <w:r>
        <w:t xml:space="preserve"> there was strong support for its continued growth and integration into broader decision-making processes. Stakeholders emphasised the importance of sustained support, capacity building, and meaningful engagement to ensure the YRT becomes a lasting and effective component of the CAP governance framework.</w:t>
      </w:r>
      <w:r w:rsidR="007C30F3">
        <w:rPr>
          <w:rStyle w:val="FootnoteReference"/>
        </w:rPr>
        <w:t xml:space="preserve"> </w:t>
      </w:r>
      <w:r>
        <w:t xml:space="preserve"> As a stakeholder stated</w:t>
      </w:r>
      <w:r w:rsidR="0D2DD945">
        <w:t>:</w:t>
      </w:r>
      <w:r>
        <w:t xml:space="preserve"> </w:t>
      </w:r>
    </w:p>
    <w:p w14:paraId="3D371D65" w14:textId="5B3E70E2" w:rsidR="29E5A25F" w:rsidRPr="00681A5D" w:rsidRDefault="29E5A25F" w:rsidP="00C32717">
      <w:pPr>
        <w:pStyle w:val="Quote"/>
        <w:rPr>
          <w:rStyle w:val="FootnoteReference"/>
          <w:color w:val="009193"/>
        </w:rPr>
      </w:pPr>
      <w:r w:rsidRPr="00681A5D">
        <w:t>‘Really important to have representation of young people to speak on behalf of young people and especially those who can</w:t>
      </w:r>
      <w:r w:rsidR="002223E3" w:rsidRPr="00681A5D">
        <w:t>'</w:t>
      </w:r>
      <w:r w:rsidRPr="00681A5D">
        <w:t xml:space="preserve">t and those who are most at risk. </w:t>
      </w:r>
      <w:r w:rsidR="002223E3" w:rsidRPr="00681A5D">
        <w:t>I</w:t>
      </w:r>
      <w:r w:rsidRPr="00681A5D">
        <w:t>t's good that</w:t>
      </w:r>
      <w:r w:rsidRPr="00681A5D" w:rsidDel="002223E3">
        <w:t xml:space="preserve"> </w:t>
      </w:r>
      <w:r w:rsidRPr="00681A5D">
        <w:t>can speak for the young people… because they're their voices, you know, because our young people, you know, they're struggling to have a quiet sleep at night. They're struggling to have a feed daily. They're struggling to, you know, see watching their back, you know, and stuff like that. because they, you know, highlight the challenges our young people face</w:t>
      </w:r>
      <w:r w:rsidR="00B7754D">
        <w:t>.</w:t>
      </w:r>
      <w:r w:rsidRPr="00681A5D">
        <w:t>’</w:t>
      </w:r>
    </w:p>
    <w:p w14:paraId="13DF813D" w14:textId="6BF62BF1" w:rsidR="2AC86B5A" w:rsidRPr="00E64C58" w:rsidRDefault="002223E3">
      <w:r>
        <w:t>The</w:t>
      </w:r>
      <w:r w:rsidR="29E5A25F">
        <w:t xml:space="preserve"> </w:t>
      </w:r>
      <w:r w:rsidR="6B873AE2">
        <w:t xml:space="preserve">Regional Controller </w:t>
      </w:r>
      <w:r>
        <w:t>also</w:t>
      </w:r>
      <w:r w:rsidR="29E5A25F">
        <w:t xml:space="preserve"> played an important role in </w:t>
      </w:r>
      <w:r>
        <w:t xml:space="preserve">bringing First Nations voices into the funding decisions for the CAP. </w:t>
      </w:r>
      <w:r w:rsidR="00DD20CB">
        <w:t xml:space="preserve">The </w:t>
      </w:r>
      <w:r w:rsidR="2E01E57B">
        <w:t xml:space="preserve">Regional Controller and the </w:t>
      </w:r>
      <w:r w:rsidR="009C10E1">
        <w:t>OCARC</w:t>
      </w:r>
      <w:r w:rsidR="00DD20CB">
        <w:t xml:space="preserve"> </w:t>
      </w:r>
      <w:r w:rsidR="29E5A25F">
        <w:t xml:space="preserve">led engagement processes with key community stakeholders in Alice Springs, including service providers, local government, </w:t>
      </w:r>
      <w:r w:rsidR="00DD20CB">
        <w:t>First Nations</w:t>
      </w:r>
      <w:r w:rsidR="29E5A25F">
        <w:t xml:space="preserve"> organisations, and community leaders. These consultations aimed to surface community priorities, identify service system gaps, and shape local implementation of the CAP. This regional engagement process helped raise the visibility of community concerns at the national level and supported more contextually informed decision-making.</w:t>
      </w:r>
      <w:r w:rsidR="005F2F8D">
        <w:t xml:space="preserve"> </w:t>
      </w:r>
      <w:r w:rsidR="00892A4A">
        <w:t>Derived from community consultations</w:t>
      </w:r>
      <w:r w:rsidR="57FB447A">
        <w:t>,</w:t>
      </w:r>
      <w:r w:rsidR="00892A4A">
        <w:t xml:space="preserve"> the </w:t>
      </w:r>
      <w:r w:rsidR="0018773F">
        <w:t>OCARC</w:t>
      </w:r>
      <w:r w:rsidR="00892A4A">
        <w:t xml:space="preserve"> advice </w:t>
      </w:r>
      <w:r>
        <w:t xml:space="preserve">helped identify the </w:t>
      </w:r>
      <w:r w:rsidR="29E5A25F">
        <w:t>priority streams of the CAP</w:t>
      </w:r>
      <w:r>
        <w:t>. This</w:t>
      </w:r>
      <w:r w:rsidR="29E5A25F">
        <w:t xml:space="preserve"> is a significant departure from normal government funding processes</w:t>
      </w:r>
      <w:r>
        <w:t>.</w:t>
      </w:r>
    </w:p>
    <w:p w14:paraId="309706D8" w14:textId="4A84AFD7" w:rsidR="29E5A25F" w:rsidRPr="00E64C58" w:rsidRDefault="008F5B94">
      <w:r>
        <w:t>It was widely</w:t>
      </w:r>
      <w:r w:rsidR="002223E3">
        <w:t xml:space="preserve"> </w:t>
      </w:r>
      <w:r w:rsidR="005E4334">
        <w:t xml:space="preserve">expressed </w:t>
      </w:r>
      <w:r w:rsidR="002223E3">
        <w:t xml:space="preserve">that </w:t>
      </w:r>
      <w:r w:rsidR="00521D04">
        <w:t xml:space="preserve">early inclusion of community voices is a departure from </w:t>
      </w:r>
      <w:r w:rsidR="1936548B">
        <w:t>‘</w:t>
      </w:r>
      <w:r w:rsidR="00521D04">
        <w:t>business as usual</w:t>
      </w:r>
      <w:r w:rsidR="6C5B2DF6">
        <w:t>’</w:t>
      </w:r>
      <w:r w:rsidR="00521D04">
        <w:t xml:space="preserve"> for government, </w:t>
      </w:r>
      <w:r w:rsidR="00C468E8">
        <w:t>but</w:t>
      </w:r>
      <w:r w:rsidR="00521D04">
        <w:t xml:space="preserve"> there </w:t>
      </w:r>
      <w:r w:rsidR="00C468E8">
        <w:t>we</w:t>
      </w:r>
      <w:r w:rsidR="00521D04">
        <w:t>re</w:t>
      </w:r>
      <w:r w:rsidR="00521D04" w:rsidRPr="00E64C58">
        <w:t xml:space="preserve"> </w:t>
      </w:r>
      <w:r w:rsidR="7451C8A3" w:rsidRPr="00E64C58">
        <w:t xml:space="preserve">mixed views on </w:t>
      </w:r>
      <w:r w:rsidR="00521D04">
        <w:t xml:space="preserve">the </w:t>
      </w:r>
      <w:r w:rsidR="006B2087">
        <w:t xml:space="preserve">process undertaken </w:t>
      </w:r>
      <w:r w:rsidR="006C37EF">
        <w:t xml:space="preserve">to engage </w:t>
      </w:r>
      <w:r w:rsidR="00521D04">
        <w:t xml:space="preserve">community </w:t>
      </w:r>
      <w:r w:rsidR="7451C8A3" w:rsidRPr="00E64C58">
        <w:t xml:space="preserve">and the role of the </w:t>
      </w:r>
      <w:r w:rsidR="0018773F">
        <w:t xml:space="preserve">OCARC </w:t>
      </w:r>
      <w:r w:rsidR="00521D04">
        <w:t>in the priority setting process</w:t>
      </w:r>
      <w:r w:rsidR="7451C8A3" w:rsidRPr="00E64C58">
        <w:t>. Stakeholders note</w:t>
      </w:r>
      <w:r w:rsidR="006C37EF">
        <w:t xml:space="preserve">d </w:t>
      </w:r>
      <w:r w:rsidR="00651A3A">
        <w:t xml:space="preserve">that the </w:t>
      </w:r>
      <w:r w:rsidR="00B743C7">
        <w:t>issues arose from</w:t>
      </w:r>
      <w:r w:rsidR="7451C8A3" w:rsidRPr="00E64C58">
        <w:t xml:space="preserve"> broader challenges with the reactive nature of the CAP</w:t>
      </w:r>
      <w:r w:rsidR="00521D04">
        <w:t xml:space="preserve"> and the need for </w:t>
      </w:r>
      <w:r w:rsidR="7451C8A3" w:rsidRPr="00E64C58">
        <w:t>a fast-tracked process</w:t>
      </w:r>
      <w:r w:rsidR="408EDD40" w:rsidRPr="00E64C58">
        <w:t>,</w:t>
      </w:r>
      <w:r w:rsidR="00B743C7">
        <w:t xml:space="preserve"> and </w:t>
      </w:r>
      <w:r w:rsidR="00087850">
        <w:t xml:space="preserve">were not associated with the work of the </w:t>
      </w:r>
      <w:r w:rsidR="0018773F">
        <w:t>OCARC</w:t>
      </w:r>
      <w:r w:rsidR="00BE2C9E">
        <w:t>.</w:t>
      </w:r>
      <w:r w:rsidR="007C30F3">
        <w:rPr>
          <w:rStyle w:val="FootnoteReference"/>
        </w:rPr>
        <w:t xml:space="preserve"> </w:t>
      </w:r>
      <w:r w:rsidR="7451C8A3" w:rsidRPr="00E64C58">
        <w:t xml:space="preserve"> Some stakeholders note</w:t>
      </w:r>
      <w:r w:rsidR="00087850">
        <w:t>d</w:t>
      </w:r>
      <w:r w:rsidR="7451C8A3" w:rsidRPr="00E64C58">
        <w:t xml:space="preserve"> that it</w:t>
      </w:r>
      <w:r w:rsidR="7451C8A3" w:rsidRPr="00E64C58" w:rsidDel="00521D04">
        <w:t xml:space="preserve"> </w:t>
      </w:r>
      <w:r w:rsidR="00032D1E">
        <w:t>was</w:t>
      </w:r>
      <w:r w:rsidR="00521D04" w:rsidRPr="00E64C58">
        <w:t xml:space="preserve"> </w:t>
      </w:r>
      <w:r w:rsidR="7451C8A3" w:rsidRPr="00E64C58">
        <w:t xml:space="preserve">challenging starting consultations with a blank sheet and that </w:t>
      </w:r>
      <w:r w:rsidR="00526289">
        <w:t>the process</w:t>
      </w:r>
      <w:r w:rsidR="7451C8A3" w:rsidRPr="00E64C58">
        <w:t xml:space="preserve"> would have benefited from clearer structure or alignment with the parameters like the </w:t>
      </w:r>
      <w:r w:rsidR="00FA13E6">
        <w:t>National Agreement</w:t>
      </w:r>
      <w:r w:rsidR="7451C8A3" w:rsidRPr="00E64C58">
        <w:t xml:space="preserve"> framework </w:t>
      </w:r>
      <w:r w:rsidR="00526289">
        <w:t>as a guide</w:t>
      </w:r>
      <w:r w:rsidR="7451C8A3" w:rsidRPr="00E64C58">
        <w:t>.</w:t>
      </w:r>
      <w:r w:rsidR="007C30F3">
        <w:rPr>
          <w:rStyle w:val="FootnoteReference"/>
        </w:rPr>
        <w:t xml:space="preserve"> </w:t>
      </w:r>
      <w:r w:rsidR="7451C8A3" w:rsidRPr="00E64C58">
        <w:t xml:space="preserve"> Other stakeholders were either not invited to or unaware of the consultations</w:t>
      </w:r>
      <w:r w:rsidR="00032D1E">
        <w:t>,</w:t>
      </w:r>
      <w:r w:rsidR="7451C8A3" w:rsidRPr="00E64C58">
        <w:t xml:space="preserve"> or </w:t>
      </w:r>
      <w:r w:rsidR="00521D04">
        <w:t xml:space="preserve">felt that </w:t>
      </w:r>
      <w:r w:rsidR="7451C8A3" w:rsidRPr="00E64C58">
        <w:t>that the process was a one-off engagement that limited meaningful participation.</w:t>
      </w:r>
      <w:r w:rsidR="007C30F3">
        <w:rPr>
          <w:rStyle w:val="FootnoteReference"/>
        </w:rPr>
        <w:t xml:space="preserve"> </w:t>
      </w:r>
      <w:r w:rsidR="7451C8A3" w:rsidRPr="00E64C58">
        <w:t xml:space="preserve"> Some stakeholders expressed frustration that consultation </w:t>
      </w:r>
      <w:r w:rsidR="00A62A37">
        <w:t>with community</w:t>
      </w:r>
      <w:r w:rsidR="7451C8A3" w:rsidRPr="00E64C58">
        <w:t xml:space="preserve"> continues to occur </w:t>
      </w:r>
      <w:r w:rsidR="00A62A37">
        <w:t xml:space="preserve">across a range of </w:t>
      </w:r>
      <w:r w:rsidR="00150D60">
        <w:t>government pro</w:t>
      </w:r>
      <w:r w:rsidR="00CE75DC">
        <w:t xml:space="preserve">grams </w:t>
      </w:r>
      <w:r w:rsidR="7451C8A3" w:rsidRPr="00E64C58">
        <w:t xml:space="preserve">without leading to meaningful change. Many noted that the same messages are repeated across different forums, yet there is little evidence of action or feedback loops that show how input has been used. This ongoing cycle contributes to consultation fatigue and a sense of disengagement, particularly when communities feel their voices are not translating into outcomes. </w:t>
      </w:r>
      <w:r w:rsidR="27BAE385" w:rsidRPr="00E64C58">
        <w:t xml:space="preserve"> S</w:t>
      </w:r>
      <w:r w:rsidR="67114CB6" w:rsidRPr="00E64C58">
        <w:t xml:space="preserve">takeholders noted that </w:t>
      </w:r>
      <w:r w:rsidR="000F2EDD">
        <w:t xml:space="preserve">the </w:t>
      </w:r>
      <w:r w:rsidR="0018773F">
        <w:t xml:space="preserve">OCARC </w:t>
      </w:r>
      <w:r w:rsidR="67114CB6" w:rsidRPr="00E64C58">
        <w:t xml:space="preserve">had been a strong advocate for </w:t>
      </w:r>
      <w:r w:rsidR="00D80DB7">
        <w:t>First Nations</w:t>
      </w:r>
      <w:r w:rsidR="67114CB6" w:rsidRPr="00E64C58">
        <w:t xml:space="preserve"> people across Central Australia, working hard to bring important issues to the forefront of government.</w:t>
      </w:r>
      <w:r w:rsidR="007C30F3">
        <w:rPr>
          <w:rStyle w:val="FootnoteReference"/>
        </w:rPr>
        <w:t xml:space="preserve"> </w:t>
      </w:r>
    </w:p>
    <w:p w14:paraId="6D1C2D92" w14:textId="6E9EF56F" w:rsidR="003A77FF" w:rsidRDefault="36883CFE" w:rsidP="73BB7677">
      <w:pPr>
        <w:rPr>
          <w:rFonts w:cs="Helvetica"/>
        </w:rPr>
      </w:pPr>
      <w:r>
        <w:lastRenderedPageBreak/>
        <w:t xml:space="preserve">While the CAP has strengthened the approach of working in partnership with First Nations communities, many stakeholders noted that self-determination under the CAP is limited so long as final decision-making authority rests with ministers. In addition, the CAP expenditure is still subject to complicated, legislative rules around grants and procurements, adding additional complexity and slowing down the process of implementing the CAP initiatives once the decision has been taken. </w:t>
      </w:r>
      <w:r w:rsidRPr="3C8B553E">
        <w:rPr>
          <w:rFonts w:cs="Helvetica"/>
        </w:rPr>
        <w:t xml:space="preserve">Government stakeholders noted that a key challenge to integrating the ALG into government decision-making processes stemmed from a misalignment between the timeframes in which government funding decisions are made, and the time the ALG needed to form a position and provide advice on potential </w:t>
      </w:r>
      <w:r w:rsidRPr="00F75344">
        <w:rPr>
          <w:rFonts w:cs="Helvetica"/>
        </w:rPr>
        <w:t>projects.</w:t>
      </w:r>
      <w:r w:rsidR="007C30F3">
        <w:rPr>
          <w:rStyle w:val="FootnoteReference"/>
          <w:rFonts w:cs="Helvetica"/>
        </w:rPr>
        <w:t xml:space="preserve"> </w:t>
      </w:r>
      <w:r w:rsidRPr="00F75344">
        <w:rPr>
          <w:rFonts w:cs="Helvetica"/>
        </w:rPr>
        <w:t xml:space="preserve"> The involvement of multiple levels of government and multiple ministers also made decision-making processes more complicated</w:t>
      </w:r>
      <w:r w:rsidRPr="3C8B553E">
        <w:rPr>
          <w:rFonts w:cs="Helvetica"/>
        </w:rPr>
        <w:t xml:space="preserve"> and has slowed down approvals and implementation after the ALG had formed its position.</w:t>
      </w:r>
      <w:r w:rsidRPr="73BB7677">
        <w:rPr>
          <w:rFonts w:cs="Helvetica"/>
        </w:rPr>
        <w:t xml:space="preserve">  </w:t>
      </w:r>
    </w:p>
    <w:p w14:paraId="72466474" w14:textId="0A40BCCA" w:rsidR="00DC1336" w:rsidRDefault="003A77FF" w:rsidP="004C7BCA">
      <w:pPr>
        <w:pStyle w:val="Heading3"/>
      </w:pPr>
      <w:r>
        <w:t>A</w:t>
      </w:r>
      <w:r w:rsidR="671FC6CC">
        <w:t>ll</w:t>
      </w:r>
      <w:r>
        <w:t>ocation &amp; focus of investment</w:t>
      </w:r>
    </w:p>
    <w:p w14:paraId="77195F96" w14:textId="431C905D" w:rsidR="00BE50D4" w:rsidRPr="003718AD" w:rsidRDefault="00BE50D4" w:rsidP="00BE50D4">
      <w:r w:rsidRPr="004C7BCA">
        <w:t xml:space="preserve">Across the </w:t>
      </w:r>
      <w:r w:rsidR="00C63EC1">
        <w:t>Central Australia</w:t>
      </w:r>
      <w:r w:rsidRPr="004C7BCA">
        <w:t xml:space="preserve"> region, approximately 41</w:t>
      </w:r>
      <w:r w:rsidR="001D2ACD">
        <w:t>%</w:t>
      </w:r>
      <w:r w:rsidRPr="004C7BCA">
        <w:t xml:space="preserve"> of the population identifies as Aboriginal with this increasing to </w:t>
      </w:r>
      <w:r w:rsidR="00991780" w:rsidRPr="004C7BCA">
        <w:t>80</w:t>
      </w:r>
      <w:r w:rsidR="001D2ACD">
        <w:t>%</w:t>
      </w:r>
      <w:r w:rsidRPr="004C7BCA">
        <w:t xml:space="preserve"> outside of Alice Springs.</w:t>
      </w:r>
      <w:r w:rsidRPr="004C7BCA">
        <w:rPr>
          <w:rStyle w:val="FootnoteReference"/>
          <w:rFonts w:cs="Arial"/>
          <w:color w:val="000000" w:themeColor="text1"/>
        </w:rPr>
        <w:footnoteReference w:id="45"/>
      </w:r>
      <w:r w:rsidRPr="004C7BCA">
        <w:t xml:space="preserve"> The region is also multi-cultural, with 32.9</w:t>
      </w:r>
      <w:r w:rsidR="001D2ACD">
        <w:t>%</w:t>
      </w:r>
      <w:r w:rsidRPr="004C7BCA">
        <w:t xml:space="preserve"> of the population of Alice Springs being born outside Australia, and 31.9</w:t>
      </w:r>
      <w:r w:rsidR="001D2ACD">
        <w:t>%</w:t>
      </w:r>
      <w:r w:rsidRPr="004C7BCA">
        <w:t xml:space="preserve"> speaking a language other than English at home.</w:t>
      </w:r>
      <w:r w:rsidRPr="004C7BCA">
        <w:rPr>
          <w:rStyle w:val="FootnoteReference"/>
        </w:rPr>
        <w:footnoteReference w:id="46"/>
      </w:r>
      <w:r w:rsidRPr="003718AD">
        <w:t> </w:t>
      </w:r>
    </w:p>
    <w:p w14:paraId="1B9302C2" w14:textId="0D735347" w:rsidR="007A2D13" w:rsidRDefault="00BA1DD1" w:rsidP="00DA4528">
      <w:r>
        <w:t xml:space="preserve">An important element of the CAP was considering the need of </w:t>
      </w:r>
      <w:r w:rsidR="2D045C7C">
        <w:t xml:space="preserve">both the </w:t>
      </w:r>
      <w:r>
        <w:t xml:space="preserve">Alice Springs community, </w:t>
      </w:r>
      <w:r w:rsidR="59728543">
        <w:t>and</w:t>
      </w:r>
      <w:r>
        <w:t xml:space="preserve"> the many remote communities and town camps across Central Australia.</w:t>
      </w:r>
      <w:r w:rsidR="342DCF59">
        <w:t xml:space="preserve"> </w:t>
      </w:r>
      <w:r w:rsidR="004D31B9">
        <w:t xml:space="preserve">At the time of the evaluation, </w:t>
      </w:r>
      <w:r w:rsidR="002B22C1">
        <w:t xml:space="preserve">Alice Springs </w:t>
      </w:r>
      <w:r w:rsidR="003011CF">
        <w:t>has been allocated</w:t>
      </w:r>
      <w:r w:rsidR="00857A10">
        <w:t xml:space="preserve"> a</w:t>
      </w:r>
      <w:r w:rsidR="00465945">
        <w:t>lmost</w:t>
      </w:r>
      <w:r w:rsidR="00857A10">
        <w:t xml:space="preserve"> third of the </w:t>
      </w:r>
      <w:r w:rsidR="00465945">
        <w:t>project-related CAP funding</w:t>
      </w:r>
      <w:r w:rsidR="00A7140F">
        <w:t xml:space="preserve"> ($69 million)</w:t>
      </w:r>
      <w:r w:rsidR="007C10E2">
        <w:t xml:space="preserve">. </w:t>
      </w:r>
      <w:r w:rsidR="00364049">
        <w:t xml:space="preserve">Remote </w:t>
      </w:r>
      <w:r w:rsidR="00E9449C">
        <w:t>communities</w:t>
      </w:r>
      <w:r w:rsidR="00364049">
        <w:t xml:space="preserve"> have been allocated</w:t>
      </w:r>
      <w:r w:rsidR="00C25101">
        <w:t xml:space="preserve"> </w:t>
      </w:r>
      <w:r w:rsidR="003034B5">
        <w:t>more</w:t>
      </w:r>
      <w:r w:rsidR="00E31DD6">
        <w:t xml:space="preserve"> </w:t>
      </w:r>
      <w:r w:rsidR="004A5540">
        <w:t xml:space="preserve">funding at </w:t>
      </w:r>
      <w:r w:rsidR="00E31DD6">
        <w:t xml:space="preserve">$96 million </w:t>
      </w:r>
      <w:r w:rsidR="004A5540">
        <w:t xml:space="preserve">(42% </w:t>
      </w:r>
      <w:r w:rsidR="00E31DD6">
        <w:t>project-related</w:t>
      </w:r>
      <w:r w:rsidR="00C01791">
        <w:t xml:space="preserve"> funding</w:t>
      </w:r>
      <w:r w:rsidR="00CB5E99">
        <w:t>)</w:t>
      </w:r>
      <w:r w:rsidR="004A5540">
        <w:t xml:space="preserve">. </w:t>
      </w:r>
      <w:r w:rsidR="00F94C68">
        <w:t>A</w:t>
      </w:r>
      <w:r w:rsidR="001E513C">
        <w:t>pproximately $64 million has not yet been allocated to specific projects</w:t>
      </w:r>
      <w:r w:rsidR="00F027B0">
        <w:t xml:space="preserve"> but will go towards </w:t>
      </w:r>
      <w:r w:rsidR="00612B38">
        <w:t xml:space="preserve">Tranche 3 of the </w:t>
      </w:r>
      <w:r w:rsidR="00696FF5">
        <w:t>infrastructure</w:t>
      </w:r>
      <w:r w:rsidR="00612B38">
        <w:t xml:space="preserve"> funding that will be delivered in remote communities, Remote Training Hubs Network, the DSS Strengthening Communities and Families Partnership (SCFP), Leadership and Youth funding, and supplemental funding</w:t>
      </w:r>
      <w:r w:rsidR="00EC7C5D">
        <w:t xml:space="preserve">. NIAA </w:t>
      </w:r>
      <w:r w:rsidR="00CA66A9">
        <w:t>expects</w:t>
      </w:r>
      <w:r w:rsidR="00EC7C5D">
        <w:t xml:space="preserve"> that th</w:t>
      </w:r>
      <w:r w:rsidR="00AB7E37">
        <w:t>is</w:t>
      </w:r>
      <w:r w:rsidR="00EC7C5D">
        <w:t xml:space="preserve"> remaining funding</w:t>
      </w:r>
      <w:r w:rsidR="007436BD">
        <w:t xml:space="preserve"> </w:t>
      </w:r>
      <w:r w:rsidR="7E36F0A7">
        <w:t xml:space="preserve">will </w:t>
      </w:r>
      <w:r w:rsidR="0047578F" w:rsidRPr="000E47F4">
        <w:t xml:space="preserve">be directed predominantly toward </w:t>
      </w:r>
      <w:r w:rsidR="00EC5F0E" w:rsidRPr="000E47F4">
        <w:t>remote</w:t>
      </w:r>
      <w:r w:rsidR="00EC7C5D" w:rsidRPr="000E47F4">
        <w:t xml:space="preserve"> </w:t>
      </w:r>
      <w:r w:rsidR="0031664A" w:rsidRPr="000E47F4">
        <w:t>projects</w:t>
      </w:r>
      <w:r w:rsidR="0047578F" w:rsidRPr="000E47F4">
        <w:t>.</w:t>
      </w:r>
      <w:r w:rsidR="0047578F">
        <w:t xml:space="preserve"> </w:t>
      </w:r>
    </w:p>
    <w:p w14:paraId="177C24D2" w14:textId="50F0DFDD" w:rsidR="00CF2450" w:rsidRPr="00DA4528" w:rsidRDefault="00241CEE" w:rsidP="1A31B231">
      <w:pPr>
        <w:spacing w:line="259" w:lineRule="auto"/>
      </w:pPr>
      <w:r>
        <w:t>A</w:t>
      </w:r>
      <w:r w:rsidR="00175145">
        <w:t>pproximately $</w:t>
      </w:r>
      <w:r w:rsidR="0CEAB681">
        <w:t>6</w:t>
      </w:r>
      <w:r w:rsidR="00175145">
        <w:t xml:space="preserve"> million has been allocated to</w:t>
      </w:r>
      <w:r w:rsidR="00BE474F">
        <w:t xml:space="preserve"> </w:t>
      </w:r>
      <w:r w:rsidR="6836720F">
        <w:t xml:space="preserve">initiatives that cover </w:t>
      </w:r>
      <w:r w:rsidR="00EA54B6">
        <w:t xml:space="preserve">both </w:t>
      </w:r>
      <w:r w:rsidR="6836720F">
        <w:t>remote communities and Alice Springs</w:t>
      </w:r>
      <w:r w:rsidR="00CF2450">
        <w:t xml:space="preserve">. </w:t>
      </w:r>
      <w:r w:rsidR="004D31B9">
        <w:t xml:space="preserve"> </w:t>
      </w:r>
    </w:p>
    <w:p w14:paraId="06A2E051" w14:textId="7B536C2F" w:rsidR="000675E2" w:rsidRDefault="00BE3436" w:rsidP="00C747F4">
      <w:r>
        <w:t>S</w:t>
      </w:r>
      <w:r w:rsidR="003930F0">
        <w:t>takeholder</w:t>
      </w:r>
      <w:r w:rsidR="00390237">
        <w:t xml:space="preserve"> views </w:t>
      </w:r>
      <w:r w:rsidR="009956EB">
        <w:t xml:space="preserve">regarding </w:t>
      </w:r>
      <w:r w:rsidR="003A1ABB">
        <w:t>how</w:t>
      </w:r>
      <w:r w:rsidR="009133A3">
        <w:t xml:space="preserve"> the </w:t>
      </w:r>
      <w:r w:rsidR="00EB0CE7">
        <w:t>investments should be split between</w:t>
      </w:r>
      <w:r w:rsidR="00590B29">
        <w:t xml:space="preserve"> </w:t>
      </w:r>
      <w:r w:rsidR="5C9CF320">
        <w:t xml:space="preserve">Alice Springs </w:t>
      </w:r>
      <w:r w:rsidR="00EB0CE7">
        <w:t xml:space="preserve">and </w:t>
      </w:r>
      <w:r w:rsidR="00EC0C65">
        <w:t>r</w:t>
      </w:r>
      <w:r w:rsidR="00EB0CE7">
        <w:t xml:space="preserve">emote </w:t>
      </w:r>
      <w:r w:rsidR="00EC0C65">
        <w:t>c</w:t>
      </w:r>
      <w:r w:rsidR="00EB0CE7">
        <w:t>ommunities</w:t>
      </w:r>
      <w:r>
        <w:t xml:space="preserve"> varied</w:t>
      </w:r>
      <w:r w:rsidR="00EB0CE7">
        <w:t>.</w:t>
      </w:r>
      <w:r w:rsidR="205B6243">
        <w:t xml:space="preserve"> </w:t>
      </w:r>
      <w:r w:rsidR="5E926713">
        <w:t>S</w:t>
      </w:r>
      <w:r w:rsidR="16DB703D" w:rsidRPr="00FC62FE">
        <w:t xml:space="preserve">ome </w:t>
      </w:r>
      <w:r w:rsidR="5E926713">
        <w:t xml:space="preserve">stakeholders </w:t>
      </w:r>
      <w:r w:rsidR="79574DFE">
        <w:t xml:space="preserve">feel </w:t>
      </w:r>
      <w:r w:rsidR="16DB703D" w:rsidRPr="00FC62FE">
        <w:t xml:space="preserve">that investment </w:t>
      </w:r>
      <w:r w:rsidR="00590B29">
        <w:t>is</w:t>
      </w:r>
      <w:r w:rsidR="16DB703D" w:rsidRPr="00FC62FE">
        <w:t xml:space="preserve"> </w:t>
      </w:r>
      <w:r w:rsidR="7C68053F">
        <w:t xml:space="preserve">overly weighted toward </w:t>
      </w:r>
      <w:r w:rsidR="16DB703D" w:rsidRPr="00FC62FE">
        <w:t>remote communities, identifying that Alice Springs has the greatest need.</w:t>
      </w:r>
      <w:r w:rsidR="007C30F3">
        <w:rPr>
          <w:rStyle w:val="FootnoteReference"/>
        </w:rPr>
        <w:t xml:space="preserve"> </w:t>
      </w:r>
      <w:r w:rsidR="16DB703D" w:rsidRPr="00FC62FE">
        <w:t xml:space="preserve"> </w:t>
      </w:r>
      <w:r w:rsidR="77D61697">
        <w:t>O</w:t>
      </w:r>
      <w:r w:rsidR="16DB703D" w:rsidRPr="00FC62FE">
        <w:t xml:space="preserve">ther stakeholders considered </w:t>
      </w:r>
      <w:r w:rsidR="2D0E3E5B">
        <w:t xml:space="preserve">a </w:t>
      </w:r>
      <w:r w:rsidR="16DB703D" w:rsidRPr="00FC62FE">
        <w:t xml:space="preserve">focus on remote communities needs to remain, to reduce pressure on Alice Springs </w:t>
      </w:r>
      <w:r w:rsidR="32647714">
        <w:t xml:space="preserve">caused by </w:t>
      </w:r>
      <w:r w:rsidR="16DB703D" w:rsidRPr="00FC62FE">
        <w:t xml:space="preserve">people </w:t>
      </w:r>
      <w:r w:rsidR="398698CD">
        <w:t xml:space="preserve">who </w:t>
      </w:r>
      <w:r w:rsidR="18AD75A2">
        <w:t xml:space="preserve">otherwise have to travel to </w:t>
      </w:r>
      <w:r w:rsidR="16DB703D" w:rsidRPr="00FC62FE">
        <w:t xml:space="preserve">Alice Springs from remote communities to access services and programs. </w:t>
      </w:r>
      <w:r w:rsidR="007C30F3">
        <w:rPr>
          <w:rStyle w:val="FootnoteReference"/>
        </w:rPr>
        <w:t xml:space="preserve"> </w:t>
      </w:r>
    </w:p>
    <w:p w14:paraId="61D7ACA3" w14:textId="77777777" w:rsidR="00171639" w:rsidRDefault="00171639">
      <w:pPr>
        <w:keepLines w:val="0"/>
        <w:widowControl/>
        <w:spacing w:before="0" w:after="0"/>
        <w:rPr>
          <w:i/>
          <w:color w:val="009999"/>
        </w:rPr>
      </w:pPr>
      <w:r>
        <w:br w:type="page"/>
      </w:r>
    </w:p>
    <w:p w14:paraId="1B7FF875" w14:textId="41332322" w:rsidR="00A27D79" w:rsidRPr="005D713A" w:rsidRDefault="00EA043C" w:rsidP="007571F3">
      <w:pPr>
        <w:pStyle w:val="Heading4"/>
        <w:rPr>
          <w:color w:val="FF0000"/>
        </w:rPr>
      </w:pPr>
      <w:r>
        <w:lastRenderedPageBreak/>
        <w:t xml:space="preserve">CAP </w:t>
      </w:r>
      <w:r w:rsidR="00FE10AC">
        <w:t>f</w:t>
      </w:r>
      <w:r>
        <w:t>unding by remote clusters</w:t>
      </w:r>
    </w:p>
    <w:p w14:paraId="6C7D3C02" w14:textId="1262CEB4" w:rsidR="00FB54FC" w:rsidRPr="00731960" w:rsidRDefault="008A5B82" w:rsidP="00731960">
      <w:r>
        <w:t>At the time of the evaluation,</w:t>
      </w:r>
      <w:r w:rsidR="00C91375">
        <w:t xml:space="preserve"> the </w:t>
      </w:r>
      <w:r w:rsidR="006E6A41">
        <w:t xml:space="preserve">amount of funding distributed across the </w:t>
      </w:r>
      <w:r w:rsidR="00D85CC4">
        <w:t>seven</w:t>
      </w:r>
      <w:r w:rsidR="001132BC">
        <w:t xml:space="preserve"> </w:t>
      </w:r>
      <w:r w:rsidR="007E41D8">
        <w:t xml:space="preserve">remote </w:t>
      </w:r>
      <w:r w:rsidR="006E6A41">
        <w:t>community clusters</w:t>
      </w:r>
      <w:r w:rsidR="007127F5">
        <w:t xml:space="preserve"> </w:t>
      </w:r>
      <w:r w:rsidR="00463885">
        <w:t xml:space="preserve">(see Figure 3 for a map) </w:t>
      </w:r>
      <w:r w:rsidR="005901F8">
        <w:t xml:space="preserve">differs. </w:t>
      </w:r>
      <w:r w:rsidR="005E7BC2">
        <w:t xml:space="preserve">It is noted that </w:t>
      </w:r>
      <w:r w:rsidR="00EF03AC">
        <w:t xml:space="preserve">a </w:t>
      </w:r>
      <w:r w:rsidR="00EF03AC" w:rsidRPr="6466A4C2">
        <w:rPr>
          <w:rFonts w:eastAsia="Helvetica" w:cs="Helvetica"/>
        </w:rPr>
        <w:t xml:space="preserve">third tranche of infrastructure funding </w:t>
      </w:r>
      <w:r w:rsidR="20CE0709" w:rsidRPr="27AF1994">
        <w:rPr>
          <w:rFonts w:eastAsia="Helvetica" w:cs="Helvetica"/>
        </w:rPr>
        <w:t>is yet to be committed through a financial arrangement with a provider</w:t>
      </w:r>
      <w:r w:rsidR="00F66C6A">
        <w:rPr>
          <w:rFonts w:eastAsia="Helvetica" w:cs="Helvetica"/>
        </w:rPr>
        <w:t xml:space="preserve"> and </w:t>
      </w:r>
      <w:r w:rsidR="20CE0709" w:rsidRPr="27AF1994">
        <w:rPr>
          <w:rFonts w:eastAsia="Helvetica" w:cs="Helvetica"/>
        </w:rPr>
        <w:t>other CAP projects in remote areas are also pending commitment</w:t>
      </w:r>
      <w:r w:rsidR="003D0719">
        <w:rPr>
          <w:rFonts w:eastAsia="Helvetica" w:cs="Helvetica"/>
        </w:rPr>
        <w:t xml:space="preserve">, </w:t>
      </w:r>
      <w:r w:rsidR="20CE0709" w:rsidRPr="27AF1994">
        <w:rPr>
          <w:rFonts w:eastAsia="Helvetica" w:cs="Helvetica"/>
        </w:rPr>
        <w:t xml:space="preserve">so the overall funding distribution </w:t>
      </w:r>
      <w:r w:rsidR="00B83087">
        <w:rPr>
          <w:rFonts w:eastAsia="Helvetica" w:cs="Helvetica"/>
        </w:rPr>
        <w:t>will</w:t>
      </w:r>
      <w:r w:rsidR="00B83087" w:rsidRPr="27AF1994">
        <w:rPr>
          <w:rFonts w:eastAsia="Helvetica" w:cs="Helvetica"/>
        </w:rPr>
        <w:t xml:space="preserve"> </w:t>
      </w:r>
      <w:r w:rsidR="20CE0709" w:rsidRPr="27AF1994">
        <w:rPr>
          <w:rFonts w:eastAsia="Helvetica" w:cs="Helvetica"/>
        </w:rPr>
        <w:t>change over time.</w:t>
      </w:r>
      <w:r w:rsidR="00120E46">
        <w:t xml:space="preserve"> </w:t>
      </w:r>
      <w:proofErr w:type="spellStart"/>
      <w:r w:rsidR="00120E46">
        <w:t>An</w:t>
      </w:r>
      <w:r w:rsidR="005F78B0">
        <w:t>matiere</w:t>
      </w:r>
      <w:proofErr w:type="spellEnd"/>
      <w:r w:rsidR="005F78B0">
        <w:t xml:space="preserve"> and Luritja Pintubi clusters have </w:t>
      </w:r>
      <w:r w:rsidR="00EF03AC">
        <w:t xml:space="preserve">each received </w:t>
      </w:r>
      <w:r w:rsidR="0035182D">
        <w:t xml:space="preserve">approximately </w:t>
      </w:r>
      <w:r w:rsidR="00E1391D">
        <w:t>25</w:t>
      </w:r>
      <w:r w:rsidR="001D2ACD">
        <w:t>%</w:t>
      </w:r>
      <w:r w:rsidR="00054164">
        <w:t xml:space="preserve"> </w:t>
      </w:r>
      <w:r w:rsidR="0035182D">
        <w:t xml:space="preserve">of the </w:t>
      </w:r>
      <w:r w:rsidR="1901F470">
        <w:t xml:space="preserve">remote funding </w:t>
      </w:r>
      <w:r w:rsidR="00EF03AC">
        <w:t>committed to date</w:t>
      </w:r>
      <w:r w:rsidR="00610794">
        <w:t>.</w:t>
      </w:r>
      <w:r w:rsidR="4583ECE6">
        <w:t xml:space="preserve"> </w:t>
      </w:r>
      <w:r w:rsidR="00AE09F2">
        <w:t xml:space="preserve">Southern Tanami, </w:t>
      </w:r>
      <w:proofErr w:type="spellStart"/>
      <w:r w:rsidR="00D121C7">
        <w:t>Rodinga</w:t>
      </w:r>
      <w:proofErr w:type="spellEnd"/>
      <w:r w:rsidR="00D121C7">
        <w:t xml:space="preserve"> and </w:t>
      </w:r>
      <w:proofErr w:type="spellStart"/>
      <w:r w:rsidR="00D121C7">
        <w:t>Li</w:t>
      </w:r>
      <w:r w:rsidR="690540D2">
        <w:t>j</w:t>
      </w:r>
      <w:r w:rsidR="00D121C7">
        <w:t>rapinta</w:t>
      </w:r>
      <w:proofErr w:type="spellEnd"/>
      <w:r w:rsidR="00D121C7">
        <w:t xml:space="preserve"> each received between </w:t>
      </w:r>
      <w:r w:rsidR="00BD702D">
        <w:t>10 and 13</w:t>
      </w:r>
      <w:r w:rsidR="001D2ACD">
        <w:t>%</w:t>
      </w:r>
      <w:r w:rsidR="00BD702D">
        <w:t xml:space="preserve"> of the funding</w:t>
      </w:r>
      <w:r w:rsidR="005A45B2">
        <w:t xml:space="preserve">, the Plenty </w:t>
      </w:r>
      <w:r w:rsidR="00F74CCF">
        <w:t xml:space="preserve">received </w:t>
      </w:r>
      <w:r w:rsidR="004E0E23">
        <w:t>7</w:t>
      </w:r>
      <w:r w:rsidR="001D2ACD">
        <w:t>%</w:t>
      </w:r>
      <w:r w:rsidR="00F74CCF">
        <w:t xml:space="preserve"> and </w:t>
      </w:r>
      <w:proofErr w:type="spellStart"/>
      <w:r w:rsidR="00F74CCF">
        <w:t>Iya</w:t>
      </w:r>
      <w:r w:rsidR="008E3F60">
        <w:t>rrka</w:t>
      </w:r>
      <w:proofErr w:type="spellEnd"/>
      <w:r w:rsidR="008E3F60">
        <w:t xml:space="preserve"> received the leas</w:t>
      </w:r>
      <w:r w:rsidR="000527AC">
        <w:t>t</w:t>
      </w:r>
      <w:r w:rsidR="006672CF">
        <w:t xml:space="preserve">, but NIAA confirms that </w:t>
      </w:r>
      <w:proofErr w:type="spellStart"/>
      <w:r w:rsidR="006672CF">
        <w:t>Iyarrka</w:t>
      </w:r>
      <w:proofErr w:type="spellEnd"/>
      <w:r w:rsidR="006672CF">
        <w:t xml:space="preserve"> </w:t>
      </w:r>
      <w:r w:rsidR="00CB62E8">
        <w:t>are a focus for Tranche 3</w:t>
      </w:r>
      <w:r w:rsidR="00233904">
        <w:t xml:space="preserve"> Regional Infrastructure Funding</w:t>
      </w:r>
      <w:r w:rsidR="000527AC">
        <w:t xml:space="preserve"> </w:t>
      </w:r>
      <w:r w:rsidR="00767BEF">
        <w:t xml:space="preserve">(see Table </w:t>
      </w:r>
      <w:r w:rsidR="00D85CC4">
        <w:t>1</w:t>
      </w:r>
      <w:r w:rsidR="00767BEF">
        <w:t xml:space="preserve"> below)</w:t>
      </w:r>
      <w:r w:rsidR="0082555F">
        <w:t xml:space="preserve">. </w:t>
      </w:r>
    </w:p>
    <w:p w14:paraId="3D2E82EB" w14:textId="209FA8AD" w:rsidR="00C4323B" w:rsidRDefault="00C4323B" w:rsidP="00DA4528">
      <w:pPr>
        <w:pStyle w:val="Heading6"/>
      </w:pPr>
      <w:r>
        <w:t>Table</w:t>
      </w:r>
      <w:r w:rsidR="005246C2">
        <w:t xml:space="preserve"> </w:t>
      </w:r>
      <w:r>
        <w:fldChar w:fldCharType="begin"/>
      </w:r>
      <w:r>
        <w:instrText>SEQ Table \* ARABIC</w:instrText>
      </w:r>
      <w:r>
        <w:fldChar w:fldCharType="separate"/>
      </w:r>
      <w:r w:rsidR="00C762CE">
        <w:rPr>
          <w:noProof/>
        </w:rPr>
        <w:t>1</w:t>
      </w:r>
      <w:r>
        <w:fldChar w:fldCharType="end"/>
      </w:r>
      <w:r w:rsidR="001E54F0">
        <w:t>.</w:t>
      </w:r>
      <w:r>
        <w:t xml:space="preserve"> </w:t>
      </w:r>
      <w:r w:rsidR="00916788">
        <w:t xml:space="preserve">Remote </w:t>
      </w:r>
      <w:r>
        <w:t xml:space="preserve">CAP </w:t>
      </w:r>
      <w:r w:rsidR="00916788">
        <w:t>funding that has been</w:t>
      </w:r>
      <w:r>
        <w:t xml:space="preserve"> committed </w:t>
      </w:r>
      <w:r w:rsidR="00054164">
        <w:t xml:space="preserve">through a financial arrangement </w:t>
      </w:r>
      <w:proofErr w:type="gramStart"/>
      <w:r w:rsidR="00916788">
        <w:t>at</w:t>
      </w:r>
      <w:proofErr w:type="gramEnd"/>
      <w:r w:rsidR="00916788">
        <w:t xml:space="preserve"> 30 April 2025 </w:t>
      </w:r>
      <w:r>
        <w:t xml:space="preserve">by </w:t>
      </w:r>
      <w:r w:rsidR="0091509D">
        <w:t>community cluster</w:t>
      </w:r>
      <w:r w:rsidR="00731960">
        <w:t>.</w:t>
      </w:r>
    </w:p>
    <w:tbl>
      <w:tblPr>
        <w:tblW w:w="9781" w:type="dxa"/>
        <w:tblLook w:val="04A0" w:firstRow="1" w:lastRow="0" w:firstColumn="1" w:lastColumn="0" w:noHBand="0" w:noVBand="1"/>
      </w:tblPr>
      <w:tblGrid>
        <w:gridCol w:w="1966"/>
        <w:gridCol w:w="3563"/>
        <w:gridCol w:w="4252"/>
      </w:tblGrid>
      <w:tr w:rsidR="003F50A3" w:rsidRPr="003F50A3" w14:paraId="49DA357F" w14:textId="0E1C3B7B" w:rsidTr="00DE3850">
        <w:trPr>
          <w:trHeight w:val="413"/>
        </w:trPr>
        <w:tc>
          <w:tcPr>
            <w:tcW w:w="1966" w:type="dxa"/>
            <w:tcBorders>
              <w:top w:val="single" w:sz="4" w:space="0" w:color="BFBFBF" w:themeColor="background1" w:themeShade="BF"/>
              <w:bottom w:val="single" w:sz="4" w:space="0" w:color="BFBFBF" w:themeColor="background1" w:themeShade="BF"/>
            </w:tcBorders>
            <w:noWrap/>
            <w:hideMark/>
          </w:tcPr>
          <w:p w14:paraId="5570A9C8" w14:textId="7CA814C9" w:rsidR="001D2AEC" w:rsidRPr="007571F3" w:rsidRDefault="001D2AEC" w:rsidP="00DA4528">
            <w:pPr>
              <w:pStyle w:val="BodyText1"/>
              <w:rPr>
                <w:b/>
                <w:color w:val="595959" w:themeColor="text1" w:themeTint="A6"/>
                <w:sz w:val="20"/>
                <w:szCs w:val="20"/>
              </w:rPr>
            </w:pPr>
            <w:r w:rsidRPr="007571F3">
              <w:rPr>
                <w:b/>
                <w:color w:val="595959" w:themeColor="text1" w:themeTint="A6"/>
                <w:sz w:val="20"/>
                <w:szCs w:val="20"/>
              </w:rPr>
              <w:t xml:space="preserve">Cluster </w:t>
            </w:r>
          </w:p>
        </w:tc>
        <w:tc>
          <w:tcPr>
            <w:tcW w:w="3563" w:type="dxa"/>
            <w:tcBorders>
              <w:top w:val="single" w:sz="4" w:space="0" w:color="BFBFBF" w:themeColor="background1" w:themeShade="BF"/>
              <w:bottom w:val="single" w:sz="4" w:space="0" w:color="BFBFBF" w:themeColor="background1" w:themeShade="BF"/>
            </w:tcBorders>
            <w:noWrap/>
            <w:hideMark/>
          </w:tcPr>
          <w:p w14:paraId="006F148F" w14:textId="4C7D9306" w:rsidR="001D2AEC" w:rsidRPr="007571F3" w:rsidRDefault="001D2AEC" w:rsidP="00DE3850">
            <w:pPr>
              <w:pStyle w:val="BodyText1"/>
              <w:jc w:val="right"/>
              <w:rPr>
                <w:b/>
                <w:color w:val="595959" w:themeColor="text1" w:themeTint="A6"/>
                <w:sz w:val="20"/>
                <w:szCs w:val="20"/>
              </w:rPr>
            </w:pPr>
            <w:r w:rsidRPr="007571F3">
              <w:rPr>
                <w:b/>
                <w:color w:val="595959" w:themeColor="text1" w:themeTint="A6"/>
                <w:sz w:val="20"/>
                <w:szCs w:val="20"/>
              </w:rPr>
              <w:t>$ Committed to specific projects</w:t>
            </w:r>
          </w:p>
        </w:tc>
        <w:tc>
          <w:tcPr>
            <w:tcW w:w="4252" w:type="dxa"/>
            <w:tcBorders>
              <w:top w:val="single" w:sz="4" w:space="0" w:color="BFBFBF" w:themeColor="background1" w:themeShade="BF"/>
              <w:bottom w:val="single" w:sz="4" w:space="0" w:color="BFBFBF" w:themeColor="background1" w:themeShade="BF"/>
            </w:tcBorders>
            <w:noWrap/>
            <w:hideMark/>
          </w:tcPr>
          <w:p w14:paraId="4074547E" w14:textId="342D3ED5" w:rsidR="001D2AEC" w:rsidRPr="007571F3" w:rsidRDefault="002E1B6B" w:rsidP="00DE3850">
            <w:pPr>
              <w:pStyle w:val="BodyText1"/>
              <w:jc w:val="right"/>
              <w:rPr>
                <w:b/>
                <w:color w:val="595959" w:themeColor="text1" w:themeTint="A6"/>
                <w:sz w:val="20"/>
                <w:szCs w:val="20"/>
              </w:rPr>
            </w:pPr>
            <w:r w:rsidRPr="007571F3">
              <w:rPr>
                <w:b/>
                <w:color w:val="595959" w:themeColor="text1" w:themeTint="A6"/>
                <w:sz w:val="20"/>
                <w:szCs w:val="20"/>
              </w:rPr>
              <w:t xml:space="preserve"> % </w:t>
            </w:r>
            <w:r w:rsidR="001D2ACD" w:rsidRPr="007571F3">
              <w:rPr>
                <w:b/>
                <w:color w:val="595959" w:themeColor="text1" w:themeTint="A6"/>
                <w:sz w:val="20"/>
                <w:szCs w:val="20"/>
              </w:rPr>
              <w:t>R</w:t>
            </w:r>
            <w:r w:rsidRPr="007571F3">
              <w:rPr>
                <w:b/>
                <w:color w:val="595959" w:themeColor="text1" w:themeTint="A6"/>
                <w:sz w:val="20"/>
                <w:szCs w:val="20"/>
              </w:rPr>
              <w:t xml:space="preserve">emote committed </w:t>
            </w:r>
          </w:p>
        </w:tc>
      </w:tr>
      <w:tr w:rsidR="003F50A3" w:rsidRPr="003F50A3" w14:paraId="158CDC2D" w14:textId="0BAA9515" w:rsidTr="00DE3850">
        <w:trPr>
          <w:trHeight w:val="320"/>
        </w:trPr>
        <w:tc>
          <w:tcPr>
            <w:tcW w:w="1966" w:type="dxa"/>
            <w:tcBorders>
              <w:top w:val="single" w:sz="4" w:space="0" w:color="BFBFBF" w:themeColor="background1" w:themeShade="BF"/>
            </w:tcBorders>
            <w:noWrap/>
            <w:hideMark/>
          </w:tcPr>
          <w:p w14:paraId="301B7F4D" w14:textId="77777777" w:rsidR="001D2AEC" w:rsidRPr="007571F3" w:rsidRDefault="001D2AEC" w:rsidP="007571F3">
            <w:pPr>
              <w:pStyle w:val="TableParagraph"/>
              <w:rPr>
                <w:color w:val="595959" w:themeColor="text1" w:themeTint="A6"/>
              </w:rPr>
            </w:pPr>
            <w:proofErr w:type="spellStart"/>
            <w:r w:rsidRPr="007571F3">
              <w:rPr>
                <w:color w:val="595959" w:themeColor="text1" w:themeTint="A6"/>
                <w:lang w:val="en-AU"/>
              </w:rPr>
              <w:t>Anmatjere</w:t>
            </w:r>
            <w:proofErr w:type="spellEnd"/>
          </w:p>
        </w:tc>
        <w:tc>
          <w:tcPr>
            <w:tcW w:w="3563" w:type="dxa"/>
            <w:tcBorders>
              <w:top w:val="single" w:sz="4" w:space="0" w:color="BFBFBF" w:themeColor="background1" w:themeShade="BF"/>
            </w:tcBorders>
            <w:noWrap/>
            <w:hideMark/>
          </w:tcPr>
          <w:p w14:paraId="140AAE25" w14:textId="77777777" w:rsidR="001D2AEC" w:rsidRPr="007571F3" w:rsidRDefault="001D2AEC" w:rsidP="00DE3850">
            <w:pPr>
              <w:pStyle w:val="TableParagraph"/>
              <w:jc w:val="right"/>
              <w:rPr>
                <w:color w:val="595959" w:themeColor="text1" w:themeTint="A6"/>
              </w:rPr>
            </w:pPr>
            <w:r w:rsidRPr="007571F3">
              <w:rPr>
                <w:color w:val="595959" w:themeColor="text1" w:themeTint="A6"/>
              </w:rPr>
              <w:t>$15,498,109</w:t>
            </w:r>
          </w:p>
        </w:tc>
        <w:tc>
          <w:tcPr>
            <w:tcW w:w="4252" w:type="dxa"/>
            <w:tcBorders>
              <w:top w:val="single" w:sz="4" w:space="0" w:color="BFBFBF" w:themeColor="background1" w:themeShade="BF"/>
            </w:tcBorders>
            <w:noWrap/>
            <w:hideMark/>
          </w:tcPr>
          <w:p w14:paraId="78C76C26" w14:textId="6C88FC34" w:rsidR="001D2AEC" w:rsidRPr="007571F3" w:rsidRDefault="001D2AEC" w:rsidP="00DE3850">
            <w:pPr>
              <w:pStyle w:val="TableParagraph"/>
              <w:jc w:val="right"/>
              <w:rPr>
                <w:color w:val="595959" w:themeColor="text1" w:themeTint="A6"/>
              </w:rPr>
            </w:pPr>
            <w:r w:rsidRPr="007571F3">
              <w:rPr>
                <w:color w:val="595959" w:themeColor="text1" w:themeTint="A6"/>
              </w:rPr>
              <w:t>25</w:t>
            </w:r>
          </w:p>
        </w:tc>
      </w:tr>
      <w:tr w:rsidR="003F50A3" w:rsidRPr="003F50A3" w14:paraId="621D8496" w14:textId="1804D115" w:rsidTr="00DE3850">
        <w:trPr>
          <w:trHeight w:val="320"/>
        </w:trPr>
        <w:tc>
          <w:tcPr>
            <w:tcW w:w="1966" w:type="dxa"/>
            <w:noWrap/>
            <w:hideMark/>
          </w:tcPr>
          <w:p w14:paraId="57E77340" w14:textId="77777777" w:rsidR="001D2AEC" w:rsidRPr="007571F3" w:rsidRDefault="001D2AEC" w:rsidP="007571F3">
            <w:pPr>
              <w:pStyle w:val="TableParagraph"/>
              <w:rPr>
                <w:color w:val="595959" w:themeColor="text1" w:themeTint="A6"/>
              </w:rPr>
            </w:pPr>
            <w:r w:rsidRPr="007571F3">
              <w:rPr>
                <w:color w:val="595959" w:themeColor="text1" w:themeTint="A6"/>
              </w:rPr>
              <w:t>Luritja Pintubi</w:t>
            </w:r>
          </w:p>
        </w:tc>
        <w:tc>
          <w:tcPr>
            <w:tcW w:w="3563" w:type="dxa"/>
            <w:noWrap/>
            <w:hideMark/>
          </w:tcPr>
          <w:p w14:paraId="372982B7" w14:textId="77777777" w:rsidR="001D2AEC" w:rsidRPr="007571F3" w:rsidRDefault="001D2AEC" w:rsidP="00DE3850">
            <w:pPr>
              <w:pStyle w:val="TableParagraph"/>
              <w:jc w:val="right"/>
              <w:rPr>
                <w:color w:val="595959" w:themeColor="text1" w:themeTint="A6"/>
              </w:rPr>
            </w:pPr>
            <w:r w:rsidRPr="007571F3">
              <w:rPr>
                <w:color w:val="595959" w:themeColor="text1" w:themeTint="A6"/>
              </w:rPr>
              <w:t>$14,090,377</w:t>
            </w:r>
          </w:p>
        </w:tc>
        <w:tc>
          <w:tcPr>
            <w:tcW w:w="4252" w:type="dxa"/>
            <w:noWrap/>
            <w:hideMark/>
          </w:tcPr>
          <w:p w14:paraId="4E88687E" w14:textId="5E4035C0" w:rsidR="001D2AEC" w:rsidRPr="007571F3" w:rsidRDefault="001D2AEC" w:rsidP="00DE3850">
            <w:pPr>
              <w:pStyle w:val="TableParagraph"/>
              <w:jc w:val="right"/>
              <w:rPr>
                <w:color w:val="595959" w:themeColor="text1" w:themeTint="A6"/>
              </w:rPr>
            </w:pPr>
            <w:r w:rsidRPr="007571F3">
              <w:rPr>
                <w:color w:val="595959" w:themeColor="text1" w:themeTint="A6"/>
              </w:rPr>
              <w:t>23</w:t>
            </w:r>
          </w:p>
        </w:tc>
      </w:tr>
      <w:tr w:rsidR="003F50A3" w:rsidRPr="003F50A3" w14:paraId="78433495" w14:textId="24D27A01" w:rsidTr="00DE3850">
        <w:trPr>
          <w:trHeight w:val="320"/>
        </w:trPr>
        <w:tc>
          <w:tcPr>
            <w:tcW w:w="1966" w:type="dxa"/>
            <w:noWrap/>
            <w:hideMark/>
          </w:tcPr>
          <w:p w14:paraId="21744E07" w14:textId="77777777" w:rsidR="001D2AEC" w:rsidRPr="007571F3" w:rsidRDefault="001D2AEC" w:rsidP="007571F3">
            <w:pPr>
              <w:pStyle w:val="TableParagraph"/>
              <w:rPr>
                <w:color w:val="595959" w:themeColor="text1" w:themeTint="A6"/>
              </w:rPr>
            </w:pPr>
            <w:r w:rsidRPr="007571F3">
              <w:rPr>
                <w:color w:val="595959" w:themeColor="text1" w:themeTint="A6"/>
              </w:rPr>
              <w:t>Southern Tanami</w:t>
            </w:r>
          </w:p>
        </w:tc>
        <w:tc>
          <w:tcPr>
            <w:tcW w:w="3563" w:type="dxa"/>
            <w:noWrap/>
            <w:hideMark/>
          </w:tcPr>
          <w:p w14:paraId="6AABDCAB" w14:textId="77777777" w:rsidR="001D2AEC" w:rsidRPr="007571F3" w:rsidRDefault="001D2AEC" w:rsidP="00DE3850">
            <w:pPr>
              <w:pStyle w:val="TableParagraph"/>
              <w:jc w:val="right"/>
              <w:rPr>
                <w:color w:val="595959" w:themeColor="text1" w:themeTint="A6"/>
              </w:rPr>
            </w:pPr>
            <w:r w:rsidRPr="007571F3">
              <w:rPr>
                <w:color w:val="595959" w:themeColor="text1" w:themeTint="A6"/>
              </w:rPr>
              <w:t>$7,969,405</w:t>
            </w:r>
          </w:p>
        </w:tc>
        <w:tc>
          <w:tcPr>
            <w:tcW w:w="4252" w:type="dxa"/>
            <w:noWrap/>
            <w:hideMark/>
          </w:tcPr>
          <w:p w14:paraId="5E3D7F22" w14:textId="605ADEF0" w:rsidR="001D2AEC" w:rsidRPr="007571F3" w:rsidRDefault="001D2AEC" w:rsidP="00DE3850">
            <w:pPr>
              <w:pStyle w:val="TableParagraph"/>
              <w:jc w:val="right"/>
              <w:rPr>
                <w:color w:val="595959" w:themeColor="text1" w:themeTint="A6"/>
              </w:rPr>
            </w:pPr>
            <w:r w:rsidRPr="007571F3">
              <w:rPr>
                <w:color w:val="595959" w:themeColor="text1" w:themeTint="A6"/>
              </w:rPr>
              <w:t>13</w:t>
            </w:r>
          </w:p>
        </w:tc>
      </w:tr>
      <w:tr w:rsidR="003F50A3" w:rsidRPr="003F50A3" w14:paraId="73A4421D" w14:textId="7E941670" w:rsidTr="00DE3850">
        <w:trPr>
          <w:trHeight w:val="320"/>
        </w:trPr>
        <w:tc>
          <w:tcPr>
            <w:tcW w:w="1966" w:type="dxa"/>
            <w:noWrap/>
            <w:hideMark/>
          </w:tcPr>
          <w:p w14:paraId="45453449" w14:textId="77777777" w:rsidR="001D2AEC" w:rsidRPr="007571F3" w:rsidRDefault="001D2AEC" w:rsidP="007571F3">
            <w:pPr>
              <w:pStyle w:val="TableParagraph"/>
              <w:rPr>
                <w:color w:val="595959" w:themeColor="text1" w:themeTint="A6"/>
              </w:rPr>
            </w:pPr>
            <w:proofErr w:type="spellStart"/>
            <w:r w:rsidRPr="007571F3">
              <w:rPr>
                <w:color w:val="595959" w:themeColor="text1" w:themeTint="A6"/>
                <w:lang w:val="en-AU"/>
              </w:rPr>
              <w:t>Rodinga</w:t>
            </w:r>
            <w:proofErr w:type="spellEnd"/>
          </w:p>
        </w:tc>
        <w:tc>
          <w:tcPr>
            <w:tcW w:w="3563" w:type="dxa"/>
            <w:noWrap/>
            <w:hideMark/>
          </w:tcPr>
          <w:p w14:paraId="6AC63C33" w14:textId="77777777" w:rsidR="001D2AEC" w:rsidRPr="007571F3" w:rsidRDefault="001D2AEC" w:rsidP="00DE3850">
            <w:pPr>
              <w:pStyle w:val="TableParagraph"/>
              <w:jc w:val="right"/>
              <w:rPr>
                <w:color w:val="595959" w:themeColor="text1" w:themeTint="A6"/>
              </w:rPr>
            </w:pPr>
            <w:r w:rsidRPr="007571F3">
              <w:rPr>
                <w:color w:val="595959" w:themeColor="text1" w:themeTint="A6"/>
              </w:rPr>
              <w:t>$6,946,526</w:t>
            </w:r>
          </w:p>
        </w:tc>
        <w:tc>
          <w:tcPr>
            <w:tcW w:w="4252" w:type="dxa"/>
            <w:noWrap/>
            <w:hideMark/>
          </w:tcPr>
          <w:p w14:paraId="5200615E" w14:textId="5340F41A" w:rsidR="001D2AEC" w:rsidRPr="007571F3" w:rsidRDefault="001D2AEC" w:rsidP="00DE3850">
            <w:pPr>
              <w:pStyle w:val="TableParagraph"/>
              <w:jc w:val="right"/>
              <w:rPr>
                <w:color w:val="595959" w:themeColor="text1" w:themeTint="A6"/>
              </w:rPr>
            </w:pPr>
            <w:r w:rsidRPr="007571F3">
              <w:rPr>
                <w:color w:val="595959" w:themeColor="text1" w:themeTint="A6"/>
              </w:rPr>
              <w:t>11</w:t>
            </w:r>
          </w:p>
        </w:tc>
      </w:tr>
      <w:tr w:rsidR="003F50A3" w:rsidRPr="003F50A3" w14:paraId="6F01F8B6" w14:textId="079DAC67" w:rsidTr="00DE3850">
        <w:trPr>
          <w:trHeight w:val="320"/>
        </w:trPr>
        <w:tc>
          <w:tcPr>
            <w:tcW w:w="1966" w:type="dxa"/>
            <w:noWrap/>
            <w:hideMark/>
          </w:tcPr>
          <w:p w14:paraId="7F89531C" w14:textId="77777777" w:rsidR="001D2AEC" w:rsidRPr="007571F3" w:rsidRDefault="001D2AEC" w:rsidP="007571F3">
            <w:pPr>
              <w:pStyle w:val="TableParagraph"/>
              <w:rPr>
                <w:color w:val="595959" w:themeColor="text1" w:themeTint="A6"/>
              </w:rPr>
            </w:pPr>
            <w:proofErr w:type="spellStart"/>
            <w:r w:rsidRPr="007571F3">
              <w:rPr>
                <w:color w:val="595959" w:themeColor="text1" w:themeTint="A6"/>
                <w:lang w:val="en-AU"/>
              </w:rPr>
              <w:t>Ljirapinta</w:t>
            </w:r>
            <w:proofErr w:type="spellEnd"/>
            <w:r w:rsidRPr="007571F3">
              <w:rPr>
                <w:color w:val="595959" w:themeColor="text1" w:themeTint="A6"/>
                <w:lang w:val="en-AU"/>
              </w:rPr>
              <w:t xml:space="preserve"> </w:t>
            </w:r>
          </w:p>
        </w:tc>
        <w:tc>
          <w:tcPr>
            <w:tcW w:w="3563" w:type="dxa"/>
            <w:noWrap/>
            <w:hideMark/>
          </w:tcPr>
          <w:p w14:paraId="3AC6F22D" w14:textId="77777777" w:rsidR="001D2AEC" w:rsidRPr="007571F3" w:rsidRDefault="001D2AEC" w:rsidP="00DE3850">
            <w:pPr>
              <w:pStyle w:val="TableParagraph"/>
              <w:jc w:val="right"/>
              <w:rPr>
                <w:color w:val="595959" w:themeColor="text1" w:themeTint="A6"/>
              </w:rPr>
            </w:pPr>
            <w:r w:rsidRPr="007571F3">
              <w:rPr>
                <w:color w:val="595959" w:themeColor="text1" w:themeTint="A6"/>
              </w:rPr>
              <w:t>$6,235,623</w:t>
            </w:r>
          </w:p>
        </w:tc>
        <w:tc>
          <w:tcPr>
            <w:tcW w:w="4252" w:type="dxa"/>
            <w:noWrap/>
            <w:hideMark/>
          </w:tcPr>
          <w:p w14:paraId="7D4584BB" w14:textId="7DE17603" w:rsidR="001D2AEC" w:rsidRPr="007571F3" w:rsidRDefault="001D2AEC" w:rsidP="00DE3850">
            <w:pPr>
              <w:pStyle w:val="TableParagraph"/>
              <w:jc w:val="right"/>
              <w:rPr>
                <w:color w:val="595959" w:themeColor="text1" w:themeTint="A6"/>
              </w:rPr>
            </w:pPr>
            <w:r w:rsidRPr="007571F3">
              <w:rPr>
                <w:color w:val="595959" w:themeColor="text1" w:themeTint="A6"/>
              </w:rPr>
              <w:t>10</w:t>
            </w:r>
          </w:p>
        </w:tc>
      </w:tr>
      <w:tr w:rsidR="003F50A3" w:rsidRPr="003F50A3" w14:paraId="5A867A19" w14:textId="65F16C44" w:rsidTr="00DE3850">
        <w:trPr>
          <w:trHeight w:val="300"/>
        </w:trPr>
        <w:tc>
          <w:tcPr>
            <w:tcW w:w="1966" w:type="dxa"/>
            <w:noWrap/>
            <w:hideMark/>
          </w:tcPr>
          <w:p w14:paraId="39AF44D8" w14:textId="77777777" w:rsidR="001D2AEC" w:rsidRPr="007571F3" w:rsidRDefault="001D2AEC" w:rsidP="007571F3">
            <w:pPr>
              <w:pStyle w:val="TableParagraph"/>
              <w:rPr>
                <w:color w:val="595959" w:themeColor="text1" w:themeTint="A6"/>
              </w:rPr>
            </w:pPr>
            <w:r w:rsidRPr="007571F3">
              <w:rPr>
                <w:color w:val="595959" w:themeColor="text1" w:themeTint="A6"/>
              </w:rPr>
              <w:t>The Plenty</w:t>
            </w:r>
          </w:p>
        </w:tc>
        <w:tc>
          <w:tcPr>
            <w:tcW w:w="3563" w:type="dxa"/>
            <w:noWrap/>
            <w:hideMark/>
          </w:tcPr>
          <w:p w14:paraId="1ACC0828" w14:textId="77777777" w:rsidR="001D2AEC" w:rsidRPr="007571F3" w:rsidRDefault="001D2AEC" w:rsidP="00DE3850">
            <w:pPr>
              <w:pStyle w:val="TableParagraph"/>
              <w:jc w:val="right"/>
              <w:rPr>
                <w:color w:val="595959" w:themeColor="text1" w:themeTint="A6"/>
              </w:rPr>
            </w:pPr>
            <w:r w:rsidRPr="007571F3">
              <w:rPr>
                <w:color w:val="595959" w:themeColor="text1" w:themeTint="A6"/>
              </w:rPr>
              <w:t>$4,191,824</w:t>
            </w:r>
          </w:p>
        </w:tc>
        <w:tc>
          <w:tcPr>
            <w:tcW w:w="4252" w:type="dxa"/>
            <w:noWrap/>
            <w:hideMark/>
          </w:tcPr>
          <w:p w14:paraId="20619464" w14:textId="4D7958DC" w:rsidR="001D2AEC" w:rsidRPr="007571F3" w:rsidRDefault="001D2AEC" w:rsidP="00DE3850">
            <w:pPr>
              <w:pStyle w:val="TableParagraph"/>
              <w:jc w:val="right"/>
              <w:rPr>
                <w:color w:val="595959" w:themeColor="text1" w:themeTint="A6"/>
              </w:rPr>
            </w:pPr>
            <w:r w:rsidRPr="007571F3">
              <w:rPr>
                <w:color w:val="595959" w:themeColor="text1" w:themeTint="A6"/>
              </w:rPr>
              <w:t>7</w:t>
            </w:r>
          </w:p>
        </w:tc>
      </w:tr>
      <w:tr w:rsidR="003F50A3" w:rsidRPr="003F50A3" w14:paraId="792D149D" w14:textId="001138D8" w:rsidTr="00DE3850">
        <w:trPr>
          <w:trHeight w:val="300"/>
        </w:trPr>
        <w:tc>
          <w:tcPr>
            <w:tcW w:w="1966" w:type="dxa"/>
            <w:noWrap/>
          </w:tcPr>
          <w:p w14:paraId="7406ECA4" w14:textId="46D03351" w:rsidR="001D2AEC" w:rsidRPr="007571F3" w:rsidRDefault="3E2B4FC3" w:rsidP="007571F3">
            <w:pPr>
              <w:pStyle w:val="TableParagraph"/>
              <w:rPr>
                <w:color w:val="595959" w:themeColor="text1" w:themeTint="A6"/>
              </w:rPr>
            </w:pPr>
            <w:proofErr w:type="spellStart"/>
            <w:r w:rsidRPr="007571F3">
              <w:rPr>
                <w:color w:val="595959" w:themeColor="text1" w:themeTint="A6"/>
              </w:rPr>
              <w:t>I</w:t>
            </w:r>
            <w:r w:rsidR="5FF44DE7" w:rsidRPr="007571F3">
              <w:rPr>
                <w:color w:val="595959" w:themeColor="text1" w:themeTint="A6"/>
              </w:rPr>
              <w:t>yarrka</w:t>
            </w:r>
            <w:proofErr w:type="spellEnd"/>
          </w:p>
        </w:tc>
        <w:tc>
          <w:tcPr>
            <w:tcW w:w="3563" w:type="dxa"/>
            <w:noWrap/>
          </w:tcPr>
          <w:p w14:paraId="7E3A46BE" w14:textId="34F40738" w:rsidR="001D2AEC" w:rsidRPr="007571F3" w:rsidRDefault="003C2CE1" w:rsidP="00DE3850">
            <w:pPr>
              <w:pStyle w:val="TableParagraph"/>
              <w:jc w:val="right"/>
              <w:rPr>
                <w:color w:val="595959" w:themeColor="text1" w:themeTint="A6"/>
              </w:rPr>
            </w:pPr>
            <w:r w:rsidRPr="007571F3">
              <w:rPr>
                <w:color w:val="595959" w:themeColor="text1" w:themeTint="A6"/>
              </w:rPr>
              <w:t>$2,704,137</w:t>
            </w:r>
          </w:p>
        </w:tc>
        <w:tc>
          <w:tcPr>
            <w:tcW w:w="4252" w:type="dxa"/>
            <w:noWrap/>
          </w:tcPr>
          <w:p w14:paraId="1CB8D0C0" w14:textId="4F779597" w:rsidR="001D2AEC" w:rsidRPr="007571F3" w:rsidRDefault="003C2CE1" w:rsidP="00DE3850">
            <w:pPr>
              <w:pStyle w:val="TableParagraph"/>
              <w:jc w:val="right"/>
              <w:rPr>
                <w:color w:val="595959" w:themeColor="text1" w:themeTint="A6"/>
              </w:rPr>
            </w:pPr>
            <w:r w:rsidRPr="007571F3">
              <w:rPr>
                <w:color w:val="595959" w:themeColor="text1" w:themeTint="A6"/>
              </w:rPr>
              <w:t>4</w:t>
            </w:r>
          </w:p>
        </w:tc>
      </w:tr>
      <w:tr w:rsidR="003F50A3" w:rsidRPr="003F50A3" w14:paraId="76267999" w14:textId="77777777" w:rsidTr="00DE3850">
        <w:trPr>
          <w:trHeight w:val="300"/>
        </w:trPr>
        <w:tc>
          <w:tcPr>
            <w:tcW w:w="1966" w:type="dxa"/>
            <w:tcBorders>
              <w:bottom w:val="single" w:sz="4" w:space="0" w:color="BFBFBF" w:themeColor="background1" w:themeShade="BF"/>
            </w:tcBorders>
            <w:noWrap/>
          </w:tcPr>
          <w:p w14:paraId="15F22211" w14:textId="783A012C" w:rsidR="003C2CE1" w:rsidRPr="007571F3" w:rsidDel="00D725CC" w:rsidRDefault="003C2CE1" w:rsidP="007571F3">
            <w:pPr>
              <w:pStyle w:val="TableParagraph"/>
              <w:rPr>
                <w:color w:val="595959" w:themeColor="text1" w:themeTint="A6"/>
              </w:rPr>
            </w:pPr>
            <w:r w:rsidRPr="007571F3">
              <w:rPr>
                <w:color w:val="595959" w:themeColor="text1" w:themeTint="A6"/>
              </w:rPr>
              <w:t>Multiple</w:t>
            </w:r>
            <w:r w:rsidR="006E4467" w:rsidRPr="007571F3">
              <w:rPr>
                <w:color w:val="595959" w:themeColor="text1" w:themeTint="A6"/>
              </w:rPr>
              <w:t xml:space="preserve"> clusters</w:t>
            </w:r>
            <w:r w:rsidR="00F67790" w:rsidRPr="007571F3">
              <w:rPr>
                <w:rStyle w:val="FootnoteReference"/>
                <w:color w:val="595959" w:themeColor="text1" w:themeTint="A6"/>
              </w:rPr>
              <w:footnoteReference w:id="47"/>
            </w:r>
          </w:p>
        </w:tc>
        <w:tc>
          <w:tcPr>
            <w:tcW w:w="3563" w:type="dxa"/>
            <w:tcBorders>
              <w:bottom w:val="single" w:sz="4" w:space="0" w:color="BFBFBF" w:themeColor="background1" w:themeShade="BF"/>
            </w:tcBorders>
            <w:noWrap/>
          </w:tcPr>
          <w:p w14:paraId="0511AE7C" w14:textId="79BB4D6A" w:rsidR="003C2CE1" w:rsidRPr="007571F3" w:rsidDel="00D725CC" w:rsidRDefault="003C2CE1" w:rsidP="00DE3850">
            <w:pPr>
              <w:pStyle w:val="TableParagraph"/>
              <w:jc w:val="right"/>
              <w:rPr>
                <w:color w:val="595959" w:themeColor="text1" w:themeTint="A6"/>
              </w:rPr>
            </w:pPr>
            <w:r w:rsidRPr="007571F3">
              <w:rPr>
                <w:color w:val="595959" w:themeColor="text1" w:themeTint="A6"/>
              </w:rPr>
              <w:t>$4,126,487</w:t>
            </w:r>
          </w:p>
        </w:tc>
        <w:tc>
          <w:tcPr>
            <w:tcW w:w="4252" w:type="dxa"/>
            <w:tcBorders>
              <w:bottom w:val="single" w:sz="4" w:space="0" w:color="BFBFBF" w:themeColor="background1" w:themeShade="BF"/>
            </w:tcBorders>
            <w:noWrap/>
          </w:tcPr>
          <w:p w14:paraId="125F8964" w14:textId="0954D252" w:rsidR="003C2CE1" w:rsidRPr="007571F3" w:rsidDel="00D725CC" w:rsidRDefault="003C2CE1" w:rsidP="00DE3850">
            <w:pPr>
              <w:pStyle w:val="TableParagraph"/>
              <w:jc w:val="right"/>
              <w:rPr>
                <w:color w:val="595959" w:themeColor="text1" w:themeTint="A6"/>
              </w:rPr>
            </w:pPr>
            <w:r w:rsidRPr="007571F3">
              <w:rPr>
                <w:color w:val="595959" w:themeColor="text1" w:themeTint="A6"/>
              </w:rPr>
              <w:t>7</w:t>
            </w:r>
          </w:p>
        </w:tc>
      </w:tr>
      <w:tr w:rsidR="003F50A3" w:rsidRPr="003F50A3" w14:paraId="302C2663" w14:textId="3E379D39" w:rsidTr="00DE3850">
        <w:trPr>
          <w:trHeight w:val="300"/>
        </w:trPr>
        <w:tc>
          <w:tcPr>
            <w:tcW w:w="1966" w:type="dxa"/>
            <w:tcBorders>
              <w:top w:val="single" w:sz="4" w:space="0" w:color="BFBFBF" w:themeColor="background1" w:themeShade="BF"/>
              <w:bottom w:val="single" w:sz="4" w:space="0" w:color="BFBFBF" w:themeColor="background1" w:themeShade="BF"/>
            </w:tcBorders>
            <w:noWrap/>
          </w:tcPr>
          <w:p w14:paraId="517CB415" w14:textId="071864AF" w:rsidR="001D2AEC" w:rsidRPr="007571F3" w:rsidRDefault="00BE5E25" w:rsidP="007571F3">
            <w:pPr>
              <w:pStyle w:val="TableParagraph"/>
              <w:rPr>
                <w:b/>
                <w:color w:val="595959" w:themeColor="text1" w:themeTint="A6"/>
              </w:rPr>
            </w:pPr>
            <w:r w:rsidRPr="007571F3">
              <w:rPr>
                <w:b/>
                <w:color w:val="595959" w:themeColor="text1" w:themeTint="A6"/>
              </w:rPr>
              <w:t xml:space="preserve">Total remote </w:t>
            </w:r>
          </w:p>
        </w:tc>
        <w:tc>
          <w:tcPr>
            <w:tcW w:w="3563" w:type="dxa"/>
            <w:tcBorders>
              <w:top w:val="single" w:sz="4" w:space="0" w:color="BFBFBF" w:themeColor="background1" w:themeShade="BF"/>
              <w:bottom w:val="single" w:sz="4" w:space="0" w:color="BFBFBF" w:themeColor="background1" w:themeShade="BF"/>
            </w:tcBorders>
            <w:noWrap/>
          </w:tcPr>
          <w:p w14:paraId="508F0D23" w14:textId="76128302" w:rsidR="001D2AEC" w:rsidRPr="007571F3" w:rsidRDefault="00BE5E25" w:rsidP="00DE3850">
            <w:pPr>
              <w:pStyle w:val="TableParagraph"/>
              <w:jc w:val="right"/>
              <w:rPr>
                <w:b/>
                <w:color w:val="595959" w:themeColor="text1" w:themeTint="A6"/>
              </w:rPr>
            </w:pPr>
            <w:r w:rsidRPr="007571F3">
              <w:rPr>
                <w:b/>
                <w:color w:val="595959" w:themeColor="text1" w:themeTint="A6"/>
              </w:rPr>
              <w:t>$61,762,488</w:t>
            </w:r>
          </w:p>
        </w:tc>
        <w:tc>
          <w:tcPr>
            <w:tcW w:w="4252" w:type="dxa"/>
            <w:tcBorders>
              <w:top w:val="single" w:sz="4" w:space="0" w:color="BFBFBF" w:themeColor="background1" w:themeShade="BF"/>
              <w:bottom w:val="single" w:sz="4" w:space="0" w:color="BFBFBF" w:themeColor="background1" w:themeShade="BF"/>
            </w:tcBorders>
            <w:noWrap/>
          </w:tcPr>
          <w:p w14:paraId="1AF7D17B" w14:textId="00ED1F41" w:rsidR="001D2AEC" w:rsidRPr="007571F3" w:rsidRDefault="00BE5E25" w:rsidP="00DE3850">
            <w:pPr>
              <w:pStyle w:val="TableParagraph"/>
              <w:jc w:val="right"/>
              <w:rPr>
                <w:b/>
                <w:color w:val="595959" w:themeColor="text1" w:themeTint="A6"/>
              </w:rPr>
            </w:pPr>
            <w:r w:rsidRPr="007571F3">
              <w:rPr>
                <w:b/>
                <w:color w:val="595959" w:themeColor="text1" w:themeTint="A6"/>
              </w:rPr>
              <w:t>100</w:t>
            </w:r>
          </w:p>
        </w:tc>
      </w:tr>
    </w:tbl>
    <w:p w14:paraId="7DB15339" w14:textId="77777777" w:rsidR="00443042" w:rsidRDefault="00443042" w:rsidP="00731960">
      <w:pPr>
        <w:pStyle w:val="Heading3"/>
      </w:pPr>
    </w:p>
    <w:p w14:paraId="47CDE4E7" w14:textId="7656DEE1" w:rsidR="001220A6" w:rsidRPr="00D131B9" w:rsidRDefault="001220A6" w:rsidP="00731960">
      <w:pPr>
        <w:pStyle w:val="Heading3"/>
      </w:pPr>
      <w:r w:rsidRPr="00D131B9">
        <w:t>Alignment of funding to the advice of the ALG</w:t>
      </w:r>
    </w:p>
    <w:p w14:paraId="6C5F109B" w14:textId="4028E527" w:rsidR="00FC6E39" w:rsidRDefault="00AE432E" w:rsidP="00232D9E">
      <w:r w:rsidRPr="00D131B9">
        <w:t xml:space="preserve">The advice from the ALG has been sought to inform </w:t>
      </w:r>
      <w:r w:rsidR="008B60BA" w:rsidRPr="00D131B9">
        <w:t xml:space="preserve">CAP </w:t>
      </w:r>
      <w:r w:rsidR="00300B7B" w:rsidRPr="00D131B9">
        <w:t>implementation in a range of ways</w:t>
      </w:r>
      <w:r w:rsidR="10273E0D">
        <w:t>, including</w:t>
      </w:r>
      <w:r w:rsidR="00221B79" w:rsidRPr="00D131B9">
        <w:t xml:space="preserve"> advice on</w:t>
      </w:r>
      <w:r w:rsidRPr="00D131B9">
        <w:t xml:space="preserve"> </w:t>
      </w:r>
      <w:r w:rsidR="00A65CC0" w:rsidRPr="00D131B9">
        <w:t xml:space="preserve">design and location of </w:t>
      </w:r>
      <w:r w:rsidRPr="00D131B9">
        <w:t xml:space="preserve">funding </w:t>
      </w:r>
      <w:r w:rsidR="00B404BA" w:rsidRPr="00D131B9">
        <w:t xml:space="preserve">allocations, </w:t>
      </w:r>
      <w:r w:rsidR="00221B79" w:rsidRPr="00D131B9">
        <w:t>implementation and policy advice</w:t>
      </w:r>
      <w:r w:rsidR="00C109E7" w:rsidRPr="00D131B9">
        <w:t xml:space="preserve"> and </w:t>
      </w:r>
      <w:r w:rsidR="00FA6F9E" w:rsidRPr="00D131B9">
        <w:t xml:space="preserve">project design. </w:t>
      </w:r>
      <w:r w:rsidRPr="00D131B9">
        <w:t xml:space="preserve">  </w:t>
      </w:r>
    </w:p>
    <w:p w14:paraId="02E83717" w14:textId="6B285990" w:rsidR="00AE432E" w:rsidRDefault="004142A8" w:rsidP="00232D9E">
      <w:r w:rsidRPr="00170EF9">
        <w:t>The rapid roll-out of the CAP, with the package being announced in February 2023 and a significant portion of funding being allocated by May 2023 ($155.7 million), means that some of the funding already had to be directed to specific projects before the ALG was formed and could meet for the first time in June 2023. Despite this, most of CAP funding ($159 million</w:t>
      </w:r>
      <w:r w:rsidR="004C36EA" w:rsidRPr="00170EF9">
        <w:t>, 64%</w:t>
      </w:r>
      <w:r w:rsidRPr="00170EF9">
        <w:t xml:space="preserve">) has been directed based on the ALG’s advice. </w:t>
      </w:r>
      <w:r w:rsidR="00996A1C" w:rsidRPr="00170EF9">
        <w:t>A</w:t>
      </w:r>
      <w:r w:rsidR="00E77C69" w:rsidRPr="00170EF9">
        <w:t xml:space="preserve"> further </w:t>
      </w:r>
      <w:r w:rsidR="0092715E" w:rsidRPr="00170EF9">
        <w:t xml:space="preserve">$6.8 million </w:t>
      </w:r>
      <w:r w:rsidR="00996A1C" w:rsidRPr="00170EF9">
        <w:t xml:space="preserve">is </w:t>
      </w:r>
      <w:r w:rsidR="0092715E" w:rsidRPr="00170EF9">
        <w:t xml:space="preserve">yet to be determined. </w:t>
      </w:r>
      <w:r w:rsidR="0037220A" w:rsidRPr="00170EF9">
        <w:t xml:space="preserve">Their advice has </w:t>
      </w:r>
      <w:r w:rsidR="00114B6F" w:rsidRPr="00170EF9">
        <w:t xml:space="preserve">informed </w:t>
      </w:r>
      <w:r w:rsidR="00B45A2C" w:rsidRPr="00170EF9">
        <w:t xml:space="preserve">funding or implementation of the CAP </w:t>
      </w:r>
      <w:r w:rsidR="00184FE0" w:rsidRPr="00170EF9">
        <w:t>projects</w:t>
      </w:r>
      <w:r w:rsidR="00114B6F" w:rsidRPr="00170EF9">
        <w:t xml:space="preserve"> in three main ways</w:t>
      </w:r>
      <w:r w:rsidR="00EB31C5" w:rsidRPr="00170EF9">
        <w:t xml:space="preserve"> which are described below</w:t>
      </w:r>
      <w:r w:rsidR="00191F04" w:rsidRPr="00170EF9">
        <w:t xml:space="preserve"> and in </w:t>
      </w:r>
      <w:r w:rsidR="00F26B97" w:rsidRPr="00170EF9">
        <w:t xml:space="preserve">Figure </w:t>
      </w:r>
      <w:r w:rsidR="006709B0">
        <w:t>7</w:t>
      </w:r>
      <w:r w:rsidR="00114B6F" w:rsidRPr="00170EF9">
        <w:t>.</w:t>
      </w:r>
      <w:r w:rsidR="00114B6F">
        <w:t xml:space="preserve"> </w:t>
      </w:r>
      <w:r w:rsidR="005B34D8">
        <w:t xml:space="preserve"> </w:t>
      </w:r>
    </w:p>
    <w:p w14:paraId="6D1D9716" w14:textId="182C56E8" w:rsidR="00073757" w:rsidRPr="00B939B2" w:rsidRDefault="00073757" w:rsidP="00073757">
      <w:pPr>
        <w:pStyle w:val="Heading6"/>
        <w:rPr>
          <w:lang w:val="en-US"/>
        </w:rPr>
      </w:pPr>
      <w:r w:rsidRPr="00B939B2">
        <w:rPr>
          <w:noProof/>
        </w:rPr>
        <w:lastRenderedPageBreak/>
        <w:drawing>
          <wp:anchor distT="0" distB="0" distL="114300" distR="114300" simplePos="0" relativeHeight="251658246" behindDoc="0" locked="0" layoutInCell="1" allowOverlap="1" wp14:anchorId="6009BE0F" wp14:editId="4B387123">
            <wp:simplePos x="0" y="0"/>
            <wp:positionH relativeFrom="column">
              <wp:posOffset>5080</wp:posOffset>
            </wp:positionH>
            <wp:positionV relativeFrom="paragraph">
              <wp:posOffset>361315</wp:posOffset>
            </wp:positionV>
            <wp:extent cx="6000750" cy="3564255"/>
            <wp:effectExtent l="0" t="0" r="0" b="4445"/>
            <wp:wrapTopAndBottom/>
            <wp:docPr id="721329359" name="Chart 1" descr="Of funding committed through financial arrangements with providers to specific projects; $87,137,221 (34%) did not have ALG provide advice on any parameter of the funding, $84,610,000 (33%) had the ALG provide advice that shaped funding allocation by government and implementation through design / location other advice, $54,323,460 (22%) had the ALG provide advice on a parameter related to implementation or policy advice - NOT funding allocation or commitments, $20,780,561 (8%) had ALG discussion influence the implementation and/or design of the project, and $6,787,445 (3%) remains to be decided.">
              <a:extLst xmlns:a="http://schemas.openxmlformats.org/drawingml/2006/main">
                <a:ext uri="{FF2B5EF4-FFF2-40B4-BE49-F238E27FC236}">
                  <a16:creationId xmlns:a16="http://schemas.microsoft.com/office/drawing/2014/main" id="{759BA04B-31D1-2100-087F-71627093A6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B939B2">
        <w:t xml:space="preserve">Figure </w:t>
      </w:r>
      <w:r w:rsidR="006709B0" w:rsidRPr="00B939B2">
        <w:t>7</w:t>
      </w:r>
      <w:r w:rsidR="00B00DD7" w:rsidRPr="00B939B2">
        <w:t>.</w:t>
      </w:r>
      <w:r w:rsidRPr="00B939B2">
        <w:t xml:space="preserve"> Funding committed through financial arrangements with providers to specific projects by level of ALG input</w:t>
      </w:r>
      <w:r w:rsidR="00731960" w:rsidRPr="00B939B2">
        <w:t>.</w:t>
      </w:r>
    </w:p>
    <w:p w14:paraId="5D85D7E4" w14:textId="6AD4CCAA" w:rsidR="00191F04" w:rsidRDefault="00073757" w:rsidP="00731960">
      <w:r w:rsidRPr="00170EF9">
        <w:t xml:space="preserve">Figure </w:t>
      </w:r>
      <w:r w:rsidR="006709B0">
        <w:t>7</w:t>
      </w:r>
      <w:r w:rsidR="00BD568E" w:rsidRPr="00170EF9">
        <w:t xml:space="preserve"> shows that t</w:t>
      </w:r>
      <w:r w:rsidR="16878AB5" w:rsidRPr="00170EF9">
        <w:t xml:space="preserve">he ALG </w:t>
      </w:r>
      <w:r w:rsidR="00AB0146" w:rsidRPr="00170EF9">
        <w:t>advice</w:t>
      </w:r>
      <w:r w:rsidR="16878AB5" w:rsidRPr="00170EF9">
        <w:t xml:space="preserve"> directly influenced implementation and/or design o</w:t>
      </w:r>
      <w:r w:rsidR="2B84370C" w:rsidRPr="00170EF9">
        <w:t xml:space="preserve">n </w:t>
      </w:r>
      <w:r w:rsidR="16878AB5" w:rsidRPr="00170EF9">
        <w:t>$</w:t>
      </w:r>
      <w:r w:rsidR="725C2FD6" w:rsidRPr="00170EF9">
        <w:t>20.8</w:t>
      </w:r>
      <w:r w:rsidR="119E6A06" w:rsidRPr="00170EF9">
        <w:t xml:space="preserve"> million</w:t>
      </w:r>
      <w:r w:rsidR="00095261" w:rsidRPr="00170EF9">
        <w:t xml:space="preserve">, or </w:t>
      </w:r>
      <w:r w:rsidR="00AC4F32" w:rsidRPr="00170EF9">
        <w:t>8</w:t>
      </w:r>
      <w:r w:rsidR="00095261" w:rsidRPr="00170EF9">
        <w:t>%</w:t>
      </w:r>
      <w:r w:rsidR="119E6A06">
        <w:t xml:space="preserve"> of</w:t>
      </w:r>
      <w:r w:rsidR="16878AB5">
        <w:t xml:space="preserve"> funding</w:t>
      </w:r>
      <w:r w:rsidR="0079139B">
        <w:t xml:space="preserve"> </w:t>
      </w:r>
      <w:r w:rsidR="0079139B" w:rsidRPr="00AE34AE">
        <w:rPr>
          <w:b/>
          <w:bCs/>
        </w:rPr>
        <w:t xml:space="preserve">(Category </w:t>
      </w:r>
      <w:r w:rsidR="00BD568E" w:rsidRPr="00AE34AE">
        <w:rPr>
          <w:b/>
          <w:bCs/>
        </w:rPr>
        <w:t>2)</w:t>
      </w:r>
      <w:r w:rsidR="16878AB5" w:rsidRPr="00AE34AE">
        <w:rPr>
          <w:b/>
          <w:bCs/>
        </w:rPr>
        <w:t>.</w:t>
      </w:r>
      <w:r w:rsidR="16878AB5">
        <w:t xml:space="preserve"> The</w:t>
      </w:r>
      <w:r w:rsidR="119E6A06">
        <w:t xml:space="preserve">y </w:t>
      </w:r>
      <w:r w:rsidR="16878AB5" w:rsidRPr="008D540D">
        <w:t>provided advice on implementation or policy advice</w:t>
      </w:r>
      <w:r w:rsidR="008B32BC">
        <w:t xml:space="preserve"> </w:t>
      </w:r>
      <w:r w:rsidR="003749BC">
        <w:t>(not funding allocation or commit</w:t>
      </w:r>
      <w:r w:rsidR="00823CD8">
        <w:t xml:space="preserve">ments) </w:t>
      </w:r>
      <w:r w:rsidR="008B32BC">
        <w:t xml:space="preserve">on </w:t>
      </w:r>
      <w:r w:rsidR="007F17CF">
        <w:t xml:space="preserve">around </w:t>
      </w:r>
      <w:r w:rsidR="00FF2294">
        <w:t>22%</w:t>
      </w:r>
      <w:r w:rsidR="007F17CF">
        <w:t xml:space="preserve"> (</w:t>
      </w:r>
      <w:r w:rsidR="16878AB5">
        <w:t>$</w:t>
      </w:r>
      <w:r w:rsidR="119E6A06">
        <w:t>54.</w:t>
      </w:r>
      <w:r w:rsidR="00D42E37">
        <w:t>3</w:t>
      </w:r>
      <w:r w:rsidR="119E6A06">
        <w:t xml:space="preserve"> million</w:t>
      </w:r>
      <w:r w:rsidR="007F17CF">
        <w:t>)</w:t>
      </w:r>
      <w:r w:rsidR="16878AB5">
        <w:t xml:space="preserve"> of funding </w:t>
      </w:r>
      <w:r w:rsidR="00647C85" w:rsidRPr="00AE34AE">
        <w:rPr>
          <w:b/>
          <w:bCs/>
        </w:rPr>
        <w:t>(Category</w:t>
      </w:r>
      <w:r w:rsidR="00D42E37" w:rsidRPr="00AE34AE">
        <w:rPr>
          <w:b/>
          <w:bCs/>
        </w:rPr>
        <w:t xml:space="preserve"> </w:t>
      </w:r>
      <w:r w:rsidR="00EA6CF2" w:rsidRPr="00AE34AE">
        <w:rPr>
          <w:b/>
          <w:bCs/>
        </w:rPr>
        <w:t>3)</w:t>
      </w:r>
      <w:r w:rsidR="00647C85">
        <w:t xml:space="preserve"> </w:t>
      </w:r>
      <w:r w:rsidR="16878AB5">
        <w:t xml:space="preserve">and their advice </w:t>
      </w:r>
      <w:r w:rsidR="16878AB5" w:rsidRPr="007E2B0A">
        <w:t>shaped funding allocation implementation through design</w:t>
      </w:r>
      <w:r w:rsidR="00340DBC">
        <w:t>,</w:t>
      </w:r>
      <w:r w:rsidR="16878AB5" w:rsidRPr="007E2B0A">
        <w:t xml:space="preserve"> location </w:t>
      </w:r>
      <w:r w:rsidR="00340DBC">
        <w:t>or</w:t>
      </w:r>
      <w:r w:rsidR="16878AB5" w:rsidRPr="007E2B0A">
        <w:t xml:space="preserve"> other advice</w:t>
      </w:r>
      <w:r w:rsidR="16878AB5">
        <w:t xml:space="preserve"> in </w:t>
      </w:r>
      <w:r w:rsidR="00E77016">
        <w:t>around a third</w:t>
      </w:r>
      <w:r w:rsidR="00AB1F2D">
        <w:t xml:space="preserve"> </w:t>
      </w:r>
      <w:r w:rsidR="16878AB5">
        <w:t>$</w:t>
      </w:r>
      <w:r w:rsidR="119E6A06">
        <w:t xml:space="preserve">84 </w:t>
      </w:r>
      <w:r w:rsidR="16878AB5">
        <w:t>m</w:t>
      </w:r>
      <w:r w:rsidR="119E6A06">
        <w:t>illion</w:t>
      </w:r>
      <w:r w:rsidR="16878AB5">
        <w:t xml:space="preserve"> </w:t>
      </w:r>
      <w:r w:rsidR="119E6A06">
        <w:t>of the</w:t>
      </w:r>
      <w:r w:rsidR="16878AB5">
        <w:t xml:space="preserve"> </w:t>
      </w:r>
      <w:r w:rsidR="16878AB5" w:rsidRPr="00722C73">
        <w:t>funding</w:t>
      </w:r>
      <w:r w:rsidR="00340DBC">
        <w:t xml:space="preserve"> </w:t>
      </w:r>
      <w:r w:rsidR="00340DBC" w:rsidRPr="00AE34AE">
        <w:rPr>
          <w:b/>
          <w:bCs/>
        </w:rPr>
        <w:t xml:space="preserve">(Category </w:t>
      </w:r>
      <w:r w:rsidR="00D72778" w:rsidRPr="00AE34AE">
        <w:rPr>
          <w:b/>
          <w:bCs/>
        </w:rPr>
        <w:t>4)</w:t>
      </w:r>
      <w:r w:rsidR="00450816" w:rsidRPr="00722C73">
        <w:rPr>
          <w:rStyle w:val="FootnoteReference"/>
        </w:rPr>
        <w:footnoteReference w:id="48"/>
      </w:r>
      <w:r w:rsidR="16878AB5" w:rsidRPr="00722C73">
        <w:t>.</w:t>
      </w:r>
      <w:r w:rsidR="00731960">
        <w:t xml:space="preserve"> </w:t>
      </w:r>
      <w:r w:rsidR="00191F04" w:rsidRPr="1A31B231">
        <w:rPr>
          <w:b/>
          <w:bCs/>
        </w:rPr>
        <w:t>Category 1</w:t>
      </w:r>
      <w:r w:rsidR="00731960">
        <w:rPr>
          <w:b/>
          <w:bCs/>
        </w:rPr>
        <w:t xml:space="preserve"> </w:t>
      </w:r>
      <w:r w:rsidR="00731960" w:rsidRPr="00731960">
        <w:t>is where the</w:t>
      </w:r>
      <w:r w:rsidR="00731960">
        <w:rPr>
          <w:b/>
          <w:bCs/>
        </w:rPr>
        <w:t xml:space="preserve"> </w:t>
      </w:r>
      <w:r w:rsidR="00191F04">
        <w:t>ALG did not provide advice on any parameter of the funding</w:t>
      </w:r>
      <w:r w:rsidR="00731960">
        <w:t>.</w:t>
      </w:r>
      <w:r w:rsidR="00191F04">
        <w:t xml:space="preserve"> </w:t>
      </w:r>
    </w:p>
    <w:p w14:paraId="54198294" w14:textId="25D22B52" w:rsidR="006C2078" w:rsidRPr="00731960" w:rsidRDefault="24F1CF50" w:rsidP="00731960">
      <w:r>
        <w:t xml:space="preserve">The ALG papers </w:t>
      </w:r>
      <w:r w:rsidR="00D131B9">
        <w:t>and minutes</w:t>
      </w:r>
      <w:r>
        <w:t xml:space="preserve"> </w:t>
      </w:r>
      <w:r w:rsidR="2B2D9D70">
        <w:t xml:space="preserve">also strongly </w:t>
      </w:r>
      <w:r w:rsidR="2B2D9D70" w:rsidDel="00D96ABF">
        <w:t xml:space="preserve">evidence </w:t>
      </w:r>
      <w:r w:rsidR="00870D1A">
        <w:t>that</w:t>
      </w:r>
      <w:r w:rsidR="2B2D9D70">
        <w:t xml:space="preserve"> </w:t>
      </w:r>
      <w:r w:rsidR="6E38EB78">
        <w:t xml:space="preserve">the </w:t>
      </w:r>
      <w:r w:rsidR="2B2D9D70">
        <w:t xml:space="preserve">ALG has had </w:t>
      </w:r>
      <w:r w:rsidR="00D96ABF">
        <w:t xml:space="preserve">influence </w:t>
      </w:r>
      <w:r w:rsidR="2B2D9D70">
        <w:t xml:space="preserve">on </w:t>
      </w:r>
      <w:r w:rsidR="220C898F">
        <w:t xml:space="preserve">CAP project prioritisation. For example, the ALG shaped priorities for the $50 million in community </w:t>
      </w:r>
      <w:r w:rsidR="5861A32E">
        <w:t>Infrastructure</w:t>
      </w:r>
      <w:r w:rsidR="220C898F">
        <w:t xml:space="preserve"> investment </w:t>
      </w:r>
      <w:r w:rsidR="003E592C">
        <w:t>and</w:t>
      </w:r>
      <w:r w:rsidR="220C898F">
        <w:t xml:space="preserve"> the way that decisions were made.</w:t>
      </w:r>
      <w:r w:rsidR="5861A32E">
        <w:t xml:space="preserve"> </w:t>
      </w:r>
      <w:r w:rsidR="62312152">
        <w:t xml:space="preserve">Further, </w:t>
      </w:r>
      <w:r w:rsidR="5C00ECC9" w:rsidRPr="00615E88">
        <w:t>the ALG’s advice has been sought to help government align funding to priorities</w:t>
      </w:r>
      <w:r w:rsidR="5C00ECC9" w:rsidRPr="00615E88" w:rsidDel="00AA1C63">
        <w:t xml:space="preserve"> and</w:t>
      </w:r>
      <w:r w:rsidR="5C00ECC9" w:rsidRPr="00615E88">
        <w:t xml:space="preserve"> key actions</w:t>
      </w:r>
      <w:r w:rsidR="747AC366">
        <w:t xml:space="preserve"> of the </w:t>
      </w:r>
      <w:r w:rsidR="747AC366" w:rsidRPr="00615E88">
        <w:t>Youth Services Action Plan (YSAP) and priorities related to young people</w:t>
      </w:r>
      <w:r w:rsidR="5C00ECC9" w:rsidRPr="00615E88">
        <w:t>. Specifically, an agenda item in the September 2024 meeting was dedicated to allocating funding to communit</w:t>
      </w:r>
      <w:r w:rsidR="00B51218">
        <w:t>ie</w:t>
      </w:r>
      <w:r w:rsidR="004B3EE2">
        <w:t>s/</w:t>
      </w:r>
      <w:r w:rsidR="5C00ECC9" w:rsidRPr="00615E88">
        <w:t>clusters based on the population of young people in those locations.</w:t>
      </w:r>
      <w:r w:rsidR="00864E7E" w:rsidRPr="00615E88">
        <w:rPr>
          <w:rStyle w:val="FootnoteReference"/>
        </w:rPr>
        <w:footnoteReference w:id="49"/>
      </w:r>
    </w:p>
    <w:p w14:paraId="2AEC15CF" w14:textId="77777777" w:rsidR="00443042" w:rsidRDefault="00443042">
      <w:pPr>
        <w:keepLines w:val="0"/>
        <w:widowControl/>
        <w:spacing w:before="0" w:after="0"/>
        <w:rPr>
          <w:rFonts w:eastAsiaTheme="minorHAnsi" w:cs="Segoe UI"/>
          <w:b/>
          <w:color w:val="008080"/>
          <w:sz w:val="24"/>
        </w:rPr>
      </w:pPr>
      <w:r>
        <w:br w:type="page"/>
      </w:r>
    </w:p>
    <w:p w14:paraId="2146AD76" w14:textId="16D2AAB8" w:rsidR="003A77FF" w:rsidRPr="00FC62FE" w:rsidRDefault="003A77FF" w:rsidP="00DA4528">
      <w:pPr>
        <w:pStyle w:val="Heading3"/>
      </w:pPr>
      <w:r w:rsidRPr="00FC62FE">
        <w:lastRenderedPageBreak/>
        <w:t>Alignment of funding to policy priorities</w:t>
      </w:r>
      <w:r w:rsidR="009C1286">
        <w:t xml:space="preserve"> </w:t>
      </w:r>
    </w:p>
    <w:p w14:paraId="3DDBE388" w14:textId="33C6838D" w:rsidR="00624414" w:rsidRDefault="00773810" w:rsidP="00773810">
      <w:r>
        <w:t>In February 2023</w:t>
      </w:r>
      <w:r w:rsidR="006E1326">
        <w:t>,</w:t>
      </w:r>
      <w:r>
        <w:t xml:space="preserve"> </w:t>
      </w:r>
      <w:r w:rsidR="00352004">
        <w:t>six</w:t>
      </w:r>
      <w:r>
        <w:t xml:space="preserve"> priority areas for CAP investment were identified: community safety and cohesion, job creation, improved services, preventing and addressing FASD, investing in families, and On</w:t>
      </w:r>
      <w:r w:rsidR="00DE3850">
        <w:t>-</w:t>
      </w:r>
      <w:r>
        <w:t xml:space="preserve">Country learning. These priorities were shaped with input from the </w:t>
      </w:r>
      <w:r w:rsidR="0018773F">
        <w:t>OCARC</w:t>
      </w:r>
      <w:r>
        <w:t>, based on rapid community consultation around the time of the announcement.</w:t>
      </w:r>
    </w:p>
    <w:p w14:paraId="51B60E48" w14:textId="3EA026F7" w:rsidR="00773810" w:rsidRDefault="00773810" w:rsidP="00731960">
      <w:r>
        <w:t>Almost all the CAP funding has been allocated to the six priority streams, with only $7.5 million (</w:t>
      </w:r>
      <w:r w:rsidR="005E693F">
        <w:t>3</w:t>
      </w:r>
      <w:r w:rsidR="001D2ACD">
        <w:t>%</w:t>
      </w:r>
      <w:r>
        <w:t xml:space="preserve">) being allocated to the governance of the CAP program. </w:t>
      </w:r>
      <w:r w:rsidRPr="00170EF9">
        <w:t xml:space="preserve">Figures </w:t>
      </w:r>
      <w:r w:rsidR="006709B0">
        <w:t>8</w:t>
      </w:r>
      <w:r w:rsidRPr="00170EF9">
        <w:t xml:space="preserve"> and </w:t>
      </w:r>
      <w:r w:rsidR="006709B0">
        <w:t>9</w:t>
      </w:r>
      <w:r w:rsidRPr="00170EF9">
        <w:t xml:space="preserve"> below</w:t>
      </w:r>
      <w:r>
        <w:t xml:space="preserve"> show the amount </w:t>
      </w:r>
      <w:r w:rsidR="00BA2850">
        <w:t xml:space="preserve">and proportion </w:t>
      </w:r>
      <w:r>
        <w:t xml:space="preserve">of funding by stream. The amount of funding allocated across the streams varies between $23 million and $60 million. The largest allocation of funds is for the Better Services stream, which is allocated $60.3 million for 40 projects, followed by the Improved Community Safety and Cohesion stream, which is allocated $53.3 million for 35 projects. The smallest investment is to the Investing in Families stream which is allocated $33.9 million for 10 projects. Some of the streams have been able to commit and pay funding more rapidly than others including On-Country Learning and preventing and addressing the issues caused by FASD. The Job creation and Better Service Streams have been slower to commit funds </w:t>
      </w:r>
      <w:r w:rsidR="003E592C">
        <w:t>and</w:t>
      </w:r>
      <w:r>
        <w:t xml:space="preserve"> pay for funds </w:t>
      </w:r>
      <w:r w:rsidR="003F1972">
        <w:t xml:space="preserve">committed through </w:t>
      </w:r>
      <w:r w:rsidR="784C3542">
        <w:t xml:space="preserve">financial arrangements with </w:t>
      </w:r>
      <w:r w:rsidR="003F1972">
        <w:t>provider</w:t>
      </w:r>
      <w:r w:rsidR="66CC75A7">
        <w:t>s</w:t>
      </w:r>
      <w:r>
        <w:t xml:space="preserve"> (see </w:t>
      </w:r>
      <w:r w:rsidRPr="00170EF9">
        <w:t xml:space="preserve">Figure </w:t>
      </w:r>
      <w:r w:rsidR="006709B0">
        <w:t>8</w:t>
      </w:r>
      <w:r>
        <w:t xml:space="preserve"> below). This difference reflects the varying nature of the projects under CAP, with all the Better Services projects being infrastructure projects, which have many levels of application and planning process to undertake and are thus slow to roll out. The Job Creation stream covers the Remote Training Hubs Network and Junior Ranger </w:t>
      </w:r>
      <w:proofErr w:type="gramStart"/>
      <w:r>
        <w:t>initiatives</w:t>
      </w:r>
      <w:proofErr w:type="gramEnd"/>
      <w:r>
        <w:t xml:space="preserve"> and the Remote Training Hubs have needed additional time for discussion and prioritisation.</w:t>
      </w:r>
    </w:p>
    <w:p w14:paraId="66C9226A" w14:textId="24A6140A" w:rsidR="00773810" w:rsidRDefault="00773810" w:rsidP="00773810">
      <w:pPr>
        <w:pStyle w:val="Heading6"/>
      </w:pPr>
      <w:r>
        <w:t xml:space="preserve">Figure </w:t>
      </w:r>
      <w:r w:rsidR="006709B0">
        <w:t>8</w:t>
      </w:r>
      <w:r w:rsidR="00B00DD7">
        <w:t>.</w:t>
      </w:r>
      <w:r>
        <w:t xml:space="preserve"> Funding by priority stream allocated, committed </w:t>
      </w:r>
      <w:r w:rsidR="006D6AC7">
        <w:t xml:space="preserve">through a financial arrangement with a provider, </w:t>
      </w:r>
      <w:r>
        <w:t xml:space="preserve">and paid </w:t>
      </w:r>
      <w:bookmarkStart w:id="38" w:name="_Int_KqD3a9Kb"/>
      <w:proofErr w:type="gramStart"/>
      <w:r>
        <w:t>at</w:t>
      </w:r>
      <w:bookmarkEnd w:id="38"/>
      <w:proofErr w:type="gramEnd"/>
      <w:r>
        <w:t xml:space="preserve"> 30 April 2025</w:t>
      </w:r>
      <w:r w:rsidR="00731960">
        <w:t>.</w:t>
      </w:r>
    </w:p>
    <w:p w14:paraId="4D3A17FF" w14:textId="77777777" w:rsidR="00773810" w:rsidRDefault="00773810" w:rsidP="00773810">
      <w:pPr>
        <w:rPr>
          <w:highlight w:val="yellow"/>
        </w:rPr>
      </w:pPr>
      <w:r w:rsidRPr="00EC58A7">
        <w:rPr>
          <w:noProof/>
          <w:color w:val="FFFFFF" w:themeColor="background1"/>
          <w:highlight w:val="yellow"/>
        </w:rPr>
        <w:drawing>
          <wp:inline distT="0" distB="0" distL="0" distR="0" wp14:anchorId="7D725603" wp14:editId="4566C2C7">
            <wp:extent cx="6293796" cy="2783205"/>
            <wp:effectExtent l="0" t="0" r="5715" b="0"/>
            <wp:docPr id="683412487" name="Chart 1" descr="Funding at 30 April 2025 for ‘Improved community safety and cohesion’ includes $53 million allocated, $14 million total committed, and $7 million total paid. Funding at 30 April 2025 for ‘Job creation’ includes $31 million allocated, $17 million total committed, and $5 million total paid. Funding at 30 April 2025 for ‘Better services’ includes $60 million allocated, $41million total committed, and $3 million total paid. Funding at 30 April 2025 for ‘Preventing and addressing the issues caused by FASD’ includes $23 million allocated, $23 million total committed, and $17 million total paid. Funding at 30 April 2025 for ‘Investing in families’ includes $34 million allocated, $14 million total committed, and $7 million total paid. Funding at 30 April 2025 for ‘On Country Learning’ includes $40 million allocated, $40 million total committed, and $38 million total paid. Funding at 30 April 2025 for ‘Governance’ includes $8 million allocated, $8 million total committed, and $8 million total paid.">
              <a:extLst xmlns:a="http://schemas.openxmlformats.org/drawingml/2006/main">
                <a:ext uri="{FF2B5EF4-FFF2-40B4-BE49-F238E27FC236}">
                  <a16:creationId xmlns:a16="http://schemas.microsoft.com/office/drawing/2014/main" id="{4A6692C6-0E53-744B-4797-D74A64E69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B76329" w14:textId="77777777" w:rsidR="00773810" w:rsidRDefault="00773810" w:rsidP="00773810">
      <w:pPr>
        <w:rPr>
          <w:highlight w:val="yellow"/>
        </w:rPr>
      </w:pPr>
    </w:p>
    <w:p w14:paraId="0C2D410A" w14:textId="77777777" w:rsidR="00C72E35" w:rsidRDefault="00C72E35">
      <w:pPr>
        <w:keepLines w:val="0"/>
        <w:widowControl/>
        <w:spacing w:before="0" w:after="0"/>
        <w:rPr>
          <w:rFonts w:eastAsiaTheme="minorHAnsi" w:cs="Segoe UI"/>
          <w:bCs/>
          <w:color w:val="009999"/>
        </w:rPr>
      </w:pPr>
      <w:r>
        <w:br w:type="page"/>
      </w:r>
    </w:p>
    <w:p w14:paraId="3E63E759" w14:textId="5F4201CD" w:rsidR="00773810" w:rsidRDefault="00773810" w:rsidP="00773810">
      <w:pPr>
        <w:pStyle w:val="Heading6"/>
      </w:pPr>
      <w:r>
        <w:lastRenderedPageBreak/>
        <w:t xml:space="preserve">Figure </w:t>
      </w:r>
      <w:r w:rsidR="006709B0">
        <w:t>9</w:t>
      </w:r>
      <w:r w:rsidR="00B00DD7">
        <w:t>.</w:t>
      </w:r>
      <w:r>
        <w:t xml:space="preserve"> Proportion of CAP funding that has been committed </w:t>
      </w:r>
      <w:r w:rsidR="006D6AC7">
        <w:t>through a financial arrangement with a provider</w:t>
      </w:r>
      <w:r w:rsidR="00B00DD7">
        <w:t xml:space="preserve"> </w:t>
      </w:r>
      <w:r>
        <w:t xml:space="preserve">and paid by priority </w:t>
      </w:r>
      <w:r w:rsidR="004F039F">
        <w:t>stream</w:t>
      </w:r>
      <w:r>
        <w:t xml:space="preserve"> (proportion allocated that has been committed and proportion committed that has been paid </w:t>
      </w:r>
      <w:proofErr w:type="gramStart"/>
      <w:r>
        <w:t>at</w:t>
      </w:r>
      <w:proofErr w:type="gramEnd"/>
      <w:r>
        <w:t xml:space="preserve"> 30 April 2025)</w:t>
      </w:r>
      <w:r w:rsidR="00731960">
        <w:t>.</w:t>
      </w:r>
    </w:p>
    <w:p w14:paraId="19AF17CD" w14:textId="77777777" w:rsidR="00773810" w:rsidRDefault="00773810" w:rsidP="00773810">
      <w:pPr>
        <w:rPr>
          <w:highlight w:val="yellow"/>
        </w:rPr>
      </w:pPr>
      <w:r w:rsidRPr="003C6C1E">
        <w:rPr>
          <w:noProof/>
          <w:highlight w:val="yellow"/>
        </w:rPr>
        <w:drawing>
          <wp:inline distT="0" distB="0" distL="0" distR="0" wp14:anchorId="7F36A8AA" wp14:editId="124B2490">
            <wp:extent cx="6184900" cy="3404235"/>
            <wp:effectExtent l="0" t="0" r="0" b="0"/>
            <wp:docPr id="1418998378" name="Chart 1" descr="For ‘Improved community safety and cohesion’, 26% of allocated funding has been committed while 49% of committed funding has been paid. For ‘Job Creation’, 54% of funding allocated has been committed, while 27% of funding committed has been paid. For ‘Better services’, 67% of allocated funding has been committed, while 8% of funding committed has been paid. For ‘Preventing and addressing the issues caused by FASD’, 100% of allocated funding has been committed, while 74% of funding committed has been paid. For ‘Investing in families, 40% of allocated funding has been committed, while 52% of funding committed has been paid. For ‘On Country Learning’, 100% of allocated funding has been committed, while 95% of funding committed has been paid. For governance of the CAP (NIAA), 100% of allocated funding has been committed, and 100% of funding committed has been paid.">
              <a:extLst xmlns:a="http://schemas.openxmlformats.org/drawingml/2006/main">
                <a:ext uri="{FF2B5EF4-FFF2-40B4-BE49-F238E27FC236}">
                  <a16:creationId xmlns:a16="http://schemas.microsoft.com/office/drawing/2014/main" id="{4202BAC0-F8EE-2F44-A3E7-9E1797AF4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F49C01" w14:textId="6C2E809C" w:rsidR="009C0639" w:rsidRPr="009C1286" w:rsidRDefault="00B064D9" w:rsidP="009C0639">
      <w:r w:rsidRPr="00792344">
        <w:t>Government stakeholders note funding priorities under the CAP w</w:t>
      </w:r>
      <w:r w:rsidR="00900364">
        <w:t>ere</w:t>
      </w:r>
      <w:r w:rsidRPr="00792344">
        <w:t xml:space="preserve"> not explicitly formed through the lens of the </w:t>
      </w:r>
      <w:r w:rsidR="00FA13E6">
        <w:t>National Agreement</w:t>
      </w:r>
      <w:r w:rsidRPr="00792344">
        <w:t xml:space="preserve"> framework</w:t>
      </w:r>
      <w:r w:rsidR="00900364">
        <w:t>.</w:t>
      </w:r>
      <w:r w:rsidR="004B6A51">
        <w:t xml:space="preserve"> </w:t>
      </w:r>
      <w:r w:rsidR="004748AB">
        <w:t>Despite this</w:t>
      </w:r>
      <w:r w:rsidR="004B6A51">
        <w:t>,</w:t>
      </w:r>
      <w:r w:rsidRPr="00792344">
        <w:t xml:space="preserve"> stakeholders felt the CAP broadly contributed to the aims of </w:t>
      </w:r>
      <w:r w:rsidR="00FA13E6">
        <w:t>National Agreement</w:t>
      </w:r>
      <w:r w:rsidRPr="1A31B231">
        <w:rPr>
          <w:rStyle w:val="FootnoteReference"/>
          <w:rFonts w:eastAsiaTheme="minorEastAsia"/>
        </w:rPr>
        <w:footnoteReference w:id="50"/>
      </w:r>
      <w:r w:rsidRPr="00D02652">
        <w:t xml:space="preserve">. </w:t>
      </w:r>
      <w:r w:rsidRPr="00792344">
        <w:t xml:space="preserve">Analysis of funding commitments under the CAP shows </w:t>
      </w:r>
      <w:r w:rsidR="009C0639">
        <w:t xml:space="preserve">that </w:t>
      </w:r>
      <w:r w:rsidR="003E592C">
        <w:t>all</w:t>
      </w:r>
      <w:r w:rsidR="009C0639">
        <w:t xml:space="preserve"> the CAP funding </w:t>
      </w:r>
      <w:r w:rsidR="35DD21E1">
        <w:t>to date</w:t>
      </w:r>
      <w:r w:rsidR="009C0639">
        <w:t xml:space="preserve"> that has been committed </w:t>
      </w:r>
      <w:r w:rsidR="006B38C0">
        <w:t xml:space="preserve">through a financial arrangement with a provider </w:t>
      </w:r>
      <w:r w:rsidR="52FA5FD6">
        <w:t>aligns with</w:t>
      </w:r>
      <w:r w:rsidR="009C0639">
        <w:t xml:space="preserve"> </w:t>
      </w:r>
      <w:r w:rsidR="00D85CC4">
        <w:t>Outcome Areas</w:t>
      </w:r>
      <w:r w:rsidR="002A4A5A">
        <w:t xml:space="preserve">. </w:t>
      </w:r>
      <w:r w:rsidR="006C01C7" w:rsidRPr="009C1286">
        <w:t xml:space="preserve">The following </w:t>
      </w:r>
      <w:r w:rsidR="00C72E35">
        <w:t>National Agreement</w:t>
      </w:r>
      <w:r w:rsidR="00C72E35" w:rsidRPr="009C1286">
        <w:t xml:space="preserve"> </w:t>
      </w:r>
      <w:r w:rsidR="00B00DD7">
        <w:t>Outcome Areas</w:t>
      </w:r>
      <w:r w:rsidR="006C01C7" w:rsidRPr="009C1286">
        <w:t xml:space="preserve"> are addressed in some way by CAP projects</w:t>
      </w:r>
      <w:r w:rsidR="00731960">
        <w:t>:</w:t>
      </w:r>
    </w:p>
    <w:p w14:paraId="2AE3B9E2" w14:textId="3FE5CA44" w:rsidR="00B064D9" w:rsidRPr="00780131" w:rsidRDefault="00B00DD7" w:rsidP="003343AE">
      <w:pPr>
        <w:pStyle w:val="ListParagraph"/>
      </w:pPr>
      <w:r>
        <w:t xml:space="preserve">Outcome Area </w:t>
      </w:r>
      <w:r w:rsidR="00B064D9" w:rsidRPr="00780131">
        <w:t>1 – Aboriginal and Torres Strait Islander people enjoy long and healthy lives.</w:t>
      </w:r>
    </w:p>
    <w:p w14:paraId="7D5ED689" w14:textId="02ADC694" w:rsidR="00B064D9" w:rsidRPr="00780131" w:rsidRDefault="00B00DD7" w:rsidP="003343AE">
      <w:pPr>
        <w:pStyle w:val="ListParagraph"/>
      </w:pPr>
      <w:r>
        <w:t xml:space="preserve">Outcome Area </w:t>
      </w:r>
      <w:r w:rsidR="00B064D9" w:rsidRPr="00780131">
        <w:t>5 – Students achieve full learning potential.</w:t>
      </w:r>
    </w:p>
    <w:p w14:paraId="3A5931E4" w14:textId="4E7C2BBA" w:rsidR="00B064D9" w:rsidRPr="00C40B11" w:rsidRDefault="00B00DD7" w:rsidP="003343AE">
      <w:pPr>
        <w:pStyle w:val="ListParagraph"/>
      </w:pPr>
      <w:r>
        <w:t xml:space="preserve">Outcome Areas </w:t>
      </w:r>
      <w:r w:rsidR="00B064D9" w:rsidRPr="00C40B11">
        <w:t>6 – Aboriginal and Torres Strait Islander students reach their full potential through further education pathways.</w:t>
      </w:r>
    </w:p>
    <w:p w14:paraId="0ADBD5DE" w14:textId="747449FC" w:rsidR="00B064D9" w:rsidRPr="00C40B11" w:rsidRDefault="00B00DD7" w:rsidP="003343AE">
      <w:pPr>
        <w:pStyle w:val="ListParagraph"/>
      </w:pPr>
      <w:r>
        <w:t xml:space="preserve">Outcome Area </w:t>
      </w:r>
      <w:r w:rsidR="00B064D9" w:rsidRPr="00C40B11">
        <w:t>7 – Aboriginal and Torres Strait Islander youth are engaged in employment or education.</w:t>
      </w:r>
    </w:p>
    <w:p w14:paraId="2EA8578D" w14:textId="7991E626" w:rsidR="00B064D9" w:rsidRPr="00C40B11" w:rsidRDefault="00B00DD7" w:rsidP="003343AE">
      <w:pPr>
        <w:pStyle w:val="ListParagraph"/>
      </w:pPr>
      <w:r>
        <w:t xml:space="preserve">Outcome Area </w:t>
      </w:r>
      <w:r w:rsidR="00B064D9" w:rsidRPr="00C40B11">
        <w:t>8 – Strong economic participation and development of Aboriginal and Torres Strait Islander people and communities.</w:t>
      </w:r>
    </w:p>
    <w:p w14:paraId="0B339504" w14:textId="672EAA9F" w:rsidR="00B064D9" w:rsidRPr="00C40B11" w:rsidRDefault="00B00DD7" w:rsidP="003343AE">
      <w:pPr>
        <w:pStyle w:val="ListParagraph"/>
      </w:pPr>
      <w:r>
        <w:t xml:space="preserve">Outcome Area </w:t>
      </w:r>
      <w:r w:rsidR="00B064D9" w:rsidRPr="00C40B11">
        <w:t>9 – Aboriginal and Torres Strait Islander people secure appropriate, affordable housing that is aligned with their priorities and need.</w:t>
      </w:r>
    </w:p>
    <w:p w14:paraId="54E8774B" w14:textId="29AC4B67" w:rsidR="00B064D9" w:rsidRPr="00C40B11" w:rsidRDefault="00B00DD7" w:rsidP="003343AE">
      <w:pPr>
        <w:pStyle w:val="ListParagraph"/>
      </w:pPr>
      <w:r>
        <w:t xml:space="preserve">Outcome Area </w:t>
      </w:r>
      <w:r w:rsidR="00B064D9" w:rsidRPr="00C40B11">
        <w:t>10 – Aboriginal and Torres Strait Islander people are not overrepresented in the criminal justice system.</w:t>
      </w:r>
    </w:p>
    <w:p w14:paraId="753564F7" w14:textId="61C06EB1" w:rsidR="00B064D9" w:rsidRPr="00C40B11" w:rsidRDefault="00B00DD7" w:rsidP="003343AE">
      <w:pPr>
        <w:pStyle w:val="ListParagraph"/>
      </w:pPr>
      <w:r>
        <w:t xml:space="preserve">Outcome Area </w:t>
      </w:r>
      <w:r w:rsidR="00B064D9" w:rsidRPr="00C40B11">
        <w:t>11 – Aboriginal and Torres Strait Islander young people are not overrepresented in the criminal justice system.</w:t>
      </w:r>
    </w:p>
    <w:p w14:paraId="1C6F4714" w14:textId="35C99F48" w:rsidR="00B064D9" w:rsidRPr="00C40B11" w:rsidRDefault="00B00DD7" w:rsidP="003343AE">
      <w:pPr>
        <w:pStyle w:val="ListParagraph"/>
      </w:pPr>
      <w:r>
        <w:t xml:space="preserve">Outcome Area </w:t>
      </w:r>
      <w:r w:rsidR="00B064D9" w:rsidRPr="00C40B11">
        <w:t>13 – Aboriginal and Torres Strait Islander families and households are safe.</w:t>
      </w:r>
    </w:p>
    <w:p w14:paraId="74067A97" w14:textId="2C920BF7" w:rsidR="00B064D9" w:rsidRPr="00C40B11" w:rsidRDefault="00B00DD7" w:rsidP="003343AE">
      <w:pPr>
        <w:pStyle w:val="ListParagraph"/>
      </w:pPr>
      <w:r>
        <w:t xml:space="preserve">Outcome Area </w:t>
      </w:r>
      <w:r w:rsidR="00B064D9" w:rsidRPr="00C40B11">
        <w:t>14 – Aboriginal and Torres Strait Islander people enjoy high levels of social and emotional wellbeing.</w:t>
      </w:r>
    </w:p>
    <w:p w14:paraId="3799F921" w14:textId="655C86CD" w:rsidR="00B064D9" w:rsidRPr="00C40B11" w:rsidRDefault="00B00DD7" w:rsidP="003343AE">
      <w:pPr>
        <w:pStyle w:val="ListParagraph"/>
      </w:pPr>
      <w:r>
        <w:t xml:space="preserve">Outcome Area </w:t>
      </w:r>
      <w:r w:rsidR="00B064D9" w:rsidRPr="00C40B11">
        <w:t>15 – Aboriginal and Torres Strait Islander people maintain a distinctive cultural, spiritual, physical and economic relationship with their land and waters.</w:t>
      </w:r>
    </w:p>
    <w:p w14:paraId="7C9805E3" w14:textId="05F35382" w:rsidR="00003A8F" w:rsidRPr="00C40B11" w:rsidRDefault="00B00DD7" w:rsidP="003343AE">
      <w:pPr>
        <w:pStyle w:val="ListParagraph"/>
      </w:pPr>
      <w:r>
        <w:t xml:space="preserve">Outcome Area </w:t>
      </w:r>
      <w:r w:rsidR="00B064D9" w:rsidRPr="00C40B11">
        <w:t>17 – Aboriginal and Torres Strait Islander people have access to information and services enabling participation in informed decision-making regarding their own lives</w:t>
      </w:r>
      <w:r w:rsidR="00764D28">
        <w:t>.</w:t>
      </w:r>
    </w:p>
    <w:p w14:paraId="6C04EACF" w14:textId="53BB4361" w:rsidR="00890978" w:rsidRDefault="00890978" w:rsidP="00890978">
      <w:r>
        <w:lastRenderedPageBreak/>
        <w:t>The CAP funding broadly aligns to the National Agreement Outcome Areas like improving life expectancy, education, employment, and community safety. Because projects often support more than one Outcome Area, it is not possible to determine exactly how much funding relates to each National Agreement Outcome, but estimates suggest at least:</w:t>
      </w:r>
    </w:p>
    <w:p w14:paraId="6CAF276A" w14:textId="676014A5" w:rsidR="00890978" w:rsidRPr="00890978" w:rsidRDefault="00890978" w:rsidP="00890978">
      <w:pPr>
        <w:pStyle w:val="ListParagraph"/>
      </w:pPr>
      <w:r w:rsidRPr="00890978">
        <w:t>$23 million aligns with Outcome 1 (lifespan and health)</w:t>
      </w:r>
    </w:p>
    <w:p w14:paraId="16880C37" w14:textId="77777777" w:rsidR="00890978" w:rsidRPr="00890978" w:rsidRDefault="00890978" w:rsidP="00890978">
      <w:pPr>
        <w:pStyle w:val="ListParagraph"/>
      </w:pPr>
      <w:r w:rsidRPr="00890978">
        <w:t>$10 million with Outcome 13 (housing)</w:t>
      </w:r>
    </w:p>
    <w:p w14:paraId="7C495372" w14:textId="77777777" w:rsidR="00890978" w:rsidRPr="00890978" w:rsidRDefault="00890978" w:rsidP="00890978">
      <w:pPr>
        <w:pStyle w:val="ListParagraph"/>
      </w:pPr>
      <w:r w:rsidRPr="00890978">
        <w:t>$7 million with Outcome 17 (digital inclusion)</w:t>
      </w:r>
    </w:p>
    <w:p w14:paraId="6FF331BA" w14:textId="241348D5" w:rsidR="00B00DD7" w:rsidRDefault="00890978" w:rsidP="00890978">
      <w:pPr>
        <w:pStyle w:val="ListParagraph"/>
      </w:pPr>
      <w:r w:rsidRPr="00890978">
        <w:t>$33 million with Outcome 9 (safe communities)</w:t>
      </w:r>
      <w:r w:rsidR="00ED27C8">
        <w:t xml:space="preserve"> </w:t>
      </w:r>
    </w:p>
    <w:p w14:paraId="6F131665" w14:textId="5214CFE1" w:rsidR="00DB533E" w:rsidRPr="001E3BF1" w:rsidRDefault="00003A8F" w:rsidP="001E3BF1">
      <w:r w:rsidRPr="00B00DD7">
        <w:t xml:space="preserve">Table 4 in Appendix </w:t>
      </w:r>
      <w:r w:rsidR="00B00DD7" w:rsidRPr="00B00DD7">
        <w:t>G</w:t>
      </w:r>
      <w:r w:rsidRPr="00B00DD7">
        <w:t xml:space="preserve"> shows the amount of CAP funding that has been committed </w:t>
      </w:r>
      <w:r w:rsidR="00D25B8D" w:rsidRPr="00B00DD7">
        <w:t>through financial arrangement</w:t>
      </w:r>
      <w:r w:rsidR="00252638" w:rsidRPr="00B00DD7">
        <w:t>s</w:t>
      </w:r>
      <w:r w:rsidR="00D25B8D" w:rsidRPr="00B00DD7">
        <w:t xml:space="preserve"> with provider</w:t>
      </w:r>
      <w:r w:rsidR="00252638" w:rsidRPr="00B00DD7">
        <w:t>s</w:t>
      </w:r>
      <w:r w:rsidR="00D25B8D" w:rsidRPr="00B00DD7">
        <w:t xml:space="preserve"> </w:t>
      </w:r>
      <w:r w:rsidRPr="00B00DD7">
        <w:t xml:space="preserve">and paid to specific projects by </w:t>
      </w:r>
      <w:r w:rsidR="00FA13E6" w:rsidRPr="00B00DD7">
        <w:t>National Agreement</w:t>
      </w:r>
      <w:r w:rsidRPr="00B00DD7">
        <w:t xml:space="preserve"> </w:t>
      </w:r>
      <w:r w:rsidR="00B00DD7" w:rsidRPr="00B00DD7">
        <w:t>O</w:t>
      </w:r>
      <w:r w:rsidRPr="00B00DD7">
        <w:t xml:space="preserve">utcome </w:t>
      </w:r>
      <w:r w:rsidR="00B00DD7" w:rsidRPr="00B00DD7">
        <w:t>A</w:t>
      </w:r>
      <w:r w:rsidRPr="00B00DD7">
        <w:t>rea.</w:t>
      </w:r>
      <w:r>
        <w:t xml:space="preserve">  </w:t>
      </w:r>
      <w:r w:rsidR="00DB533E">
        <w:br w:type="page"/>
      </w:r>
    </w:p>
    <w:p w14:paraId="76F8C692" w14:textId="1734039C" w:rsidR="003A77FF" w:rsidRDefault="003A77FF" w:rsidP="00731960">
      <w:pPr>
        <w:pStyle w:val="Heading2"/>
        <w:rPr>
          <w:rFonts w:cs="Arial"/>
        </w:rPr>
      </w:pPr>
      <w:r w:rsidRPr="00FC62FE">
        <w:lastRenderedPageBreak/>
        <w:t xml:space="preserve">KEQ3: What early short-term outcomes from the CAP are we seeing in terms of </w:t>
      </w:r>
      <w:r w:rsidR="00ED473E">
        <w:t>‘</w:t>
      </w:r>
      <w:r w:rsidRPr="00FC62FE">
        <w:t>doing things differently</w:t>
      </w:r>
      <w:r w:rsidR="00ED473E">
        <w:t>’</w:t>
      </w:r>
      <w:r w:rsidRPr="00FC62FE">
        <w:t>?</w:t>
      </w:r>
      <w:r w:rsidRPr="00FC62FE">
        <w:rPr>
          <w:rFonts w:cs="Arial"/>
        </w:rPr>
        <w:t>​</w:t>
      </w:r>
    </w:p>
    <w:p w14:paraId="332847CD" w14:textId="315C071F" w:rsidR="00DE3850" w:rsidRDefault="00165E6F" w:rsidP="00DE3850">
      <w:r>
        <w:t xml:space="preserve">These findings explore </w:t>
      </w:r>
      <w:r w:rsidR="003A77FF">
        <w:t xml:space="preserve">what short-term outcomes are evident from the CAP in terms of </w:t>
      </w:r>
      <w:r w:rsidR="00ED473E" w:rsidRPr="00EC6EA7">
        <w:t>‘doing things differently’</w:t>
      </w:r>
      <w:r w:rsidR="003A77FF">
        <w:t xml:space="preserve">. </w:t>
      </w:r>
      <w:r w:rsidR="00DE3850">
        <w:t>It includes</w:t>
      </w:r>
      <w:r w:rsidR="003A77FF">
        <w:t xml:space="preserve"> findings on the</w:t>
      </w:r>
      <w:r w:rsidR="00DE3850">
        <w:t xml:space="preserve"> e</w:t>
      </w:r>
      <w:r w:rsidR="003A77FF">
        <w:t>xtent to which</w:t>
      </w:r>
      <w:r w:rsidR="00DE3850">
        <w:t>:</w:t>
      </w:r>
    </w:p>
    <w:p w14:paraId="29EE1966" w14:textId="77777777" w:rsidR="00DE3850" w:rsidRDefault="003A77FF" w:rsidP="003343AE">
      <w:pPr>
        <w:pStyle w:val="ListParagraph"/>
      </w:pPr>
      <w:r>
        <w:t xml:space="preserve">doing business in Central Australia has changed for the </w:t>
      </w:r>
      <w:r w:rsidR="00D8363A">
        <w:t>Australian</w:t>
      </w:r>
      <w:r w:rsidR="003F428B">
        <w:t xml:space="preserve"> Government</w:t>
      </w:r>
      <w:r>
        <w:t>, the</w:t>
      </w:r>
      <w:r w:rsidR="004F0BE9">
        <w:t xml:space="preserve"> NTG</w:t>
      </w:r>
      <w:r w:rsidR="00907835">
        <w:t>,</w:t>
      </w:r>
      <w:r>
        <w:t xml:space="preserve"> and local </w:t>
      </w:r>
      <w:r w:rsidR="004F0BE9">
        <w:t>g</w:t>
      </w:r>
      <w:r>
        <w:t>overnmen</w:t>
      </w:r>
      <w:r w:rsidR="00DE3850">
        <w:t>t</w:t>
      </w:r>
    </w:p>
    <w:p w14:paraId="19A81212" w14:textId="469A5650" w:rsidR="003A77FF" w:rsidRPr="00780131" w:rsidRDefault="003A77FF" w:rsidP="003343AE">
      <w:pPr>
        <w:pStyle w:val="ListParagraph"/>
      </w:pPr>
      <w:r w:rsidRPr="00780131">
        <w:t xml:space="preserve">progress has been made towards </w:t>
      </w:r>
      <w:r w:rsidR="00FA13E6">
        <w:t>National Agreement</w:t>
      </w:r>
      <w:r w:rsidRPr="00780131">
        <w:t xml:space="preserve"> Priority Reforms</w:t>
      </w:r>
    </w:p>
    <w:p w14:paraId="5FC9FF99" w14:textId="65B21BB6" w:rsidR="003A77FF" w:rsidRPr="00780131" w:rsidRDefault="00907835" w:rsidP="003343AE">
      <w:pPr>
        <w:pStyle w:val="ListParagraph"/>
      </w:pPr>
      <w:r w:rsidRPr="00780131">
        <w:t>First Nations</w:t>
      </w:r>
      <w:r w:rsidR="003A77FF" w:rsidRPr="00780131">
        <w:t xml:space="preserve"> community leadership is being develope</w:t>
      </w:r>
      <w:r w:rsidR="00CB3F0A">
        <w:t>d.</w:t>
      </w:r>
    </w:p>
    <w:tbl>
      <w:tblPr>
        <w:tblStyle w:val="TableGrid2"/>
        <w:tblpPr w:leftFromText="180" w:rightFromText="180" w:vertAnchor="text" w:horzAnchor="margin" w:tblpY="24"/>
        <w:tblW w:w="4990" w:type="pct"/>
        <w:tblLook w:val="04A0" w:firstRow="1" w:lastRow="0" w:firstColumn="1" w:lastColumn="0" w:noHBand="0" w:noVBand="1"/>
      </w:tblPr>
      <w:tblGrid>
        <w:gridCol w:w="9661"/>
      </w:tblGrid>
      <w:tr w:rsidR="003A77FF" w:rsidRPr="00FC62FE" w14:paraId="0D62D9C2" w14:textId="77777777" w:rsidTr="3B3046B4">
        <w:trPr>
          <w:trHeight w:val="6367"/>
        </w:trPr>
        <w:tc>
          <w:tcPr>
            <w:tcW w:w="5000" w:type="pct"/>
            <w:tcBorders>
              <w:top w:val="single" w:sz="24" w:space="0" w:color="009999"/>
              <w:left w:val="single" w:sz="24" w:space="0" w:color="009999"/>
              <w:bottom w:val="single" w:sz="24" w:space="0" w:color="009999"/>
              <w:right w:val="single" w:sz="24" w:space="0" w:color="009999"/>
            </w:tcBorders>
          </w:tcPr>
          <w:p w14:paraId="00517BD3" w14:textId="2E941CE6" w:rsidR="00C57402" w:rsidRPr="00BE460A" w:rsidRDefault="00DE3850" w:rsidP="00111CEA">
            <w:pPr>
              <w:pStyle w:val="Heading3"/>
            </w:pPr>
            <w:r>
              <w:t>Summary of e</w:t>
            </w:r>
            <w:r w:rsidR="00C57402">
              <w:t>valuation findings</w:t>
            </w:r>
          </w:p>
          <w:p w14:paraId="29EF35DB" w14:textId="53E87C13" w:rsidR="003A77FF" w:rsidRDefault="5291F365" w:rsidP="00DA4528">
            <w:r>
              <w:t xml:space="preserve">The evaluation suggests that </w:t>
            </w:r>
            <w:r w:rsidR="4508A3F2">
              <w:t xml:space="preserve">there are </w:t>
            </w:r>
            <w:r w:rsidR="003A77FF">
              <w:t xml:space="preserve">early short-term outcomes from the CAP in terms of </w:t>
            </w:r>
            <w:r w:rsidR="00ED473E">
              <w:t>‘doing things differently’</w:t>
            </w:r>
            <w:r w:rsidR="4EC18E44">
              <w:t xml:space="preserve"> and </w:t>
            </w:r>
            <w:r w:rsidR="4DEB13D7">
              <w:t>a</w:t>
            </w:r>
            <w:r w:rsidR="003A77FF">
              <w:t xml:space="preserve">s the CAP progresses there are opportunities for improvement to bolster ongoing outcomes. </w:t>
            </w:r>
          </w:p>
          <w:p w14:paraId="58F1DAB7" w14:textId="18C12FE5" w:rsidR="003A77FF" w:rsidRPr="002D7276" w:rsidRDefault="003A77FF" w:rsidP="003343AE">
            <w:pPr>
              <w:pStyle w:val="ListParagraph"/>
            </w:pPr>
            <w:r w:rsidRPr="002D7276">
              <w:t xml:space="preserve">The CAP has improved collaboration and communication between </w:t>
            </w:r>
            <w:r w:rsidR="006E5649" w:rsidRPr="002D7276">
              <w:t>g</w:t>
            </w:r>
            <w:r w:rsidR="003F428B" w:rsidRPr="002D7276">
              <w:t>overnment</w:t>
            </w:r>
            <w:r w:rsidRPr="002D7276">
              <w:t xml:space="preserve"> departments, fostering a sense of shared and collective responsibility through mechanisms like the IDC and Communit</w:t>
            </w:r>
            <w:r w:rsidR="00F35093" w:rsidRPr="002D7276">
              <w:t>y</w:t>
            </w:r>
            <w:r w:rsidRPr="002D7276">
              <w:t xml:space="preserve"> of Practice, which have strengthened shared decision-making and responsiveness. </w:t>
            </w:r>
          </w:p>
          <w:p w14:paraId="5160753F" w14:textId="17E4185B" w:rsidR="003A77FF" w:rsidRPr="002D7276" w:rsidRDefault="003A77FF" w:rsidP="003343AE">
            <w:pPr>
              <w:pStyle w:val="ListParagraph"/>
            </w:pPr>
            <w:r w:rsidRPr="002D7276">
              <w:t xml:space="preserve">While the CAP broadly aligns with the objectives of </w:t>
            </w:r>
            <w:r w:rsidR="00FA13E6">
              <w:t>National Agreement</w:t>
            </w:r>
            <w:r w:rsidRPr="002D7276">
              <w:t xml:space="preserve">, particularly in strengthening partnerships and showing emerging alignment with transforming government organisations (Priority Reform 3) and shared access to data and information (Priority Reform 4), it does not fully achieve the structural shift and shared decision-making authority required by Priority Reform One, as ultimate decision-making power largely remains with the government despite consultative mechanisms like the </w:t>
            </w:r>
            <w:r w:rsidR="00E73E8E" w:rsidRPr="002D7276">
              <w:t>ALG.</w:t>
            </w:r>
            <w:r w:rsidRPr="002D7276">
              <w:t xml:space="preserve"> There is ongoing opportunity to better align the CAP with the </w:t>
            </w:r>
            <w:r w:rsidR="00FA13E6">
              <w:t>National Agreement</w:t>
            </w:r>
            <w:r w:rsidRPr="002D7276">
              <w:t xml:space="preserve"> framework. </w:t>
            </w:r>
          </w:p>
          <w:p w14:paraId="4526E1EC" w14:textId="4984683B" w:rsidR="0076061C" w:rsidRPr="002D7276" w:rsidRDefault="00D56B27" w:rsidP="003343AE">
            <w:pPr>
              <w:pStyle w:val="ListParagraph"/>
            </w:pPr>
            <w:r w:rsidRPr="002D7276">
              <w:t>First Nations</w:t>
            </w:r>
            <w:r w:rsidR="003A77FF" w:rsidRPr="002D7276">
              <w:t xml:space="preserve"> community leadership is being actively supported and developed through key mechanisms like the ALG and the YRT. These mechanisms have bolstered community agency and provided opportunities for Aboriginal people to gain confidence and contribute their views. </w:t>
            </w:r>
            <w:proofErr w:type="gramStart"/>
            <w:r w:rsidR="003A77FF" w:rsidRPr="002D7276">
              <w:t>Additionally</w:t>
            </w:r>
            <w:proofErr w:type="gramEnd"/>
            <w:r w:rsidR="003A77FF" w:rsidRPr="002D7276">
              <w:t xml:space="preserve"> funding for youth services and programs delivered by Aboriginal Community</w:t>
            </w:r>
            <w:r w:rsidR="00223236" w:rsidRPr="002D7276">
              <w:t>-</w:t>
            </w:r>
            <w:r w:rsidR="003A77FF" w:rsidRPr="002D7276">
              <w:t xml:space="preserve">Controlled Organisations (ACCOs) and </w:t>
            </w:r>
            <w:r w:rsidR="0A853C87" w:rsidRPr="002D7276">
              <w:t>T</w:t>
            </w:r>
            <w:r w:rsidR="003A77FF" w:rsidRPr="002D7276">
              <w:t xml:space="preserve">raditional </w:t>
            </w:r>
            <w:r w:rsidR="4CEEC017" w:rsidRPr="002D7276">
              <w:t>O</w:t>
            </w:r>
            <w:r w:rsidR="003A77FF" w:rsidRPr="002D7276">
              <w:t xml:space="preserve">wners demonstrates a trend towards Aboriginal leadership at the service provider level. </w:t>
            </w:r>
          </w:p>
          <w:p w14:paraId="33FD0984" w14:textId="027A8F38" w:rsidR="003A77FF" w:rsidRPr="002D7276" w:rsidRDefault="002E2805" w:rsidP="003343AE">
            <w:pPr>
              <w:pStyle w:val="ListParagraph"/>
            </w:pPr>
            <w:r w:rsidRPr="002D7276">
              <w:t xml:space="preserve">The NTG has played a critical role in the CAP’s early </w:t>
            </w:r>
            <w:r w:rsidR="00704B0C" w:rsidRPr="002D7276">
              <w:t xml:space="preserve">progress. The </w:t>
            </w:r>
            <w:r w:rsidR="00275BF9" w:rsidRPr="002D7276">
              <w:t>NTG’s engagement through joint structures</w:t>
            </w:r>
            <w:r w:rsidR="00AB69BE" w:rsidRPr="002D7276">
              <w:t>, such as the ALG</w:t>
            </w:r>
            <w:r w:rsidR="000A2D76" w:rsidRPr="002D7276">
              <w:t>,</w:t>
            </w:r>
            <w:r w:rsidR="00AB69BE" w:rsidRPr="002D7276">
              <w:t xml:space="preserve"> has supported more coordinated decision-makin</w:t>
            </w:r>
            <w:r w:rsidR="00C816F8" w:rsidRPr="002D7276">
              <w:t>g and responsiveness</w:t>
            </w:r>
            <w:r w:rsidR="00E34D15" w:rsidRPr="002D7276">
              <w:t xml:space="preserve"> to community priorities</w:t>
            </w:r>
            <w:r w:rsidR="00155558" w:rsidRPr="002D7276">
              <w:t>. While this part</w:t>
            </w:r>
            <w:r w:rsidR="00BF1BC3" w:rsidRPr="002D7276">
              <w:t>nership approach is showing positive signs</w:t>
            </w:r>
            <w:r w:rsidR="00136E6C" w:rsidRPr="002D7276">
              <w:t>, further strengthening of collaboration is needed</w:t>
            </w:r>
            <w:r w:rsidR="001648CB" w:rsidRPr="002D7276">
              <w:t xml:space="preserve"> to fully realise a genuinely shared and accountable relationship between governments and community in Central Aus</w:t>
            </w:r>
            <w:r w:rsidR="007619BC" w:rsidRPr="002D7276">
              <w:t>tra</w:t>
            </w:r>
            <w:r w:rsidR="001648CB" w:rsidRPr="002D7276">
              <w:t>lia.</w:t>
            </w:r>
          </w:p>
        </w:tc>
      </w:tr>
    </w:tbl>
    <w:p w14:paraId="2F827CA2" w14:textId="77777777" w:rsidR="008021EE" w:rsidRDefault="008021EE" w:rsidP="008021EE">
      <w:pPr>
        <w:keepLines w:val="0"/>
        <w:widowControl/>
        <w:spacing w:before="0" w:after="0"/>
      </w:pPr>
    </w:p>
    <w:p w14:paraId="2448A1EC" w14:textId="499D3837" w:rsidR="003A77FF" w:rsidRPr="008021EE" w:rsidRDefault="003A77FF" w:rsidP="00731960">
      <w:pPr>
        <w:pStyle w:val="Heading3"/>
      </w:pPr>
      <w:r>
        <w:t xml:space="preserve">Extent to which doing business in Central Australia has changed for the </w:t>
      </w:r>
      <w:r w:rsidR="00D8363A">
        <w:t>Australian</w:t>
      </w:r>
      <w:r>
        <w:t xml:space="preserve"> </w:t>
      </w:r>
      <w:r w:rsidR="006E5649">
        <w:t>G</w:t>
      </w:r>
      <w:r>
        <w:t>overnment, the N</w:t>
      </w:r>
      <w:r w:rsidR="00DF5EFA">
        <w:t xml:space="preserve">orthern </w:t>
      </w:r>
      <w:r>
        <w:t>T</w:t>
      </w:r>
      <w:r w:rsidR="00DF5EFA">
        <w:t>erritory</w:t>
      </w:r>
      <w:r>
        <w:t xml:space="preserve"> </w:t>
      </w:r>
      <w:r w:rsidR="006E5649">
        <w:t>G</w:t>
      </w:r>
      <w:r>
        <w:t xml:space="preserve">overnment and local </w:t>
      </w:r>
      <w:r w:rsidR="00DF5EFA">
        <w:t>g</w:t>
      </w:r>
      <w:r>
        <w:t>overnment </w:t>
      </w:r>
    </w:p>
    <w:p w14:paraId="1178A84A" w14:textId="77777777" w:rsidR="003A77FF" w:rsidRPr="00FC62FE" w:rsidRDefault="003A77FF" w:rsidP="00731960">
      <w:pPr>
        <w:pStyle w:val="Heading4"/>
      </w:pPr>
      <w:r w:rsidRPr="00FC62FE">
        <w:t xml:space="preserve">Collaboration/ communication between departments and regional level </w:t>
      </w:r>
    </w:p>
    <w:p w14:paraId="1E7C053A" w14:textId="2CD94B1E" w:rsidR="003A77FF" w:rsidRPr="00A93A76" w:rsidRDefault="0CFF325A" w:rsidP="00A93A76">
      <w:r>
        <w:t xml:space="preserve">Effective collaboration between the three levels of government – local, territory and </w:t>
      </w:r>
      <w:r w:rsidR="00D8363A">
        <w:t>Australian</w:t>
      </w:r>
      <w:r w:rsidR="00E06AA4" w:rsidRPr="00E06AA4">
        <w:t xml:space="preserve"> </w:t>
      </w:r>
      <w:r>
        <w:t xml:space="preserve">– is vital in the Northern Territory, where unique geographic, cultural and socio-economic factors shape community needs. </w:t>
      </w:r>
      <w:r w:rsidRPr="00FC62FE">
        <w:t xml:space="preserve">Interviews with many stakeholders, both government and non-government, </w:t>
      </w:r>
      <w:r w:rsidR="005E2ADE">
        <w:t>suggest</w:t>
      </w:r>
      <w:r w:rsidRPr="00FC62FE">
        <w:t xml:space="preserve"> that the CAP ha</w:t>
      </w:r>
      <w:r w:rsidR="005E2ADE">
        <w:t>s</w:t>
      </w:r>
      <w:r w:rsidRPr="00FC62FE">
        <w:t xml:space="preserve"> contributed to collaboration between </w:t>
      </w:r>
      <w:r w:rsidR="00B83490">
        <w:t>government</w:t>
      </w:r>
      <w:r>
        <w:t xml:space="preserve"> </w:t>
      </w:r>
      <w:r w:rsidRPr="00FC62FE">
        <w:t>departments.</w:t>
      </w:r>
      <w:r w:rsidR="00E556E1">
        <w:rPr>
          <w:rStyle w:val="FootnoteReference"/>
          <w:color w:val="262626" w:themeColor="text1" w:themeTint="D9"/>
        </w:rPr>
        <w:t xml:space="preserve"> </w:t>
      </w:r>
      <w:r w:rsidRPr="00FC62FE">
        <w:t xml:space="preserve"> </w:t>
      </w:r>
      <w:r w:rsidR="00A1572B">
        <w:t>The interviews suggest</w:t>
      </w:r>
      <w:r w:rsidRPr="00FC62FE">
        <w:t xml:space="preserve"> that the collaborative nature of the CAP</w:t>
      </w:r>
      <w:r w:rsidR="00A93A76">
        <w:t>,</w:t>
      </w:r>
      <w:r w:rsidRPr="00FC62FE">
        <w:t xml:space="preserve"> with several government agencies working together fosters a sense of shared responsibility. As one stakeholder noted</w:t>
      </w:r>
      <w:r w:rsidR="009B368D">
        <w:t>:</w:t>
      </w:r>
    </w:p>
    <w:p w14:paraId="595CE731" w14:textId="08BB9161" w:rsidR="003A77FF" w:rsidRPr="009B368D" w:rsidRDefault="0CFF325A" w:rsidP="1A31B231">
      <w:pPr>
        <w:pStyle w:val="Quote"/>
        <w:rPr>
          <w:i w:val="0"/>
          <w:iCs w:val="0"/>
        </w:rPr>
      </w:pPr>
      <w:r w:rsidRPr="009B368D">
        <w:lastRenderedPageBreak/>
        <w:t>“</w:t>
      </w:r>
      <w:r w:rsidR="00696FF5" w:rsidRPr="009B368D">
        <w:t>We</w:t>
      </w:r>
      <w:r w:rsidRPr="009B368D">
        <w:t xml:space="preserve"> are part of an integrated program of work, and so the authorising environment means that we all need to kind of play our part, and there's </w:t>
      </w:r>
      <w:r w:rsidR="001A4BFD">
        <w:t>a</w:t>
      </w:r>
      <w:r w:rsidRPr="009B368D">
        <w:t xml:space="preserve"> sense of</w:t>
      </w:r>
      <w:r w:rsidR="00BE446E">
        <w:t xml:space="preserve"> </w:t>
      </w:r>
      <w:r w:rsidRPr="009B368D">
        <w:t>collective responsibility for the successful delivery of the Central Australia plan that goes above our kind of individual responses… you don't want to let the team down. And so, it's really been a positive thing to be involved in something that's got a strong authorising environment, is ambitious, is integrated using the kind of approaches of engaging the community, and then we take that back, those lessons learned, and we can apply it to other programs of work that we do”.</w:t>
      </w:r>
      <w:r w:rsidR="003A77FF" w:rsidRPr="1A31B231">
        <w:rPr>
          <w:rStyle w:val="FootnoteReference"/>
          <w:rFonts w:cs="Segoe UI"/>
          <w:i w:val="0"/>
          <w:iCs w:val="0"/>
          <w:color w:val="000000" w:themeColor="text1"/>
        </w:rPr>
        <w:footnoteReference w:id="51"/>
      </w:r>
      <w:r w:rsidR="00E556E1">
        <w:rPr>
          <w:rStyle w:val="FootnoteReference"/>
          <w:rFonts w:cs="Segoe UI"/>
          <w:i w:val="0"/>
          <w:iCs w:val="0"/>
          <w:color w:val="000000" w:themeColor="text1"/>
        </w:rPr>
        <w:t xml:space="preserve"> </w:t>
      </w:r>
    </w:p>
    <w:p w14:paraId="0E680146" w14:textId="2DACFF4C" w:rsidR="003A77FF" w:rsidRPr="00FC62FE" w:rsidRDefault="003A77FF" w:rsidP="00DA4528">
      <w:proofErr w:type="gramStart"/>
      <w:r>
        <w:t>The majority of</w:t>
      </w:r>
      <w:proofErr w:type="gramEnd"/>
      <w:r>
        <w:t xml:space="preserve"> government stakeholders indicated that the approach under the CAP, including key mechanisms such as the IDC and the Communit</w:t>
      </w:r>
      <w:r w:rsidR="00F35093">
        <w:t>y</w:t>
      </w:r>
      <w:r>
        <w:t xml:space="preserve"> of Practice, has strengthened shared decision-making and facilitated timely, coordinated responses to complex, cross-cutting issues raised by community partners, including the ALG. As a stakeholder stated about the IDC</w:t>
      </w:r>
      <w:r w:rsidR="009B368D">
        <w:t>:</w:t>
      </w:r>
      <w:r>
        <w:t xml:space="preserve"> </w:t>
      </w:r>
    </w:p>
    <w:p w14:paraId="3BE82608" w14:textId="064660A0" w:rsidR="003A77FF" w:rsidRPr="009B368D" w:rsidRDefault="0CFF325A" w:rsidP="00C32717">
      <w:pPr>
        <w:pStyle w:val="Quote"/>
        <w:rPr>
          <w:i w:val="0"/>
        </w:rPr>
      </w:pPr>
      <w:r w:rsidRPr="009B368D">
        <w:t>“</w:t>
      </w:r>
      <w:r w:rsidR="00696FF5" w:rsidRPr="009B368D">
        <w:t>So</w:t>
      </w:r>
      <w:r w:rsidR="00B23EE5" w:rsidRPr="009B368D">
        <w:t>,</w:t>
      </w:r>
      <w:r w:rsidRPr="009B368D">
        <w:t xml:space="preserve"> we obviously attend the IDC meeting… I think they're</w:t>
      </w:r>
      <w:r w:rsidR="00CF4F7C">
        <w:t xml:space="preserve"> </w:t>
      </w:r>
      <w:proofErr w:type="gramStart"/>
      <w:r w:rsidRPr="009B368D">
        <w:t>really useful</w:t>
      </w:r>
      <w:proofErr w:type="gramEnd"/>
      <w:r w:rsidRPr="009B368D">
        <w:t xml:space="preserve"> meetings, really good information sharing, </w:t>
      </w:r>
      <w:proofErr w:type="gramStart"/>
      <w:r w:rsidRPr="009B368D">
        <w:t>really frank</w:t>
      </w:r>
      <w:proofErr w:type="gramEnd"/>
      <w:r w:rsidRPr="009B368D">
        <w:t xml:space="preserve"> conversations, which are </w:t>
      </w:r>
      <w:proofErr w:type="gramStart"/>
      <w:r w:rsidRPr="009B368D">
        <w:t>really good</w:t>
      </w:r>
      <w:proofErr w:type="gramEnd"/>
      <w:r w:rsidRPr="009B368D">
        <w:t>. We get a really good idea of how all the initiatives are going… touch points, the sensitivities, particularly, or, you know, just on the ground from Alice Springs, where the task force is based.</w:t>
      </w:r>
      <w:r w:rsidR="003A77FF" w:rsidRPr="009B368D">
        <w:rPr>
          <w:rStyle w:val="FootnoteReference"/>
          <w:rFonts w:cs="Segoe UI"/>
          <w:i w:val="0"/>
          <w:color w:val="000000" w:themeColor="text1"/>
        </w:rPr>
        <w:footnoteReference w:id="52"/>
      </w:r>
      <w:r w:rsidR="00E556E1">
        <w:rPr>
          <w:rStyle w:val="FootnoteReference"/>
          <w:rFonts w:cs="Segoe UI"/>
          <w:i w:val="0"/>
          <w:color w:val="000000" w:themeColor="text1"/>
        </w:rPr>
        <w:t xml:space="preserve"> </w:t>
      </w:r>
    </w:p>
    <w:p w14:paraId="49EFDF1F" w14:textId="40256F88" w:rsidR="003A77FF" w:rsidRPr="00FC62FE" w:rsidRDefault="00187318" w:rsidP="00DA4528">
      <w:r>
        <w:t>Another</w:t>
      </w:r>
      <w:r w:rsidR="003A77FF">
        <w:t xml:space="preserve"> stakeholder stated </w:t>
      </w:r>
      <w:r>
        <w:t xml:space="preserve">the following </w:t>
      </w:r>
      <w:r w:rsidR="003A77FF">
        <w:t xml:space="preserve">about the </w:t>
      </w:r>
      <w:r w:rsidR="00995DB1">
        <w:t>Community of Practice</w:t>
      </w:r>
      <w:r w:rsidR="009B368D">
        <w:t>:</w:t>
      </w:r>
    </w:p>
    <w:p w14:paraId="124F8D91" w14:textId="6D096A50" w:rsidR="003A77FF" w:rsidRPr="009B368D" w:rsidRDefault="00C67A72" w:rsidP="00C32717">
      <w:pPr>
        <w:pStyle w:val="Quote"/>
        <w:rPr>
          <w:i w:val="0"/>
        </w:rPr>
      </w:pPr>
      <w:r>
        <w:t>"</w:t>
      </w:r>
      <w:r w:rsidR="0CFF325A" w:rsidRPr="009B368D">
        <w:t xml:space="preserve"> </w:t>
      </w:r>
      <w:r w:rsidR="00696FF5" w:rsidRPr="009B368D">
        <w:t>The</w:t>
      </w:r>
      <w:r w:rsidR="0CFF325A" w:rsidRPr="009B368D">
        <w:t xml:space="preserve"> community of practice for remote engagement was particularly useful because we were following in </w:t>
      </w:r>
      <w:proofErr w:type="gramStart"/>
      <w:r w:rsidR="0CFF325A" w:rsidRPr="009B368D">
        <w:t>others</w:t>
      </w:r>
      <w:proofErr w:type="gramEnd"/>
      <w:r w:rsidR="0CFF325A" w:rsidRPr="009B368D">
        <w:t xml:space="preserve"> footsteps, so it was </w:t>
      </w:r>
      <w:proofErr w:type="gramStart"/>
      <w:r w:rsidR="0CFF325A" w:rsidRPr="009B368D">
        <w:t>really important</w:t>
      </w:r>
      <w:proofErr w:type="gramEnd"/>
      <w:r w:rsidR="0CFF325A" w:rsidRPr="009B368D">
        <w:t xml:space="preserve"> for us to learn from others and to learn from others in real time as people were rolling out the programs in Central Australia. So that really allowed us to share our knowledge and get to know people and to sort out how we could leverage off others</w:t>
      </w:r>
      <w:r w:rsidR="00870DEC">
        <w:t>'</w:t>
      </w:r>
      <w:r w:rsidR="0CFF325A" w:rsidRPr="009B368D">
        <w:t xml:space="preserve"> learnings.</w:t>
      </w:r>
      <w:r w:rsidR="003A77FF" w:rsidRPr="009B368D">
        <w:rPr>
          <w:rStyle w:val="FootnoteReference"/>
          <w:i w:val="0"/>
          <w:color w:val="000000" w:themeColor="text1"/>
        </w:rPr>
        <w:footnoteReference w:id="53"/>
      </w:r>
      <w:r w:rsidR="00E556E1">
        <w:rPr>
          <w:rStyle w:val="FootnoteReference"/>
          <w:i w:val="0"/>
          <w:color w:val="000000" w:themeColor="text1"/>
        </w:rPr>
        <w:t xml:space="preserve"> </w:t>
      </w:r>
    </w:p>
    <w:p w14:paraId="64CA2E8F" w14:textId="08AEA5C2" w:rsidR="003A77FF" w:rsidRPr="00FC62FE" w:rsidRDefault="00187318" w:rsidP="00DA4528">
      <w:r>
        <w:t>Stakeholders highlight</w:t>
      </w:r>
      <w:r w:rsidR="0CFF325A" w:rsidRPr="00FC62FE">
        <w:t xml:space="preserve"> that the </w:t>
      </w:r>
      <w:r w:rsidR="00F84D68">
        <w:t>interagency approach taken under CAP</w:t>
      </w:r>
      <w:r w:rsidR="0CFF325A" w:rsidRPr="00FC62FE">
        <w:t xml:space="preserve"> </w:t>
      </w:r>
      <w:r w:rsidR="0CFF325A" w:rsidRPr="007774B1">
        <w:t>enables government representatives to collectively address challenges and adjust priorities in real time, showing increased flexibility and responsiveness.</w:t>
      </w:r>
      <w:r w:rsidR="00E556E1">
        <w:rPr>
          <w:rStyle w:val="FootnoteReference"/>
          <w:color w:val="000000" w:themeColor="text1"/>
        </w:rPr>
        <w:t xml:space="preserve"> </w:t>
      </w:r>
      <w:r w:rsidR="00763DAE">
        <w:t xml:space="preserve">Some </w:t>
      </w:r>
      <w:r w:rsidR="00FE0DD7">
        <w:t xml:space="preserve">government </w:t>
      </w:r>
      <w:r w:rsidR="00763DAE">
        <w:t xml:space="preserve">interviewees also </w:t>
      </w:r>
      <w:r w:rsidR="00BA23A7">
        <w:t xml:space="preserve">indicated that </w:t>
      </w:r>
      <w:r w:rsidR="00FE0DD7">
        <w:t>they</w:t>
      </w:r>
      <w:r w:rsidR="007D603F">
        <w:t xml:space="preserve"> are</w:t>
      </w:r>
      <w:r w:rsidR="00D52D00">
        <w:t xml:space="preserve"> </w:t>
      </w:r>
      <w:r w:rsidR="0CFF325A" w:rsidRPr="007774B1">
        <w:t xml:space="preserve">learning from other </w:t>
      </w:r>
      <w:r w:rsidR="0CFF325A" w:rsidRPr="00FC62FE">
        <w:t>agencies</w:t>
      </w:r>
      <w:r w:rsidR="0CFF325A" w:rsidRPr="007774B1">
        <w:t xml:space="preserve"> and the ALG how to meaningfully and effectively engage with </w:t>
      </w:r>
      <w:r w:rsidR="000227FF">
        <w:t>First Nations</w:t>
      </w:r>
      <w:r w:rsidR="0CFF325A" w:rsidRPr="007774B1">
        <w:t xml:space="preserve"> people and communities.</w:t>
      </w:r>
      <w:r w:rsidR="00E556E1">
        <w:rPr>
          <w:rStyle w:val="FootnoteReference"/>
          <w:color w:val="000000" w:themeColor="text1"/>
        </w:rPr>
        <w:t xml:space="preserve"> </w:t>
      </w:r>
      <w:r w:rsidR="0CFF325A" w:rsidRPr="007774B1">
        <w:t xml:space="preserve"> </w:t>
      </w:r>
    </w:p>
    <w:p w14:paraId="46F6B361" w14:textId="18102CE4" w:rsidR="003A77FF" w:rsidRDefault="0CFF325A" w:rsidP="00DA4528">
      <w:r w:rsidRPr="00FC62FE">
        <w:t xml:space="preserve">Additionally, the NIAA </w:t>
      </w:r>
      <w:r w:rsidR="00DC3381">
        <w:t>Central Australia Regional Office</w:t>
      </w:r>
      <w:r w:rsidRPr="00FC62FE">
        <w:t xml:space="preserve"> </w:t>
      </w:r>
      <w:r w:rsidR="00F47E7C">
        <w:t>is</w:t>
      </w:r>
      <w:r w:rsidRPr="00FC62FE">
        <w:t xml:space="preserve"> identified as </w:t>
      </w:r>
      <w:r>
        <w:t>critical for driving</w:t>
      </w:r>
      <w:r w:rsidRPr="00FC62FE">
        <w:t xml:space="preserve"> a place-based approach for government departments based outside the Northern Territory. </w:t>
      </w:r>
      <w:r w:rsidR="004A00AA">
        <w:t xml:space="preserve">Staff in the </w:t>
      </w:r>
      <w:r w:rsidR="00B608A3">
        <w:t>Regional Office</w:t>
      </w:r>
      <w:r w:rsidRPr="00FC62FE">
        <w:t xml:space="preserve"> provide on the ground </w:t>
      </w:r>
      <w:r w:rsidR="00696FF5" w:rsidRPr="00FC62FE">
        <w:t>support</w:t>
      </w:r>
      <w:r w:rsidR="00696FF5">
        <w:t xml:space="preserve"> with</w:t>
      </w:r>
      <w:r>
        <w:t xml:space="preserve"> </w:t>
      </w:r>
      <w:r w:rsidR="004A00AA">
        <w:t xml:space="preserve">their </w:t>
      </w:r>
      <w:r>
        <w:t>knowledge</w:t>
      </w:r>
      <w:r w:rsidRPr="00FC62FE">
        <w:t xml:space="preserve"> </w:t>
      </w:r>
      <w:r>
        <w:t xml:space="preserve">of </w:t>
      </w:r>
      <w:r w:rsidRPr="00FC62FE">
        <w:t>the local community context</w:t>
      </w:r>
      <w:r>
        <w:t xml:space="preserve"> and the</w:t>
      </w:r>
      <w:r w:rsidR="004A00AA">
        <w:t>ir</w:t>
      </w:r>
      <w:r>
        <w:t xml:space="preserve"> ability to draw on existing relationships with key delivery organisations. </w:t>
      </w:r>
      <w:r w:rsidR="00974021">
        <w:t>R</w:t>
      </w:r>
      <w:r>
        <w:t xml:space="preserve">egional staff </w:t>
      </w:r>
      <w:r w:rsidR="00AA728D">
        <w:t>are also cited as being</w:t>
      </w:r>
      <w:r>
        <w:t xml:space="preserve"> important for</w:t>
      </w:r>
      <w:r w:rsidRPr="00FC62FE">
        <w:t xml:space="preserve"> relationship building with the ALG.</w:t>
      </w:r>
      <w:r w:rsidR="00E556E1">
        <w:rPr>
          <w:rStyle w:val="FootnoteReference"/>
          <w:color w:val="000000" w:themeColor="text1"/>
        </w:rPr>
        <w:t xml:space="preserve"> </w:t>
      </w:r>
    </w:p>
    <w:p w14:paraId="38E34C66" w14:textId="77777777" w:rsidR="003A77FF" w:rsidRPr="00FC62FE" w:rsidRDefault="003A77FF" w:rsidP="00D85CC4">
      <w:pPr>
        <w:pStyle w:val="Heading4"/>
      </w:pPr>
      <w:r w:rsidRPr="00FC62FE">
        <w:t xml:space="preserve">Reactive approach </w:t>
      </w:r>
    </w:p>
    <w:p w14:paraId="4CE4016F" w14:textId="1892097C" w:rsidR="003A77FF" w:rsidRPr="00FC62FE" w:rsidRDefault="007E0E34" w:rsidP="00DA4528">
      <w:r>
        <w:t>Both</w:t>
      </w:r>
      <w:r w:rsidR="0CFF325A" w:rsidRPr="00FB4B74">
        <w:t xml:space="preserve"> </w:t>
      </w:r>
      <w:r w:rsidRPr="00FB4B74">
        <w:t>document</w:t>
      </w:r>
      <w:r>
        <w:t>ation and</w:t>
      </w:r>
      <w:r w:rsidRPr="00FB4B74">
        <w:t xml:space="preserve"> </w:t>
      </w:r>
      <w:r w:rsidR="0CFF325A" w:rsidRPr="00FB4B74">
        <w:t xml:space="preserve">interviews with stakeholders </w:t>
      </w:r>
      <w:r>
        <w:t>suggest</w:t>
      </w:r>
      <w:r w:rsidRPr="00FB4B74">
        <w:t xml:space="preserve"> </w:t>
      </w:r>
      <w:r w:rsidR="0CFF325A" w:rsidRPr="00FB4B74">
        <w:t xml:space="preserve">that the reactive approach adopted by the </w:t>
      </w:r>
      <w:r w:rsidR="00492964" w:rsidRPr="00FB4B74">
        <w:t>Australian</w:t>
      </w:r>
      <w:r w:rsidR="006E5649" w:rsidRPr="00FB4B74" w:rsidDel="00FE3F26">
        <w:t xml:space="preserve"> Go</w:t>
      </w:r>
      <w:r w:rsidR="006E5649" w:rsidRPr="00141FEE" w:rsidDel="00FE3F26">
        <w:t>vernment</w:t>
      </w:r>
      <w:r w:rsidR="0CFF325A" w:rsidRPr="00FC62FE">
        <w:t xml:space="preserve"> to address emerging issues in the Northern Territory reflect</w:t>
      </w:r>
      <w:r w:rsidR="00D52CC4">
        <w:t>s</w:t>
      </w:r>
      <w:r w:rsidR="0CFF325A" w:rsidRPr="00FC62FE">
        <w:t xml:space="preserve"> past approaches.</w:t>
      </w:r>
      <w:r w:rsidR="00357CB0">
        <w:rPr>
          <w:rStyle w:val="FootnoteReference"/>
          <w:rFonts w:cs="Segoe UI"/>
          <w:iCs/>
          <w:color w:val="000000" w:themeColor="text1"/>
        </w:rPr>
        <w:t xml:space="preserve"> </w:t>
      </w:r>
      <w:r w:rsidR="0CFF325A" w:rsidRPr="00744639">
        <w:rPr>
          <w:rStyle w:val="FootnoteReference"/>
          <w:rFonts w:cs="Segoe UI"/>
          <w:iCs/>
          <w:color w:val="000000" w:themeColor="text1"/>
        </w:rPr>
        <w:t xml:space="preserve"> </w:t>
      </w:r>
      <w:r w:rsidR="0CFF325A" w:rsidRPr="00FC62FE">
        <w:t>The rapid response to public pressure and media attention prioritising swift action over thoughtful planning is prevalent in the CAP and previous responses by government. Whilst pressure on governments to act rapidly and demonstrate immediate responsiveness is apparent, there is an identified need for governments to develop formalised implementation plans informed by community voice that focus on sustainable long-term change.</w:t>
      </w:r>
      <w:r w:rsidR="00357CB0">
        <w:rPr>
          <w:rStyle w:val="FootnoteReference"/>
          <w:color w:val="262626" w:themeColor="text1" w:themeTint="D9"/>
        </w:rPr>
        <w:t xml:space="preserve"> </w:t>
      </w:r>
    </w:p>
    <w:p w14:paraId="6217E873" w14:textId="77777777" w:rsidR="003A77FF" w:rsidRPr="00FC62FE" w:rsidRDefault="003A77FF" w:rsidP="00D85CC4">
      <w:pPr>
        <w:pStyle w:val="Heading4"/>
      </w:pPr>
      <w:r w:rsidRPr="00FC62FE">
        <w:t>Capacity building of government to work with community</w:t>
      </w:r>
    </w:p>
    <w:p w14:paraId="31C6EAD8" w14:textId="2CCC7FCF" w:rsidR="003A77FF" w:rsidRPr="00FC62FE" w:rsidRDefault="0CFF325A" w:rsidP="00DA4528">
      <w:r w:rsidRPr="00FC62FE">
        <w:t>Some government stakeholders identified that being engaged in the</w:t>
      </w:r>
      <w:r w:rsidRPr="00FC62FE">
        <w:rPr>
          <w:color w:val="009193"/>
        </w:rPr>
        <w:t xml:space="preserve"> </w:t>
      </w:r>
      <w:r w:rsidRPr="00FC62FE">
        <w:t>CAP support</w:t>
      </w:r>
      <w:r w:rsidR="00FC180E">
        <w:t>s</w:t>
      </w:r>
      <w:r w:rsidRPr="00FC62FE">
        <w:t xml:space="preserve"> professional development of government staff including increasing capacity building of government agencies and staff in working with First Nations engagement and with First Nations matters.</w:t>
      </w:r>
      <w:r w:rsidR="00357CB0">
        <w:rPr>
          <w:rStyle w:val="FootnoteReference"/>
          <w:rFonts w:cs="Segoe UI"/>
        </w:rPr>
        <w:t xml:space="preserve"> </w:t>
      </w:r>
      <w:r>
        <w:t xml:space="preserve"> </w:t>
      </w:r>
      <w:r w:rsidRPr="000A6855">
        <w:t xml:space="preserve">Building the capacity of government agencies to work effectively and respectfully with First Nations communities </w:t>
      </w:r>
      <w:r>
        <w:t>can help</w:t>
      </w:r>
      <w:r w:rsidRPr="000A6855">
        <w:t xml:space="preserve"> achiev</w:t>
      </w:r>
      <w:r>
        <w:t>e</w:t>
      </w:r>
      <w:r w:rsidRPr="000A6855">
        <w:t xml:space="preserve"> the outcomes set out in the </w:t>
      </w:r>
      <w:r w:rsidR="00FA13E6">
        <w:t>National Agreement</w:t>
      </w:r>
      <w:r w:rsidRPr="000A6855">
        <w:t>, particularly those related to genuine partnership</w:t>
      </w:r>
      <w:r>
        <w:t>.</w:t>
      </w:r>
      <w:r w:rsidRPr="00FC62FE">
        <w:t xml:space="preserve"> As a stakeholder noted</w:t>
      </w:r>
      <w:r w:rsidR="003B2D9F">
        <w:t>:</w:t>
      </w:r>
      <w:r w:rsidRPr="00FC62FE">
        <w:t xml:space="preserve"> </w:t>
      </w:r>
    </w:p>
    <w:p w14:paraId="351C4D83" w14:textId="18645DF8" w:rsidR="003A77FF" w:rsidRPr="003B2D9F" w:rsidRDefault="0CFF325A" w:rsidP="00C32717">
      <w:pPr>
        <w:pStyle w:val="Quote"/>
        <w:rPr>
          <w:i w:val="0"/>
        </w:rPr>
      </w:pPr>
      <w:r w:rsidRPr="003B2D9F">
        <w:lastRenderedPageBreak/>
        <w:t>“</w:t>
      </w:r>
      <w:r w:rsidR="00696FF5" w:rsidRPr="003B2D9F">
        <w:t>The</w:t>
      </w:r>
      <w:r w:rsidRPr="003B2D9F">
        <w:t xml:space="preserve"> fact that this has been so cross government and all the agencies involved and the buy in up to the Deputy Secretary and Secretary level, there's just so much added professional experience has been added to everyone right up and down </w:t>
      </w:r>
      <w:r w:rsidR="00CA3BAF">
        <w:t>t</w:t>
      </w:r>
      <w:r w:rsidRPr="003B2D9F">
        <w:t>he line in that sense. So, you know, the next time we need to do X, Y and Z, or we're directed or asked to do X, Y and Z in relation to a First Nations issue with a First Nations community, obviously this is going to become a kind of core practice, or, you know, lesson that we have from the past and experience that people will draw on</w:t>
      </w:r>
      <w:r w:rsidRPr="003B2D9F">
        <w:rPr>
          <w:i w:val="0"/>
          <w:color w:val="000000" w:themeColor="text1"/>
        </w:rPr>
        <w:t>.</w:t>
      </w:r>
      <w:r w:rsidR="00357CB0">
        <w:rPr>
          <w:rStyle w:val="FootnoteReference"/>
          <w:i w:val="0"/>
          <w:color w:val="000000" w:themeColor="text1"/>
        </w:rPr>
        <w:t xml:space="preserve"> </w:t>
      </w:r>
    </w:p>
    <w:p w14:paraId="19D67016" w14:textId="4BB9F296" w:rsidR="003A77FF" w:rsidRPr="008021EE" w:rsidRDefault="003A77FF" w:rsidP="00D85CC4">
      <w:pPr>
        <w:pStyle w:val="Heading4"/>
      </w:pPr>
      <w:r>
        <w:t xml:space="preserve">Working in partnership at the NTG level </w:t>
      </w:r>
    </w:p>
    <w:p w14:paraId="41B345FD" w14:textId="6FB4C24D" w:rsidR="003A77FF" w:rsidRPr="00FC62FE" w:rsidRDefault="0CFF325A" w:rsidP="00DA4528">
      <w:r w:rsidRPr="00B00630">
        <w:t xml:space="preserve">A key feature of the CAP is the commitment to working in genuine partnership with </w:t>
      </w:r>
      <w:r w:rsidR="001A61B7">
        <w:t xml:space="preserve">the </w:t>
      </w:r>
      <w:r w:rsidRPr="00A0793B">
        <w:t>NTG</w:t>
      </w:r>
      <w:r w:rsidRPr="00FC62FE">
        <w:t>.</w:t>
      </w:r>
      <w:r w:rsidR="003A77FF" w:rsidRPr="00FC62FE">
        <w:rPr>
          <w:rStyle w:val="FootnoteReference"/>
        </w:rPr>
        <w:footnoteReference w:id="54"/>
      </w:r>
      <w:r w:rsidRPr="00FC62FE">
        <w:t xml:space="preserve"> </w:t>
      </w:r>
      <w:r w:rsidRPr="00A0793B">
        <w:t xml:space="preserve">The </w:t>
      </w:r>
      <w:r w:rsidRPr="00FC62FE">
        <w:t>aim is to work together</w:t>
      </w:r>
      <w:r w:rsidRPr="00A0793B">
        <w:t xml:space="preserve"> to align investments, reduce duplication, and improve the responsiveness of services.</w:t>
      </w:r>
      <w:r w:rsidRPr="00FC62FE">
        <w:t xml:space="preserve"> </w:t>
      </w:r>
      <w:r w:rsidRPr="00A0793B">
        <w:t xml:space="preserve">Through structures like the </w:t>
      </w:r>
      <w:r>
        <w:t>ALG</w:t>
      </w:r>
      <w:r w:rsidRPr="00A0793B">
        <w:t xml:space="preserve">, both the </w:t>
      </w:r>
      <w:r w:rsidR="00492964">
        <w:t>Australian</w:t>
      </w:r>
      <w:r w:rsidR="006E5649" w:rsidRPr="00141FEE" w:rsidDel="00FE3F26">
        <w:t xml:space="preserve"> Government</w:t>
      </w:r>
      <w:r w:rsidRPr="00A0793B">
        <w:t xml:space="preserve"> and NTG engage jointly with community representatives, ensuring that government decisions are informed by local voices and that both governments are accountable to communities.</w:t>
      </w:r>
      <w:r w:rsidRPr="00FC62FE">
        <w:t xml:space="preserve"> </w:t>
      </w:r>
      <w:r w:rsidR="00432944">
        <w:t xml:space="preserve">The </w:t>
      </w:r>
      <w:r w:rsidR="00BD44DF">
        <w:t>interview data suggest</w:t>
      </w:r>
      <w:r w:rsidRPr="00FC62FE">
        <w:t xml:space="preserve"> that positive outcomes </w:t>
      </w:r>
      <w:r w:rsidR="00C161D6">
        <w:t xml:space="preserve">are </w:t>
      </w:r>
      <w:r w:rsidR="00CB77F8">
        <w:t>beginning to be</w:t>
      </w:r>
      <w:r w:rsidRPr="00FC62FE">
        <w:t xml:space="preserve"> achieved through this relationship</w:t>
      </w:r>
      <w:r w:rsidR="00AE72F6">
        <w:t>,</w:t>
      </w:r>
      <w:r w:rsidRPr="00FC62FE">
        <w:t xml:space="preserve"> including </w:t>
      </w:r>
      <w:r w:rsidR="008E6825">
        <w:t>improved alignment</w:t>
      </w:r>
      <w:r w:rsidRPr="00FC62FE">
        <w:t xml:space="preserve"> between </w:t>
      </w:r>
      <w:r w:rsidR="00D16C1D">
        <w:t xml:space="preserve">Australian </w:t>
      </w:r>
      <w:r w:rsidRPr="00FC62FE">
        <w:t>and territory systems.</w:t>
      </w:r>
      <w:r w:rsidR="00357CB0">
        <w:rPr>
          <w:rStyle w:val="FootnoteReference"/>
        </w:rPr>
        <w:t xml:space="preserve"> </w:t>
      </w:r>
      <w:r w:rsidRPr="00FC62FE">
        <w:t xml:space="preserve"> However, some </w:t>
      </w:r>
      <w:r w:rsidR="00587854">
        <w:t>stakeholders</w:t>
      </w:r>
      <w:r w:rsidRPr="00FC62FE">
        <w:t xml:space="preserve"> also </w:t>
      </w:r>
      <w:r w:rsidR="00587854">
        <w:t>suggest</w:t>
      </w:r>
      <w:r w:rsidRPr="00FC62FE">
        <w:t xml:space="preserve"> that this relationship could be strengthened to ensure that the partnership </w:t>
      </w:r>
      <w:r w:rsidR="00587854">
        <w:t>i</w:t>
      </w:r>
      <w:r w:rsidRPr="00FC62FE">
        <w:t>s genuine and collaborative.</w:t>
      </w:r>
      <w:r w:rsidR="00357CB0">
        <w:rPr>
          <w:rStyle w:val="FootnoteReference"/>
        </w:rPr>
        <w:t xml:space="preserve"> </w:t>
      </w:r>
    </w:p>
    <w:p w14:paraId="1590D31B" w14:textId="32CF0A43" w:rsidR="003A77FF" w:rsidRPr="0014694B" w:rsidRDefault="005A74F4" w:rsidP="00D85CC4">
      <w:pPr>
        <w:pStyle w:val="Heading4"/>
      </w:pPr>
      <w:r>
        <w:t>C</w:t>
      </w:r>
      <w:r w:rsidR="003A77FF" w:rsidRPr="0014694B">
        <w:t>ollaborati</w:t>
      </w:r>
      <w:r>
        <w:t xml:space="preserve">ve relationships between NIAA </w:t>
      </w:r>
      <w:r w:rsidR="0031256D">
        <w:t xml:space="preserve">and </w:t>
      </w:r>
      <w:r w:rsidR="003A77FF" w:rsidRPr="0014694B">
        <w:t>service provider</w:t>
      </w:r>
      <w:r w:rsidR="0031256D">
        <w:t>s</w:t>
      </w:r>
      <w:r w:rsidR="003A77FF" w:rsidRPr="0014694B">
        <w:t xml:space="preserve"> </w:t>
      </w:r>
    </w:p>
    <w:p w14:paraId="32D03E08" w14:textId="4571AA68" w:rsidR="003A77FF" w:rsidRPr="00FC62FE" w:rsidRDefault="0CFF325A" w:rsidP="00DA4528">
      <w:r w:rsidRPr="564D7093">
        <w:rPr>
          <w:rStyle w:val="normaltextrun"/>
          <w:rFonts w:eastAsiaTheme="majorEastAsia"/>
          <w:color w:val="404040"/>
          <w:shd w:val="clear" w:color="auto" w:fill="FFFFFF"/>
        </w:rPr>
        <w:t xml:space="preserve">Some stakeholders </w:t>
      </w:r>
      <w:r w:rsidR="00031A90">
        <w:rPr>
          <w:rStyle w:val="normaltextrun"/>
          <w:rFonts w:eastAsiaTheme="majorEastAsia"/>
          <w:color w:val="404040"/>
          <w:shd w:val="clear" w:color="auto" w:fill="FFFFFF"/>
        </w:rPr>
        <w:t>perceived</w:t>
      </w:r>
      <w:r w:rsidRPr="564D7093">
        <w:rPr>
          <w:rStyle w:val="normaltextrun"/>
          <w:rFonts w:eastAsiaTheme="majorEastAsia"/>
          <w:color w:val="404040"/>
          <w:shd w:val="clear" w:color="auto" w:fill="FFFFFF"/>
        </w:rPr>
        <w:t xml:space="preserve"> that NIAA staff members had been engaging in a different way, </w:t>
      </w:r>
      <w:r w:rsidR="0041201E">
        <w:rPr>
          <w:rStyle w:val="normaltextrun"/>
          <w:rFonts w:eastAsiaTheme="majorEastAsia"/>
          <w:color w:val="404040"/>
          <w:shd w:val="clear" w:color="auto" w:fill="FFFFFF"/>
        </w:rPr>
        <w:t xml:space="preserve">with a view to being </w:t>
      </w:r>
      <w:r w:rsidRPr="564D7093">
        <w:rPr>
          <w:rStyle w:val="normaltextrun"/>
          <w:rFonts w:eastAsiaTheme="majorEastAsia"/>
          <w:color w:val="404040"/>
          <w:shd w:val="clear" w:color="auto" w:fill="FFFFFF"/>
        </w:rPr>
        <w:t>more collaborative</w:t>
      </w:r>
      <w:r w:rsidR="0041201E">
        <w:rPr>
          <w:rStyle w:val="normaltextrun"/>
          <w:rFonts w:eastAsiaTheme="majorEastAsia"/>
          <w:color w:val="404040"/>
          <w:shd w:val="clear" w:color="auto" w:fill="FFFFFF"/>
        </w:rPr>
        <w:t xml:space="preserve"> and </w:t>
      </w:r>
      <w:r w:rsidRPr="564D7093">
        <w:rPr>
          <w:rStyle w:val="normaltextrun"/>
          <w:rFonts w:eastAsiaTheme="majorEastAsia"/>
          <w:color w:val="404040"/>
          <w:shd w:val="clear" w:color="auto" w:fill="FFFFFF"/>
        </w:rPr>
        <w:t>seeking to listen to and understand community perspectives at the service provider level.</w:t>
      </w:r>
      <w:r w:rsidR="00357CB0">
        <w:rPr>
          <w:rStyle w:val="FootnoteReference"/>
          <w:rFonts w:eastAsiaTheme="majorEastAsia"/>
          <w:color w:val="404040"/>
          <w:shd w:val="clear" w:color="auto" w:fill="FFFFFF"/>
        </w:rPr>
        <w:t xml:space="preserve"> </w:t>
      </w:r>
      <w:r w:rsidRPr="564D7093">
        <w:rPr>
          <w:rStyle w:val="normaltextrun"/>
          <w:rFonts w:eastAsiaTheme="majorEastAsia"/>
          <w:color w:val="404040"/>
          <w:shd w:val="clear" w:color="auto" w:fill="FFFFFF"/>
        </w:rPr>
        <w:t xml:space="preserve"> </w:t>
      </w:r>
      <w:r w:rsidRPr="00FC62FE">
        <w:t>Many stakeholders identified that through the CAP, there had been an increase in working relationships between NIAA and some service providers.</w:t>
      </w:r>
      <w:r w:rsidR="00357CB0">
        <w:rPr>
          <w:rStyle w:val="FootnoteReference"/>
        </w:rPr>
        <w:t xml:space="preserve"> </w:t>
      </w:r>
    </w:p>
    <w:p w14:paraId="79E87EF6" w14:textId="5AB877B7" w:rsidR="003A77FF" w:rsidRPr="00A0082F" w:rsidRDefault="003A77FF" w:rsidP="0094034C">
      <w:pPr>
        <w:pStyle w:val="Heading3"/>
      </w:pPr>
      <w:r>
        <w:t xml:space="preserve">Extent to which progress has been made towards </w:t>
      </w:r>
      <w:r w:rsidR="00FC1F49">
        <w:t>C</w:t>
      </w:r>
      <w:r>
        <w:t xml:space="preserve">losing the Gap Priority Reforms </w:t>
      </w:r>
    </w:p>
    <w:p w14:paraId="675B9D33" w14:textId="740DF450" w:rsidR="003A77FF" w:rsidRPr="000A6855" w:rsidRDefault="003A77FF" w:rsidP="00DD30CE">
      <w:r w:rsidRPr="000A6855">
        <w:t xml:space="preserve">Interviews and documentation indicate </w:t>
      </w:r>
      <w:r w:rsidR="002305A8">
        <w:t xml:space="preserve">some </w:t>
      </w:r>
      <w:r w:rsidR="001D0440">
        <w:t>instances</w:t>
      </w:r>
      <w:r w:rsidRPr="000A6855">
        <w:t xml:space="preserve"> where the CAP is aligning with the objectives and intent of the National Agreement on </w:t>
      </w:r>
      <w:r w:rsidR="00BB68B2">
        <w:t>Closing the Gap</w:t>
      </w:r>
      <w:r w:rsidRPr="000A6855">
        <w:t xml:space="preserve">. </w:t>
      </w:r>
      <w:r>
        <w:t xml:space="preserve">Some </w:t>
      </w:r>
      <w:r w:rsidRPr="000A6855">
        <w:t xml:space="preserve">stakeholders identified that the CAP was supporting Priority Reform areas, particularly in strengthening partnerships with </w:t>
      </w:r>
      <w:r w:rsidR="0058754E">
        <w:t>First Nations</w:t>
      </w:r>
      <w:r w:rsidRPr="000A6855">
        <w:t xml:space="preserve"> communities</w:t>
      </w:r>
      <w:r>
        <w:t xml:space="preserve">. </w:t>
      </w:r>
      <w:r w:rsidRPr="000A6855">
        <w:t xml:space="preserve">However, stakeholders also note that while the direction of the CAP is broadly aligned with </w:t>
      </w:r>
      <w:r w:rsidR="00FA13E6">
        <w:t>National Agreement</w:t>
      </w:r>
      <w:r w:rsidRPr="000A6855">
        <w:t xml:space="preserve">, more work is needed to deepen and embed this alignment in practice. As a stakeholder noted: </w:t>
      </w:r>
    </w:p>
    <w:p w14:paraId="40AA94B4" w14:textId="07024F84" w:rsidR="003A77FF" w:rsidRPr="001C18A2" w:rsidRDefault="0CFF325A" w:rsidP="00C32717">
      <w:pPr>
        <w:pStyle w:val="Quote"/>
      </w:pPr>
      <w:r w:rsidRPr="001C18A2">
        <w:t>“</w:t>
      </w:r>
      <w:r w:rsidR="00696FF5" w:rsidRPr="001C18A2">
        <w:t>They</w:t>
      </w:r>
      <w:r w:rsidRPr="001C18A2">
        <w:t xml:space="preserve"> do need to put those hard topics on the table and align it more with </w:t>
      </w:r>
      <w:r w:rsidR="00C607CF" w:rsidRPr="001C18A2">
        <w:t>C</w:t>
      </w:r>
      <w:r w:rsidRPr="001C18A2">
        <w:t xml:space="preserve">losing the </w:t>
      </w:r>
      <w:r w:rsidR="00C607CF" w:rsidRPr="001C18A2">
        <w:t>G</w:t>
      </w:r>
      <w:r w:rsidRPr="001C18A2">
        <w:t>ap, you know. And I think that would be more respect, more respectful, and an easier conduit for the government to do it in that manner</w:t>
      </w:r>
      <w:r w:rsidRPr="001C18A2">
        <w:rPr>
          <w:color w:val="000000" w:themeColor="text1"/>
        </w:rPr>
        <w:t>.</w:t>
      </w:r>
      <w:r w:rsidR="00357CB0">
        <w:rPr>
          <w:rStyle w:val="FootnoteReference"/>
          <w:color w:val="000000" w:themeColor="text1"/>
        </w:rPr>
        <w:t xml:space="preserve"> </w:t>
      </w:r>
    </w:p>
    <w:p w14:paraId="6B179BCC" w14:textId="566293DA" w:rsidR="003A77FF" w:rsidRPr="000A6855" w:rsidRDefault="003A77FF" w:rsidP="00DD30CE">
      <w:pPr>
        <w:rPr>
          <w:i/>
          <w:iCs/>
        </w:rPr>
      </w:pPr>
      <w:r w:rsidRPr="000A6855">
        <w:t>The following section outlines a more in-depth analysis of how the CAP aligns with the National Agreement.</w:t>
      </w:r>
    </w:p>
    <w:p w14:paraId="03C0DC38" w14:textId="77777777" w:rsidR="003A77FF" w:rsidRPr="00107A8A" w:rsidRDefault="003A77FF" w:rsidP="00D85CC4">
      <w:pPr>
        <w:pStyle w:val="Heading4"/>
      </w:pPr>
      <w:r w:rsidRPr="00107A8A">
        <w:t xml:space="preserve">Alignment </w:t>
      </w:r>
      <w:r>
        <w:t>of the CAP with</w:t>
      </w:r>
      <w:r w:rsidRPr="00107A8A">
        <w:t xml:space="preserve"> Priority Reform One – Formal Partnership and Shared decision-making</w:t>
      </w:r>
    </w:p>
    <w:p w14:paraId="0E9C43FF" w14:textId="2C109068" w:rsidR="003A77FF" w:rsidRPr="00FC62FE" w:rsidRDefault="0CFF325A" w:rsidP="00DA4528">
      <w:pPr>
        <w:rPr>
          <w:rFonts w:eastAsiaTheme="minorEastAsia"/>
        </w:rPr>
      </w:pPr>
      <w:r w:rsidRPr="00FC62FE">
        <w:t xml:space="preserve">The CAP demonstrates a clear intent by government to engage more closely with </w:t>
      </w:r>
      <w:r w:rsidR="0058754E">
        <w:t>First Nations</w:t>
      </w:r>
      <w:r w:rsidRPr="00FC62FE">
        <w:t xml:space="preserve"> communities and to </w:t>
      </w:r>
      <w:r w:rsidR="2DF0995D" w:rsidRPr="00FC62FE">
        <w:t>‘</w:t>
      </w:r>
      <w:r w:rsidRPr="00FC62FE">
        <w:t>do things differently</w:t>
      </w:r>
      <w:r w:rsidR="78400950" w:rsidRPr="00FC62FE">
        <w:t>’.</w:t>
      </w:r>
      <w:r w:rsidRPr="00FC62FE">
        <w:t xml:space="preserve"> Mechanisms such as the establishment of the ALG represent a positive step toward more inclusive and responsive ways of working. The ALG has played a key role in shaping priorities, providing cultural oversight, and ensuring community perspectives are heard. </w:t>
      </w:r>
      <w:r w:rsidRPr="00FC62FE">
        <w:rPr>
          <w:vertAlign w:val="superscript"/>
        </w:rPr>
        <w:t xml:space="preserve"> </w:t>
      </w:r>
      <w:r w:rsidRPr="564D7093">
        <w:rPr>
          <w:rFonts w:eastAsiaTheme="minorEastAsia"/>
        </w:rPr>
        <w:t xml:space="preserve">There was </w:t>
      </w:r>
      <w:r w:rsidR="003E592C" w:rsidRPr="564D7093">
        <w:rPr>
          <w:rFonts w:eastAsiaTheme="minorEastAsia"/>
        </w:rPr>
        <w:t>consensus</w:t>
      </w:r>
      <w:r w:rsidRPr="564D7093">
        <w:rPr>
          <w:rFonts w:eastAsiaTheme="minorEastAsia"/>
        </w:rPr>
        <w:t xml:space="preserve"> among government stakeholders that the partnership approach, </w:t>
      </w:r>
      <w:r w:rsidR="003E592C" w:rsidRPr="564D7093">
        <w:rPr>
          <w:rFonts w:eastAsiaTheme="minorEastAsia"/>
        </w:rPr>
        <w:t>particularly</w:t>
      </w:r>
      <w:r w:rsidRPr="564D7093">
        <w:rPr>
          <w:rFonts w:eastAsiaTheme="minorEastAsia"/>
        </w:rPr>
        <w:t xml:space="preserve"> the ALG informing government decision-making, supports </w:t>
      </w:r>
      <w:r w:rsidR="00FA13E6">
        <w:rPr>
          <w:rFonts w:eastAsiaTheme="minorEastAsia"/>
        </w:rPr>
        <w:t>National Agreement</w:t>
      </w:r>
      <w:r w:rsidRPr="564D7093">
        <w:rPr>
          <w:rFonts w:eastAsiaTheme="minorEastAsia"/>
        </w:rPr>
        <w:t xml:space="preserve"> P</w:t>
      </w:r>
      <w:r w:rsidR="00FF0AEB">
        <w:rPr>
          <w:rFonts w:eastAsiaTheme="minorEastAsia"/>
        </w:rPr>
        <w:t xml:space="preserve">riority </w:t>
      </w:r>
      <w:r w:rsidRPr="564D7093">
        <w:rPr>
          <w:rFonts w:eastAsiaTheme="minorEastAsia"/>
        </w:rPr>
        <w:t>R</w:t>
      </w:r>
      <w:r w:rsidR="00FF0AEB">
        <w:rPr>
          <w:rFonts w:eastAsiaTheme="minorEastAsia"/>
        </w:rPr>
        <w:t>eform</w:t>
      </w:r>
      <w:r w:rsidRPr="564D7093">
        <w:rPr>
          <w:rFonts w:eastAsiaTheme="minorEastAsia"/>
        </w:rPr>
        <w:t xml:space="preserve"> One</w:t>
      </w:r>
      <w:r w:rsidR="002B7538">
        <w:rPr>
          <w:rFonts w:eastAsiaTheme="minorEastAsia"/>
        </w:rPr>
        <w:t xml:space="preserve">: </w:t>
      </w:r>
      <w:r w:rsidR="002B7538" w:rsidRPr="00FC62FE">
        <w:t>Formal Partnerships and Shared Decision-</w:t>
      </w:r>
      <w:r w:rsidR="00696FF5" w:rsidRPr="00FC62FE">
        <w:t>Making</w:t>
      </w:r>
      <w:r w:rsidR="00696FF5">
        <w:rPr>
          <w:rFonts w:eastAsiaTheme="minorEastAsia"/>
        </w:rPr>
        <w:t>.</w:t>
      </w:r>
      <w:r w:rsidR="00357CB0">
        <w:rPr>
          <w:rStyle w:val="FootnoteReference"/>
          <w:rFonts w:eastAsiaTheme="minorEastAsia"/>
        </w:rPr>
        <w:t xml:space="preserve"> </w:t>
      </w:r>
      <w:r w:rsidRPr="564D7093">
        <w:rPr>
          <w:rFonts w:eastAsiaTheme="minorEastAsia"/>
        </w:rPr>
        <w:t xml:space="preserve"> </w:t>
      </w:r>
    </w:p>
    <w:p w14:paraId="3C3A5DCC" w14:textId="48B04C5C" w:rsidR="003A77FF" w:rsidRPr="00FC62FE" w:rsidRDefault="003A77FF" w:rsidP="00DA4528">
      <w:r w:rsidRPr="00FC62FE">
        <w:lastRenderedPageBreak/>
        <w:t xml:space="preserve">However, while these mechanisms reflect progress, the approach does not fully align with the commitments set out under </w:t>
      </w:r>
      <w:r w:rsidR="00B55076">
        <w:t xml:space="preserve">National Agreement </w:t>
      </w:r>
      <w:r w:rsidRPr="00FC62FE">
        <w:t>Priority Reform One</w:t>
      </w:r>
      <w:r w:rsidR="002B7538">
        <w:t xml:space="preserve">. </w:t>
      </w:r>
      <w:r w:rsidRPr="00FC62FE">
        <w:t xml:space="preserve">Priority Reform One calls for a structural shift in the way governments work with </w:t>
      </w:r>
      <w:r w:rsidR="00DC458B">
        <w:t>First Nations</w:t>
      </w:r>
      <w:r w:rsidRPr="00FC62FE">
        <w:t xml:space="preserve"> people. This includes the establishment of formal partnerships with shared authority, jointly agreed priorities, co-designed implementation approaches, and clearly articulated shared accountability. Under the CAP, while </w:t>
      </w:r>
      <w:r w:rsidR="00DC458B">
        <w:t>First Nations</w:t>
      </w:r>
      <w:r w:rsidRPr="00FC62FE">
        <w:t xml:space="preserve"> voices are being included, the decision-making authority ultimately remains with government, and the processes in place lack the formalised governance and accountability structures that would enable power to be genuinely shared. Further, the ALG has only provided advice on a portion of the total investment. In its current form, the CAP does not reference or embed the specific language, principles, or outcome indicators of the National Agreement, which limits its alignment with this national policy framework. As a result, the mechanisms in place</w:t>
      </w:r>
      <w:r w:rsidR="0B5D25C7">
        <w:t>,</w:t>
      </w:r>
      <w:r w:rsidRPr="00FC62FE">
        <w:t xml:space="preserve"> though valuable</w:t>
      </w:r>
      <w:r w:rsidR="5C756C4F">
        <w:t>,</w:t>
      </w:r>
      <w:r w:rsidRPr="00FC62FE">
        <w:t xml:space="preserve"> are established more as consultative structures than as vehicles for shared governance.</w:t>
      </w:r>
    </w:p>
    <w:p w14:paraId="31352A5A" w14:textId="28DE8DB1" w:rsidR="003A77FF" w:rsidRPr="00FC62FE" w:rsidRDefault="0CFF325A" w:rsidP="00D261E5">
      <w:r w:rsidRPr="00FC62FE">
        <w:t xml:space="preserve">While the ALG exists to provide strategic advice, the </w:t>
      </w:r>
      <w:r w:rsidRPr="00FC62FE">
        <w:rPr>
          <w:rStyle w:val="Strong"/>
          <w:b w:val="0"/>
          <w:bCs w:val="0"/>
        </w:rPr>
        <w:t>operational control of the engagement process remains with NIAA</w:t>
      </w:r>
      <w:r w:rsidRPr="00FC62FE">
        <w:t xml:space="preserve">. Meeting agendas, briefing materials, and the scope of discussion are determined by NIAA, limiting the agency of the ALG to set its own priorities or raise unstructured community concerns. This reinforces a dynamic where the process remains </w:t>
      </w:r>
      <w:proofErr w:type="gramStart"/>
      <w:r w:rsidRPr="00FC62FE">
        <w:t>government-led</w:t>
      </w:r>
      <w:proofErr w:type="gramEnd"/>
      <w:r w:rsidRPr="00FC62FE">
        <w:t>.</w:t>
      </w:r>
      <w:r w:rsidR="00357CB0">
        <w:rPr>
          <w:rStyle w:val="FootnoteReference"/>
        </w:rPr>
        <w:t xml:space="preserve"> </w:t>
      </w:r>
      <w:r w:rsidRPr="00FC62FE">
        <w:t xml:space="preserve"> </w:t>
      </w:r>
    </w:p>
    <w:p w14:paraId="157E6E36" w14:textId="234912BC" w:rsidR="003A77FF" w:rsidRPr="00DD30CE" w:rsidRDefault="003A77FF" w:rsidP="00DA4528">
      <w:pPr>
        <w:rPr>
          <w:rStyle w:val="Strong"/>
          <w:b w:val="0"/>
        </w:rPr>
      </w:pPr>
      <w:r w:rsidRPr="00FC62FE">
        <w:t>These limitations highlight the need for a more comprehensive and inclusive approach to governance under the CAP</w:t>
      </w:r>
      <w:r w:rsidR="008947FA">
        <w:t>.</w:t>
      </w:r>
      <w:r w:rsidR="00BA229D">
        <w:t xml:space="preserve"> </w:t>
      </w:r>
      <w:r w:rsidR="008947FA">
        <w:t>The approach should</w:t>
      </w:r>
      <w:r w:rsidRPr="00FC62FE">
        <w:t xml:space="preserve"> recognise and leverage existing community structures, shift decision-making power, and build accountability to the broader </w:t>
      </w:r>
      <w:r w:rsidR="78219B2A">
        <w:t>First Nations</w:t>
      </w:r>
      <w:r w:rsidRPr="00FC62FE">
        <w:t xml:space="preserve"> community in Central Australia. Addressing these issues will be critical to realising the stated intent of </w:t>
      </w:r>
      <w:r w:rsidR="00ED473E" w:rsidRPr="00EC6EA7">
        <w:t>‘doing things differently’</w:t>
      </w:r>
      <w:r w:rsidR="00ED473E">
        <w:t xml:space="preserve"> </w:t>
      </w:r>
      <w:r w:rsidRPr="00FC62FE">
        <w:t>in a meaningful and sustainable way.</w:t>
      </w:r>
    </w:p>
    <w:p w14:paraId="2E56CCB5" w14:textId="228E42F8" w:rsidR="003A77FF" w:rsidRDefault="003A77FF" w:rsidP="00D85CC4">
      <w:pPr>
        <w:pStyle w:val="Heading4"/>
        <w:rPr>
          <w:rStyle w:val="Strong"/>
          <w:rFonts w:cs="Arial"/>
          <w:color w:val="001D35"/>
          <w:shd w:val="clear" w:color="auto" w:fill="FFFFFF"/>
        </w:rPr>
      </w:pPr>
      <w:r w:rsidRPr="00AE5971">
        <w:t xml:space="preserve">Alignment of the CAP with Priority Reform </w:t>
      </w:r>
      <w:r w:rsidR="00F45AFC" w:rsidRPr="00AE5971">
        <w:t>2</w:t>
      </w:r>
      <w:r w:rsidRPr="00AE5971">
        <w:t xml:space="preserve"> - Building the Community-Controlled Sector</w:t>
      </w:r>
    </w:p>
    <w:p w14:paraId="52F81358" w14:textId="02B9081A" w:rsidR="003A77FF" w:rsidRPr="00DE7D2D" w:rsidRDefault="003A77FF" w:rsidP="1A31B231">
      <w:pPr>
        <w:rPr>
          <w:rFonts w:cs="Arial"/>
          <w:b/>
          <w:bCs/>
          <w:color w:val="001D35"/>
          <w:shd w:val="clear" w:color="auto" w:fill="FFFFFF"/>
        </w:rPr>
      </w:pPr>
      <w:r>
        <w:t>While the CAP does not have an explicit focus on increasing support for ACCOs</w:t>
      </w:r>
      <w:r w:rsidR="00A87755">
        <w:t>,</w:t>
      </w:r>
      <w:r>
        <w:t xml:space="preserve"> ACCOs </w:t>
      </w:r>
      <w:r w:rsidR="002901C3">
        <w:t>or First Nations businesses</w:t>
      </w:r>
      <w:r>
        <w:t xml:space="preserve"> </w:t>
      </w:r>
      <w:r w:rsidR="00F34711">
        <w:t>receive</w:t>
      </w:r>
      <w:r>
        <w:t xml:space="preserve"> approximately $</w:t>
      </w:r>
      <w:r w:rsidR="00516DC2">
        <w:t>42</w:t>
      </w:r>
      <w:r>
        <w:t xml:space="preserve"> </w:t>
      </w:r>
      <w:r w:rsidR="003A6F93">
        <w:t>million of the $156</w:t>
      </w:r>
      <w:r w:rsidR="00354C6D">
        <w:t xml:space="preserve"> million</w:t>
      </w:r>
      <w:r>
        <w:t xml:space="preserve"> </w:t>
      </w:r>
      <w:r w:rsidR="00252638">
        <w:t xml:space="preserve">funding committed through a financial arrangement with a provider </w:t>
      </w:r>
      <w:proofErr w:type="gramStart"/>
      <w:r w:rsidR="00831F9A">
        <w:t>at</w:t>
      </w:r>
      <w:proofErr w:type="gramEnd"/>
      <w:r>
        <w:t xml:space="preserve"> 30 April 2025. This accounts for approximately 27 </w:t>
      </w:r>
      <w:r w:rsidR="001D2ACD">
        <w:t>%</w:t>
      </w:r>
      <w:r>
        <w:t xml:space="preserve"> of funding committed to specific projects under the CAP. </w:t>
      </w:r>
      <w:r w:rsidR="00060E6F">
        <w:t xml:space="preserve"> </w:t>
      </w:r>
    </w:p>
    <w:p w14:paraId="0D0AD6BA" w14:textId="2BE10F12" w:rsidR="008E363E" w:rsidRDefault="00060E6F" w:rsidP="00DA4528">
      <w:r>
        <w:t xml:space="preserve">In Alice Springs, most of the $69.4m funding committed </w:t>
      </w:r>
      <w:r w:rsidR="00E3176C">
        <w:t xml:space="preserve">through financial arrangements </w:t>
      </w:r>
      <w:r>
        <w:t xml:space="preserve">has been for either ACCOs or First Nations businesses ($36.8m </w:t>
      </w:r>
      <w:r w:rsidR="00851D07">
        <w:t xml:space="preserve">or </w:t>
      </w:r>
      <w:r>
        <w:t>53</w:t>
      </w:r>
      <w:r w:rsidR="001D2ACD">
        <w:t>%</w:t>
      </w:r>
      <w:r>
        <w:t xml:space="preserve">). Of the $61.8m funding committed </w:t>
      </w:r>
      <w:r w:rsidR="00E3176C">
        <w:t>through financial arrangements</w:t>
      </w:r>
      <w:r>
        <w:t xml:space="preserve"> to remote projects, </w:t>
      </w:r>
      <w:r w:rsidR="00797BC9">
        <w:t>a small proportion</w:t>
      </w:r>
      <w:r>
        <w:t xml:space="preserve"> of the funding has gone to ACCOs</w:t>
      </w:r>
      <w:r w:rsidR="02A246CE">
        <w:t xml:space="preserve"> to date</w:t>
      </w:r>
      <w:r>
        <w:t xml:space="preserve"> ($5.7m or 9</w:t>
      </w:r>
      <w:r w:rsidR="001D2ACD">
        <w:t>%</w:t>
      </w:r>
      <w:r>
        <w:t xml:space="preserve">), most has gone to </w:t>
      </w:r>
      <w:r w:rsidR="0062075D">
        <w:t xml:space="preserve">local councils </w:t>
      </w:r>
      <w:r w:rsidR="0060573D">
        <w:t>as brokerage funding or</w:t>
      </w:r>
      <w:r w:rsidR="0062075D">
        <w:t xml:space="preserve"> </w:t>
      </w:r>
      <w:r w:rsidR="0037069F">
        <w:t>to deliver</w:t>
      </w:r>
      <w:r w:rsidR="0060573D">
        <w:t xml:space="preserve"> </w:t>
      </w:r>
      <w:r w:rsidR="0037069F">
        <w:t xml:space="preserve">infrastructure projects </w:t>
      </w:r>
      <w:r>
        <w:t>($36.7m or 59</w:t>
      </w:r>
      <w:r w:rsidR="001D2ACD">
        <w:t>%</w:t>
      </w:r>
      <w:r>
        <w:t xml:space="preserve">).  </w:t>
      </w:r>
    </w:p>
    <w:p w14:paraId="661256AB" w14:textId="4353D3A8" w:rsidR="00F760AC" w:rsidRPr="00296BF2" w:rsidRDefault="00F760AC" w:rsidP="00DA4528">
      <w:r w:rsidRPr="00296BF2">
        <w:t xml:space="preserve">Some </w:t>
      </w:r>
      <w:r w:rsidR="00BD01A4">
        <w:t>ACCO</w:t>
      </w:r>
      <w:r w:rsidR="00730524">
        <w:t>s</w:t>
      </w:r>
      <w:r w:rsidRPr="00296BF2">
        <w:t xml:space="preserve"> </w:t>
      </w:r>
      <w:r w:rsidR="00FE0640" w:rsidRPr="00296BF2">
        <w:t xml:space="preserve">interviewed identified that </w:t>
      </w:r>
      <w:r w:rsidR="00054FB6" w:rsidRPr="00296BF2">
        <w:t>prior</w:t>
      </w:r>
      <w:r w:rsidR="000B7829" w:rsidRPr="00296BF2">
        <w:t xml:space="preserve"> to </w:t>
      </w:r>
      <w:r w:rsidR="00AC7AF8" w:rsidRPr="00296BF2">
        <w:t>receiving</w:t>
      </w:r>
      <w:r w:rsidRPr="00296BF2">
        <w:t xml:space="preserve"> CAP funding </w:t>
      </w:r>
      <w:r w:rsidR="00BB51E2" w:rsidRPr="00296BF2">
        <w:t xml:space="preserve">they </w:t>
      </w:r>
      <w:r w:rsidR="000B7829" w:rsidRPr="00296BF2">
        <w:t xml:space="preserve">had not </w:t>
      </w:r>
      <w:r w:rsidR="00E87D5A" w:rsidRPr="00296BF2">
        <w:t xml:space="preserve">had success accessing </w:t>
      </w:r>
      <w:r w:rsidRPr="00296BF2">
        <w:t>government support</w:t>
      </w:r>
      <w:r w:rsidR="00AC7AF8" w:rsidRPr="00296BF2">
        <w:t xml:space="preserve"> </w:t>
      </w:r>
      <w:r w:rsidR="00E87D5A" w:rsidRPr="00296BF2">
        <w:t xml:space="preserve">due to </w:t>
      </w:r>
      <w:r w:rsidR="00B36306" w:rsidRPr="00296BF2">
        <w:t xml:space="preserve">significant </w:t>
      </w:r>
      <w:r w:rsidR="00730524" w:rsidRPr="00296BF2">
        <w:t>barriers. For</w:t>
      </w:r>
      <w:r w:rsidRPr="00296BF2">
        <w:t xml:space="preserve"> instance, Case Study </w:t>
      </w:r>
      <w:r w:rsidR="00C0333F" w:rsidRPr="00296BF2">
        <w:t>One</w:t>
      </w:r>
      <w:r w:rsidRPr="00296BF2">
        <w:t xml:space="preserve">: </w:t>
      </w:r>
      <w:proofErr w:type="spellStart"/>
      <w:r w:rsidRPr="00296BF2">
        <w:t>Oonchiumpa</w:t>
      </w:r>
      <w:proofErr w:type="spellEnd"/>
      <w:r w:rsidRPr="00296BF2">
        <w:t xml:space="preserve"> demonstrates how this funding enabled their Traditional Owner</w:t>
      </w:r>
      <w:r w:rsidR="00F030C6">
        <w:t>-</w:t>
      </w:r>
      <w:r w:rsidRPr="00296BF2">
        <w:t xml:space="preserve">led business to successfully deliver its youth </w:t>
      </w:r>
      <w:r w:rsidR="61CD6638">
        <w:t>program.</w:t>
      </w:r>
    </w:p>
    <w:p w14:paraId="1690D076" w14:textId="4BE9ADB5" w:rsidR="001D38D6" w:rsidRDefault="001D38D6" w:rsidP="00DA4528">
      <w:pPr>
        <w:pStyle w:val="Heading3"/>
        <w:rPr>
          <w:rFonts w:eastAsia="Helvetica Neue" w:cstheme="minorBidi"/>
          <w:b w:val="0"/>
          <w:color w:val="404040" w:themeColor="text1" w:themeTint="BF"/>
          <w:sz w:val="20"/>
        </w:rPr>
      </w:pPr>
      <w:r w:rsidRPr="00B00630">
        <w:rPr>
          <w:rFonts w:eastAsia="Helvetica Neue" w:cstheme="minorBidi"/>
          <w:b w:val="0"/>
          <w:color w:val="404040" w:themeColor="text1" w:themeTint="BF"/>
          <w:sz w:val="20"/>
        </w:rPr>
        <w:t>The design of CAP infrastructure projects includes transferring ownership of assets to ACCOs upon completion. This approach has created economic opportunities for ACCOs that they previously would not have had access to.</w:t>
      </w:r>
      <w:r w:rsidR="003C7A12" w:rsidRPr="00B00630">
        <w:rPr>
          <w:rFonts w:eastAsia="Helvetica Neue" w:cstheme="minorBidi"/>
          <w:b w:val="0"/>
          <w:color w:val="404040" w:themeColor="text1" w:themeTint="BF"/>
          <w:sz w:val="20"/>
        </w:rPr>
        <w:t xml:space="preserve"> </w:t>
      </w:r>
      <w:r w:rsidR="00765A53" w:rsidRPr="00B00630">
        <w:rPr>
          <w:rFonts w:eastAsia="Helvetica Neue" w:cstheme="minorBidi"/>
          <w:b w:val="0"/>
          <w:color w:val="404040" w:themeColor="text1" w:themeTint="BF"/>
          <w:sz w:val="20"/>
        </w:rPr>
        <w:t xml:space="preserve">However, because CAP funding does not include provisions for maintenance or ongoing support </w:t>
      </w:r>
      <w:r w:rsidR="00C20C11" w:rsidRPr="00B00630">
        <w:rPr>
          <w:rFonts w:eastAsia="Helvetica Neue" w:cstheme="minorBidi"/>
          <w:b w:val="0"/>
          <w:color w:val="404040" w:themeColor="text1" w:themeTint="BF"/>
          <w:sz w:val="20"/>
        </w:rPr>
        <w:t xml:space="preserve">for </w:t>
      </w:r>
      <w:r w:rsidR="00765A53" w:rsidRPr="00B00630">
        <w:rPr>
          <w:rFonts w:eastAsia="Helvetica Neue" w:cstheme="minorBidi"/>
          <w:b w:val="0"/>
          <w:color w:val="404040" w:themeColor="text1" w:themeTint="BF"/>
          <w:sz w:val="20"/>
        </w:rPr>
        <w:t>asset</w:t>
      </w:r>
      <w:r w:rsidR="00C20C11" w:rsidRPr="00B00630">
        <w:rPr>
          <w:rFonts w:eastAsia="Helvetica Neue" w:cstheme="minorBidi"/>
          <w:b w:val="0"/>
          <w:color w:val="404040" w:themeColor="text1" w:themeTint="BF"/>
          <w:sz w:val="20"/>
        </w:rPr>
        <w:t xml:space="preserve"> use</w:t>
      </w:r>
      <w:r w:rsidR="00765A53" w:rsidRPr="00B00630">
        <w:rPr>
          <w:rFonts w:eastAsia="Helvetica Neue" w:cstheme="minorBidi"/>
          <w:b w:val="0"/>
          <w:color w:val="404040" w:themeColor="text1" w:themeTint="BF"/>
          <w:sz w:val="20"/>
        </w:rPr>
        <w:t xml:space="preserve">, </w:t>
      </w:r>
      <w:r w:rsidR="008C666F" w:rsidRPr="00B00630">
        <w:rPr>
          <w:rFonts w:eastAsia="Helvetica Neue" w:cstheme="minorBidi"/>
          <w:b w:val="0"/>
          <w:color w:val="404040" w:themeColor="text1" w:themeTint="BF"/>
          <w:sz w:val="20"/>
        </w:rPr>
        <w:t>projects</w:t>
      </w:r>
      <w:r w:rsidR="00765A53" w:rsidRPr="00B00630">
        <w:rPr>
          <w:rFonts w:eastAsia="Helvetica Neue" w:cstheme="minorBidi"/>
          <w:b w:val="0"/>
          <w:color w:val="404040" w:themeColor="text1" w:themeTint="BF"/>
          <w:sz w:val="20"/>
        </w:rPr>
        <w:t xml:space="preserve"> </w:t>
      </w:r>
      <w:r w:rsidR="00C20C11" w:rsidRPr="00B00630">
        <w:rPr>
          <w:rFonts w:eastAsia="Helvetica Neue" w:cstheme="minorBidi"/>
          <w:b w:val="0"/>
          <w:color w:val="404040" w:themeColor="text1" w:themeTint="BF"/>
          <w:sz w:val="20"/>
        </w:rPr>
        <w:t>have been delayed in their</w:t>
      </w:r>
      <w:r w:rsidR="00765A53" w:rsidRPr="00B00630">
        <w:rPr>
          <w:rFonts w:eastAsia="Helvetica Neue" w:cstheme="minorBidi"/>
          <w:b w:val="0"/>
          <w:color w:val="404040" w:themeColor="text1" w:themeTint="BF"/>
          <w:sz w:val="20"/>
        </w:rPr>
        <w:t xml:space="preserve"> hand over to ACCOs.</w:t>
      </w:r>
      <w:r w:rsidR="00006A76">
        <w:rPr>
          <w:rStyle w:val="FootnoteReference"/>
          <w:rFonts w:eastAsia="Helvetica Neue" w:cstheme="minorBidi"/>
          <w:color w:val="404040" w:themeColor="text1" w:themeTint="BF"/>
          <w:sz w:val="20"/>
        </w:rPr>
        <w:t xml:space="preserve"> </w:t>
      </w:r>
    </w:p>
    <w:p w14:paraId="25B4DAB9" w14:textId="56B91CC0" w:rsidR="003A77FF" w:rsidRPr="0073135F" w:rsidRDefault="003A77FF" w:rsidP="00D85CC4">
      <w:pPr>
        <w:pStyle w:val="Heading4"/>
      </w:pPr>
      <w:r w:rsidRPr="00FC62FE">
        <w:t>Alignment</w:t>
      </w:r>
      <w:r>
        <w:t xml:space="preserve"> of the CAP</w:t>
      </w:r>
      <w:r w:rsidRPr="00FC62FE">
        <w:t xml:space="preserve"> </w:t>
      </w:r>
      <w:r>
        <w:t>with</w:t>
      </w:r>
      <w:r w:rsidRPr="00FC62FE">
        <w:t xml:space="preserve"> Priority Reform 3 – </w:t>
      </w:r>
      <w:r w:rsidRPr="0073135F">
        <w:t>Transforming Government Organisations</w:t>
      </w:r>
    </w:p>
    <w:p w14:paraId="2637BB88" w14:textId="2A9904FA" w:rsidR="003A77FF" w:rsidRPr="00DB7D65" w:rsidRDefault="003A77FF" w:rsidP="00DA4528">
      <w:r w:rsidRPr="00DB7D65">
        <w:t xml:space="preserve">The </w:t>
      </w:r>
      <w:r w:rsidR="00BF797B">
        <w:t>data collected as part of the evaluation show that</w:t>
      </w:r>
      <w:r w:rsidRPr="00DB7D65">
        <w:t xml:space="preserve"> CAP </w:t>
      </w:r>
      <w:r w:rsidR="00DE3C76">
        <w:t>appears to demonstrate</w:t>
      </w:r>
      <w:r w:rsidRPr="00DB7D65">
        <w:t xml:space="preserve"> emerging alignment with Priority Reform 3, which calls for systemic transformation of government organisations to be more accountable, culturally safe, and responsive to </w:t>
      </w:r>
      <w:r w:rsidR="001267FC">
        <w:t>First Nations</w:t>
      </w:r>
      <w:r w:rsidRPr="00DB7D65">
        <w:t xml:space="preserve"> people.</w:t>
      </w:r>
      <w:r w:rsidRPr="00FC62FE">
        <w:t xml:space="preserve"> Findings include: </w:t>
      </w:r>
    </w:p>
    <w:p w14:paraId="43221F75" w14:textId="5EB9E746" w:rsidR="003A77FF" w:rsidRPr="00AE5971" w:rsidRDefault="00AF0B26" w:rsidP="003343AE">
      <w:pPr>
        <w:pStyle w:val="ListParagraph"/>
      </w:pPr>
      <w:r>
        <w:t>A s</w:t>
      </w:r>
      <w:r w:rsidR="003A77FF" w:rsidRPr="00AE5971">
        <w:t xml:space="preserve">hift toward community-led decision-making: Government agencies involved in the CAP are increasingly working in partnership with </w:t>
      </w:r>
      <w:r w:rsidR="001267FC" w:rsidRPr="00AE5971">
        <w:t>First Nations</w:t>
      </w:r>
      <w:r w:rsidR="003A77FF" w:rsidRPr="00AE5971">
        <w:t>-led bodies such as the ALG, responding to advice and adapting processes to better reflect community priorities. This marks a move away from top-down approaches and towards more shared governance.</w:t>
      </w:r>
    </w:p>
    <w:p w14:paraId="0F1D972F" w14:textId="77777777" w:rsidR="003A77FF" w:rsidRPr="00AE5971" w:rsidRDefault="003A77FF" w:rsidP="003343AE">
      <w:pPr>
        <w:pStyle w:val="ListParagraph"/>
      </w:pPr>
      <w:r w:rsidRPr="00AE5971">
        <w:t>Improved cross-agency coordination and responsiveness: The CAP has encouraged greater collaboration between government departments, with some agencies actively aligning their programs and funding to support coordinated, place-based action. This reflects a growing recognition of the need to work holistically and responsively with communities.</w:t>
      </w:r>
    </w:p>
    <w:p w14:paraId="7D3DAB14" w14:textId="1DE39089" w:rsidR="003A77FF" w:rsidRPr="00AE5971" w:rsidRDefault="0CFF325A" w:rsidP="003343AE">
      <w:pPr>
        <w:pStyle w:val="ListParagraph"/>
      </w:pPr>
      <w:r w:rsidRPr="00AE5971">
        <w:t>Changes to internal government processes: Some participating agencies have begun to adjust internal systems to better enable local decision-making for example, by streamlining approval processes, embedding local engagement roles, or allocating flexible funding in response to community-identified priorities</w:t>
      </w:r>
      <w:r w:rsidR="006C4F12">
        <w:t>.</w:t>
      </w:r>
      <w:r w:rsidR="00006A76">
        <w:rPr>
          <w:rStyle w:val="FootnoteReference"/>
        </w:rPr>
        <w:t xml:space="preserve"> </w:t>
      </w:r>
      <w:r w:rsidR="006C4F12" w:rsidRPr="00AE5971">
        <w:t xml:space="preserve"> </w:t>
      </w:r>
      <w:r w:rsidR="000F104F">
        <w:t>T</w:t>
      </w:r>
      <w:r w:rsidRPr="00AE5971">
        <w:t>hese are early signs of cultural and structural change within government.</w:t>
      </w:r>
    </w:p>
    <w:p w14:paraId="41D929A2" w14:textId="77777777" w:rsidR="003A77FF" w:rsidRPr="00AE5971" w:rsidRDefault="003A77FF" w:rsidP="003343AE">
      <w:pPr>
        <w:pStyle w:val="ListParagraph"/>
      </w:pPr>
      <w:r w:rsidRPr="00AE5971">
        <w:lastRenderedPageBreak/>
        <w:t>Use of community-informed data in government decision-making: Government agencies are increasingly drawing on data shared by communities and using it to guide decisions. This includes applying ALG insights in determining funding priorities and adjusting service delivery models, demonstrating a shift towards more inclusive and accountable practice.</w:t>
      </w:r>
    </w:p>
    <w:p w14:paraId="431EFFFF" w14:textId="18CF4A8B" w:rsidR="003A77FF" w:rsidRPr="00AE5971" w:rsidRDefault="003A77FF" w:rsidP="003343AE">
      <w:pPr>
        <w:pStyle w:val="ListParagraph"/>
      </w:pPr>
      <w:r>
        <w:t xml:space="preserve">Recognition of community expertise: Through mechanisms like the ALG, the YRT and under activities such as the partnerships under the Strengthening </w:t>
      </w:r>
      <w:r w:rsidR="0012472A">
        <w:t xml:space="preserve">Families and Communities Partnership </w:t>
      </w:r>
      <w:r>
        <w:t xml:space="preserve">(SFCP) measure, government is recognising and valuing the expertise of </w:t>
      </w:r>
      <w:r w:rsidR="001267FC">
        <w:t>First Nations</w:t>
      </w:r>
      <w:r>
        <w:t xml:space="preserve"> people in leading solutions. This aligns with the emphasis of Priority Reform 4 on valuing cultural knowledge and leadership.</w:t>
      </w:r>
    </w:p>
    <w:p w14:paraId="174FB2CE" w14:textId="77777777" w:rsidR="003A77FF" w:rsidRPr="00FC62FE" w:rsidRDefault="003A77FF" w:rsidP="00D85CC4">
      <w:pPr>
        <w:pStyle w:val="Heading4"/>
      </w:pPr>
      <w:r w:rsidRPr="00FC62FE">
        <w:t xml:space="preserve">Alignment </w:t>
      </w:r>
      <w:r>
        <w:t>of the CAP with</w:t>
      </w:r>
      <w:r w:rsidRPr="00FC62FE">
        <w:t xml:space="preserve"> Priority Reform 4 - Shared Access to Data and Information at a Regional Level</w:t>
      </w:r>
    </w:p>
    <w:p w14:paraId="678B4227" w14:textId="5EEC62EF" w:rsidR="003A77FF" w:rsidRPr="002D7033" w:rsidRDefault="003A77FF" w:rsidP="00DA4528">
      <w:r w:rsidRPr="002D7033">
        <w:t xml:space="preserve">The CAP demonstrates </w:t>
      </w:r>
      <w:r w:rsidR="002458D0">
        <w:t>some</w:t>
      </w:r>
      <w:r w:rsidRPr="002D7033">
        <w:t xml:space="preserve"> alignment with Priority Reform 4 of the National Agreement, particularly in facilitating shared access to data and information at the regional level to support </w:t>
      </w:r>
      <w:r w:rsidR="001267FC">
        <w:t>First Nations</w:t>
      </w:r>
      <w:r w:rsidRPr="002D7033">
        <w:t xml:space="preserve"> communities.</w:t>
      </w:r>
      <w:r w:rsidRPr="00FC62FE">
        <w:t xml:space="preserve"> Examples identified include: </w:t>
      </w:r>
    </w:p>
    <w:p w14:paraId="6475D0A5" w14:textId="2C9FDBFA" w:rsidR="003A77FF" w:rsidRPr="00AE5971" w:rsidRDefault="00307E0C" w:rsidP="003343AE">
      <w:pPr>
        <w:pStyle w:val="ListParagraph"/>
      </w:pPr>
      <w:r>
        <w:t>ALG</w:t>
      </w:r>
      <w:r w:rsidR="003A77FF" w:rsidRPr="00AE5971">
        <w:t xml:space="preserve"> as a key data-sharing mechanism</w:t>
      </w:r>
      <w:r>
        <w:t>.</w:t>
      </w:r>
    </w:p>
    <w:p w14:paraId="16D23B29" w14:textId="18451F47" w:rsidR="003A77FF" w:rsidRPr="00AE5971" w:rsidRDefault="003A77FF" w:rsidP="003343AE">
      <w:pPr>
        <w:pStyle w:val="ListParagraph"/>
      </w:pPr>
      <w:r>
        <w:t xml:space="preserve">Through the ALG, there has been significant and ongoing sharing of data between government and community representatives. Government agencies including multiple departments at the </w:t>
      </w:r>
      <w:r w:rsidR="00D16C1D">
        <w:t>Australian</w:t>
      </w:r>
      <w:r>
        <w:t xml:space="preserve"> and Northern Territory levels have provided the ALG with access to detailed information to support informed, place-based decision-making. </w:t>
      </w:r>
    </w:p>
    <w:p w14:paraId="1A3458FB" w14:textId="700C99DC" w:rsidR="003A77FF" w:rsidRPr="00AE5971" w:rsidRDefault="003A77FF" w:rsidP="003343AE">
      <w:pPr>
        <w:pStyle w:val="ListParagraph"/>
      </w:pPr>
      <w:r>
        <w:t>The governance structures around the ALG also</w:t>
      </w:r>
      <w:r w:rsidR="00483D8C">
        <w:t xml:space="preserve"> appear to have</w:t>
      </w:r>
      <w:r>
        <w:t xml:space="preserve"> strengthened and formalised information sharing between government and community. The ALG meeting papers are structured to link progress updates on the CAP’s implementation against the six priority funding streams, illustrating the total investment committed </w:t>
      </w:r>
      <w:r w:rsidR="00E3176C">
        <w:t>through financial arrangements with providers</w:t>
      </w:r>
      <w:r>
        <w:t xml:space="preserve"> per stream and the initiatives funded within each commitment. This demonstrates sharing of information, in real time, with stakeholders outside of funding agencies and outside of government. This type of process is a new way of government implementing policy and programs.</w:t>
      </w:r>
    </w:p>
    <w:p w14:paraId="65465ACA" w14:textId="3C3A1823" w:rsidR="003A77FF" w:rsidRPr="00AE5971" w:rsidRDefault="003A77FF" w:rsidP="003343AE">
      <w:pPr>
        <w:pStyle w:val="ListParagraph"/>
      </w:pPr>
      <w:r w:rsidRPr="00AE5971">
        <w:t>The ALG meeting minutes also indicate that the ALG is empowered to seek</w:t>
      </w:r>
      <w:r w:rsidRPr="00AE5971" w:rsidDel="0072255B">
        <w:t xml:space="preserve"> </w:t>
      </w:r>
      <w:r w:rsidRPr="00AE5971">
        <w:t xml:space="preserve">information from the government about certain decision-making processes regarding funding commitments, as well as the deployment of funds once a commitment has been made. It is also clear from the ALG minutes that time is allocated for the YRT to provide its advice. Continuity was also achieved, with each meeting including summary of the discussion from its prior meeting. Further, these meeting papers also request advice from the ALG on strategic matters to guide the allocation of funding. For example, how to identify projects for funding, should funding be spread across more projects at lower values or less projects at higher values. </w:t>
      </w:r>
      <w:r w:rsidR="00386B3B" w:rsidRPr="00AE5971">
        <w:t>Documents also show that a</w:t>
      </w:r>
      <w:r w:rsidRPr="00AE5971">
        <w:t xml:space="preserve">dvice </w:t>
      </w:r>
      <w:r w:rsidR="00386B3B" w:rsidRPr="00AE5971">
        <w:t>has been</w:t>
      </w:r>
      <w:r w:rsidRPr="00AE5971">
        <w:t xml:space="preserve"> sought on the allocation of funding between Alice Springs and remote communities.</w:t>
      </w:r>
    </w:p>
    <w:p w14:paraId="5715EDC5" w14:textId="454AC27F" w:rsidR="003A77FF" w:rsidRPr="002303D5" w:rsidRDefault="003A77FF" w:rsidP="00F83B4E">
      <w:pPr>
        <w:keepNext/>
      </w:pPr>
      <w:r w:rsidRPr="002303D5">
        <w:t>As a stakeholder noted</w:t>
      </w:r>
      <w:r w:rsidR="007B3B8B" w:rsidRPr="002303D5">
        <w:t>:</w:t>
      </w:r>
    </w:p>
    <w:p w14:paraId="7F4F781A" w14:textId="023353A4" w:rsidR="003A77FF" w:rsidRPr="00AE5971" w:rsidRDefault="0CFF325A" w:rsidP="00F83B4E">
      <w:pPr>
        <w:pStyle w:val="Quote"/>
        <w:keepNext/>
      </w:pPr>
      <w:r w:rsidRPr="00AE5971">
        <w:t xml:space="preserve">“I think there has been some transparency of data with the Aboriginal </w:t>
      </w:r>
      <w:r w:rsidR="00CE0BF7">
        <w:t>L</w:t>
      </w:r>
      <w:r w:rsidRPr="00AE5971">
        <w:t xml:space="preserve">eadership </w:t>
      </w:r>
      <w:r w:rsidR="00CE0BF7">
        <w:t>G</w:t>
      </w:r>
      <w:r w:rsidRPr="00AE5971">
        <w:t>roup at a regional level, so that, I think that's probably one area where we've been quite literally presenting data and information to the group”.</w:t>
      </w:r>
      <w:r w:rsidR="00006A76">
        <w:rPr>
          <w:rStyle w:val="FootnoteReference"/>
          <w:color w:val="000000" w:themeColor="text1"/>
        </w:rPr>
        <w:t xml:space="preserve"> </w:t>
      </w:r>
    </w:p>
    <w:p w14:paraId="26BF7FF9" w14:textId="77777777" w:rsidR="003A77FF" w:rsidRPr="00FC62FE" w:rsidRDefault="003A77FF" w:rsidP="0094034C">
      <w:pPr>
        <w:pStyle w:val="Heading3"/>
        <w:rPr>
          <w:rStyle w:val="ng-star-inserted"/>
          <w:b w:val="0"/>
          <w:sz w:val="20"/>
        </w:rPr>
      </w:pPr>
      <w:r w:rsidRPr="00FC62FE">
        <w:t>Extent to which Aboriginal community leadership is being developed    </w:t>
      </w:r>
    </w:p>
    <w:p w14:paraId="795294D1" w14:textId="0811CAA8" w:rsidR="003A77FF" w:rsidRPr="00FC62FE" w:rsidRDefault="0CFF325A" w:rsidP="00F55BC9">
      <w:pPr>
        <w:rPr>
          <w:rStyle w:val="normaltextrun"/>
          <w:rFonts w:cs="Segoe UI"/>
          <w:color w:val="404040"/>
        </w:rPr>
      </w:pPr>
      <w:r>
        <w:t>C</w:t>
      </w:r>
      <w:r w:rsidRPr="00FC62FE">
        <w:t xml:space="preserve">ommunity leadership development </w:t>
      </w:r>
      <w:r w:rsidR="00911DCE">
        <w:t>is</w:t>
      </w:r>
      <w:r w:rsidRPr="00FC62FE">
        <w:t xml:space="preserve"> a</w:t>
      </w:r>
      <w:r>
        <w:t xml:space="preserve"> key</w:t>
      </w:r>
      <w:r w:rsidRPr="00FC62FE">
        <w:t xml:space="preserve"> priority area </w:t>
      </w:r>
      <w:r>
        <w:t>raised by the ALG</w:t>
      </w:r>
      <w:r w:rsidR="00911DCE">
        <w:t xml:space="preserve"> and in the CAP theory of change</w:t>
      </w:r>
      <w:r>
        <w:t xml:space="preserve">. </w:t>
      </w:r>
      <w:r w:rsidRPr="00F55BC9">
        <w:t>The ALG and the YRT are both examples of community leadership mechanisms supported under the CAP. Some stakeholders indicate that the ALG bolster</w:t>
      </w:r>
      <w:r w:rsidR="004604BE">
        <w:t>s</w:t>
      </w:r>
      <w:r w:rsidRPr="00F55BC9">
        <w:t xml:space="preserve"> community agency, which </w:t>
      </w:r>
      <w:r w:rsidR="00FA7297">
        <w:t>i</w:t>
      </w:r>
      <w:r w:rsidRPr="00F55BC9">
        <w:t>s seen as highly important in the context of previous government actions including the intervention.</w:t>
      </w:r>
      <w:r w:rsidR="00006A76">
        <w:rPr>
          <w:vertAlign w:val="superscript"/>
        </w:rPr>
        <w:t xml:space="preserve"> </w:t>
      </w:r>
      <w:r w:rsidRPr="00F55BC9">
        <w:t xml:space="preserve"> As one stakeholder commented:</w:t>
      </w:r>
      <w:r>
        <w:rPr>
          <w:rStyle w:val="normaltextrun"/>
          <w:rFonts w:cs="Segoe UI"/>
          <w:color w:val="404040"/>
        </w:rPr>
        <w:t xml:space="preserve"> </w:t>
      </w:r>
    </w:p>
    <w:p w14:paraId="3371C1BC" w14:textId="3D7CEA69" w:rsidR="003A77FF" w:rsidRPr="00E2705D" w:rsidRDefault="003A77FF" w:rsidP="00C75B82">
      <w:pPr>
        <w:pStyle w:val="paragraph"/>
        <w:ind w:left="851" w:right="809"/>
        <w:rPr>
          <w:rFonts w:cs="Segoe UI"/>
          <w:i/>
        </w:rPr>
      </w:pPr>
      <w:r w:rsidRPr="00E2705D">
        <w:rPr>
          <w:rStyle w:val="normaltextrun"/>
          <w:rFonts w:cs="Segoe UI"/>
          <w:i/>
        </w:rPr>
        <w:t>“it's been helpful for Central Australia, you know, because they had the intervention. Then they had the super shires, you know, getting rid of the Community Councils, and our people just didn't have any agency on the ground. And putting things back in like this helps, you know, develop it again.”</w:t>
      </w:r>
    </w:p>
    <w:p w14:paraId="2E2229BB" w14:textId="57E5618A" w:rsidR="003A77FF" w:rsidRPr="001B4895" w:rsidRDefault="00AC28A0" w:rsidP="0094034C">
      <w:pPr>
        <w:rPr>
          <w:vertAlign w:val="superscript"/>
        </w:rPr>
      </w:pPr>
      <w:r>
        <w:lastRenderedPageBreak/>
        <w:t xml:space="preserve">Interviews and </w:t>
      </w:r>
      <w:r w:rsidR="00731119">
        <w:t xml:space="preserve">various </w:t>
      </w:r>
      <w:r>
        <w:t xml:space="preserve">observations with the YRT </w:t>
      </w:r>
      <w:r w:rsidR="008E230D">
        <w:t xml:space="preserve">indicate that </w:t>
      </w:r>
      <w:r w:rsidR="00731119">
        <w:t>this group has demonstrated</w:t>
      </w:r>
      <w:r w:rsidR="0CFF325A" w:rsidRPr="00FC62FE">
        <w:t xml:space="preserve"> leadership skills and capacity.</w:t>
      </w:r>
      <w:r w:rsidR="00006A76">
        <w:rPr>
          <w:rStyle w:val="FootnoteReference"/>
          <w:rFonts w:cs="Segoe UI"/>
          <w:color w:val="404040"/>
        </w:rPr>
        <w:t xml:space="preserve"> </w:t>
      </w:r>
      <w:r w:rsidR="0CFF325A" w:rsidRPr="00FC62FE">
        <w:t xml:space="preserve"> Young people in the YRT value the opportunity to speak on behalf of </w:t>
      </w:r>
      <w:r w:rsidR="00283730">
        <w:t xml:space="preserve">other </w:t>
      </w:r>
      <w:r w:rsidR="0CFF325A" w:rsidRPr="00FC62FE">
        <w:t>young people</w:t>
      </w:r>
      <w:r w:rsidR="00B77760">
        <w:t xml:space="preserve">. </w:t>
      </w:r>
      <w:r w:rsidR="00015D7F">
        <w:t>I</w:t>
      </w:r>
      <w:r w:rsidR="00B77760">
        <w:t xml:space="preserve">nterview data </w:t>
      </w:r>
      <w:r w:rsidR="00015D7F">
        <w:t xml:space="preserve">from some of </w:t>
      </w:r>
      <w:r w:rsidR="0CFF325A" w:rsidRPr="00FC62FE">
        <w:t xml:space="preserve">the YRT </w:t>
      </w:r>
      <w:r w:rsidR="00015D7F">
        <w:t xml:space="preserve">members suggests they feel </w:t>
      </w:r>
      <w:r w:rsidR="00B77760">
        <w:t xml:space="preserve">that </w:t>
      </w:r>
      <w:r w:rsidR="00015D7F">
        <w:t>being part of the</w:t>
      </w:r>
      <w:r w:rsidR="0CFF325A" w:rsidRPr="00FC62FE">
        <w:t xml:space="preserve"> YRT ha</w:t>
      </w:r>
      <w:r w:rsidR="00015D7F">
        <w:t>s</w:t>
      </w:r>
      <w:r w:rsidR="0CFF325A" w:rsidRPr="00FC62FE">
        <w:t xml:space="preserve"> supported them to feel more confident to share their views and understand how they can contribute.</w:t>
      </w:r>
      <w:r w:rsidR="00006A76">
        <w:rPr>
          <w:rStyle w:val="FootnoteReference"/>
          <w:rFonts w:cs="Segoe UI"/>
          <w:color w:val="404040"/>
        </w:rPr>
        <w:t xml:space="preserve"> </w:t>
      </w:r>
      <w:r w:rsidR="0CFF325A" w:rsidRPr="00FC62FE">
        <w:t xml:space="preserve"> A service provider stakeholder </w:t>
      </w:r>
      <w:r w:rsidR="00CF4F41">
        <w:t>indicated that</w:t>
      </w:r>
      <w:r w:rsidR="0CFF325A" w:rsidRPr="00FC62FE">
        <w:t xml:space="preserve"> the</w:t>
      </w:r>
      <w:r w:rsidR="00CF4F41">
        <w:t xml:space="preserve"> YRT </w:t>
      </w:r>
      <w:r w:rsidR="00360D89">
        <w:t>brings an</w:t>
      </w:r>
      <w:r w:rsidR="00CF4F41">
        <w:t xml:space="preserve"> important</w:t>
      </w:r>
      <w:r w:rsidR="0CFF325A" w:rsidRPr="00FC62FE">
        <w:t xml:space="preserve"> </w:t>
      </w:r>
      <w:r w:rsidR="00360D89">
        <w:t>function</w:t>
      </w:r>
      <w:r w:rsidR="0CFF325A" w:rsidRPr="00FC62FE">
        <w:t xml:space="preserve"> of speak</w:t>
      </w:r>
      <w:r w:rsidR="00360D89">
        <w:t>ing</w:t>
      </w:r>
      <w:r w:rsidR="0CFF325A" w:rsidRPr="00FC62FE">
        <w:t xml:space="preserve"> on behalf of young people, especially those who were unable to speak due to their current circumstances</w:t>
      </w:r>
      <w:r w:rsidR="00F83B4E" w:rsidRPr="00F83B4E">
        <w:t>.</w:t>
      </w:r>
      <w:r w:rsidR="00006A76">
        <w:rPr>
          <w:vertAlign w:val="superscript"/>
        </w:rPr>
        <w:t xml:space="preserve"> </w:t>
      </w:r>
    </w:p>
    <w:p w14:paraId="245FD534" w14:textId="5B4A2CDB" w:rsidR="003A77FF" w:rsidRPr="00AE5971" w:rsidRDefault="0CFF325A" w:rsidP="0094034C">
      <w:pPr>
        <w:rPr>
          <w:rStyle w:val="normaltextrun"/>
        </w:rPr>
      </w:pPr>
      <w:r w:rsidRPr="007A1A1B">
        <w:t>$34.1 million has been allocated to youth services and community leadership programs under the CAP. This funding is specifically intended to support young people and develop future leaders in Alice Springs and remote communities across Central Australia.</w:t>
      </w:r>
      <w:r w:rsidR="003A77FF" w:rsidRPr="001B4895">
        <w:rPr>
          <w:vertAlign w:val="superscript"/>
        </w:rPr>
        <w:footnoteReference w:id="55"/>
      </w:r>
    </w:p>
    <w:p w14:paraId="61524475" w14:textId="66CB9E43" w:rsidR="003A77FF" w:rsidRPr="00FC62FE" w:rsidRDefault="003A77FF" w:rsidP="0094034C">
      <w:pPr>
        <w:pStyle w:val="paragraph"/>
        <w:spacing w:before="120" w:beforeAutospacing="0" w:after="120" w:afterAutospacing="0"/>
        <w:rPr>
          <w:rStyle w:val="normaltextrun"/>
        </w:rPr>
      </w:pPr>
      <w:r w:rsidRPr="00FC62FE">
        <w:rPr>
          <w:rStyle w:val="normaltextrun"/>
          <w:rFonts w:cs="Segoe UI"/>
        </w:rPr>
        <w:t xml:space="preserve">Other examples of community leadership under the CAP </w:t>
      </w:r>
      <w:r w:rsidR="00F802EC">
        <w:rPr>
          <w:rStyle w:val="normaltextrun"/>
          <w:rFonts w:cs="Segoe UI"/>
        </w:rPr>
        <w:t>includes</w:t>
      </w:r>
      <w:r w:rsidRPr="00FC62FE">
        <w:rPr>
          <w:rStyle w:val="normaltextrun"/>
          <w:rFonts w:cs="Segoe UI"/>
        </w:rPr>
        <w:t xml:space="preserve"> </w:t>
      </w:r>
      <w:r w:rsidR="00153066">
        <w:rPr>
          <w:rStyle w:val="normaltextrun"/>
        </w:rPr>
        <w:t>d</w:t>
      </w:r>
      <w:r w:rsidRPr="00FC62FE">
        <w:rPr>
          <w:rStyle w:val="normaltextrun"/>
        </w:rPr>
        <w:t>elivery of funding to ACCOs to deliver activities under the CAP</w:t>
      </w:r>
      <w:r w:rsidR="00153066">
        <w:rPr>
          <w:rStyle w:val="normaltextrun"/>
        </w:rPr>
        <w:t xml:space="preserve"> and t</w:t>
      </w:r>
      <w:r w:rsidR="0CFF325A" w:rsidRPr="00FC62FE">
        <w:rPr>
          <w:rStyle w:val="normaltextrun"/>
        </w:rPr>
        <w:t xml:space="preserve">he funding of </w:t>
      </w:r>
      <w:r w:rsidR="00153066">
        <w:rPr>
          <w:rStyle w:val="normaltextrun"/>
        </w:rPr>
        <w:t xml:space="preserve">the </w:t>
      </w:r>
      <w:proofErr w:type="spellStart"/>
      <w:r w:rsidR="00A2526E">
        <w:rPr>
          <w:rStyle w:val="normaltextrun"/>
        </w:rPr>
        <w:t>Oonchiumpa</w:t>
      </w:r>
      <w:proofErr w:type="spellEnd"/>
      <w:r w:rsidR="00A2526E" w:rsidRPr="00FC62FE">
        <w:rPr>
          <w:rStyle w:val="normaltextrun"/>
        </w:rPr>
        <w:t xml:space="preserve"> </w:t>
      </w:r>
      <w:r w:rsidR="0CFF325A" w:rsidRPr="00FC62FE">
        <w:rPr>
          <w:rStyle w:val="normaltextrun"/>
        </w:rPr>
        <w:t xml:space="preserve">program, led and delivered by </w:t>
      </w:r>
      <w:r w:rsidR="00B94D18">
        <w:rPr>
          <w:rStyle w:val="normaltextrun"/>
        </w:rPr>
        <w:t>T</w:t>
      </w:r>
      <w:r w:rsidR="0CFF325A" w:rsidRPr="00FC62FE">
        <w:rPr>
          <w:rStyle w:val="normaltextrun"/>
        </w:rPr>
        <w:t xml:space="preserve">raditional </w:t>
      </w:r>
      <w:r w:rsidR="00B94D18">
        <w:rPr>
          <w:rStyle w:val="normaltextrun"/>
        </w:rPr>
        <w:t>O</w:t>
      </w:r>
      <w:r w:rsidR="0CFF325A" w:rsidRPr="00FC62FE">
        <w:rPr>
          <w:rStyle w:val="normaltextrun"/>
        </w:rPr>
        <w:t>wners</w:t>
      </w:r>
      <w:r w:rsidR="00153066">
        <w:rPr>
          <w:rStyle w:val="normaltextrun"/>
        </w:rPr>
        <w:t xml:space="preserve"> (</w:t>
      </w:r>
      <w:r w:rsidR="00153066" w:rsidRPr="00C25671">
        <w:rPr>
          <w:rStyle w:val="normaltextrun"/>
        </w:rPr>
        <w:t xml:space="preserve">see </w:t>
      </w:r>
      <w:r w:rsidR="00C25671" w:rsidRPr="00C25671">
        <w:rPr>
          <w:rStyle w:val="normaltextrun"/>
        </w:rPr>
        <w:t>C</w:t>
      </w:r>
      <w:r w:rsidR="00153066" w:rsidRPr="00C25671">
        <w:rPr>
          <w:rStyle w:val="normaltextrun"/>
        </w:rPr>
        <w:t xml:space="preserve">ase </w:t>
      </w:r>
      <w:r w:rsidR="00C25671" w:rsidRPr="00C25671">
        <w:rPr>
          <w:rStyle w:val="normaltextrun"/>
        </w:rPr>
        <w:t>S</w:t>
      </w:r>
      <w:r w:rsidR="00153066" w:rsidRPr="00C25671">
        <w:rPr>
          <w:rStyle w:val="normaltextrun"/>
        </w:rPr>
        <w:t xml:space="preserve">tudy </w:t>
      </w:r>
      <w:r w:rsidR="00C25671" w:rsidRPr="00C25671">
        <w:rPr>
          <w:rStyle w:val="normaltextrun"/>
        </w:rPr>
        <w:t>one</w:t>
      </w:r>
      <w:r w:rsidR="00153066" w:rsidRPr="00C25671">
        <w:rPr>
          <w:rStyle w:val="normaltextrun"/>
        </w:rPr>
        <w:t xml:space="preserve"> for further details</w:t>
      </w:r>
      <w:r w:rsidR="00153066">
        <w:rPr>
          <w:rStyle w:val="normaltextrun"/>
        </w:rPr>
        <w:t>)</w:t>
      </w:r>
      <w:r w:rsidR="0CFF325A" w:rsidRPr="00FC62FE">
        <w:rPr>
          <w:rStyle w:val="normaltextrun"/>
        </w:rPr>
        <w:t>.</w:t>
      </w:r>
      <w:r w:rsidR="00006A76">
        <w:rPr>
          <w:rStyle w:val="FootnoteReference"/>
        </w:rPr>
        <w:t xml:space="preserve"> </w:t>
      </w:r>
    </w:p>
    <w:p w14:paraId="33851577" w14:textId="77777777" w:rsidR="00B934EC" w:rsidRPr="00B934EC" w:rsidRDefault="00B934EC" w:rsidP="00B934EC"/>
    <w:p w14:paraId="536B904C" w14:textId="77777777" w:rsidR="003A77FF" w:rsidRDefault="003A77FF" w:rsidP="00DA4528">
      <w:pPr>
        <w:pStyle w:val="Heading1"/>
      </w:pPr>
    </w:p>
    <w:p w14:paraId="6C694B34" w14:textId="4470F07E" w:rsidR="003A77FF" w:rsidRDefault="003A77FF" w:rsidP="00DA4528">
      <w:pPr>
        <w:rPr>
          <w:color w:val="009999"/>
          <w:sz w:val="32"/>
          <w:szCs w:val="28"/>
        </w:rPr>
      </w:pPr>
    </w:p>
    <w:p w14:paraId="6FA26484" w14:textId="77777777" w:rsidR="0094034C" w:rsidRDefault="0094034C">
      <w:pPr>
        <w:keepLines w:val="0"/>
        <w:widowControl/>
        <w:spacing w:before="0" w:after="0"/>
        <w:rPr>
          <w:rFonts w:eastAsiaTheme="minorHAnsi" w:cs="Segoe UI"/>
          <w:b/>
          <w:color w:val="009999"/>
          <w:sz w:val="24"/>
        </w:rPr>
      </w:pPr>
      <w:r>
        <w:br w:type="page"/>
      </w:r>
    </w:p>
    <w:p w14:paraId="5E01060B" w14:textId="13F9C25F" w:rsidR="00B21261" w:rsidRDefault="00B21261" w:rsidP="0094034C">
      <w:pPr>
        <w:pStyle w:val="Heading2"/>
        <w:rPr>
          <w:rFonts w:cs="Arial"/>
        </w:rPr>
      </w:pPr>
      <w:r w:rsidRPr="74490A37">
        <w:lastRenderedPageBreak/>
        <w:t>KEQ4: What early short-term outcomes from the CAP are we seeing in terms of positive life and community outcomes?</w:t>
      </w:r>
      <w:r w:rsidRPr="74490A37">
        <w:rPr>
          <w:rFonts w:cs="Arial"/>
        </w:rPr>
        <w:t>​</w:t>
      </w:r>
    </w:p>
    <w:p w14:paraId="2A69EC05" w14:textId="061C5ED9" w:rsidR="00DE3850" w:rsidRPr="00DE3850" w:rsidRDefault="00F646F0" w:rsidP="00DE3850">
      <w:r>
        <w:t>These findings</w:t>
      </w:r>
      <w:r w:rsidR="00DE3850">
        <w:t xml:space="preserve"> explore what early short-term outcomes from the CAP can be seen focussing on </w:t>
      </w:r>
      <w:r w:rsidR="00FE0054">
        <w:t>the progress being made by funded organisations/communities, early outcomes in remote communities, and early outcomes in Alice Springs</w:t>
      </w:r>
      <w:r w:rsidR="00DE3850">
        <w:t>.</w:t>
      </w:r>
      <w:r w:rsidR="00FE0054">
        <w:t xml:space="preserve"> </w:t>
      </w:r>
    </w:p>
    <w:tbl>
      <w:tblPr>
        <w:tblStyle w:val="TableGrid2"/>
        <w:tblpPr w:leftFromText="180" w:rightFromText="180" w:vertAnchor="text" w:horzAnchor="margin" w:tblpY="24"/>
        <w:tblW w:w="5000" w:type="pct"/>
        <w:tblLook w:val="04A0" w:firstRow="1" w:lastRow="0" w:firstColumn="1" w:lastColumn="0" w:noHBand="0" w:noVBand="1"/>
      </w:tblPr>
      <w:tblGrid>
        <w:gridCol w:w="9680"/>
      </w:tblGrid>
      <w:tr w:rsidR="00B21261" w:rsidRPr="00FA22E6" w14:paraId="10C3FCA4" w14:textId="77777777" w:rsidTr="009C2095">
        <w:trPr>
          <w:trHeight w:val="5267"/>
        </w:trPr>
        <w:tc>
          <w:tcPr>
            <w:tcW w:w="5000" w:type="pct"/>
            <w:tcBorders>
              <w:top w:val="single" w:sz="24" w:space="0" w:color="009999"/>
              <w:left w:val="single" w:sz="24" w:space="0" w:color="009999"/>
              <w:bottom w:val="single" w:sz="24" w:space="0" w:color="009999"/>
              <w:right w:val="single" w:sz="24" w:space="0" w:color="009999"/>
            </w:tcBorders>
          </w:tcPr>
          <w:p w14:paraId="6851ACDC" w14:textId="454CCC40" w:rsidR="00B21261" w:rsidRPr="00BE460A" w:rsidRDefault="00DE3850" w:rsidP="00E20227">
            <w:pPr>
              <w:pStyle w:val="Heading3"/>
            </w:pPr>
            <w:r>
              <w:t>Summary of e</w:t>
            </w:r>
            <w:r w:rsidR="00B21261">
              <w:t>valuation findings</w:t>
            </w:r>
          </w:p>
          <w:p w14:paraId="38F88B8C" w14:textId="320E519A" w:rsidR="000F115B" w:rsidRDefault="000F115B" w:rsidP="00DA4528">
            <w:r w:rsidRPr="000F115B">
              <w:t>The CAP is still in its early implementation phase relative to other government projects of its scale and complexity. Interview data suggest that most stakeholders agree that it is too early to identify many long-term positive life and community outcomes under the program. Further, there are no cross-project monitoring systems in place to capture outcomes of CAP projects, and there have been few evaluations of programs conducted by service providers.</w:t>
            </w:r>
          </w:p>
          <w:p w14:paraId="20615E19" w14:textId="6BD9E801" w:rsidR="00B21261" w:rsidRDefault="000F115B" w:rsidP="00DA4528">
            <w:r>
              <w:t>Despite the above the evaluation has found</w:t>
            </w:r>
            <w:r w:rsidR="00B21261" w:rsidRPr="00BB6850">
              <w:t xml:space="preserve"> some early signs of positive life and community outcomes</w:t>
            </w:r>
            <w:r>
              <w:t xml:space="preserve"> in the areas of</w:t>
            </w:r>
            <w:r w:rsidR="00B21261">
              <w:t>:</w:t>
            </w:r>
          </w:p>
          <w:p w14:paraId="5263A751" w14:textId="77777777" w:rsidR="00B21261" w:rsidRPr="002D7276" w:rsidRDefault="00B21261" w:rsidP="003343AE">
            <w:pPr>
              <w:pStyle w:val="ListParagraph"/>
            </w:pPr>
            <w:r w:rsidRPr="002D7276">
              <w:t>Education and employment: Early impacts on remote school attendance and employment.</w:t>
            </w:r>
          </w:p>
          <w:p w14:paraId="5416BE25" w14:textId="15817792" w:rsidR="00B21261" w:rsidRPr="002D7276" w:rsidRDefault="00B21261" w:rsidP="003343AE">
            <w:pPr>
              <w:pStyle w:val="ListParagraph"/>
            </w:pPr>
            <w:r w:rsidRPr="002D7276">
              <w:t xml:space="preserve">Digital </w:t>
            </w:r>
            <w:r w:rsidR="00BC2E2F" w:rsidRPr="002D7276">
              <w:t>Inclusion</w:t>
            </w:r>
            <w:r w:rsidRPr="002D7276">
              <w:t xml:space="preserve">: Progress is being made on digital </w:t>
            </w:r>
            <w:r w:rsidR="00BC2E2F" w:rsidRPr="002D7276">
              <w:t xml:space="preserve">inclusion </w:t>
            </w:r>
            <w:r w:rsidRPr="002D7276">
              <w:t>projects</w:t>
            </w:r>
            <w:r w:rsidR="00457171" w:rsidRPr="002D7276">
              <w:t>.</w:t>
            </w:r>
          </w:p>
          <w:p w14:paraId="0789649E" w14:textId="3E820397" w:rsidR="00B21261" w:rsidRPr="002D7276" w:rsidRDefault="4E9262DF" w:rsidP="003343AE">
            <w:pPr>
              <w:pStyle w:val="ListParagraph"/>
              <w:rPr>
                <w:rFonts w:eastAsia="Times New Roman" w:cs="Times New Roman"/>
              </w:rPr>
            </w:pPr>
            <w:r w:rsidRPr="002D7276">
              <w:t xml:space="preserve">Youth: The </w:t>
            </w:r>
            <w:proofErr w:type="spellStart"/>
            <w:r w:rsidRPr="002D7276">
              <w:t>Oonchiumpa</w:t>
            </w:r>
            <w:proofErr w:type="spellEnd"/>
            <w:r w:rsidRPr="002D7276">
              <w:t xml:space="preserve"> program is successful in diverting youth while Youth Programs and School Holiday Activities School Holiday Activities were confirmed as successful over the 2024-25 summer holidays. There were more than 24,600 attendances across 1,461 activities, with nearly 16,000 attendances in remote communities</w:t>
            </w:r>
            <w:r w:rsidRPr="002D7276">
              <w:rPr>
                <w:rFonts w:eastAsia="Times New Roman" w:cs="Times New Roman"/>
              </w:rPr>
              <w:t>.</w:t>
            </w:r>
            <w:r w:rsidR="00B21261" w:rsidRPr="0059034F">
              <w:rPr>
                <w:rStyle w:val="FootnoteReference"/>
              </w:rPr>
              <w:footnoteReference w:id="56"/>
            </w:r>
          </w:p>
          <w:p w14:paraId="3CE5A657" w14:textId="77777777" w:rsidR="00B21261" w:rsidRPr="002D7276" w:rsidRDefault="00B21261" w:rsidP="003343AE">
            <w:pPr>
              <w:pStyle w:val="ListParagraph"/>
            </w:pPr>
            <w:r w:rsidRPr="002D7276">
              <w:t>Service provider capacity: Funding is supporting service providers to increase organisational capacity, improve program quality, and expand their reach.</w:t>
            </w:r>
          </w:p>
          <w:p w14:paraId="512B2023" w14:textId="77777777" w:rsidR="00B21261" w:rsidRPr="002D7276" w:rsidRDefault="00B21261" w:rsidP="003343AE">
            <w:pPr>
              <w:pStyle w:val="ListParagraph"/>
            </w:pPr>
            <w:r w:rsidRPr="002D7276">
              <w:t>Community safety: strengthened DV support, AOD services, justice reinvestment, youth engagement activities, and emergency accommodation.</w:t>
            </w:r>
          </w:p>
          <w:p w14:paraId="7E7CB1F5" w14:textId="7A179E8E" w:rsidR="00FE0054" w:rsidRPr="00607B17" w:rsidRDefault="00B21261" w:rsidP="00DA4528">
            <w:r w:rsidRPr="00607B17">
              <w:t>While the above early signs of positive outcomes are encouraging,</w:t>
            </w:r>
            <w:r>
              <w:t xml:space="preserve"> some service providers and ALG members express concern for the potential for long term and sustainable outcomes impacts of existing CAP funding</w:t>
            </w:r>
            <w:r w:rsidR="00FC030C">
              <w:t xml:space="preserve"> due to its short-term nature</w:t>
            </w:r>
            <w:r>
              <w:t>.</w:t>
            </w:r>
          </w:p>
        </w:tc>
      </w:tr>
    </w:tbl>
    <w:p w14:paraId="064A1A55" w14:textId="63903D40" w:rsidR="00B21261" w:rsidRDefault="00B21261" w:rsidP="0094034C">
      <w:pPr>
        <w:pStyle w:val="Heading3"/>
      </w:pPr>
      <w:r w:rsidRPr="00EC56DA">
        <w:t xml:space="preserve">Organisational </w:t>
      </w:r>
      <w:r w:rsidR="000F115B">
        <w:t>outcomes</w:t>
      </w:r>
    </w:p>
    <w:p w14:paraId="6455CA15" w14:textId="6CFB1E31" w:rsidR="00F75344" w:rsidRPr="0094034C" w:rsidRDefault="78A0B530" w:rsidP="0094034C">
      <w:pPr>
        <w:rPr>
          <w:rFonts w:eastAsia="Helvetica" w:cs="Helvetica"/>
        </w:rPr>
      </w:pPr>
      <w:r w:rsidRPr="5948DD2E">
        <w:rPr>
          <w:rFonts w:eastAsia="Helvetica" w:cs="Helvetica"/>
        </w:rPr>
        <w:t xml:space="preserve">Many </w:t>
      </w:r>
      <w:r w:rsidRPr="6720D43A">
        <w:rPr>
          <w:rFonts w:eastAsia="Helvetica" w:cs="Helvetica"/>
        </w:rPr>
        <w:t>s</w:t>
      </w:r>
      <w:r w:rsidR="00B21261" w:rsidRPr="6720D43A">
        <w:rPr>
          <w:rFonts w:eastAsia="Helvetica" w:cs="Helvetica"/>
        </w:rPr>
        <w:t>ervice</w:t>
      </w:r>
      <w:r w:rsidR="00B21261">
        <w:rPr>
          <w:rFonts w:eastAsia="Helvetica" w:cs="Helvetica"/>
        </w:rPr>
        <w:t xml:space="preserve"> providers involved in the implementation of CAP </w:t>
      </w:r>
      <w:r w:rsidR="00B21261" w:rsidRPr="00D42130">
        <w:rPr>
          <w:rFonts w:eastAsia="Helvetica" w:cs="Helvetica"/>
        </w:rPr>
        <w:t xml:space="preserve">projects report </w:t>
      </w:r>
      <w:r w:rsidR="00B21261">
        <w:rPr>
          <w:rFonts w:eastAsia="Helvetica" w:cs="Helvetica"/>
        </w:rPr>
        <w:t xml:space="preserve">that CAP funding </w:t>
      </w:r>
      <w:r w:rsidR="00883B95" w:rsidRPr="5948DD2E">
        <w:rPr>
          <w:rFonts w:eastAsia="Helvetica" w:cs="Helvetica"/>
        </w:rPr>
        <w:t xml:space="preserve">has </w:t>
      </w:r>
      <w:r w:rsidR="00B21261">
        <w:rPr>
          <w:rFonts w:eastAsia="Helvetica" w:cs="Helvetica"/>
        </w:rPr>
        <w:t xml:space="preserve">influenced their service delivery, including </w:t>
      </w:r>
      <w:r w:rsidR="000F115B">
        <w:rPr>
          <w:rFonts w:eastAsia="Helvetica" w:cs="Helvetica"/>
        </w:rPr>
        <w:t>improving project quality, increasing their operational capacity, and extending their reach</w:t>
      </w:r>
      <w:r w:rsidR="00B21261">
        <w:rPr>
          <w:rFonts w:eastAsia="Helvetica" w:cs="Helvetica"/>
        </w:rPr>
        <w:t xml:space="preserve">. </w:t>
      </w:r>
    </w:p>
    <w:p w14:paraId="454FEF1E" w14:textId="11F73E7C" w:rsidR="00B21261" w:rsidRPr="00E87177" w:rsidRDefault="00B21261" w:rsidP="000F115B">
      <w:pPr>
        <w:pStyle w:val="Heading4"/>
      </w:pPr>
      <w:r w:rsidRPr="00E87177">
        <w:t>Improved pro</w:t>
      </w:r>
      <w:r w:rsidR="00853270">
        <w:t>ject</w:t>
      </w:r>
      <w:r w:rsidRPr="00E87177">
        <w:t xml:space="preserve"> quality</w:t>
      </w:r>
    </w:p>
    <w:p w14:paraId="04A6D2F0" w14:textId="42502A56" w:rsidR="00B21261" w:rsidRPr="00853270" w:rsidRDefault="4E9262DF" w:rsidP="119B2172">
      <w:pPr>
        <w:rPr>
          <w:rFonts w:eastAsia="Helvetica" w:cs="Helvetica"/>
          <w:b/>
        </w:rPr>
      </w:pPr>
      <w:r>
        <w:rPr>
          <w:rFonts w:eastAsia="Helvetica" w:cs="Helvetica"/>
        </w:rPr>
        <w:t xml:space="preserve">CAP funding has been </w:t>
      </w:r>
      <w:r w:rsidR="003D25EA">
        <w:rPr>
          <w:rFonts w:eastAsia="Helvetica" w:cs="Helvetica"/>
        </w:rPr>
        <w:t>used</w:t>
      </w:r>
      <w:r>
        <w:rPr>
          <w:rFonts w:eastAsia="Helvetica" w:cs="Helvetica"/>
        </w:rPr>
        <w:t xml:space="preserve"> by many service providers </w:t>
      </w:r>
      <w:r w:rsidR="006C6996">
        <w:rPr>
          <w:rFonts w:eastAsia="Helvetica" w:cs="Helvetica"/>
        </w:rPr>
        <w:t>to</w:t>
      </w:r>
      <w:r>
        <w:rPr>
          <w:rFonts w:eastAsia="Helvetica" w:cs="Helvetica"/>
        </w:rPr>
        <w:t xml:space="preserve"> supplement their existing program funding </w:t>
      </w:r>
      <w:r w:rsidR="00851372">
        <w:rPr>
          <w:rFonts w:eastAsia="Helvetica" w:cs="Helvetica"/>
        </w:rPr>
        <w:t>and</w:t>
      </w:r>
      <w:r>
        <w:rPr>
          <w:rFonts w:eastAsia="Helvetica" w:cs="Helvetica"/>
        </w:rPr>
        <w:t xml:space="preserve"> improve </w:t>
      </w:r>
      <w:r w:rsidR="008967FC">
        <w:rPr>
          <w:rFonts w:eastAsia="Helvetica" w:cs="Helvetica"/>
        </w:rPr>
        <w:t>service delivery</w:t>
      </w:r>
      <w:r>
        <w:rPr>
          <w:rFonts w:eastAsia="Helvetica" w:cs="Helvetica"/>
        </w:rPr>
        <w:t>.</w:t>
      </w:r>
      <w:r w:rsidR="00853270">
        <w:rPr>
          <w:rFonts w:eastAsia="Helvetica" w:cs="Helvetica"/>
        </w:rPr>
        <w:t xml:space="preserve"> Service providers noted that funding has allowed them to diversify </w:t>
      </w:r>
      <w:r w:rsidR="00853270" w:rsidRPr="001E6543">
        <w:rPr>
          <w:rFonts w:eastAsia="Helvetica" w:cs="Helvetica"/>
        </w:rPr>
        <w:t xml:space="preserve">the </w:t>
      </w:r>
      <w:r w:rsidR="00853270">
        <w:rPr>
          <w:rFonts w:eastAsia="Helvetica" w:cs="Helvetica"/>
        </w:rPr>
        <w:t xml:space="preserve">types of </w:t>
      </w:r>
      <w:r w:rsidR="00853270" w:rsidRPr="001E6543">
        <w:rPr>
          <w:rFonts w:eastAsia="Helvetica" w:cs="Helvetica"/>
        </w:rPr>
        <w:t>service</w:t>
      </w:r>
      <w:r w:rsidR="00853270">
        <w:rPr>
          <w:rFonts w:eastAsia="Helvetica" w:cs="Helvetica"/>
        </w:rPr>
        <w:t>s they deliver. For example, some funded youth programs have been able</w:t>
      </w:r>
      <w:r w:rsidR="00853270" w:rsidRPr="001E6543">
        <w:rPr>
          <w:rFonts w:eastAsia="Helvetica" w:cs="Helvetica"/>
        </w:rPr>
        <w:t xml:space="preserve"> to improve </w:t>
      </w:r>
      <w:r w:rsidR="00F83159">
        <w:rPr>
          <w:rFonts w:eastAsia="Helvetica" w:cs="Helvetica"/>
        </w:rPr>
        <w:t>their</w:t>
      </w:r>
      <w:r w:rsidR="00853270" w:rsidRPr="001E6543">
        <w:rPr>
          <w:rFonts w:eastAsia="Helvetica" w:cs="Helvetica"/>
        </w:rPr>
        <w:t xml:space="preserve"> </w:t>
      </w:r>
      <w:r w:rsidR="00853270">
        <w:rPr>
          <w:rFonts w:eastAsia="Helvetica" w:cs="Helvetica"/>
        </w:rPr>
        <w:t>services</w:t>
      </w:r>
      <w:r w:rsidR="00BB6978">
        <w:rPr>
          <w:rFonts w:eastAsia="Helvetica" w:cs="Helvetica"/>
        </w:rPr>
        <w:t xml:space="preserve"> </w:t>
      </w:r>
      <w:r w:rsidR="00853270">
        <w:rPr>
          <w:rFonts w:eastAsia="Helvetica" w:cs="Helvetica"/>
        </w:rPr>
        <w:t xml:space="preserve">to better suit </w:t>
      </w:r>
      <w:r w:rsidR="00853270" w:rsidRPr="576FA7A2">
        <w:rPr>
          <w:rFonts w:eastAsia="Helvetica" w:cs="Helvetica"/>
        </w:rPr>
        <w:t xml:space="preserve">the </w:t>
      </w:r>
      <w:r w:rsidR="00853270">
        <w:rPr>
          <w:rFonts w:eastAsia="Helvetica" w:cs="Helvetica"/>
        </w:rPr>
        <w:t>geographical and cultural needs</w:t>
      </w:r>
      <w:r w:rsidR="00853270" w:rsidRPr="576FA7A2">
        <w:rPr>
          <w:rFonts w:eastAsia="Helvetica" w:cs="Helvetica"/>
        </w:rPr>
        <w:t xml:space="preserve"> </w:t>
      </w:r>
      <w:r w:rsidR="00853270" w:rsidRPr="001E6543">
        <w:rPr>
          <w:rFonts w:eastAsia="Helvetica" w:cs="Helvetica"/>
        </w:rPr>
        <w:t>of young people and children</w:t>
      </w:r>
      <w:r w:rsidR="00853270">
        <w:rPr>
          <w:rFonts w:eastAsia="Helvetica" w:cs="Helvetica"/>
        </w:rPr>
        <w:t xml:space="preserve"> in the region.</w:t>
      </w:r>
      <w:r w:rsidR="00006A76">
        <w:rPr>
          <w:rStyle w:val="FootnoteReference"/>
          <w:rFonts w:eastAsia="Helvetica" w:cs="Helvetica"/>
        </w:rPr>
        <w:t xml:space="preserve"> </w:t>
      </w:r>
      <w:r w:rsidR="00853270" w:rsidRPr="001E6543">
        <w:rPr>
          <w:rFonts w:eastAsia="Helvetica" w:cs="Helvetica"/>
        </w:rPr>
        <w:t xml:space="preserve"> </w:t>
      </w:r>
      <w:r w:rsidR="00853270">
        <w:rPr>
          <w:rFonts w:eastAsia="Helvetica" w:cs="Helvetica"/>
        </w:rPr>
        <w:t>Others have</w:t>
      </w:r>
      <w:r w:rsidR="00853270" w:rsidRPr="00340F70">
        <w:rPr>
          <w:rFonts w:eastAsia="Helvetica" w:cs="Helvetica"/>
        </w:rPr>
        <w:t xml:space="preserve"> </w:t>
      </w:r>
      <w:r w:rsidR="00853270">
        <w:rPr>
          <w:rFonts w:eastAsia="Helvetica" w:cs="Helvetica"/>
        </w:rPr>
        <w:t>been able to increase</w:t>
      </w:r>
      <w:r w:rsidR="00853270" w:rsidRPr="00340F70">
        <w:rPr>
          <w:rFonts w:eastAsia="Helvetica" w:cs="Helvetica"/>
        </w:rPr>
        <w:t xml:space="preserve"> the amount and type of school activities </w:t>
      </w:r>
      <w:r w:rsidR="00853270">
        <w:rPr>
          <w:rFonts w:eastAsia="Helvetica" w:cs="Helvetica"/>
        </w:rPr>
        <w:t>they had previously delivered, increasing the quality of the program for more youth participation</w:t>
      </w:r>
      <w:r w:rsidR="00853270" w:rsidRPr="00340F70">
        <w:rPr>
          <w:rFonts w:eastAsia="Helvetica" w:cs="Helvetica"/>
        </w:rPr>
        <w:t>.</w:t>
      </w:r>
      <w:r w:rsidR="00006A76">
        <w:rPr>
          <w:rStyle w:val="FootnoteReference"/>
          <w:rFonts w:eastAsia="Helvetica" w:cs="Helvetica"/>
        </w:rPr>
        <w:t xml:space="preserve"> </w:t>
      </w:r>
      <w:r w:rsidR="00853270" w:rsidRPr="00340F70">
        <w:rPr>
          <w:rFonts w:eastAsia="Helvetica" w:cs="Helvetica"/>
        </w:rPr>
        <w:t xml:space="preserve"> </w:t>
      </w:r>
      <w:r w:rsidR="00853270">
        <w:rPr>
          <w:rFonts w:eastAsia="Helvetica" w:cs="Helvetica"/>
        </w:rPr>
        <w:t>Interviews with some service providers indicate</w:t>
      </w:r>
      <w:r w:rsidR="00853270" w:rsidRPr="00340F70">
        <w:rPr>
          <w:rFonts w:eastAsia="Helvetica" w:cs="Helvetica"/>
        </w:rPr>
        <w:t xml:space="preserve"> </w:t>
      </w:r>
      <w:r w:rsidR="00853270">
        <w:rPr>
          <w:rFonts w:eastAsia="Helvetica" w:cs="Helvetica"/>
        </w:rPr>
        <w:t xml:space="preserve">that CAP </w:t>
      </w:r>
      <w:r w:rsidR="00853270">
        <w:t>funding</w:t>
      </w:r>
      <w:r w:rsidR="00853270">
        <w:rPr>
          <w:rFonts w:eastAsia="Helvetica" w:cs="Helvetica"/>
        </w:rPr>
        <w:t xml:space="preserve"> </w:t>
      </w:r>
      <w:r w:rsidR="00853270" w:rsidRPr="00340F70">
        <w:rPr>
          <w:rFonts w:eastAsia="Helvetica" w:cs="Helvetica"/>
        </w:rPr>
        <w:t xml:space="preserve">has </w:t>
      </w:r>
      <w:r w:rsidR="00853270">
        <w:rPr>
          <w:rFonts w:eastAsia="Helvetica" w:cs="Helvetica"/>
        </w:rPr>
        <w:t xml:space="preserve">been </w:t>
      </w:r>
      <w:r w:rsidR="00853270" w:rsidRPr="00340F70">
        <w:rPr>
          <w:rFonts w:eastAsia="Helvetica" w:cs="Helvetica"/>
        </w:rPr>
        <w:t xml:space="preserve">supplemental </w:t>
      </w:r>
      <w:r w:rsidR="00853270">
        <w:rPr>
          <w:rFonts w:eastAsia="Helvetica" w:cs="Helvetica"/>
        </w:rPr>
        <w:t>to their program delivery, rather</w:t>
      </w:r>
      <w:r w:rsidR="00853270" w:rsidRPr="00340F70">
        <w:rPr>
          <w:rFonts w:eastAsia="Helvetica" w:cs="Helvetica"/>
        </w:rPr>
        <w:t xml:space="preserve"> </w:t>
      </w:r>
      <w:r w:rsidR="00853270">
        <w:rPr>
          <w:rFonts w:eastAsia="Helvetica" w:cs="Helvetica"/>
        </w:rPr>
        <w:t>than providing significant change to the way they are able to operate</w:t>
      </w:r>
      <w:r w:rsidR="00853270" w:rsidRPr="00340F70">
        <w:rPr>
          <w:rFonts w:eastAsia="Helvetica" w:cs="Helvetica"/>
        </w:rPr>
        <w:t>.</w:t>
      </w:r>
      <w:r w:rsidR="00006A76">
        <w:rPr>
          <w:rStyle w:val="FootnoteReference"/>
          <w:rFonts w:eastAsia="Helvetica" w:cs="Helvetica"/>
        </w:rPr>
        <w:t xml:space="preserve"> </w:t>
      </w:r>
    </w:p>
    <w:p w14:paraId="269537A7" w14:textId="550C7CF6" w:rsidR="00B21261" w:rsidRDefault="24F0C235" w:rsidP="00DA4528">
      <w:pPr>
        <w:rPr>
          <w:rFonts w:eastAsia="Helvetica" w:cs="Helvetica"/>
          <w:b/>
        </w:rPr>
      </w:pPr>
      <w:r w:rsidRPr="119B2172">
        <w:rPr>
          <w:rFonts w:eastAsia="Helvetica" w:cs="Helvetica"/>
        </w:rPr>
        <w:t>CAP</w:t>
      </w:r>
      <w:r w:rsidR="4D208A98" w:rsidRPr="23811543">
        <w:rPr>
          <w:rFonts w:eastAsia="Helvetica" w:cs="Helvetica"/>
        </w:rPr>
        <w:t xml:space="preserve"> funding </w:t>
      </w:r>
      <w:r w:rsidR="4D208A98" w:rsidRPr="2C80DB18">
        <w:rPr>
          <w:rFonts w:eastAsia="Helvetica" w:cs="Helvetica"/>
        </w:rPr>
        <w:t xml:space="preserve">has </w:t>
      </w:r>
      <w:r w:rsidRPr="119B2172">
        <w:rPr>
          <w:rFonts w:eastAsia="Helvetica" w:cs="Helvetica"/>
        </w:rPr>
        <w:t>facilitated the delivery of more comprehensive, refined, and user-friendly infrastructure projects</w:t>
      </w:r>
      <w:r w:rsidRPr="075E4F98">
        <w:rPr>
          <w:rFonts w:eastAsia="Helvetica" w:cs="Helvetica"/>
        </w:rPr>
        <w:t>,</w:t>
      </w:r>
      <w:r w:rsidRPr="119B2172">
        <w:rPr>
          <w:rFonts w:eastAsia="Helvetica" w:cs="Helvetica"/>
        </w:rPr>
        <w:t xml:space="preserve"> by enabling</w:t>
      </w:r>
      <w:r w:rsidR="4D208A98" w:rsidRPr="2C80DB18">
        <w:rPr>
          <w:rFonts w:eastAsia="Helvetica" w:cs="Helvetica"/>
        </w:rPr>
        <w:t xml:space="preserve"> providers to </w:t>
      </w:r>
      <w:r w:rsidRPr="119B2172">
        <w:rPr>
          <w:rFonts w:eastAsia="Helvetica" w:cs="Helvetica"/>
        </w:rPr>
        <w:t>go beyond basic requirements</w:t>
      </w:r>
      <w:r w:rsidR="4E9262DF">
        <w:rPr>
          <w:rFonts w:eastAsia="Helvetica" w:cs="Helvetica"/>
        </w:rPr>
        <w:t xml:space="preserve">. For one provider, they </w:t>
      </w:r>
      <w:r w:rsidR="008B75FF">
        <w:rPr>
          <w:rFonts w:eastAsia="Helvetica" w:cs="Helvetica"/>
        </w:rPr>
        <w:t>plan</w:t>
      </w:r>
      <w:r w:rsidR="4E9262DF">
        <w:rPr>
          <w:rFonts w:eastAsia="Helvetica" w:cs="Helvetica"/>
        </w:rPr>
        <w:t xml:space="preserve"> to fund the development of a skate park for their local community that is supported by</w:t>
      </w:r>
      <w:r w:rsidR="4E9262DF" w:rsidRPr="00904542">
        <w:rPr>
          <w:rFonts w:eastAsia="Helvetica" w:cs="Helvetica"/>
        </w:rPr>
        <w:t xml:space="preserve"> additional infrastructure like landscaping, shades, lights</w:t>
      </w:r>
      <w:r w:rsidR="4E9262DF">
        <w:rPr>
          <w:rFonts w:eastAsia="Helvetica" w:cs="Helvetica"/>
        </w:rPr>
        <w:t>,</w:t>
      </w:r>
      <w:r w:rsidR="4E9262DF" w:rsidRPr="00904542">
        <w:rPr>
          <w:rFonts w:eastAsia="Helvetica" w:cs="Helvetica"/>
        </w:rPr>
        <w:t xml:space="preserve"> and a bubbler.</w:t>
      </w:r>
      <w:r w:rsidR="00006A76">
        <w:rPr>
          <w:rStyle w:val="FootnoteReference"/>
          <w:rFonts w:eastAsia="Helvetica" w:cs="Helvetica"/>
        </w:rPr>
        <w:t xml:space="preserve"> </w:t>
      </w:r>
      <w:r w:rsidR="4E9262DF" w:rsidRPr="00904542">
        <w:rPr>
          <w:rFonts w:eastAsia="Helvetica" w:cs="Helvetica"/>
        </w:rPr>
        <w:t xml:space="preserve"> </w:t>
      </w:r>
    </w:p>
    <w:p w14:paraId="12FD31E3" w14:textId="712FE419" w:rsidR="00B21261" w:rsidRPr="00E87177" w:rsidRDefault="00875D25" w:rsidP="000F115B">
      <w:pPr>
        <w:pStyle w:val="Heading4"/>
      </w:pPr>
      <w:r w:rsidRPr="00E07DE9">
        <w:t>Increased operational capacity</w:t>
      </w:r>
      <w:r>
        <w:t xml:space="preserve"> </w:t>
      </w:r>
    </w:p>
    <w:p w14:paraId="166F8E89" w14:textId="6BC63C29" w:rsidR="00B21261" w:rsidRDefault="00370015" w:rsidP="00DA4528">
      <w:pPr>
        <w:rPr>
          <w:rFonts w:eastAsia="Helvetica" w:cs="Helvetica"/>
        </w:rPr>
      </w:pPr>
      <w:r>
        <w:rPr>
          <w:rFonts w:eastAsia="Helvetica" w:cs="Helvetica"/>
        </w:rPr>
        <w:lastRenderedPageBreak/>
        <w:t>S</w:t>
      </w:r>
      <w:r w:rsidR="4E9262DF">
        <w:rPr>
          <w:rFonts w:eastAsia="Helvetica" w:cs="Helvetica"/>
        </w:rPr>
        <w:t>ome service providers</w:t>
      </w:r>
      <w:r>
        <w:rPr>
          <w:rFonts w:eastAsia="Helvetica" w:cs="Helvetica"/>
        </w:rPr>
        <w:t xml:space="preserve"> indicate</w:t>
      </w:r>
      <w:r w:rsidR="00853270">
        <w:rPr>
          <w:rFonts w:eastAsia="Helvetica" w:cs="Helvetica"/>
        </w:rPr>
        <w:t>d</w:t>
      </w:r>
      <w:r>
        <w:rPr>
          <w:rFonts w:eastAsia="Helvetica" w:cs="Helvetica"/>
        </w:rPr>
        <w:t xml:space="preserve"> that they</w:t>
      </w:r>
      <w:r w:rsidR="4E9262DF">
        <w:rPr>
          <w:rFonts w:eastAsia="Helvetica" w:cs="Helvetica"/>
        </w:rPr>
        <w:t xml:space="preserve"> have been able to, or plan to, expand the reach of their existing programs to more clientele</w:t>
      </w:r>
      <w:r w:rsidR="00B50870">
        <w:rPr>
          <w:rFonts w:eastAsia="Helvetica" w:cs="Helvetica"/>
        </w:rPr>
        <w:t xml:space="preserve"> </w:t>
      </w:r>
      <w:r w:rsidR="003E592C">
        <w:rPr>
          <w:rFonts w:eastAsia="Helvetica" w:cs="Helvetica"/>
        </w:rPr>
        <w:t>because of</w:t>
      </w:r>
      <w:r w:rsidR="00B50870">
        <w:rPr>
          <w:rFonts w:eastAsia="Helvetica" w:cs="Helvetica"/>
        </w:rPr>
        <w:t xml:space="preserve"> the CAP funding</w:t>
      </w:r>
      <w:r w:rsidR="4E9262DF">
        <w:rPr>
          <w:rFonts w:eastAsia="Helvetica" w:cs="Helvetica"/>
        </w:rPr>
        <w:t>.</w:t>
      </w:r>
      <w:r w:rsidR="4E9262DF" w:rsidRPr="2AC86B5A">
        <w:rPr>
          <w:rFonts w:eastAsia="Helvetica" w:cs="Helvetica"/>
          <w:b/>
          <w:bCs/>
        </w:rPr>
        <w:t xml:space="preserve"> </w:t>
      </w:r>
      <w:r w:rsidR="003A1C39">
        <w:rPr>
          <w:rFonts w:eastAsia="Helvetica" w:cs="Helvetica"/>
        </w:rPr>
        <w:t xml:space="preserve">A small number of services indicated that </w:t>
      </w:r>
      <w:r w:rsidR="4E9262DF">
        <w:rPr>
          <w:rFonts w:eastAsia="Helvetica" w:cs="Helvetica"/>
        </w:rPr>
        <w:t>CAP</w:t>
      </w:r>
      <w:r w:rsidR="4E9262DF" w:rsidRPr="002E1C7F">
        <w:rPr>
          <w:rFonts w:eastAsia="Helvetica" w:cs="Helvetica"/>
        </w:rPr>
        <w:t xml:space="preserve"> funding </w:t>
      </w:r>
      <w:r w:rsidR="4E9262DF">
        <w:rPr>
          <w:rFonts w:eastAsia="Helvetica" w:cs="Helvetica"/>
        </w:rPr>
        <w:t xml:space="preserve">has significantly increased </w:t>
      </w:r>
      <w:r w:rsidR="003A1C39">
        <w:rPr>
          <w:rFonts w:eastAsia="Helvetica" w:cs="Helvetica"/>
        </w:rPr>
        <w:t>their</w:t>
      </w:r>
      <w:r w:rsidR="4E9262DF" w:rsidRPr="002E1C7F">
        <w:rPr>
          <w:rFonts w:eastAsia="Helvetica" w:cs="Helvetica"/>
        </w:rPr>
        <w:t xml:space="preserve"> organisational capacity, </w:t>
      </w:r>
      <w:r w:rsidR="4E9262DF">
        <w:rPr>
          <w:rFonts w:eastAsia="Helvetica" w:cs="Helvetica"/>
        </w:rPr>
        <w:t>increasing funds for staff and services</w:t>
      </w:r>
      <w:r w:rsidR="00BB6978">
        <w:rPr>
          <w:rFonts w:eastAsia="Helvetica" w:cs="Helvetica"/>
        </w:rPr>
        <w:t>.</w:t>
      </w:r>
      <w:r w:rsidR="4E9262DF">
        <w:rPr>
          <w:rFonts w:eastAsia="Helvetica" w:cs="Helvetica"/>
        </w:rPr>
        <w:t xml:space="preserve"> </w:t>
      </w:r>
      <w:r w:rsidR="009622A3">
        <w:rPr>
          <w:rFonts w:eastAsia="Helvetica" w:cs="Helvetica"/>
        </w:rPr>
        <w:t>O</w:t>
      </w:r>
      <w:r w:rsidR="4E9262DF">
        <w:rPr>
          <w:rFonts w:eastAsia="Helvetica" w:cs="Helvetica"/>
        </w:rPr>
        <w:t xml:space="preserve">ne provider </w:t>
      </w:r>
      <w:r w:rsidR="009622A3">
        <w:rPr>
          <w:rFonts w:eastAsia="Helvetica" w:cs="Helvetica"/>
        </w:rPr>
        <w:t xml:space="preserve">interviewed noted </w:t>
      </w:r>
      <w:r w:rsidR="4E9262DF">
        <w:rPr>
          <w:rFonts w:eastAsia="Helvetica" w:cs="Helvetica"/>
        </w:rPr>
        <w:t>receiving</w:t>
      </w:r>
      <w:r w:rsidR="4E9262DF" w:rsidRPr="002E1C7F">
        <w:rPr>
          <w:rFonts w:eastAsia="Helvetica" w:cs="Helvetica"/>
        </w:rPr>
        <w:t xml:space="preserve"> funding three-times their normal operational funding</w:t>
      </w:r>
      <w:r w:rsidR="009622A3">
        <w:rPr>
          <w:rFonts w:eastAsia="Helvetica" w:cs="Helvetica"/>
        </w:rPr>
        <w:t xml:space="preserve"> under CAP</w:t>
      </w:r>
      <w:r w:rsidR="00853270">
        <w:rPr>
          <w:rFonts w:eastAsia="Helvetica" w:cs="Helvetica"/>
        </w:rPr>
        <w:t xml:space="preserve"> which has increased their operational capacity</w:t>
      </w:r>
      <w:r w:rsidR="4E9262DF" w:rsidRPr="002E1C7F">
        <w:rPr>
          <w:rFonts w:eastAsia="Helvetica" w:cs="Helvetica"/>
        </w:rPr>
        <w:t>.</w:t>
      </w:r>
      <w:r w:rsidR="00006A76">
        <w:rPr>
          <w:rStyle w:val="FootnoteReference"/>
          <w:rFonts w:eastAsia="Helvetica" w:cs="Helvetica"/>
        </w:rPr>
        <w:t xml:space="preserve"> </w:t>
      </w:r>
      <w:r w:rsidR="4E9262DF">
        <w:rPr>
          <w:rFonts w:eastAsia="Helvetica" w:cs="Helvetica"/>
        </w:rPr>
        <w:t xml:space="preserve"> Increased</w:t>
      </w:r>
      <w:r w:rsidR="4E9262DF" w:rsidRPr="002E1C7F">
        <w:rPr>
          <w:rFonts w:eastAsia="Helvetica" w:cs="Helvetica"/>
        </w:rPr>
        <w:t xml:space="preserve"> funding </w:t>
      </w:r>
      <w:r w:rsidR="4E9262DF">
        <w:rPr>
          <w:rFonts w:eastAsia="Helvetica" w:cs="Helvetica"/>
        </w:rPr>
        <w:t>for staff has also improved service</w:t>
      </w:r>
      <w:r w:rsidR="4E9262DF" w:rsidRPr="002E1C7F">
        <w:rPr>
          <w:rFonts w:eastAsia="Helvetica" w:cs="Helvetica"/>
        </w:rPr>
        <w:t xml:space="preserve"> reach </w:t>
      </w:r>
      <w:r w:rsidR="4E9262DF">
        <w:rPr>
          <w:rFonts w:eastAsia="Helvetica" w:cs="Helvetica"/>
        </w:rPr>
        <w:t xml:space="preserve">to </w:t>
      </w:r>
      <w:r w:rsidR="4E9262DF" w:rsidRPr="002E1C7F">
        <w:rPr>
          <w:rFonts w:eastAsia="Helvetica" w:cs="Helvetica"/>
        </w:rPr>
        <w:t>community members out of town who ordinarily would not have access to service</w:t>
      </w:r>
      <w:r w:rsidR="4E9262DF">
        <w:rPr>
          <w:rFonts w:eastAsia="Helvetica" w:cs="Helvetica"/>
        </w:rPr>
        <w:t xml:space="preserve">s, such as </w:t>
      </w:r>
      <w:r w:rsidR="632A9FE3">
        <w:rPr>
          <w:rFonts w:eastAsia="Helvetica" w:cs="Helvetica"/>
        </w:rPr>
        <w:t xml:space="preserve">domestic </w:t>
      </w:r>
      <w:r w:rsidR="69A0C081">
        <w:rPr>
          <w:rFonts w:eastAsia="Helvetica" w:cs="Helvetica"/>
        </w:rPr>
        <w:t xml:space="preserve">and </w:t>
      </w:r>
      <w:r w:rsidR="632A9FE3">
        <w:rPr>
          <w:rFonts w:eastAsia="Helvetica" w:cs="Helvetica"/>
        </w:rPr>
        <w:t>family violence (</w:t>
      </w:r>
      <w:r w:rsidR="4E9262DF">
        <w:rPr>
          <w:rFonts w:eastAsia="Helvetica" w:cs="Helvetica"/>
        </w:rPr>
        <w:t>DFV</w:t>
      </w:r>
      <w:r w:rsidR="05760EDD">
        <w:rPr>
          <w:rFonts w:eastAsia="Helvetica" w:cs="Helvetica"/>
        </w:rPr>
        <w:t>)</w:t>
      </w:r>
      <w:r w:rsidR="4E9262DF">
        <w:rPr>
          <w:rFonts w:eastAsia="Helvetica" w:cs="Helvetica"/>
        </w:rPr>
        <w:t xml:space="preserve"> supports and legal advice.</w:t>
      </w:r>
      <w:r w:rsidR="00006A76">
        <w:rPr>
          <w:rStyle w:val="FootnoteReference"/>
          <w:rFonts w:eastAsia="Helvetica" w:cs="Helvetica"/>
        </w:rPr>
        <w:t xml:space="preserve"> </w:t>
      </w:r>
      <w:r w:rsidR="4E9262DF" w:rsidRPr="00194440">
        <w:rPr>
          <w:rFonts w:eastAsia="Helvetica" w:cs="Helvetica"/>
        </w:rPr>
        <w:t xml:space="preserve"> </w:t>
      </w:r>
    </w:p>
    <w:p w14:paraId="40F3FA99" w14:textId="6EF44C97" w:rsidR="000F115B" w:rsidRDefault="000F115B" w:rsidP="000F115B">
      <w:pPr>
        <w:pStyle w:val="Heading4"/>
        <w:rPr>
          <w:rFonts w:eastAsia="Helvetica" w:cs="Helvetica"/>
        </w:rPr>
      </w:pPr>
      <w:r>
        <w:t>E</w:t>
      </w:r>
      <w:r w:rsidRPr="00E87177">
        <w:t>xpanded program reach</w:t>
      </w:r>
    </w:p>
    <w:p w14:paraId="25DBCD21" w14:textId="4A12070D" w:rsidR="00F86544" w:rsidRDefault="00F86544" w:rsidP="00F86544">
      <w:pPr>
        <w:rPr>
          <w:rFonts w:eastAsia="Helvetica" w:cs="Helvetica"/>
        </w:rPr>
      </w:pPr>
      <w:r>
        <w:rPr>
          <w:rFonts w:eastAsia="Helvetica" w:cs="Helvetica"/>
        </w:rPr>
        <w:t>CAP</w:t>
      </w:r>
      <w:r w:rsidRPr="002E1C7F">
        <w:rPr>
          <w:rFonts w:eastAsia="Helvetica" w:cs="Helvetica"/>
        </w:rPr>
        <w:t xml:space="preserve"> funding </w:t>
      </w:r>
      <w:r>
        <w:rPr>
          <w:rFonts w:eastAsia="Helvetica" w:cs="Helvetica"/>
        </w:rPr>
        <w:t>has expanded the opportunities for services to reach a greater geographical area with increased services through increased staff and program funding</w:t>
      </w:r>
      <w:r w:rsidRPr="002E1C7F">
        <w:rPr>
          <w:rFonts w:eastAsia="Helvetica" w:cs="Helvetica"/>
        </w:rPr>
        <w:t>.</w:t>
      </w:r>
      <w:r w:rsidR="00006A76">
        <w:rPr>
          <w:rStyle w:val="FootnoteReference"/>
          <w:rFonts w:eastAsia="Helvetica" w:cs="Helvetica"/>
        </w:rPr>
        <w:t xml:space="preserve"> </w:t>
      </w:r>
      <w:r w:rsidRPr="00BA06C3">
        <w:rPr>
          <w:rFonts w:eastAsia="Helvetica" w:cs="Helvetica"/>
        </w:rPr>
        <w:t xml:space="preserve"> </w:t>
      </w:r>
      <w:r>
        <w:rPr>
          <w:rFonts w:eastAsia="Helvetica" w:cs="Helvetica"/>
        </w:rPr>
        <w:t>This has</w:t>
      </w:r>
      <w:r w:rsidRPr="00BA06C3">
        <w:rPr>
          <w:rFonts w:eastAsia="Helvetica" w:cs="Helvetica"/>
        </w:rPr>
        <w:t xml:space="preserve"> increase</w:t>
      </w:r>
      <w:r>
        <w:rPr>
          <w:rFonts w:eastAsia="Helvetica" w:cs="Helvetica"/>
        </w:rPr>
        <w:t>d</w:t>
      </w:r>
      <w:r w:rsidRPr="00BA06C3">
        <w:rPr>
          <w:rFonts w:eastAsia="Helvetica" w:cs="Helvetica"/>
        </w:rPr>
        <w:t xml:space="preserve"> service access for those in need, </w:t>
      </w:r>
      <w:r>
        <w:rPr>
          <w:rFonts w:eastAsia="Helvetica" w:cs="Helvetica"/>
        </w:rPr>
        <w:t xml:space="preserve">which for one service </w:t>
      </w:r>
      <w:r w:rsidRPr="00BA06C3">
        <w:rPr>
          <w:rFonts w:eastAsia="Helvetica" w:cs="Helvetica"/>
        </w:rPr>
        <w:t>particularly i</w:t>
      </w:r>
      <w:r>
        <w:rPr>
          <w:rFonts w:eastAsia="Helvetica" w:cs="Helvetica"/>
        </w:rPr>
        <w:t>mpacts</w:t>
      </w:r>
      <w:r w:rsidRPr="00BA06C3">
        <w:rPr>
          <w:rFonts w:eastAsia="Helvetica" w:cs="Helvetica"/>
        </w:rPr>
        <w:t xml:space="preserve"> three remote communities</w:t>
      </w:r>
      <w:r>
        <w:rPr>
          <w:rFonts w:eastAsia="Helvetica" w:cs="Helvetica"/>
        </w:rPr>
        <w:t xml:space="preserve">. </w:t>
      </w:r>
      <w:r w:rsidRPr="00BA06C3">
        <w:rPr>
          <w:rFonts w:eastAsia="Helvetica" w:cs="Helvetica"/>
        </w:rPr>
        <w:t xml:space="preserve">This service </w:t>
      </w:r>
      <w:r>
        <w:rPr>
          <w:rFonts w:eastAsia="Helvetica" w:cs="Helvetica"/>
        </w:rPr>
        <w:t xml:space="preserve">also </w:t>
      </w:r>
      <w:r w:rsidRPr="00BA06C3">
        <w:rPr>
          <w:rFonts w:eastAsia="Helvetica" w:cs="Helvetica"/>
        </w:rPr>
        <w:t xml:space="preserve">noted that </w:t>
      </w:r>
      <w:r>
        <w:rPr>
          <w:rFonts w:eastAsia="Helvetica" w:cs="Helvetica"/>
        </w:rPr>
        <w:t xml:space="preserve">CAP </w:t>
      </w:r>
      <w:r w:rsidRPr="00BA06C3">
        <w:rPr>
          <w:rFonts w:eastAsia="Helvetica" w:cs="Helvetica"/>
        </w:rPr>
        <w:t xml:space="preserve">funding has enabled them to work on areas of need that otherwise </w:t>
      </w:r>
      <w:r>
        <w:rPr>
          <w:rFonts w:eastAsia="Helvetica" w:cs="Helvetica"/>
        </w:rPr>
        <w:t>would be left unattended, such as strategic planning, that allows them to invest into organisation sustainability</w:t>
      </w:r>
      <w:r w:rsidRPr="00BA06C3">
        <w:rPr>
          <w:rFonts w:eastAsia="Helvetica" w:cs="Helvetica"/>
        </w:rPr>
        <w:t>.</w:t>
      </w:r>
      <w:r w:rsidR="00006A76">
        <w:rPr>
          <w:rStyle w:val="FootnoteReference"/>
          <w:rFonts w:eastAsia="Helvetica" w:cs="Helvetica"/>
        </w:rPr>
        <w:t xml:space="preserve"> </w:t>
      </w:r>
    </w:p>
    <w:p w14:paraId="50BBD2AB" w14:textId="0C7BBFD9" w:rsidR="00B21261" w:rsidRPr="005E7EA1" w:rsidRDefault="00CD4790" w:rsidP="00DA4528">
      <w:pPr>
        <w:rPr>
          <w:rFonts w:eastAsia="Helvetica" w:cs="Helvetica"/>
        </w:rPr>
      </w:pPr>
      <w:r w:rsidRPr="6CD5B2AA">
        <w:t>CAP f</w:t>
      </w:r>
      <w:r w:rsidR="4E9262DF" w:rsidRPr="6CD5B2AA">
        <w:t xml:space="preserve">unding has also expanded service reach to </w:t>
      </w:r>
      <w:r w:rsidRPr="6CD5B2AA">
        <w:t>some</w:t>
      </w:r>
      <w:r w:rsidR="4E9262DF" w:rsidRPr="6CD5B2AA">
        <w:t xml:space="preserve"> remote communities </w:t>
      </w:r>
      <w:r w:rsidR="007357CC" w:rsidRPr="6CD5B2AA">
        <w:t>through</w:t>
      </w:r>
      <w:r w:rsidR="4E9262DF" w:rsidRPr="6CD5B2AA">
        <w:t xml:space="preserve"> innovative service provision</w:t>
      </w:r>
      <w:r w:rsidR="0C089968" w:rsidRPr="6CD5B2AA">
        <w:t xml:space="preserve">, with one service </w:t>
      </w:r>
      <w:r w:rsidR="7F08AB30" w:rsidRPr="6CD5B2AA">
        <w:t>expanding their</w:t>
      </w:r>
      <w:r w:rsidR="0C089968" w:rsidRPr="6CD5B2AA">
        <w:t xml:space="preserve"> youth </w:t>
      </w:r>
      <w:r w:rsidR="2D40A3FD" w:rsidRPr="6CD5B2AA">
        <w:t>s</w:t>
      </w:r>
      <w:r w:rsidR="64FF830E" w:rsidRPr="6CD5B2AA">
        <w:t>ervice delivery through the purchase of</w:t>
      </w:r>
      <w:r w:rsidR="4E9262DF" w:rsidRPr="6CD5B2AA">
        <w:t xml:space="preserve"> </w:t>
      </w:r>
      <w:r w:rsidR="009F6BBA" w:rsidRPr="6CD5B2AA">
        <w:t>a mobile bus</w:t>
      </w:r>
      <w:r w:rsidR="33AFBB16" w:rsidRPr="6CD5B2AA">
        <w:t xml:space="preserve"> under CAP funding</w:t>
      </w:r>
      <w:r w:rsidR="4B10C4F5" w:rsidRPr="6CD5B2AA">
        <w:t xml:space="preserve">. </w:t>
      </w:r>
      <w:r w:rsidR="4825140C" w:rsidRPr="6CD5B2AA">
        <w:rPr>
          <w:rFonts w:eastAsia="Helvetica" w:cs="Helvetica"/>
        </w:rPr>
        <w:t xml:space="preserve"> The </w:t>
      </w:r>
      <w:r w:rsidR="4E9262DF" w:rsidRPr="6CD5B2AA">
        <w:rPr>
          <w:rFonts w:eastAsia="Helvetica" w:cs="Helvetica"/>
        </w:rPr>
        <w:t xml:space="preserve">service was funded </w:t>
      </w:r>
      <w:r w:rsidR="4825140C" w:rsidRPr="6CD5B2AA">
        <w:rPr>
          <w:rFonts w:eastAsia="Helvetica" w:cs="Helvetica"/>
        </w:rPr>
        <w:t xml:space="preserve">to acquire the </w:t>
      </w:r>
      <w:r w:rsidR="1F69B264" w:rsidRPr="6CD5B2AA">
        <w:rPr>
          <w:rFonts w:eastAsia="Helvetica" w:cs="Helvetica"/>
        </w:rPr>
        <w:t>mobile bus</w:t>
      </w:r>
      <w:r w:rsidR="4E9262DF" w:rsidRPr="6CD5B2AA">
        <w:rPr>
          <w:rFonts w:eastAsia="Helvetica" w:cs="Helvetica"/>
        </w:rPr>
        <w:t xml:space="preserve"> </w:t>
      </w:r>
      <w:r w:rsidR="31DCAFF5" w:rsidRPr="6CD5B2AA">
        <w:rPr>
          <w:rFonts w:eastAsia="Helvetica" w:cs="Helvetica"/>
        </w:rPr>
        <w:t>for the delivery of</w:t>
      </w:r>
      <w:r w:rsidR="4E9262DF" w:rsidRPr="6CD5B2AA">
        <w:rPr>
          <w:rFonts w:eastAsia="Helvetica" w:cs="Helvetica"/>
        </w:rPr>
        <w:t xml:space="preserve"> </w:t>
      </w:r>
      <w:r w:rsidR="4825140C" w:rsidRPr="6CD5B2AA">
        <w:rPr>
          <w:rFonts w:eastAsia="Helvetica" w:cs="Helvetica"/>
        </w:rPr>
        <w:t>a specific youth</w:t>
      </w:r>
      <w:r w:rsidR="4E9262DF" w:rsidRPr="6CD5B2AA">
        <w:rPr>
          <w:rFonts w:eastAsia="Helvetica" w:cs="Helvetica"/>
        </w:rPr>
        <w:t xml:space="preserve"> program</w:t>
      </w:r>
      <w:r w:rsidR="4825140C" w:rsidRPr="6CD5B2AA">
        <w:rPr>
          <w:rFonts w:eastAsia="Helvetica" w:cs="Helvetica"/>
        </w:rPr>
        <w:t>; however, they have effectively</w:t>
      </w:r>
      <w:r w:rsidR="51B2936E" w:rsidRPr="6CD5B2AA">
        <w:rPr>
          <w:rFonts w:eastAsia="Helvetica" w:cs="Helvetica"/>
        </w:rPr>
        <w:t xml:space="preserve"> leveraged </w:t>
      </w:r>
      <w:r w:rsidR="4825140C" w:rsidRPr="6CD5B2AA">
        <w:rPr>
          <w:rFonts w:eastAsia="Helvetica" w:cs="Helvetica"/>
        </w:rPr>
        <w:t xml:space="preserve">this resource to enhance and expand the delivery of </w:t>
      </w:r>
      <w:r w:rsidR="381E95F3" w:rsidRPr="6CD5B2AA">
        <w:rPr>
          <w:rFonts w:eastAsia="Helvetica" w:cs="Helvetica"/>
        </w:rPr>
        <w:t xml:space="preserve">their other </w:t>
      </w:r>
      <w:r w:rsidR="4E9262DF" w:rsidRPr="6CD5B2AA">
        <w:rPr>
          <w:rFonts w:eastAsia="Helvetica" w:cs="Helvetica"/>
        </w:rPr>
        <w:t xml:space="preserve">existing </w:t>
      </w:r>
      <w:r w:rsidR="4825140C" w:rsidRPr="6CD5B2AA">
        <w:rPr>
          <w:rFonts w:eastAsia="Helvetica" w:cs="Helvetica"/>
        </w:rPr>
        <w:t>services</w:t>
      </w:r>
      <w:r w:rsidR="4E9262DF" w:rsidRPr="6CD5B2AA">
        <w:rPr>
          <w:rFonts w:eastAsia="Helvetica" w:cs="Helvetica"/>
        </w:rPr>
        <w:t xml:space="preserve">, </w:t>
      </w:r>
      <w:r w:rsidR="51B2936E" w:rsidRPr="6CD5B2AA">
        <w:rPr>
          <w:rFonts w:eastAsia="Helvetica" w:cs="Helvetica"/>
        </w:rPr>
        <w:t xml:space="preserve">thereby broadening their overall service </w:t>
      </w:r>
      <w:r w:rsidR="4E9262DF" w:rsidRPr="6CD5B2AA">
        <w:rPr>
          <w:rFonts w:eastAsia="Helvetica" w:cs="Helvetica"/>
        </w:rPr>
        <w:t>reach</w:t>
      </w:r>
      <w:r w:rsidR="51B2936E" w:rsidRPr="6CD5B2AA">
        <w:rPr>
          <w:rFonts w:eastAsia="Helvetica" w:cs="Helvetica"/>
        </w:rPr>
        <w:t>.</w:t>
      </w:r>
      <w:r w:rsidR="005E7EA1" w:rsidRPr="6CD5B2AA">
        <w:rPr>
          <w:rFonts w:eastAsia="Helvetica" w:cs="Helvetica"/>
        </w:rPr>
        <w:t xml:space="preserve"> </w:t>
      </w:r>
      <w:r w:rsidR="513502E9" w:rsidRPr="6CD5B2AA">
        <w:rPr>
          <w:rFonts w:eastAsia="Helvetica" w:cs="Helvetica"/>
        </w:rPr>
        <w:t>W</w:t>
      </w:r>
      <w:r w:rsidR="55E6FC50" w:rsidRPr="6CD5B2AA">
        <w:rPr>
          <w:rFonts w:eastAsia="Helvetica" w:cs="Helvetica"/>
        </w:rPr>
        <w:t xml:space="preserve">hile </w:t>
      </w:r>
      <w:r w:rsidR="271AE264" w:rsidRPr="6CD5B2AA">
        <w:rPr>
          <w:rFonts w:eastAsia="Helvetica" w:cs="Helvetica"/>
        </w:rPr>
        <w:t xml:space="preserve">the </w:t>
      </w:r>
      <w:r w:rsidR="4E9262DF" w:rsidRPr="6CD5B2AA">
        <w:rPr>
          <w:rFonts w:eastAsia="Helvetica" w:cs="Helvetica"/>
        </w:rPr>
        <w:t xml:space="preserve">funding has </w:t>
      </w:r>
      <w:r w:rsidR="271AE264" w:rsidRPr="6CD5B2AA">
        <w:rPr>
          <w:rFonts w:eastAsia="Helvetica" w:cs="Helvetica"/>
        </w:rPr>
        <w:t xml:space="preserve">enabled </w:t>
      </w:r>
      <w:r w:rsidR="774240B9" w:rsidRPr="6CD5B2AA">
        <w:rPr>
          <w:rFonts w:eastAsia="Helvetica" w:cs="Helvetica"/>
        </w:rPr>
        <w:t>general service</w:t>
      </w:r>
      <w:r w:rsidR="271AE264" w:rsidRPr="6CD5B2AA">
        <w:rPr>
          <w:rFonts w:eastAsia="Helvetica" w:cs="Helvetica"/>
        </w:rPr>
        <w:t xml:space="preserve"> expansion</w:t>
      </w:r>
      <w:r w:rsidR="4E9262DF" w:rsidRPr="6CD5B2AA">
        <w:rPr>
          <w:rFonts w:eastAsia="Helvetica" w:cs="Helvetica"/>
        </w:rPr>
        <w:t xml:space="preserve">, limitations </w:t>
      </w:r>
      <w:r w:rsidR="271AE264" w:rsidRPr="6CD5B2AA">
        <w:rPr>
          <w:rFonts w:eastAsia="Helvetica" w:cs="Helvetica"/>
        </w:rPr>
        <w:t>within</w:t>
      </w:r>
      <w:r w:rsidR="4E9262DF" w:rsidRPr="6CD5B2AA">
        <w:rPr>
          <w:rFonts w:eastAsia="Helvetica" w:cs="Helvetica"/>
        </w:rPr>
        <w:t xml:space="preserve"> CAP funding </w:t>
      </w:r>
      <w:r w:rsidR="271AE264" w:rsidRPr="6CD5B2AA">
        <w:rPr>
          <w:rFonts w:eastAsia="Helvetica" w:cs="Helvetica"/>
        </w:rPr>
        <w:t>require service providers to seek alternative sources</w:t>
      </w:r>
      <w:r w:rsidR="4E9262DF" w:rsidRPr="6CD5B2AA">
        <w:rPr>
          <w:rFonts w:eastAsia="Helvetica" w:cs="Helvetica"/>
        </w:rPr>
        <w:t xml:space="preserve"> to cover </w:t>
      </w:r>
      <w:r w:rsidR="271AE264" w:rsidRPr="6CD5B2AA">
        <w:rPr>
          <w:rFonts w:eastAsia="Helvetica" w:cs="Helvetica"/>
        </w:rPr>
        <w:t xml:space="preserve">ongoing costs such as </w:t>
      </w:r>
      <w:r w:rsidR="4E9262DF" w:rsidRPr="6CD5B2AA">
        <w:rPr>
          <w:rFonts w:eastAsia="Helvetica" w:cs="Helvetica"/>
        </w:rPr>
        <w:t xml:space="preserve">maintenance, staffing, and </w:t>
      </w:r>
      <w:r w:rsidR="271AE264" w:rsidRPr="6CD5B2AA">
        <w:rPr>
          <w:rFonts w:eastAsia="Helvetica" w:cs="Helvetica"/>
        </w:rPr>
        <w:t>operations associated with</w:t>
      </w:r>
      <w:r w:rsidR="4E9262DF" w:rsidRPr="6CD5B2AA">
        <w:rPr>
          <w:rFonts w:eastAsia="Helvetica" w:cs="Helvetica"/>
        </w:rPr>
        <w:t xml:space="preserve"> the portable facility.</w:t>
      </w:r>
      <w:r w:rsidR="00006A76">
        <w:rPr>
          <w:rStyle w:val="FootnoteReference"/>
          <w:rFonts w:eastAsia="Helvetica" w:cs="Helvetica"/>
        </w:rPr>
        <w:t xml:space="preserve"> </w:t>
      </w:r>
      <w:r w:rsidR="4E9262DF" w:rsidRPr="6CD5B2AA">
        <w:rPr>
          <w:rFonts w:eastAsia="Helvetica" w:cs="Helvetica"/>
        </w:rPr>
        <w:t xml:space="preserve"> </w:t>
      </w:r>
      <w:r w:rsidR="00F246B5" w:rsidRPr="6CD5B2AA">
        <w:rPr>
          <w:rFonts w:eastAsia="Helvetica" w:cs="Helvetica"/>
        </w:rPr>
        <w:t>This is reflective of other stakeholder concerns that funding have not appropriately planned for project sustainability.</w:t>
      </w:r>
    </w:p>
    <w:p w14:paraId="45D3661E" w14:textId="55FD6DCF" w:rsidR="74C0BEED" w:rsidRDefault="000F115B" w:rsidP="000F115B">
      <w:pPr>
        <w:pStyle w:val="Heading3"/>
      </w:pPr>
      <w:r>
        <w:t>General community progress towards early outcomes</w:t>
      </w:r>
    </w:p>
    <w:p w14:paraId="3F1A425E" w14:textId="2CD1149D" w:rsidR="00AE7E3F" w:rsidRDefault="4E9262DF" w:rsidP="00DA4528">
      <w:r>
        <w:t>A</w:t>
      </w:r>
      <w:r w:rsidRPr="007E45AB">
        <w:t>ssessing early improvements in life and community outcomes under the CAP is challenging given the investment is still in the early stages of implementation</w:t>
      </w:r>
      <w:r>
        <w:t>, indicating that it may take years to see the effects of initiatives</w:t>
      </w:r>
      <w:r w:rsidRPr="007E45AB">
        <w:t>.</w:t>
      </w:r>
      <w:r w:rsidR="00006A76">
        <w:rPr>
          <w:rStyle w:val="FootnoteReference"/>
        </w:rPr>
        <w:t xml:space="preserve"> </w:t>
      </w:r>
      <w:r w:rsidRPr="007E45AB">
        <w:t xml:space="preserve"> While </w:t>
      </w:r>
      <w:r w:rsidR="00CB6917">
        <w:t xml:space="preserve">all </w:t>
      </w:r>
      <w:r w:rsidRPr="009F1F71">
        <w:t>of</w:t>
      </w:r>
      <w:r w:rsidR="0067096C" w:rsidRPr="009F1F71">
        <w:t xml:space="preserve"> the</w:t>
      </w:r>
      <w:r w:rsidRPr="009F1F71">
        <w:t xml:space="preserve"> funding</w:t>
      </w:r>
      <w:r w:rsidRPr="007E45AB">
        <w:t xml:space="preserve"> has been </w:t>
      </w:r>
      <w:r w:rsidR="00CB6917">
        <w:t>allocated</w:t>
      </w:r>
      <w:r w:rsidR="00500325">
        <w:t xml:space="preserve"> and $156 million</w:t>
      </w:r>
      <w:r w:rsidRPr="007E45AB">
        <w:t xml:space="preserve"> has been committed</w:t>
      </w:r>
      <w:r>
        <w:t xml:space="preserve"> </w:t>
      </w:r>
      <w:r w:rsidR="00E3176C" w:rsidRPr="00D859F0">
        <w:t>through</w:t>
      </w:r>
      <w:r w:rsidR="00E3176C">
        <w:t xml:space="preserve"> </w:t>
      </w:r>
      <w:r w:rsidR="00E3176C" w:rsidRPr="00D859F0">
        <w:t>financial arrangement</w:t>
      </w:r>
      <w:r w:rsidR="00E3176C">
        <w:t>s</w:t>
      </w:r>
      <w:r w:rsidR="00E3176C" w:rsidRPr="00D859F0">
        <w:t xml:space="preserve"> with provider</w:t>
      </w:r>
      <w:r w:rsidR="00E3176C">
        <w:t xml:space="preserve">s </w:t>
      </w:r>
      <w:r w:rsidRPr="007E45AB">
        <w:t xml:space="preserve">to specific projects under the CAP, many projects are still in early stages </w:t>
      </w:r>
      <w:r w:rsidR="002C3025">
        <w:t xml:space="preserve">of development </w:t>
      </w:r>
      <w:r w:rsidRPr="007E45AB">
        <w:t>and are not yet being delivered, with challenges of procurement and workforce availability contributing to delays.</w:t>
      </w:r>
      <w:r w:rsidR="00006A76">
        <w:rPr>
          <w:rStyle w:val="FootnoteReference"/>
        </w:rPr>
        <w:t xml:space="preserve"> </w:t>
      </w:r>
      <w:r w:rsidRPr="007E45AB">
        <w:t xml:space="preserve"> Some service providers also noted project delays </w:t>
      </w:r>
      <w:r w:rsidR="004208D4">
        <w:t xml:space="preserve">due to </w:t>
      </w:r>
      <w:r w:rsidR="009A2764">
        <w:t xml:space="preserve">late </w:t>
      </w:r>
      <w:r w:rsidR="00A20574">
        <w:t>paymen</w:t>
      </w:r>
      <w:r w:rsidR="005E314F">
        <w:t>t</w:t>
      </w:r>
      <w:r w:rsidR="009A2764">
        <w:t>s by government</w:t>
      </w:r>
      <w:r>
        <w:t>.</w:t>
      </w:r>
      <w:r w:rsidR="00006A76">
        <w:rPr>
          <w:rStyle w:val="FootnoteReference"/>
        </w:rPr>
        <w:t xml:space="preserve"> </w:t>
      </w:r>
      <w:r w:rsidRPr="007E45AB">
        <w:t xml:space="preserve"> </w:t>
      </w:r>
    </w:p>
    <w:p w14:paraId="22B9543A" w14:textId="7B27C0BE" w:rsidR="00B21261" w:rsidRDefault="4E9262DF" w:rsidP="00DA4528">
      <w:pPr>
        <w:rPr>
          <w:rFonts w:eastAsia="Helvetica" w:cs="Helvetica"/>
        </w:rPr>
      </w:pPr>
      <w:r w:rsidRPr="007E45AB">
        <w:t xml:space="preserve">It is important to note that many of the initiatives funded under the CAP seek to achieve long term behaviour change, of which there may be </w:t>
      </w:r>
      <w:r w:rsidRPr="007E45AB">
        <w:rPr>
          <w:rFonts w:eastAsia="Helvetica" w:cs="Helvetica"/>
        </w:rPr>
        <w:t>limited evidence in the short term.</w:t>
      </w:r>
      <w:r w:rsidRPr="002B103A">
        <w:rPr>
          <w:rFonts w:eastAsia="Helvetica" w:cs="Helvetica"/>
        </w:rPr>
        <w:t xml:space="preserve"> </w:t>
      </w:r>
      <w:r w:rsidR="00B21261" w:rsidRPr="0AB64E29">
        <w:rPr>
          <w:rFonts w:eastAsia="Helvetica" w:cs="Helvetica"/>
        </w:rPr>
        <w:t xml:space="preserve">Some indications of short-term community outcomes were identified by stakeholders as the result of projects that had been successfully delivered. </w:t>
      </w:r>
    </w:p>
    <w:p w14:paraId="1C299280" w14:textId="12E4D201" w:rsidR="00B21261" w:rsidRDefault="00B21261" w:rsidP="000F115B">
      <w:pPr>
        <w:pStyle w:val="Heading4"/>
        <w:rPr>
          <w:rFonts w:eastAsia="Helvetica" w:cs="Helvetica"/>
        </w:rPr>
      </w:pPr>
      <w:r w:rsidRPr="00E966CC">
        <w:t xml:space="preserve">Youth education and local workforce </w:t>
      </w:r>
    </w:p>
    <w:p w14:paraId="01CB86D0" w14:textId="733C167E" w:rsidR="006E02D2" w:rsidRDefault="006A1941" w:rsidP="00DA4528">
      <w:pPr>
        <w:rPr>
          <w:rFonts w:eastAsia="Helvetica" w:cs="Helvetica"/>
        </w:rPr>
      </w:pPr>
      <w:r w:rsidRPr="1A31B231">
        <w:rPr>
          <w:rFonts w:eastAsia="Helvetica" w:cs="Helvetica"/>
        </w:rPr>
        <w:t xml:space="preserve">Approximately $40 million </w:t>
      </w:r>
      <w:r w:rsidR="00B21261" w:rsidRPr="1A31B231">
        <w:rPr>
          <w:rFonts w:eastAsia="Helvetica" w:cs="Helvetica"/>
        </w:rPr>
        <w:t xml:space="preserve">CAP funding </w:t>
      </w:r>
      <w:r w:rsidR="00BB3E37">
        <w:t xml:space="preserve">committed through a financial arrangement with a provider </w:t>
      </w:r>
      <w:r w:rsidRPr="1A31B231">
        <w:rPr>
          <w:rFonts w:eastAsia="Helvetica" w:cs="Helvetica"/>
        </w:rPr>
        <w:t>aligns with the</w:t>
      </w:r>
      <w:r w:rsidR="00B21261" w:rsidRPr="1A31B231">
        <w:rPr>
          <w:rFonts w:eastAsia="Helvetica" w:cs="Helvetica"/>
        </w:rPr>
        <w:t xml:space="preserve"> </w:t>
      </w:r>
      <w:r w:rsidR="00FA13E6">
        <w:rPr>
          <w:rFonts w:eastAsia="Helvetica" w:cs="Helvetica"/>
        </w:rPr>
        <w:t>National Agreement</w:t>
      </w:r>
      <w:r w:rsidR="00B21261" w:rsidRPr="1A31B231">
        <w:rPr>
          <w:rFonts w:eastAsia="Helvetica" w:cs="Helvetica"/>
        </w:rPr>
        <w:t xml:space="preserve"> Target 7 “Aboriginal and Torres Strait Islander youth are engaged in employment or education”</w:t>
      </w:r>
      <w:r w:rsidR="007B7786" w:rsidRPr="1A31B231">
        <w:rPr>
          <w:rFonts w:eastAsia="Helvetica" w:cs="Helvetica"/>
        </w:rPr>
        <w:t xml:space="preserve">. This represents one of the </w:t>
      </w:r>
      <w:r w:rsidR="00B21261" w:rsidRPr="1A31B231">
        <w:rPr>
          <w:rFonts w:eastAsia="Helvetica" w:cs="Helvetica"/>
        </w:rPr>
        <w:t xml:space="preserve">largest commitments </w:t>
      </w:r>
      <w:r w:rsidR="00801A81" w:rsidRPr="1A31B231">
        <w:rPr>
          <w:rFonts w:eastAsia="Helvetica" w:cs="Helvetica"/>
        </w:rPr>
        <w:t xml:space="preserve">to </w:t>
      </w:r>
      <w:r w:rsidR="00FA13E6">
        <w:rPr>
          <w:rFonts w:eastAsia="Helvetica" w:cs="Helvetica"/>
        </w:rPr>
        <w:t>National Agreement</w:t>
      </w:r>
      <w:r w:rsidR="00801A81" w:rsidRPr="1A31B231">
        <w:rPr>
          <w:rFonts w:eastAsia="Helvetica" w:cs="Helvetica"/>
        </w:rPr>
        <w:t xml:space="preserve"> </w:t>
      </w:r>
      <w:r w:rsidR="003343AE">
        <w:rPr>
          <w:rFonts w:eastAsia="Helvetica" w:cs="Helvetica"/>
        </w:rPr>
        <w:t>O</w:t>
      </w:r>
      <w:r w:rsidR="00801A81" w:rsidRPr="1A31B231">
        <w:rPr>
          <w:rFonts w:eastAsia="Helvetica" w:cs="Helvetica"/>
        </w:rPr>
        <w:t xml:space="preserve">utcome </w:t>
      </w:r>
      <w:r w:rsidR="003343AE">
        <w:rPr>
          <w:rFonts w:eastAsia="Helvetica" w:cs="Helvetica"/>
        </w:rPr>
        <w:t>A</w:t>
      </w:r>
      <w:r w:rsidR="00801A81" w:rsidRPr="1A31B231">
        <w:rPr>
          <w:rFonts w:eastAsia="Helvetica" w:cs="Helvetica"/>
        </w:rPr>
        <w:t xml:space="preserve">reas </w:t>
      </w:r>
      <w:r w:rsidR="00B21261" w:rsidRPr="1A31B231">
        <w:rPr>
          <w:rFonts w:eastAsia="Helvetica" w:cs="Helvetica"/>
        </w:rPr>
        <w:t xml:space="preserve">in the </w:t>
      </w:r>
      <w:r w:rsidR="00E966CC" w:rsidRPr="1A31B231">
        <w:rPr>
          <w:rFonts w:eastAsia="Helvetica" w:cs="Helvetica"/>
        </w:rPr>
        <w:t>CAP</w:t>
      </w:r>
      <w:r w:rsidR="00B21261" w:rsidRPr="1A31B231">
        <w:rPr>
          <w:rFonts w:eastAsia="Helvetica" w:cs="Helvetica"/>
        </w:rPr>
        <w:t xml:space="preserve"> in terms of the value of projects funded (although this also includes projects that address other outcome areas simultaneously).</w:t>
      </w:r>
      <w:r w:rsidR="002608BA" w:rsidRPr="1A31B231">
        <w:rPr>
          <w:rFonts w:eastAsia="Helvetica" w:cs="Helvetica"/>
        </w:rPr>
        <w:t xml:space="preserve">   </w:t>
      </w:r>
    </w:p>
    <w:p w14:paraId="254856E4" w14:textId="77777777" w:rsidR="003343AE" w:rsidRDefault="4E9262DF" w:rsidP="6CD5B2AA">
      <w:r w:rsidRPr="00AB7EE0">
        <w:t xml:space="preserve">Community outcomes in Central Australia schooling are improving through On-Country learning agreements and </w:t>
      </w:r>
      <w:r w:rsidR="782139EF" w:rsidRPr="00AB7EE0">
        <w:t>Local Decision-Making (</w:t>
      </w:r>
      <w:r w:rsidRPr="00AB7EE0">
        <w:t>LDM</w:t>
      </w:r>
      <w:r w:rsidR="782139EF" w:rsidRPr="00AB7EE0">
        <w:t>)</w:t>
      </w:r>
      <w:r w:rsidRPr="00AB7EE0">
        <w:t xml:space="preserve"> framework integration, which allow</w:t>
      </w:r>
      <w:r w:rsidR="00460EBF" w:rsidRPr="00AB7EE0">
        <w:t>s</w:t>
      </w:r>
      <w:r w:rsidRPr="00AB7EE0">
        <w:t xml:space="preserve"> for valuable system-wide learning and improved school planning across the Territory.</w:t>
      </w:r>
      <w:r w:rsidR="003343AE">
        <w:rPr>
          <w:rFonts w:cs="Helvetica"/>
        </w:rPr>
        <w:t xml:space="preserve"> </w:t>
      </w:r>
      <w:r w:rsidRPr="00AB7EE0">
        <w:t xml:space="preserve">CAP funding for On-Country learning </w:t>
      </w:r>
      <w:r w:rsidR="00086567" w:rsidRPr="00AB7EE0">
        <w:t>is</w:t>
      </w:r>
      <w:r w:rsidRPr="00AB7EE0">
        <w:t xml:space="preserve"> reported to </w:t>
      </w:r>
      <w:r w:rsidR="00086567" w:rsidRPr="00AB7EE0">
        <w:t>allow</w:t>
      </w:r>
      <w:r w:rsidRPr="00AB7EE0">
        <w:t xml:space="preserve"> schools to hire more staff and run community-based activities.</w:t>
      </w:r>
      <w:r w:rsidR="00006A76">
        <w:rPr>
          <w:rStyle w:val="FootnoteReference"/>
          <w:rFonts w:cs="Helvetica"/>
        </w:rPr>
        <w:t xml:space="preserve"> </w:t>
      </w:r>
      <w:r w:rsidRPr="00AB7EE0">
        <w:t xml:space="preserve"> </w:t>
      </w:r>
    </w:p>
    <w:p w14:paraId="5B45F239" w14:textId="77777777" w:rsidR="003343AE" w:rsidRDefault="435CFD36" w:rsidP="6CD5B2AA">
      <w:r w:rsidRPr="00AB7EE0">
        <w:t>All 44 Central Australia</w:t>
      </w:r>
      <w:r w:rsidR="00E966CC" w:rsidRPr="00AB7EE0">
        <w:t>n</w:t>
      </w:r>
      <w:r w:rsidRPr="00AB7EE0">
        <w:t xml:space="preserve"> schools receiving funding for On-Country learning </w:t>
      </w:r>
      <w:r w:rsidR="005A6639" w:rsidRPr="00AB7EE0">
        <w:t xml:space="preserve">have </w:t>
      </w:r>
      <w:r w:rsidRPr="00AB7EE0">
        <w:t xml:space="preserve">developed community-led School Action Plans to implement new ways of learning and support for young people, with a focus </w:t>
      </w:r>
      <w:r w:rsidR="03234227" w:rsidRPr="00AB7EE0">
        <w:t>on</w:t>
      </w:r>
      <w:r w:rsidRPr="00AB7EE0">
        <w:t xml:space="preserve"> </w:t>
      </w:r>
      <w:r w:rsidR="438AEAF0" w:rsidRPr="00AB7EE0">
        <w:t xml:space="preserve">improving school attendance and learning outcomes. </w:t>
      </w:r>
      <w:r w:rsidR="3F4A814C" w:rsidRPr="00AB7EE0">
        <w:t>A</w:t>
      </w:r>
      <w:r w:rsidR="5607F9F5" w:rsidRPr="00AB7EE0">
        <w:t xml:space="preserve">pproximately 210 </w:t>
      </w:r>
      <w:r w:rsidR="256ABAD4" w:rsidRPr="00AB7EE0">
        <w:t xml:space="preserve">staff </w:t>
      </w:r>
      <w:r w:rsidR="1E3E46C3" w:rsidRPr="00AB7EE0">
        <w:t>have been</w:t>
      </w:r>
      <w:r w:rsidR="4E9262DF" w:rsidRPr="00AB7EE0">
        <w:t xml:space="preserve"> </w:t>
      </w:r>
      <w:r w:rsidR="6743144D" w:rsidRPr="00AB7EE0">
        <w:t>employed</w:t>
      </w:r>
      <w:r w:rsidR="5607F9F5" w:rsidRPr="00AB7EE0">
        <w:t xml:space="preserve"> </w:t>
      </w:r>
      <w:r w:rsidR="09D4DBA6" w:rsidRPr="00AB7EE0">
        <w:t>under this measure</w:t>
      </w:r>
      <w:r w:rsidR="3C0D2F0B" w:rsidRPr="00AB7EE0">
        <w:t xml:space="preserve">, with </w:t>
      </w:r>
      <w:r w:rsidR="00567497" w:rsidRPr="00AB7EE0">
        <w:t>43</w:t>
      </w:r>
      <w:r w:rsidR="001D2ACD">
        <w:t>%</w:t>
      </w:r>
      <w:r w:rsidR="00846787" w:rsidRPr="00AB7EE0">
        <w:t xml:space="preserve"> </w:t>
      </w:r>
      <w:r w:rsidR="5A94814E" w:rsidRPr="00AB7EE0">
        <w:t xml:space="preserve">of </w:t>
      </w:r>
      <w:r w:rsidR="7EB60299" w:rsidRPr="00AB7EE0">
        <w:t>staff identifying as</w:t>
      </w:r>
      <w:r w:rsidR="5A94814E" w:rsidRPr="00AB7EE0">
        <w:t xml:space="preserve"> First Nations peoples,</w:t>
      </w:r>
      <w:r w:rsidR="4E9262DF" w:rsidRPr="00AB7EE0">
        <w:t xml:space="preserve"> increas</w:t>
      </w:r>
      <w:r w:rsidR="06A1AD63" w:rsidRPr="00AB7EE0">
        <w:t>ing</w:t>
      </w:r>
      <w:r w:rsidR="4E9262DF" w:rsidRPr="00AB7EE0">
        <w:t xml:space="preserve"> the employment of </w:t>
      </w:r>
      <w:r w:rsidR="004D6EB6" w:rsidRPr="00AB7EE0">
        <w:t>First Nations</w:t>
      </w:r>
      <w:r w:rsidR="4E9262DF" w:rsidRPr="00AB7EE0">
        <w:t xml:space="preserve"> people in schools</w:t>
      </w:r>
      <w:r w:rsidR="50164F59" w:rsidRPr="00AB7EE0">
        <w:t>.</w:t>
      </w:r>
      <w:r w:rsidR="4E9262DF" w:rsidRPr="00AB7EE0">
        <w:rPr>
          <w:rStyle w:val="FootnoteReference"/>
          <w:rFonts w:cs="Helvetica"/>
        </w:rPr>
        <w:footnoteReference w:id="57"/>
      </w:r>
    </w:p>
    <w:p w14:paraId="03BC5861" w14:textId="256A68EC" w:rsidR="00B21261" w:rsidRPr="00AB7EE0" w:rsidRDefault="20DE595B" w:rsidP="6CD5B2AA">
      <w:r w:rsidRPr="00AB7EE0">
        <w:lastRenderedPageBreak/>
        <w:t>Data</w:t>
      </w:r>
      <w:r w:rsidR="00AF36AE" w:rsidRPr="00AB7EE0">
        <w:t xml:space="preserve"> </w:t>
      </w:r>
      <w:r w:rsidR="00E22E23" w:rsidRPr="00AB7EE0">
        <w:t>suggest</w:t>
      </w:r>
      <w:r w:rsidR="642B60F8" w:rsidRPr="00AB7EE0">
        <w:t>s</w:t>
      </w:r>
      <w:r w:rsidR="00E22E23" w:rsidRPr="00AB7EE0">
        <w:t xml:space="preserve"> that </w:t>
      </w:r>
      <w:r w:rsidR="174D9DE4" w:rsidRPr="00AB7EE0">
        <w:t>th</w:t>
      </w:r>
      <w:r w:rsidR="3163F80C" w:rsidRPr="00AB7EE0">
        <w:t>e</w:t>
      </w:r>
      <w:r w:rsidR="3BCA164F" w:rsidRPr="00AB7EE0">
        <w:t xml:space="preserve"> CAP</w:t>
      </w:r>
      <w:r w:rsidR="4E9262DF" w:rsidRPr="00AB7EE0">
        <w:t xml:space="preserve"> </w:t>
      </w:r>
      <w:r w:rsidR="11C95BFF" w:rsidRPr="00AB7EE0">
        <w:t>has</w:t>
      </w:r>
      <w:r w:rsidR="4E9262DF" w:rsidRPr="00AB7EE0">
        <w:t xml:space="preserve"> contributed to a</w:t>
      </w:r>
      <w:r w:rsidR="31F29B62" w:rsidRPr="00AB7EE0">
        <w:t>n increase in students in VET,</w:t>
      </w:r>
      <w:r w:rsidR="4E9262DF" w:rsidRPr="00AB7EE0">
        <w:t xml:space="preserve"> </w:t>
      </w:r>
      <w:r w:rsidR="31F29B62" w:rsidRPr="00AB7EE0">
        <w:t>and</w:t>
      </w:r>
      <w:r w:rsidR="4E9262DF" w:rsidRPr="00AB7EE0">
        <w:t xml:space="preserve"> </w:t>
      </w:r>
      <w:r w:rsidR="31F29B62" w:rsidRPr="00AB7EE0">
        <w:t>a</w:t>
      </w:r>
      <w:r w:rsidR="4E9262DF" w:rsidRPr="00AB7EE0">
        <w:t xml:space="preserve"> reduction in school absenteeism among </w:t>
      </w:r>
      <w:r w:rsidR="004D6EB6" w:rsidRPr="00AB7EE0">
        <w:t xml:space="preserve">First Nations </w:t>
      </w:r>
      <w:r w:rsidR="4E9262DF" w:rsidRPr="00AB7EE0">
        <w:t>students</w:t>
      </w:r>
      <w:r w:rsidR="00392721" w:rsidRPr="00AB7EE0">
        <w:t>.</w:t>
      </w:r>
      <w:r w:rsidR="2CD4DE01" w:rsidRPr="00AB7EE0">
        <w:t xml:space="preserve"> </w:t>
      </w:r>
      <w:r w:rsidR="00392721" w:rsidRPr="00AB7EE0">
        <w:t>A</w:t>
      </w:r>
      <w:r w:rsidR="2CD4DE01" w:rsidRPr="00AB7EE0">
        <w:t xml:space="preserve">necdotal reports from </w:t>
      </w:r>
      <w:r w:rsidR="00D16C1D">
        <w:t>Australian</w:t>
      </w:r>
      <w:r w:rsidR="4E9262DF" w:rsidRPr="00AB7EE0" w:rsidDel="006E5649">
        <w:t xml:space="preserve"> Government</w:t>
      </w:r>
      <w:r w:rsidR="2CD4DE01" w:rsidRPr="1A31B231">
        <w:rPr>
          <w:i/>
          <w:iCs/>
        </w:rPr>
        <w:t xml:space="preserve"> </w:t>
      </w:r>
      <w:r w:rsidR="2CD4DE01" w:rsidRPr="00AB7EE0">
        <w:t xml:space="preserve">stakeholders </w:t>
      </w:r>
      <w:r w:rsidR="001B33E0" w:rsidRPr="00AB7EE0">
        <w:t>suggested that</w:t>
      </w:r>
      <w:r w:rsidR="28B48AC0" w:rsidRPr="00AB7EE0">
        <w:t xml:space="preserve"> the </w:t>
      </w:r>
      <w:r w:rsidR="0CAAFFDF" w:rsidRPr="00AB7EE0">
        <w:t>increase</w:t>
      </w:r>
      <w:r w:rsidR="28B48AC0" w:rsidRPr="00AB7EE0">
        <w:t xml:space="preserve"> of First Nations employment in schools </w:t>
      </w:r>
      <w:r w:rsidR="7977ADA7" w:rsidRPr="00AB7EE0">
        <w:t>is what has</w:t>
      </w:r>
      <w:r w:rsidR="7A856241" w:rsidRPr="00AB7EE0">
        <w:t xml:space="preserve"> improved</w:t>
      </w:r>
      <w:r w:rsidR="28B48AC0" w:rsidRPr="00AB7EE0">
        <w:t xml:space="preserve"> attendance levels</w:t>
      </w:r>
      <w:r w:rsidR="4E9262DF" w:rsidRPr="00AB7EE0">
        <w:t>.</w:t>
      </w:r>
    </w:p>
    <w:p w14:paraId="6B9745F2" w14:textId="6802FE7C" w:rsidR="00B21261" w:rsidRDefault="4E9262DF" w:rsidP="00DA4528">
      <w:pPr>
        <w:rPr>
          <w:rFonts w:eastAsia="Helvetica" w:cs="Helvetica"/>
        </w:rPr>
      </w:pPr>
      <w:r>
        <w:rPr>
          <w:rFonts w:eastAsia="Helvetica" w:cs="Helvetica"/>
        </w:rPr>
        <w:t>Expansion of funding for services has also increased general employment opportunities in the region.</w:t>
      </w:r>
      <w:r w:rsidR="00006A76">
        <w:rPr>
          <w:rStyle w:val="FootnoteReference"/>
          <w:rFonts w:eastAsia="Helvetica" w:cs="Helvetica"/>
        </w:rPr>
        <w:t xml:space="preserve"> </w:t>
      </w:r>
      <w:r>
        <w:rPr>
          <w:rFonts w:eastAsia="Helvetica" w:cs="Helvetica"/>
        </w:rPr>
        <w:t xml:space="preserve"> An improvement in workforce planning and the provision of vocational education and training was noted by some ALG members as a service that had previously not existed in community.</w:t>
      </w:r>
      <w:r w:rsidR="00006A76">
        <w:rPr>
          <w:rStyle w:val="FootnoteReference"/>
          <w:rFonts w:eastAsia="Helvetica" w:cs="Helvetica"/>
        </w:rPr>
        <w:t xml:space="preserve"> </w:t>
      </w:r>
    </w:p>
    <w:p w14:paraId="25634469" w14:textId="77777777" w:rsidR="00B21261" w:rsidRPr="004D6EB6" w:rsidRDefault="00B21261" w:rsidP="000F115B">
      <w:pPr>
        <w:pStyle w:val="Heading4"/>
      </w:pPr>
      <w:r>
        <w:t>Infrastructure</w:t>
      </w:r>
    </w:p>
    <w:p w14:paraId="16784815" w14:textId="6589C75E" w:rsidR="00460182" w:rsidRPr="00A04EDD" w:rsidRDefault="00460182" w:rsidP="1A31B231">
      <w:pPr>
        <w:keepNext/>
        <w:rPr>
          <w:b/>
          <w:bCs/>
        </w:rPr>
      </w:pPr>
      <w:r w:rsidRPr="00460182">
        <w:t xml:space="preserve">The CAP is providing funding for infrastructure investment under multiple streams, with a total of $63.6 million allocated and $45.8 million committed </w:t>
      </w:r>
      <w:r w:rsidR="00BB3E37" w:rsidRPr="00D859F0">
        <w:t>through financial arrangement</w:t>
      </w:r>
      <w:r w:rsidR="00826856">
        <w:t>s</w:t>
      </w:r>
      <w:r w:rsidR="00BB3E37">
        <w:t xml:space="preserve"> </w:t>
      </w:r>
      <w:r w:rsidRPr="00460182">
        <w:t xml:space="preserve">so far for infrastructure projects across areas including health, social infrastructure and telecommunications. This funding is meeting a different set of needs compared to those that are addressed through the </w:t>
      </w:r>
      <w:r w:rsidR="00D16C1D">
        <w:t>Australian</w:t>
      </w:r>
      <w:r w:rsidRPr="00141FEE" w:rsidDel="00FE3F26">
        <w:rPr>
          <w:rFonts w:eastAsia="Helvetica" w:cs="Helvetica"/>
        </w:rPr>
        <w:t xml:space="preserve"> </w:t>
      </w:r>
      <w:r w:rsidR="00FE3F26" w:rsidRPr="00141FEE">
        <w:rPr>
          <w:rFonts w:eastAsia="Helvetica" w:cs="Helvetica"/>
        </w:rPr>
        <w:t>Government</w:t>
      </w:r>
      <w:r w:rsidRPr="00141FEE">
        <w:rPr>
          <w:rFonts w:eastAsia="Helvetica" w:cs="Helvetica"/>
        </w:rPr>
        <w:t>’s</w:t>
      </w:r>
      <w:r w:rsidR="00C51C91" w:rsidRPr="00141FEE">
        <w:rPr>
          <w:rFonts w:eastAsia="Helvetica" w:cs="Helvetica"/>
        </w:rPr>
        <w:t xml:space="preserve"> </w:t>
      </w:r>
      <w:r w:rsidRPr="00D14281">
        <w:t>major</w:t>
      </w:r>
      <w:r w:rsidRPr="00460182">
        <w:t xml:space="preserve"> infrastructure programs in the Northern Territory such as the Northern Australia Infrastructure Facility (NAIF). The NAIF is the </w:t>
      </w:r>
      <w:r w:rsidR="00D16C1D">
        <w:t>Australian</w:t>
      </w:r>
      <w:r w:rsidR="00FE3F26" w:rsidRPr="00141FEE">
        <w:rPr>
          <w:rFonts w:eastAsia="Helvetica" w:cs="Helvetica"/>
        </w:rPr>
        <w:t xml:space="preserve"> Government</w:t>
      </w:r>
      <w:r w:rsidRPr="1A31B231">
        <w:rPr>
          <w:rFonts w:eastAsia="Helvetica" w:cs="Helvetica"/>
          <w:i/>
          <w:iCs/>
        </w:rPr>
        <w:t>’s</w:t>
      </w:r>
      <w:r w:rsidRPr="00460182">
        <w:t xml:space="preserve"> ‘flagship financing agency for infrastructure in northern Australia’ and targets large scale investment decisions aimed at supporting economic growth and development. To date the NAIF has made nine investment decisions and allocated $947.4 million in loans in the Northern Territory.</w:t>
      </w:r>
      <w:r w:rsidRPr="00460182">
        <w:rPr>
          <w:rStyle w:val="FootnoteReference"/>
        </w:rPr>
        <w:footnoteReference w:id="58"/>
      </w:r>
      <w:r w:rsidRPr="00460182">
        <w:t xml:space="preserve"> While these investments drive public benefit and economic growth for the NT as a whole, they are not able to meet the unique needs of specific communities in the way the CAP is able to, through its approach of working in partnership with communities.</w:t>
      </w:r>
    </w:p>
    <w:p w14:paraId="0EB549D0" w14:textId="2EDFEA0A" w:rsidR="00B21261" w:rsidRDefault="4E9262DF" w:rsidP="00DA4528">
      <w:pPr>
        <w:rPr>
          <w:rFonts w:eastAsia="Helvetica" w:cs="Helvetica"/>
        </w:rPr>
      </w:pPr>
      <w:r>
        <w:rPr>
          <w:rFonts w:eastAsia="Helvetica" w:cs="Helvetica"/>
        </w:rPr>
        <w:t>The CAP infrastructure package has contributed to building the community-controlled sector, with the planned transfer of assets to ACCOs an opportunity for economic empowerment that would not have been accessed without the CAP.</w:t>
      </w:r>
      <w:r w:rsidR="00006A76">
        <w:rPr>
          <w:rStyle w:val="FootnoteReference"/>
          <w:rFonts w:eastAsia="Helvetica" w:cs="Helvetica"/>
        </w:rPr>
        <w:t xml:space="preserve"> </w:t>
      </w:r>
    </w:p>
    <w:p w14:paraId="5BDD77F8" w14:textId="77777777" w:rsidR="00B21261" w:rsidRPr="00125F5A" w:rsidRDefault="00B21261" w:rsidP="000F115B">
      <w:pPr>
        <w:pStyle w:val="Heading4"/>
      </w:pPr>
      <w:r>
        <w:t>Community safety and health</w:t>
      </w:r>
    </w:p>
    <w:p w14:paraId="5A5042E7" w14:textId="0534E0AE" w:rsidR="00B21261" w:rsidRPr="003B30AC" w:rsidRDefault="00D804E8" w:rsidP="00DA4528">
      <w:pPr>
        <w:rPr>
          <w:highlight w:val="yellow"/>
        </w:rPr>
      </w:pPr>
      <w:r>
        <w:t>P</w:t>
      </w:r>
      <w:r w:rsidR="4E9262DF" w:rsidRPr="00F11AA2">
        <w:t>rogress on DFV and justice supports</w:t>
      </w:r>
      <w:r w:rsidR="00C07125">
        <w:t xml:space="preserve"> is noted in the CAP d</w:t>
      </w:r>
      <w:r w:rsidR="00C07125" w:rsidRPr="00F11AA2">
        <w:t>ocument</w:t>
      </w:r>
      <w:r w:rsidR="00C07125">
        <w:t>ation</w:t>
      </w:r>
      <w:r w:rsidR="4E9262DF" w:rsidRPr="00F11AA2">
        <w:t xml:space="preserve">, with specific outcomes including strengthened DFV support services, </w:t>
      </w:r>
      <w:r w:rsidR="4E9262DF">
        <w:t xml:space="preserve">and </w:t>
      </w:r>
      <w:r w:rsidR="4E9262DF" w:rsidRPr="00F11AA2">
        <w:t xml:space="preserve">AOD treatment services </w:t>
      </w:r>
      <w:r w:rsidR="4E9262DF">
        <w:t xml:space="preserve">(including </w:t>
      </w:r>
      <w:r w:rsidR="4E9262DF" w:rsidRPr="006C6FD3">
        <w:t>Child and Youth Assessment and Treatment Service</w:t>
      </w:r>
      <w:r w:rsidR="4E9262DF">
        <w:t xml:space="preserve"> (</w:t>
      </w:r>
      <w:r w:rsidR="4E9262DF" w:rsidRPr="00F11AA2">
        <w:t>CYATS</w:t>
      </w:r>
      <w:r w:rsidR="4E9262DF">
        <w:t>)</w:t>
      </w:r>
      <w:r w:rsidR="4E9262DF" w:rsidRPr="00F11AA2">
        <w:t xml:space="preserve"> assessments). </w:t>
      </w:r>
      <w:r w:rsidR="4E9262DF">
        <w:rPr>
          <w:rFonts w:eastAsia="Helvetica" w:cs="Helvetica"/>
        </w:rPr>
        <w:t xml:space="preserve">Despite this investment, a DFV service provider noted a lack of </w:t>
      </w:r>
      <w:r w:rsidR="4E9262DF" w:rsidRPr="00BE5BD7">
        <w:rPr>
          <w:rFonts w:eastAsia="Helvetica" w:cs="Helvetica"/>
        </w:rPr>
        <w:t>change</w:t>
      </w:r>
      <w:r w:rsidR="4E9262DF">
        <w:rPr>
          <w:rFonts w:eastAsia="Helvetica" w:cs="Helvetica"/>
        </w:rPr>
        <w:t xml:space="preserve"> in community-level safety</w:t>
      </w:r>
      <w:r w:rsidR="4E9262DF" w:rsidRPr="00BE5BD7">
        <w:rPr>
          <w:rFonts w:eastAsia="Helvetica" w:cs="Helvetica"/>
        </w:rPr>
        <w:t xml:space="preserve"> </w:t>
      </w:r>
      <w:r w:rsidR="003E592C" w:rsidRPr="00BE5BD7">
        <w:rPr>
          <w:rFonts w:eastAsia="Helvetica" w:cs="Helvetica"/>
        </w:rPr>
        <w:t>because of</w:t>
      </w:r>
      <w:r w:rsidR="4E9262DF" w:rsidRPr="00BE5BD7">
        <w:rPr>
          <w:rFonts w:eastAsia="Helvetica" w:cs="Helvetica"/>
        </w:rPr>
        <w:t xml:space="preserve"> the CAP</w:t>
      </w:r>
      <w:r w:rsidR="4E9262DF">
        <w:rPr>
          <w:rFonts w:eastAsia="Helvetica" w:cs="Helvetica"/>
        </w:rPr>
        <w:t>,</w:t>
      </w:r>
      <w:r w:rsidR="4E9262DF" w:rsidRPr="00BE5BD7">
        <w:rPr>
          <w:rFonts w:eastAsia="Helvetica" w:cs="Helvetica"/>
        </w:rPr>
        <w:t xml:space="preserve"> </w:t>
      </w:r>
      <w:r w:rsidR="4E9262DF">
        <w:rPr>
          <w:rFonts w:eastAsia="Helvetica" w:cs="Helvetica"/>
        </w:rPr>
        <w:t>police agency interactions with victim survivors continuing to negatively impact people interacting with the justice system in DFV cases.</w:t>
      </w:r>
      <w:r w:rsidR="00006A76">
        <w:rPr>
          <w:rStyle w:val="FootnoteReference"/>
          <w:rFonts w:eastAsia="Helvetica" w:cs="Helvetica"/>
        </w:rPr>
        <w:t xml:space="preserve"> </w:t>
      </w:r>
    </w:p>
    <w:p w14:paraId="542381A4" w14:textId="325AE997" w:rsidR="00B21261" w:rsidRDefault="00515A6D" w:rsidP="00DA4528">
      <w:pPr>
        <w:rPr>
          <w:rFonts w:eastAsia="Helvetica" w:cs="Helvetica"/>
        </w:rPr>
      </w:pPr>
      <w:r>
        <w:rPr>
          <w:rFonts w:eastAsia="Helvetica" w:cs="Helvetica"/>
        </w:rPr>
        <w:t xml:space="preserve">Most stakeholders </w:t>
      </w:r>
      <w:r w:rsidR="00D80858">
        <w:rPr>
          <w:rFonts w:eastAsia="Helvetica" w:cs="Helvetica"/>
        </w:rPr>
        <w:t>expressed ongoing concern around e</w:t>
      </w:r>
      <w:r w:rsidR="4E9262DF" w:rsidRPr="006A347B">
        <w:rPr>
          <w:rFonts w:eastAsia="Helvetica" w:cs="Helvetica"/>
        </w:rPr>
        <w:t>nsurin</w:t>
      </w:r>
      <w:r w:rsidR="4E9262DF">
        <w:rPr>
          <w:rFonts w:eastAsia="Helvetica" w:cs="Helvetica"/>
        </w:rPr>
        <w:t>g</w:t>
      </w:r>
      <w:r w:rsidR="4E9262DF" w:rsidRPr="006A347B">
        <w:rPr>
          <w:rFonts w:eastAsia="Helvetica" w:cs="Helvetica"/>
        </w:rPr>
        <w:t xml:space="preserve"> </w:t>
      </w:r>
      <w:r w:rsidR="4E9262DF">
        <w:rPr>
          <w:rFonts w:eastAsia="Helvetica" w:cs="Helvetica"/>
        </w:rPr>
        <w:t xml:space="preserve">the early </w:t>
      </w:r>
      <w:r w:rsidR="4E9262DF" w:rsidRPr="006A347B">
        <w:rPr>
          <w:rFonts w:eastAsia="Helvetica" w:cs="Helvetica"/>
        </w:rPr>
        <w:t>gains</w:t>
      </w:r>
      <w:r w:rsidR="4E9262DF">
        <w:rPr>
          <w:rFonts w:eastAsia="Helvetica" w:cs="Helvetica"/>
        </w:rPr>
        <w:t xml:space="preserve"> being </w:t>
      </w:r>
      <w:r w:rsidR="00512E9C">
        <w:rPr>
          <w:rFonts w:eastAsia="Helvetica" w:cs="Helvetica"/>
        </w:rPr>
        <w:t>achieved</w:t>
      </w:r>
      <w:r w:rsidR="4E9262DF">
        <w:rPr>
          <w:rFonts w:eastAsia="Helvetica" w:cs="Helvetica"/>
        </w:rPr>
        <w:t xml:space="preserve"> by the CAP</w:t>
      </w:r>
      <w:r w:rsidR="4E9262DF" w:rsidRPr="006A347B">
        <w:rPr>
          <w:rFonts w:eastAsia="Helvetica" w:cs="Helvetica"/>
        </w:rPr>
        <w:t xml:space="preserve"> are sustained beyond the funding period</w:t>
      </w:r>
      <w:r w:rsidR="00D80858">
        <w:rPr>
          <w:rFonts w:eastAsia="Helvetica" w:cs="Helvetica"/>
        </w:rPr>
        <w:t>.</w:t>
      </w:r>
      <w:r w:rsidR="4E9262DF">
        <w:rPr>
          <w:rFonts w:eastAsia="Helvetica" w:cs="Helvetica"/>
        </w:rPr>
        <w:t xml:space="preserve"> </w:t>
      </w:r>
      <w:r w:rsidR="00D80858">
        <w:rPr>
          <w:rFonts w:eastAsia="Helvetica" w:cs="Helvetica"/>
        </w:rPr>
        <w:t>S</w:t>
      </w:r>
      <w:r w:rsidR="4E9262DF">
        <w:rPr>
          <w:rFonts w:eastAsia="Helvetica" w:cs="Helvetica"/>
        </w:rPr>
        <w:t xml:space="preserve">ome </w:t>
      </w:r>
      <w:r w:rsidR="00612159">
        <w:rPr>
          <w:rFonts w:eastAsia="Helvetica" w:cs="Helvetica"/>
        </w:rPr>
        <w:t>indicated</w:t>
      </w:r>
      <w:r w:rsidR="4E9262DF">
        <w:rPr>
          <w:rFonts w:eastAsia="Helvetica" w:cs="Helvetica"/>
        </w:rPr>
        <w:t xml:space="preserve"> that outcomes from investments will </w:t>
      </w:r>
      <w:r w:rsidR="000722E3">
        <w:rPr>
          <w:rFonts w:eastAsia="Helvetica" w:cs="Helvetica"/>
        </w:rPr>
        <w:t>likely</w:t>
      </w:r>
      <w:r w:rsidR="4D2A9C83">
        <w:rPr>
          <w:rFonts w:eastAsia="Helvetica" w:cs="Helvetica"/>
        </w:rPr>
        <w:t xml:space="preserve"> take</w:t>
      </w:r>
      <w:r w:rsidR="000722E3">
        <w:rPr>
          <w:rFonts w:eastAsia="Helvetica" w:cs="Helvetica"/>
        </w:rPr>
        <w:t xml:space="preserve"> </w:t>
      </w:r>
      <w:r w:rsidR="4AE1C553">
        <w:rPr>
          <w:rFonts w:eastAsia="Helvetica" w:cs="Helvetica"/>
        </w:rPr>
        <w:t>more than</w:t>
      </w:r>
      <w:r w:rsidR="4E9262DF">
        <w:rPr>
          <w:rFonts w:eastAsia="Helvetica" w:cs="Helvetica"/>
        </w:rPr>
        <w:t xml:space="preserve"> </w:t>
      </w:r>
      <w:r w:rsidR="00612159">
        <w:rPr>
          <w:rFonts w:eastAsia="Helvetica" w:cs="Helvetica"/>
        </w:rPr>
        <w:t>three to five</w:t>
      </w:r>
      <w:r w:rsidR="4E9262DF">
        <w:rPr>
          <w:rFonts w:eastAsia="Helvetica" w:cs="Helvetica"/>
        </w:rPr>
        <w:t xml:space="preserve"> years</w:t>
      </w:r>
      <w:r w:rsidR="455BF9E9">
        <w:rPr>
          <w:rFonts w:eastAsia="Helvetica" w:cs="Helvetica"/>
        </w:rPr>
        <w:t xml:space="preserve"> to </w:t>
      </w:r>
      <w:r w:rsidR="4E9262DF">
        <w:rPr>
          <w:rFonts w:eastAsia="Helvetica" w:cs="Helvetica"/>
        </w:rPr>
        <w:t>be witnessed, with more time and attention needed to address root-cause community issues.</w:t>
      </w:r>
      <w:r w:rsidR="00006A76">
        <w:rPr>
          <w:rStyle w:val="FootnoteReference"/>
          <w:rFonts w:eastAsia="Helvetica" w:cs="Helvetica"/>
        </w:rPr>
        <w:t xml:space="preserve"> </w:t>
      </w:r>
    </w:p>
    <w:p w14:paraId="713155BB" w14:textId="77777777" w:rsidR="00B21261" w:rsidRPr="000D12B0" w:rsidRDefault="00B21261" w:rsidP="000F115B">
      <w:pPr>
        <w:pStyle w:val="Heading3"/>
      </w:pPr>
      <w:r w:rsidRPr="008872FD">
        <w:t>Alice Springs progress</w:t>
      </w:r>
    </w:p>
    <w:p w14:paraId="0CB2C905" w14:textId="72200828" w:rsidR="00B21261" w:rsidRDefault="00B21261" w:rsidP="006826D2">
      <w:r>
        <w:t xml:space="preserve">While some early outcomes for this CAP funding </w:t>
      </w:r>
      <w:r w:rsidR="00DE213F">
        <w:t>have</w:t>
      </w:r>
      <w:r>
        <w:t xml:space="preserve"> been noted, many projects are still in </w:t>
      </w:r>
      <w:r w:rsidR="00ED0F44">
        <w:t>early</w:t>
      </w:r>
      <w:r>
        <w:t xml:space="preserve"> implementation and stakeholders </w:t>
      </w:r>
      <w:r w:rsidR="0050674A">
        <w:t xml:space="preserve">interviewed </w:t>
      </w:r>
      <w:r>
        <w:t>emphasi</w:t>
      </w:r>
      <w:r w:rsidR="0050674A">
        <w:t>s</w:t>
      </w:r>
      <w:r>
        <w:t>e</w:t>
      </w:r>
      <w:r w:rsidR="003B08F0">
        <w:t>d</w:t>
      </w:r>
      <w:r>
        <w:t xml:space="preserve"> the need for a later evaluation to assess the impact of projects in the town.</w:t>
      </w:r>
    </w:p>
    <w:p w14:paraId="41D66F73" w14:textId="1ED9581B" w:rsidR="00B21261" w:rsidRPr="00A53C9A" w:rsidRDefault="00B21261" w:rsidP="000F115B">
      <w:pPr>
        <w:pStyle w:val="Heading4"/>
      </w:pPr>
      <w:r>
        <w:t xml:space="preserve">Digital </w:t>
      </w:r>
      <w:r w:rsidR="008602FD">
        <w:t>inclusion</w:t>
      </w:r>
    </w:p>
    <w:p w14:paraId="5A7E762D" w14:textId="78204EC5" w:rsidR="00B21261" w:rsidRDefault="009B6FA6" w:rsidP="00DA4528">
      <w:pPr>
        <w:rPr>
          <w:rFonts w:eastAsia="Helvetica" w:cs="Helvetica"/>
        </w:rPr>
      </w:pPr>
      <w:r>
        <w:t>Interviews with g</w:t>
      </w:r>
      <w:r w:rsidR="4E9262DF" w:rsidRPr="00962A3C">
        <w:t xml:space="preserve">overnment stakeholders </w:t>
      </w:r>
      <w:r w:rsidR="00640121">
        <w:t>indicate</w:t>
      </w:r>
      <w:r w:rsidR="4E9262DF" w:rsidRPr="00962A3C">
        <w:t xml:space="preserve"> some early positive anecdotal changes related to the CAP, particularly for those projects that were funded in the first </w:t>
      </w:r>
      <w:r w:rsidR="00543D63">
        <w:t>T</w:t>
      </w:r>
      <w:r w:rsidR="4E9262DF" w:rsidRPr="00962A3C">
        <w:t>ranche. This included Wi-Fi connectivity projects in Al</w:t>
      </w:r>
      <w:r w:rsidR="4E9262DF" w:rsidRPr="00F11AA2">
        <w:t xml:space="preserve">ice Spring’s town camps which have improved digital </w:t>
      </w:r>
      <w:r w:rsidR="00696FF5" w:rsidRPr="00F11AA2">
        <w:t>connectivity.</w:t>
      </w:r>
      <w:r w:rsidR="00006A76">
        <w:rPr>
          <w:rStyle w:val="FootnoteReference"/>
        </w:rPr>
        <w:t xml:space="preserve"> </w:t>
      </w:r>
      <w:r w:rsidR="4E9262DF" w:rsidRPr="00F11AA2">
        <w:t xml:space="preserve"> </w:t>
      </w:r>
      <w:r w:rsidR="000C65D9">
        <w:t xml:space="preserve">CAP </w:t>
      </w:r>
      <w:r w:rsidR="4E9262DF" w:rsidRPr="00F11AA2">
        <w:t>Document</w:t>
      </w:r>
      <w:r w:rsidR="000C65D9">
        <w:t>s</w:t>
      </w:r>
      <w:r w:rsidR="4E9262DF" w:rsidRPr="00F11AA2">
        <w:t xml:space="preserve"> </w:t>
      </w:r>
      <w:r w:rsidR="000C65D9">
        <w:t>suggest</w:t>
      </w:r>
      <w:r w:rsidR="4E9262DF" w:rsidRPr="00F11AA2">
        <w:t xml:space="preserve"> that this Wi-Fi connectivity has been improved </w:t>
      </w:r>
      <w:r w:rsidR="00B8470F">
        <w:t>in</w:t>
      </w:r>
      <w:r w:rsidR="4E9262DF" w:rsidRPr="00F11AA2">
        <w:t xml:space="preserve"> </w:t>
      </w:r>
      <w:r w:rsidR="4E9262DF">
        <w:t>four</w:t>
      </w:r>
      <w:r w:rsidR="4E9262DF" w:rsidRPr="00F11AA2">
        <w:t xml:space="preserve"> town camps. </w:t>
      </w:r>
    </w:p>
    <w:p w14:paraId="08D27309" w14:textId="77777777" w:rsidR="0047541F" w:rsidRDefault="0047541F">
      <w:pPr>
        <w:keepLines w:val="0"/>
        <w:widowControl/>
        <w:spacing w:before="0" w:after="0"/>
        <w:rPr>
          <w:i/>
          <w:color w:val="008080"/>
        </w:rPr>
      </w:pPr>
      <w:r>
        <w:br w:type="page"/>
      </w:r>
    </w:p>
    <w:p w14:paraId="40888FAA" w14:textId="128EBC17" w:rsidR="00B21261" w:rsidRPr="00A53C9A" w:rsidRDefault="00B21261" w:rsidP="000F115B">
      <w:pPr>
        <w:pStyle w:val="Heading4"/>
      </w:pPr>
      <w:r w:rsidRPr="00A53C9A">
        <w:lastRenderedPageBreak/>
        <w:t>Youth</w:t>
      </w:r>
    </w:p>
    <w:p w14:paraId="51FC3523" w14:textId="34D9E266" w:rsidR="00B21261" w:rsidRDefault="00640121" w:rsidP="00141FEE">
      <w:pPr>
        <w:keepNext/>
      </w:pPr>
      <w:r>
        <w:t>Some e</w:t>
      </w:r>
      <w:r w:rsidR="4E9262DF">
        <w:t>arly</w:t>
      </w:r>
      <w:r w:rsidR="4E9262DF" w:rsidRPr="00F11AA2">
        <w:t xml:space="preserve"> positive </w:t>
      </w:r>
      <w:r w:rsidR="00491D75">
        <w:t xml:space="preserve">youth </w:t>
      </w:r>
      <w:r w:rsidR="4E9262DF" w:rsidRPr="00F11AA2">
        <w:t xml:space="preserve">outcomes </w:t>
      </w:r>
      <w:r>
        <w:t>seem to be</w:t>
      </w:r>
      <w:r w:rsidR="4E9262DF">
        <w:t xml:space="preserve"> arising</w:t>
      </w:r>
      <w:r w:rsidR="4E9262DF" w:rsidRPr="00F11AA2">
        <w:t xml:space="preserve"> from the CAP.</w:t>
      </w:r>
      <w:r w:rsidR="00006A76">
        <w:rPr>
          <w:rStyle w:val="FootnoteReference"/>
        </w:rPr>
        <w:t xml:space="preserve"> </w:t>
      </w:r>
      <w:r w:rsidR="4E9262DF" w:rsidRPr="00F11AA2">
        <w:t xml:space="preserve"> </w:t>
      </w:r>
      <w:r w:rsidR="4E9262DF">
        <w:rPr>
          <w:rFonts w:eastAsia="Helvetica" w:cs="Helvetica"/>
        </w:rPr>
        <w:t>P</w:t>
      </w:r>
      <w:r w:rsidR="4E9262DF" w:rsidRPr="00F11AA2">
        <w:rPr>
          <w:rFonts w:eastAsia="Helvetica" w:cs="Helvetica"/>
        </w:rPr>
        <w:t>ositive anecdotes</w:t>
      </w:r>
      <w:r w:rsidR="4E9262DF">
        <w:rPr>
          <w:rFonts w:eastAsia="Helvetica" w:cs="Helvetica"/>
        </w:rPr>
        <w:t xml:space="preserve"> were shared by</w:t>
      </w:r>
      <w:r w:rsidR="4E9262DF" w:rsidRPr="00F11AA2">
        <w:rPr>
          <w:rFonts w:eastAsia="Helvetica" w:cs="Helvetica"/>
        </w:rPr>
        <w:t xml:space="preserve"> </w:t>
      </w:r>
      <w:r w:rsidR="00D147A0">
        <w:t>Australian</w:t>
      </w:r>
      <w:r w:rsidR="006E5649" w:rsidRPr="00141FEE" w:rsidDel="00FE3F26">
        <w:rPr>
          <w:rFonts w:eastAsia="Helvetica" w:cs="Helvetica"/>
        </w:rPr>
        <w:t xml:space="preserve"> Government</w:t>
      </w:r>
      <w:r w:rsidR="4E9262DF" w:rsidRPr="00F11AA2">
        <w:rPr>
          <w:rFonts w:eastAsia="Helvetica" w:cs="Helvetica"/>
        </w:rPr>
        <w:t xml:space="preserve"> stakeholders </w:t>
      </w:r>
      <w:r w:rsidR="00302656">
        <w:t>indicating early positive change with the development of school action plans, and</w:t>
      </w:r>
      <w:r w:rsidR="00302656">
        <w:rPr>
          <w:rFonts w:eastAsia="Helvetica" w:cs="Helvetica"/>
        </w:rPr>
        <w:t xml:space="preserve"> </w:t>
      </w:r>
      <w:r w:rsidR="000D4F2C">
        <w:rPr>
          <w:rFonts w:eastAsia="Helvetica" w:cs="Helvetica"/>
        </w:rPr>
        <w:t>suggest</w:t>
      </w:r>
      <w:r w:rsidR="00302656">
        <w:rPr>
          <w:rFonts w:eastAsia="Helvetica" w:cs="Helvetica"/>
        </w:rPr>
        <w:t>ed</w:t>
      </w:r>
      <w:r w:rsidR="4E9262DF">
        <w:rPr>
          <w:rFonts w:eastAsia="Helvetica" w:cs="Helvetica"/>
        </w:rPr>
        <w:t xml:space="preserve"> </w:t>
      </w:r>
      <w:r w:rsidR="4E9262DF" w:rsidRPr="00F11AA2">
        <w:rPr>
          <w:rFonts w:eastAsia="Helvetica" w:cs="Helvetica"/>
        </w:rPr>
        <w:t xml:space="preserve">improvements in education, employment and youth engagement </w:t>
      </w:r>
      <w:r w:rsidR="000D4F2C">
        <w:rPr>
          <w:rFonts w:eastAsia="Helvetica" w:cs="Helvetica"/>
        </w:rPr>
        <w:t>as a result</w:t>
      </w:r>
      <w:r w:rsidR="4E9262DF" w:rsidRPr="00F11AA2">
        <w:rPr>
          <w:rFonts w:eastAsia="Helvetica" w:cs="Helvetica"/>
        </w:rPr>
        <w:t xml:space="preserve"> holiday programs</w:t>
      </w:r>
      <w:r w:rsidR="00AF3AC8">
        <w:rPr>
          <w:rFonts w:eastAsia="Helvetica" w:cs="Helvetica"/>
        </w:rPr>
        <w:t>,</w:t>
      </w:r>
      <w:r w:rsidR="000D4F2C">
        <w:rPr>
          <w:rFonts w:eastAsia="Helvetica" w:cs="Helvetica"/>
        </w:rPr>
        <w:t xml:space="preserve"> but these outcomes could not be verified with data</w:t>
      </w:r>
      <w:r w:rsidR="002E5C3F">
        <w:rPr>
          <w:rFonts w:eastAsia="Helvetica" w:cs="Helvetica"/>
        </w:rPr>
        <w:t xml:space="preserve"> in this evaluation</w:t>
      </w:r>
      <w:r w:rsidR="4E9262DF" w:rsidRPr="00F11AA2">
        <w:rPr>
          <w:rFonts w:eastAsia="Helvetica" w:cs="Helvetica"/>
        </w:rPr>
        <w:t>.</w:t>
      </w:r>
      <w:r w:rsidR="00006A76">
        <w:rPr>
          <w:rStyle w:val="FootnoteReference"/>
          <w:rFonts w:eastAsia="Helvetica" w:cs="Helvetica"/>
        </w:rPr>
        <w:t xml:space="preserve"> </w:t>
      </w:r>
      <w:r w:rsidR="4E9262DF" w:rsidRPr="00F11AA2">
        <w:rPr>
          <w:rFonts w:eastAsia="Helvetica" w:cs="Helvetica"/>
        </w:rPr>
        <w:t xml:space="preserve"> </w:t>
      </w:r>
      <w:r w:rsidR="00F84F6D">
        <w:t>T</w:t>
      </w:r>
      <w:r w:rsidR="00940BDD">
        <w:t xml:space="preserve">hat there have been </w:t>
      </w:r>
      <w:r w:rsidR="00F84F6D">
        <w:t>a range of</w:t>
      </w:r>
      <w:r w:rsidR="4E9262DF" w:rsidRPr="00F11AA2">
        <w:t xml:space="preserve"> </w:t>
      </w:r>
      <w:r w:rsidR="00F84F6D">
        <w:t>short term</w:t>
      </w:r>
      <w:r w:rsidR="4E9262DF" w:rsidRPr="00F11AA2">
        <w:t xml:space="preserve"> opportunities</w:t>
      </w:r>
      <w:r w:rsidR="4E9262DF">
        <w:t xml:space="preserve"> for youth</w:t>
      </w:r>
      <w:r w:rsidR="00940BDD">
        <w:t xml:space="preserve"> in Alice Springs</w:t>
      </w:r>
      <w:r w:rsidR="4E9262DF" w:rsidRPr="00F11AA2">
        <w:t>, such as sport and youth programs</w:t>
      </w:r>
      <w:r w:rsidR="00F84F6D">
        <w:t xml:space="preserve"> as a result of the CAP. The YR</w:t>
      </w:r>
      <w:r w:rsidR="003116DB">
        <w:t>T</w:t>
      </w:r>
      <w:r w:rsidR="00F84F6D">
        <w:t xml:space="preserve"> also </w:t>
      </w:r>
      <w:r w:rsidR="003116DB">
        <w:t xml:space="preserve">note that </w:t>
      </w:r>
      <w:r w:rsidR="00071AE0">
        <w:t xml:space="preserve">their representation in </w:t>
      </w:r>
      <w:r w:rsidR="4E9262DF" w:rsidRPr="00F11AA2">
        <w:t xml:space="preserve">youth leadership opportunities </w:t>
      </w:r>
      <w:r w:rsidR="006C44CB">
        <w:t>has</w:t>
      </w:r>
      <w:r w:rsidR="4E9262DF" w:rsidRPr="00F11AA2">
        <w:t xml:space="preserve"> improved </w:t>
      </w:r>
      <w:r w:rsidR="006C44CB">
        <w:t>the</w:t>
      </w:r>
      <w:r w:rsidR="4E9262DF" w:rsidRPr="00F11AA2">
        <w:t xml:space="preserve"> youth representation in the region. </w:t>
      </w:r>
    </w:p>
    <w:p w14:paraId="538F6B63" w14:textId="77777777" w:rsidR="00B21261" w:rsidRPr="000E40FD" w:rsidRDefault="00B21261" w:rsidP="000F115B">
      <w:pPr>
        <w:pStyle w:val="Heading4"/>
      </w:pPr>
      <w:r>
        <w:t>Infrastructure</w:t>
      </w:r>
    </w:p>
    <w:p w14:paraId="40178F7B" w14:textId="523E805A" w:rsidR="00B21261" w:rsidRPr="000E40FD" w:rsidRDefault="0F313525" w:rsidP="6720D43A">
      <w:pPr>
        <w:spacing w:line="259" w:lineRule="auto"/>
      </w:pPr>
      <w:r w:rsidRPr="0A23772A">
        <w:t>Initial investments</w:t>
      </w:r>
      <w:r w:rsidR="4E9262DF" w:rsidRPr="0A23772A">
        <w:t xml:space="preserve"> in </w:t>
      </w:r>
      <w:r w:rsidRPr="0A23772A">
        <w:t>youth and infrastructure have begun to show</w:t>
      </w:r>
      <w:r w:rsidR="4E9262DF" w:rsidRPr="0A23772A">
        <w:t xml:space="preserve"> positive </w:t>
      </w:r>
      <w:r w:rsidRPr="0A23772A">
        <w:t>results</w:t>
      </w:r>
      <w:r w:rsidR="1B519EF0">
        <w:t xml:space="preserve"> in Alice Springs</w:t>
      </w:r>
      <w:r w:rsidRPr="0A23772A">
        <w:t xml:space="preserve">, with </w:t>
      </w:r>
      <w:r w:rsidR="0B1C0FBF">
        <w:t>the community</w:t>
      </w:r>
      <w:r w:rsidRPr="0A23772A">
        <w:t xml:space="preserve"> responding favourably</w:t>
      </w:r>
      <w:r w:rsidR="4E9262DF" w:rsidRPr="0A23772A">
        <w:t xml:space="preserve"> as </w:t>
      </w:r>
      <w:r w:rsidRPr="0A23772A">
        <w:t>the projects</w:t>
      </w:r>
      <w:r w:rsidR="4E9262DF" w:rsidRPr="0A23772A">
        <w:t xml:space="preserve"> have </w:t>
      </w:r>
      <w:r w:rsidR="3AEAB400" w:rsidRPr="0A23772A">
        <w:t>b</w:t>
      </w:r>
      <w:r w:rsidR="4E9262DF" w:rsidRPr="0A23772A">
        <w:t xml:space="preserve">een </w:t>
      </w:r>
      <w:r w:rsidRPr="0A23772A">
        <w:t xml:space="preserve">quickly </w:t>
      </w:r>
      <w:r w:rsidR="4E9262DF" w:rsidRPr="0A23772A">
        <w:t>implemented</w:t>
      </w:r>
      <w:r w:rsidRPr="0A23772A">
        <w:t>.</w:t>
      </w:r>
      <w:r w:rsidR="00006A76">
        <w:rPr>
          <w:rStyle w:val="FootnoteReference"/>
        </w:rPr>
        <w:t xml:space="preserve"> </w:t>
      </w:r>
      <w:r w:rsidR="4E9262DF" w:rsidRPr="0A23772A">
        <w:t xml:space="preserve"> Document data indicates that the Todd Street Health Hub construction is progressing, and boarding facilities are being upgraded and built at Alice Springs schools. </w:t>
      </w:r>
    </w:p>
    <w:p w14:paraId="62E82558" w14:textId="77777777" w:rsidR="00B21261" w:rsidRPr="000E40FD" w:rsidRDefault="00B21261" w:rsidP="000F115B">
      <w:pPr>
        <w:pStyle w:val="Heading4"/>
      </w:pPr>
      <w:r>
        <w:t>Community safety</w:t>
      </w:r>
    </w:p>
    <w:p w14:paraId="17405E17" w14:textId="161DBBD7" w:rsidR="00B21261" w:rsidRPr="000E40FD" w:rsidRDefault="4E9262DF" w:rsidP="0EFE1EB5">
      <w:pPr>
        <w:rPr>
          <w:rFonts w:eastAsia="Helvetica" w:cs="Helvetica"/>
        </w:rPr>
      </w:pPr>
      <w:r w:rsidRPr="0A23772A">
        <w:t xml:space="preserve">Through the CAP, community safety support has been provided. </w:t>
      </w:r>
      <w:r w:rsidR="4DB2C2F3" w:rsidRPr="0A23772A">
        <w:t xml:space="preserve">Whilst the link cannot be verified or causation assumed, </w:t>
      </w:r>
      <w:r w:rsidRPr="0A23772A">
        <w:t>Alice Springs crime statistics show significant reductions in property offences (house break-ins, commercial break-ins, theft) in January 2025 compared to January 2024, although assaults were higher.</w:t>
      </w:r>
      <w:r w:rsidRPr="0A23772A">
        <w:rPr>
          <w:rStyle w:val="FootnoteReference"/>
          <w:rFonts w:eastAsia="Helvetica" w:cs="Helvetica"/>
        </w:rPr>
        <w:footnoteReference w:id="59"/>
      </w:r>
      <w:r w:rsidRPr="0A23772A">
        <w:rPr>
          <w:rFonts w:eastAsia="Helvetica" w:cs="Helvetica"/>
        </w:rPr>
        <w:t xml:space="preserve"> </w:t>
      </w:r>
    </w:p>
    <w:p w14:paraId="7EED7BA1" w14:textId="76D5FE84" w:rsidR="00B21261" w:rsidRDefault="4E9262DF" w:rsidP="00DA4528">
      <w:pPr>
        <w:rPr>
          <w:rFonts w:eastAsia="Helvetica" w:cs="Helvetica"/>
        </w:rPr>
      </w:pPr>
      <w:r w:rsidRPr="0A23772A">
        <w:rPr>
          <w:rFonts w:eastAsia="Helvetica" w:cs="Helvetica"/>
        </w:rPr>
        <w:t xml:space="preserve">Some </w:t>
      </w:r>
      <w:r w:rsidR="04B73374" w:rsidRPr="0A23772A">
        <w:rPr>
          <w:rFonts w:eastAsia="Helvetica" w:cs="Helvetica"/>
        </w:rPr>
        <w:t xml:space="preserve">suggestions of </w:t>
      </w:r>
      <w:r w:rsidRPr="0A23772A">
        <w:rPr>
          <w:rFonts w:eastAsia="Helvetica" w:cs="Helvetica"/>
        </w:rPr>
        <w:t xml:space="preserve">positive outcomes have </w:t>
      </w:r>
      <w:r w:rsidR="10C2B217" w:rsidRPr="0A23772A">
        <w:rPr>
          <w:rFonts w:eastAsia="Helvetica" w:cs="Helvetica"/>
        </w:rPr>
        <w:t xml:space="preserve">also </w:t>
      </w:r>
      <w:r w:rsidRPr="0A23772A">
        <w:rPr>
          <w:rFonts w:eastAsia="Helvetica" w:cs="Helvetica"/>
        </w:rPr>
        <w:t xml:space="preserve">been </w:t>
      </w:r>
      <w:r w:rsidR="10C2B217" w:rsidRPr="0A23772A">
        <w:rPr>
          <w:rFonts w:eastAsia="Helvetica" w:cs="Helvetica"/>
        </w:rPr>
        <w:t>noted</w:t>
      </w:r>
      <w:r w:rsidRPr="0A23772A">
        <w:rPr>
          <w:rFonts w:eastAsia="Helvetica" w:cs="Helvetica"/>
        </w:rPr>
        <w:t xml:space="preserve"> in the town </w:t>
      </w:r>
      <w:r w:rsidR="003E592C" w:rsidRPr="0A23772A">
        <w:rPr>
          <w:rFonts w:eastAsia="Helvetica" w:cs="Helvetica"/>
        </w:rPr>
        <w:t>because of</w:t>
      </w:r>
      <w:r w:rsidRPr="0A23772A">
        <w:rPr>
          <w:rFonts w:eastAsia="Helvetica" w:cs="Helvetica"/>
        </w:rPr>
        <w:t xml:space="preserve"> CAP-funded youth justice support. </w:t>
      </w:r>
      <w:r w:rsidR="6F0ACA9C" w:rsidRPr="0A23772A">
        <w:rPr>
          <w:rFonts w:eastAsia="Helvetica" w:cs="Helvetica"/>
        </w:rPr>
        <w:t>A</w:t>
      </w:r>
      <w:r w:rsidRPr="0A23772A">
        <w:rPr>
          <w:rFonts w:eastAsia="Helvetica" w:cs="Helvetica"/>
        </w:rPr>
        <w:t>n internal evaluation</w:t>
      </w:r>
      <w:r w:rsidR="07D73B8E" w:rsidRPr="0A23772A">
        <w:rPr>
          <w:rFonts w:eastAsia="Helvetica" w:cs="Helvetica"/>
        </w:rPr>
        <w:t xml:space="preserve"> of one of the CAP programs </w:t>
      </w:r>
      <w:r w:rsidR="30E06A95" w:rsidRPr="0A23772A">
        <w:rPr>
          <w:rFonts w:eastAsia="Helvetica" w:cs="Helvetica"/>
        </w:rPr>
        <w:t>observed</w:t>
      </w:r>
      <w:r w:rsidR="07D73B8E" w:rsidRPr="0A23772A">
        <w:rPr>
          <w:rFonts w:eastAsia="Helvetica" w:cs="Helvetica"/>
        </w:rPr>
        <w:t xml:space="preserve"> </w:t>
      </w:r>
      <w:r w:rsidR="36FF1C82" w:rsidRPr="0A23772A">
        <w:rPr>
          <w:rFonts w:eastAsia="Helvetica" w:cs="Helvetica"/>
        </w:rPr>
        <w:t xml:space="preserve">a </w:t>
      </w:r>
      <w:r w:rsidRPr="0A23772A">
        <w:rPr>
          <w:rFonts w:eastAsia="Helvetica" w:cs="Helvetica"/>
        </w:rPr>
        <w:t>reduction of previously high</w:t>
      </w:r>
      <w:r w:rsidR="00D65BCD" w:rsidRPr="0A23772A">
        <w:rPr>
          <w:rFonts w:eastAsia="Helvetica" w:cs="Helvetica"/>
        </w:rPr>
        <w:t>-</w:t>
      </w:r>
      <w:r w:rsidRPr="0A23772A">
        <w:rPr>
          <w:rFonts w:eastAsia="Helvetica" w:cs="Helvetica"/>
        </w:rPr>
        <w:t xml:space="preserve">risk young people </w:t>
      </w:r>
      <w:r w:rsidR="00061507" w:rsidRPr="0A23772A">
        <w:rPr>
          <w:rFonts w:eastAsia="Helvetica" w:cs="Helvetica"/>
        </w:rPr>
        <w:t>being involved</w:t>
      </w:r>
      <w:r w:rsidRPr="0A23772A">
        <w:rPr>
          <w:rFonts w:eastAsia="Helvetica" w:cs="Helvetica"/>
        </w:rPr>
        <w:t xml:space="preserve"> with </w:t>
      </w:r>
      <w:r w:rsidR="00662055" w:rsidRPr="0A23772A">
        <w:rPr>
          <w:rFonts w:eastAsia="Helvetica" w:cs="Helvetica"/>
        </w:rPr>
        <w:t>the</w:t>
      </w:r>
      <w:r w:rsidRPr="0A23772A">
        <w:rPr>
          <w:rFonts w:eastAsia="Helvetica" w:cs="Helvetica"/>
        </w:rPr>
        <w:t xml:space="preserve"> justice system, improved behaviour in public spaces, and culturally grounded accountability and behavioural change through their program</w:t>
      </w:r>
      <w:r w:rsidR="4BA9B058" w:rsidRPr="0A23772A">
        <w:rPr>
          <w:rFonts w:eastAsia="Helvetica" w:cs="Helvetica"/>
        </w:rPr>
        <w:t xml:space="preserve"> (see Case study </w:t>
      </w:r>
      <w:r w:rsidR="00B37B0D" w:rsidRPr="0A23772A">
        <w:rPr>
          <w:rFonts w:eastAsia="Helvetica" w:cs="Helvetica"/>
        </w:rPr>
        <w:t>One</w:t>
      </w:r>
      <w:r w:rsidR="4BA9B058" w:rsidRPr="0A23772A">
        <w:rPr>
          <w:rFonts w:eastAsia="Helvetica" w:cs="Helvetica"/>
        </w:rPr>
        <w:t>)</w:t>
      </w:r>
      <w:r w:rsidRPr="0A23772A">
        <w:rPr>
          <w:rFonts w:eastAsia="Helvetica" w:cs="Helvetica"/>
        </w:rPr>
        <w:t>.</w:t>
      </w:r>
      <w:r w:rsidR="00006A76">
        <w:rPr>
          <w:rStyle w:val="FootnoteReference"/>
          <w:rFonts w:eastAsia="Helvetica" w:cs="Helvetica"/>
        </w:rPr>
        <w:t xml:space="preserve"> </w:t>
      </w:r>
      <w:r w:rsidRPr="0A23772A">
        <w:t xml:space="preserve"> </w:t>
      </w:r>
      <w:r w:rsidRPr="0A23772A">
        <w:rPr>
          <w:rFonts w:eastAsia="Helvetica" w:cs="Helvetica"/>
        </w:rPr>
        <w:t>Government stakeholders also relayed anecdotal evidence of reductions in alcohol-fuelled violence as measures under the CAP being implemented by NTG.</w:t>
      </w:r>
      <w:r w:rsidR="00006A76">
        <w:rPr>
          <w:rStyle w:val="FootnoteReference"/>
          <w:rFonts w:eastAsia="Helvetica" w:cs="Helvetica"/>
        </w:rPr>
        <w:t xml:space="preserve"> </w:t>
      </w:r>
    </w:p>
    <w:p w14:paraId="77ACC772" w14:textId="1AC36770" w:rsidR="00B21261" w:rsidRPr="00C43E10" w:rsidRDefault="00B21261" w:rsidP="000F115B">
      <w:pPr>
        <w:pStyle w:val="Heading4"/>
        <w:rPr>
          <w:highlight w:val="yellow"/>
        </w:rPr>
      </w:pPr>
      <w:r w:rsidRPr="00141FEE">
        <w:t>N</w:t>
      </w:r>
      <w:r w:rsidR="00C43E10" w:rsidRPr="00141FEE">
        <w:t>eutral</w:t>
      </w:r>
      <w:r w:rsidRPr="00141FEE">
        <w:t xml:space="preserve"> or </w:t>
      </w:r>
      <w:r w:rsidR="00C43E10" w:rsidRPr="00141FEE">
        <w:t>negative</w:t>
      </w:r>
      <w:r w:rsidRPr="00141FEE">
        <w:t xml:space="preserve"> changes</w:t>
      </w:r>
    </w:p>
    <w:p w14:paraId="3A6C5946" w14:textId="04E41724" w:rsidR="00B21261" w:rsidRDefault="0169FF2E" w:rsidP="00DA4528">
      <w:r>
        <w:t xml:space="preserve">Some stakeholders interviewed suggested that </w:t>
      </w:r>
      <w:r w:rsidR="4E9262DF" w:rsidRPr="00962A3C">
        <w:t xml:space="preserve">perceptions in the </w:t>
      </w:r>
      <w:r w:rsidR="7CD0F446" w:rsidRPr="00962A3C">
        <w:t xml:space="preserve">Alice Springs </w:t>
      </w:r>
      <w:r w:rsidR="4E9262DF" w:rsidRPr="00962A3C">
        <w:t>community that the CAP investment is focused solely on the First Nations population when the broader community also experienced the impacts of the unrest that led to the CAP</w:t>
      </w:r>
      <w:r w:rsidR="56C74BC3">
        <w:t xml:space="preserve"> have had a negative impact on social cohesion in Alice Springs</w:t>
      </w:r>
      <w:r w:rsidR="4231AFD4">
        <w:t>.</w:t>
      </w:r>
      <w:r w:rsidR="00006A76">
        <w:rPr>
          <w:rStyle w:val="FootnoteReference"/>
          <w:rFonts w:eastAsia="Helvetica" w:cs="Helvetica"/>
        </w:rPr>
        <w:t xml:space="preserve"> </w:t>
      </w:r>
      <w:r w:rsidR="4E9262DF">
        <w:t xml:space="preserve"> </w:t>
      </w:r>
    </w:p>
    <w:p w14:paraId="69A9ABD1" w14:textId="2E52C870" w:rsidR="00B21261" w:rsidRDefault="4E9262DF" w:rsidP="00DA4528">
      <w:r>
        <w:t>Some ALG members noted they and their communities ha</w:t>
      </w:r>
      <w:r w:rsidR="055ED7CC">
        <w:t>ve</w:t>
      </w:r>
      <w:r>
        <w:t xml:space="preserve"> not yet seen any changes in Alice Springs</w:t>
      </w:r>
      <w:r w:rsidR="00006A76">
        <w:rPr>
          <w:rStyle w:val="FootnoteReference"/>
        </w:rPr>
        <w:t xml:space="preserve"> </w:t>
      </w:r>
      <w:r>
        <w:t xml:space="preserve">. Those that noted some positive initial changes also identified that the core issues felt in Central Australia would require </w:t>
      </w:r>
      <w:r w:rsidRPr="000F1C25">
        <w:t>longer term input</w:t>
      </w:r>
      <w:r>
        <w:t xml:space="preserve"> to have sustainable change.</w:t>
      </w:r>
      <w:r w:rsidR="00006A76">
        <w:rPr>
          <w:rStyle w:val="FootnoteReference"/>
        </w:rPr>
        <w:t xml:space="preserve"> </w:t>
      </w:r>
    </w:p>
    <w:p w14:paraId="2D316584" w14:textId="77777777" w:rsidR="00B21261" w:rsidRPr="00564800" w:rsidRDefault="00B21261" w:rsidP="000F115B">
      <w:pPr>
        <w:pStyle w:val="Heading3"/>
      </w:pPr>
      <w:r w:rsidRPr="008872FD">
        <w:t>Remote community progress</w:t>
      </w:r>
      <w:r>
        <w:t xml:space="preserve"> </w:t>
      </w:r>
    </w:p>
    <w:p w14:paraId="5B1044B4" w14:textId="1E449C94" w:rsidR="00B21261" w:rsidRDefault="00B21261" w:rsidP="00DA4528">
      <w:r>
        <w:t>Early outcomes in remote communities were difficult to assess as most CAP investment remains in the early stages of implementation</w:t>
      </w:r>
      <w:r w:rsidR="1AACC227">
        <w:t xml:space="preserve">. </w:t>
      </w:r>
      <w:r w:rsidR="40B5483F">
        <w:t>S</w:t>
      </w:r>
      <w:r>
        <w:t xml:space="preserve">ome </w:t>
      </w:r>
      <w:r w:rsidR="70EA5122">
        <w:t xml:space="preserve">remote </w:t>
      </w:r>
      <w:r>
        <w:t xml:space="preserve">stakeholders </w:t>
      </w:r>
      <w:r w:rsidR="5FDD6701">
        <w:t xml:space="preserve">indicated that they </w:t>
      </w:r>
      <w:r>
        <w:t xml:space="preserve">had </w:t>
      </w:r>
      <w:r w:rsidR="744F4C01">
        <w:t>observed some</w:t>
      </w:r>
      <w:r>
        <w:t xml:space="preserve"> early </w:t>
      </w:r>
      <w:r w:rsidR="09DD3135">
        <w:t xml:space="preserve">changes </w:t>
      </w:r>
      <w:r w:rsidR="003E592C">
        <w:t>because of</w:t>
      </w:r>
      <w:r w:rsidR="09DD3135">
        <w:t xml:space="preserve"> CAP funding to </w:t>
      </w:r>
      <w:r>
        <w:t xml:space="preserve">their </w:t>
      </w:r>
      <w:r w:rsidR="00696FF5">
        <w:t>communities,</w:t>
      </w:r>
      <w:r w:rsidR="006E79F7">
        <w:t xml:space="preserve"> but delays are noted in many of the remote projects, as seen by the low proportion of </w:t>
      </w:r>
      <w:r w:rsidR="009369CD">
        <w:t>funding paid to date</w:t>
      </w:r>
      <w:r>
        <w:t xml:space="preserve">. Early investments in remote communities are also aligning with some </w:t>
      </w:r>
      <w:r w:rsidR="00FA13E6">
        <w:t>National Agreement</w:t>
      </w:r>
      <w:r>
        <w:t xml:space="preserve"> reforms and community priorities.</w:t>
      </w:r>
      <w:r w:rsidR="00395BCA">
        <w:t xml:space="preserve"> </w:t>
      </w:r>
    </w:p>
    <w:p w14:paraId="327BC1F6" w14:textId="096F5B04" w:rsidR="00B15A3B" w:rsidRPr="00B15A3B" w:rsidRDefault="00B21261" w:rsidP="000F115B">
      <w:pPr>
        <w:pStyle w:val="Heading4"/>
      </w:pPr>
      <w:r w:rsidRPr="00B26D5C">
        <w:t>Youth</w:t>
      </w:r>
    </w:p>
    <w:p w14:paraId="2384A9D1" w14:textId="69E454B7" w:rsidR="00B21261" w:rsidRPr="00B15A3B" w:rsidRDefault="482CDFE4" w:rsidP="00B15A3B">
      <w:pPr>
        <w:keepLines w:val="0"/>
        <w:widowControl/>
        <w:spacing w:before="0" w:after="0"/>
        <w:rPr>
          <w:rFonts w:eastAsiaTheme="minorHAnsi" w:cs="Segoe UI"/>
          <w:b/>
          <w:color w:val="009999"/>
          <w:sz w:val="24"/>
        </w:rPr>
      </w:pPr>
      <w:r>
        <w:t>Some remote schools note improved school attendance</w:t>
      </w:r>
      <w:r w:rsidR="75CB77E8">
        <w:t>, which they have attributed to</w:t>
      </w:r>
      <w:r>
        <w:t xml:space="preserve"> the On-C</w:t>
      </w:r>
      <w:r w:rsidR="571A6034">
        <w:t>o</w:t>
      </w:r>
      <w:r>
        <w:t>untry Learning Program.</w:t>
      </w:r>
      <w:r w:rsidR="00B21261">
        <w:rPr>
          <w:rStyle w:val="FootnoteReference"/>
        </w:rPr>
        <w:footnoteReference w:id="60"/>
      </w:r>
      <w:r w:rsidR="4E9262DF">
        <w:t xml:space="preserve"> Some ALG and YRT representatives </w:t>
      </w:r>
      <w:r w:rsidR="39295852">
        <w:t xml:space="preserve">also note that CAP funded projects </w:t>
      </w:r>
      <w:r w:rsidR="7C51AC53">
        <w:t>have</w:t>
      </w:r>
      <w:r w:rsidR="00912972">
        <w:t xml:space="preserve"> </w:t>
      </w:r>
      <w:r w:rsidR="4E9262DF">
        <w:t>made a difference for youth in some remote communities with increased youth programs, leadership opportunities, and involvement with elders.</w:t>
      </w:r>
      <w:r w:rsidR="00006A76">
        <w:rPr>
          <w:rStyle w:val="FootnoteReference"/>
        </w:rPr>
        <w:t xml:space="preserve"> </w:t>
      </w:r>
      <w:r w:rsidR="4E9262DF" w:rsidRPr="002E1993">
        <w:t xml:space="preserve"> </w:t>
      </w:r>
      <w:r w:rsidR="4E9262DF">
        <w:t>S</w:t>
      </w:r>
      <w:r w:rsidR="4E9262DF" w:rsidRPr="00FD077C">
        <w:t xml:space="preserve">chool holiday activities </w:t>
      </w:r>
      <w:r w:rsidR="683E861F">
        <w:t>recorded</w:t>
      </w:r>
      <w:r w:rsidR="4E9262DF" w:rsidRPr="00FD077C">
        <w:t xml:space="preserve"> significant attendance across Central Australian communities</w:t>
      </w:r>
      <w:r w:rsidR="4E9262DF">
        <w:t>,</w:t>
      </w:r>
      <w:r w:rsidR="00B21261" w:rsidRPr="00FD077C">
        <w:rPr>
          <w:rStyle w:val="FootnoteReference"/>
          <w:rFonts w:eastAsia="Times New Roman" w:cs="Times New Roman"/>
        </w:rPr>
        <w:footnoteReference w:id="61"/>
      </w:r>
      <w:r w:rsidR="4E9262DF">
        <w:t xml:space="preserve"> and while one CAP-funded school holiday</w:t>
      </w:r>
      <w:r w:rsidR="4E9262DF" w:rsidRPr="005303ED">
        <w:t xml:space="preserve"> program </w:t>
      </w:r>
      <w:r w:rsidR="4E9262DF">
        <w:t>has</w:t>
      </w:r>
      <w:r w:rsidR="4E9262DF" w:rsidRPr="005303ED">
        <w:t xml:space="preserve"> only operated for 12-months, it has been </w:t>
      </w:r>
      <w:r w:rsidR="4E9262DF">
        <w:t>reported</w:t>
      </w:r>
      <w:r w:rsidR="4E9262DF" w:rsidRPr="005303ED">
        <w:t xml:space="preserve"> </w:t>
      </w:r>
      <w:r w:rsidR="65609666">
        <w:t>to</w:t>
      </w:r>
      <w:r w:rsidR="4E9262DF" w:rsidRPr="005303ED">
        <w:t xml:space="preserve"> </w:t>
      </w:r>
      <w:r w:rsidR="4E9262DF">
        <w:t>keep</w:t>
      </w:r>
      <w:r w:rsidR="4E9262DF" w:rsidRPr="005303ED">
        <w:t xml:space="preserve"> youth </w:t>
      </w:r>
      <w:r w:rsidR="4E9262DF">
        <w:t>engaged during</w:t>
      </w:r>
      <w:r w:rsidR="4E9262DF" w:rsidRPr="005303ED">
        <w:t xml:space="preserve"> the school holidays</w:t>
      </w:r>
      <w:r w:rsidR="4E9262DF">
        <w:t>.</w:t>
      </w:r>
      <w:r w:rsidR="00006A76">
        <w:rPr>
          <w:rStyle w:val="FootnoteReference"/>
        </w:rPr>
        <w:t xml:space="preserve"> </w:t>
      </w:r>
      <w:r w:rsidR="4E9262DF">
        <w:t xml:space="preserve"> </w:t>
      </w:r>
    </w:p>
    <w:p w14:paraId="4B578211" w14:textId="5E9367A9" w:rsidR="00B21261" w:rsidRPr="001624EF" w:rsidRDefault="00B21261" w:rsidP="000F115B">
      <w:pPr>
        <w:pStyle w:val="Heading4"/>
      </w:pPr>
      <w:r w:rsidRPr="00141FEE">
        <w:lastRenderedPageBreak/>
        <w:t>Infrastructure</w:t>
      </w:r>
    </w:p>
    <w:p w14:paraId="66488E85" w14:textId="70FEBBAB" w:rsidR="00C51C91" w:rsidRPr="00693C9C" w:rsidRDefault="3941F82C" w:rsidP="00DA4528">
      <w:r>
        <w:t xml:space="preserve">Tranche </w:t>
      </w:r>
      <w:r w:rsidR="00A678E2">
        <w:t>1</w:t>
      </w:r>
      <w:r>
        <w:t xml:space="preserve"> and </w:t>
      </w:r>
      <w:r w:rsidR="00A678E2">
        <w:t>2</w:t>
      </w:r>
      <w:r>
        <w:t xml:space="preserve"> </w:t>
      </w:r>
      <w:r w:rsidR="00A04EDD">
        <w:t>I</w:t>
      </w:r>
      <w:r w:rsidR="00A04EDD" w:rsidRPr="00B87682">
        <w:t>nfrastructure projects</w:t>
      </w:r>
      <w:r w:rsidR="00A04EDD">
        <w:t xml:space="preserve">, like </w:t>
      </w:r>
      <w:r w:rsidR="00A04EDD" w:rsidRPr="00B87682">
        <w:t>playgrounds</w:t>
      </w:r>
      <w:r w:rsidR="00A04EDD">
        <w:t>, ovals and lighting,</w:t>
      </w:r>
      <w:r w:rsidR="00A04EDD" w:rsidRPr="00B87682">
        <w:t xml:space="preserve"> are </w:t>
      </w:r>
      <w:r w:rsidR="00A04EDD">
        <w:t xml:space="preserve">progressing, underway or completed </w:t>
      </w:r>
      <w:r w:rsidR="00A04EDD" w:rsidRPr="00B87682">
        <w:t>in remote communities and town</w:t>
      </w:r>
      <w:r w:rsidR="00A04EDD">
        <w:t>s</w:t>
      </w:r>
      <w:r w:rsidR="00A04EDD" w:rsidRPr="00B87682">
        <w:t>.</w:t>
      </w:r>
      <w:r w:rsidR="00A04EDD" w:rsidRPr="007E350E">
        <w:t xml:space="preserve"> </w:t>
      </w:r>
      <w:r w:rsidR="00A04EDD">
        <w:t>D</w:t>
      </w:r>
      <w:r w:rsidR="00A04EDD" w:rsidRPr="00B87682">
        <w:t xml:space="preserve">igital </w:t>
      </w:r>
      <w:r w:rsidR="00BC2E2F">
        <w:t>inclusion</w:t>
      </w:r>
      <w:r w:rsidR="00A04EDD">
        <w:t xml:space="preserve"> projects are also progressing in these areas.</w:t>
      </w:r>
      <w:r w:rsidR="00A04EDD" w:rsidRPr="00B87682">
        <w:t xml:space="preserve"> </w:t>
      </w:r>
      <w:r w:rsidR="00A04EDD">
        <w:t xml:space="preserve">Some service providers noted positive change in remote communities following the completion of CAP infrastructure projects, noting the increased ability for community to safely </w:t>
      </w:r>
      <w:r w:rsidR="3E79F877">
        <w:t>use</w:t>
      </w:r>
      <w:r w:rsidR="00A04EDD">
        <w:t xml:space="preserve"> areas like playgrounds, basketball courts, and recreational centres with the provision of fencing and CCTV access.</w:t>
      </w:r>
      <w:r w:rsidR="00A04EDD" w:rsidRPr="003440D6">
        <w:t xml:space="preserve"> </w:t>
      </w:r>
      <w:r w:rsidR="00A04EDD">
        <w:t>These areas are being constructed with the intent</w:t>
      </w:r>
      <w:r w:rsidR="765E1D3E">
        <w:t xml:space="preserve"> to have </w:t>
      </w:r>
      <w:r w:rsidR="00A04EDD">
        <w:t>multiple uses, and community have expressed early positive feedback</w:t>
      </w:r>
      <w:r w:rsidR="0F3AD8A8">
        <w:t xml:space="preserve"> to ALG members</w:t>
      </w:r>
      <w:r w:rsidR="00A04EDD">
        <w:t>.</w:t>
      </w:r>
      <w:r w:rsidR="00006A76">
        <w:rPr>
          <w:rStyle w:val="FootnoteReference"/>
        </w:rPr>
        <w:t xml:space="preserve"> </w:t>
      </w:r>
      <w:r w:rsidR="00A04EDD">
        <w:t xml:space="preserve"> </w:t>
      </w:r>
    </w:p>
    <w:p w14:paraId="4E268C87" w14:textId="2755DB0D" w:rsidR="00B21261" w:rsidRPr="00CD138B" w:rsidRDefault="00B21261" w:rsidP="000F115B">
      <w:pPr>
        <w:pStyle w:val="Heading4"/>
      </w:pPr>
      <w:r w:rsidRPr="00141FEE">
        <w:t xml:space="preserve">Community </w:t>
      </w:r>
      <w:r w:rsidR="00263490">
        <w:t>s</w:t>
      </w:r>
      <w:r w:rsidRPr="00141FEE">
        <w:t>afety</w:t>
      </w:r>
    </w:p>
    <w:p w14:paraId="3F340A90" w14:textId="604574B2" w:rsidR="00DF73D0" w:rsidRDefault="0CF7C344" w:rsidP="00DA4528">
      <w:r w:rsidRPr="000A653C">
        <w:t>C</w:t>
      </w:r>
      <w:r w:rsidR="4E9262DF" w:rsidRPr="000A653C">
        <w:t xml:space="preserve">ommunity safety initiatives are </w:t>
      </w:r>
      <w:r w:rsidR="4E9262DF">
        <w:t xml:space="preserve">now </w:t>
      </w:r>
      <w:r w:rsidR="4E9262DF" w:rsidRPr="000A653C">
        <w:t>operating in remote areas</w:t>
      </w:r>
      <w:r w:rsidR="00E43853">
        <w:t>.</w:t>
      </w:r>
      <w:r w:rsidR="00B21261">
        <w:rPr>
          <w:rStyle w:val="FootnoteReference"/>
        </w:rPr>
        <w:footnoteReference w:id="62"/>
      </w:r>
      <w:r w:rsidR="4E9262DF">
        <w:rPr>
          <w:rFonts w:eastAsia="Times New Roman" w:cs="Times New Roman"/>
        </w:rPr>
        <w:t xml:space="preserve"> </w:t>
      </w:r>
      <w:r w:rsidR="27613656" w:rsidRPr="3562EEFD">
        <w:rPr>
          <w:rFonts w:eastAsia="Times New Roman" w:cs="Times New Roman"/>
        </w:rPr>
        <w:t>The f</w:t>
      </w:r>
      <w:r w:rsidR="4E9262DF">
        <w:t>unding has supported remote community patrols</w:t>
      </w:r>
      <w:r w:rsidR="00E43853">
        <w:t xml:space="preserve"> that work with police to address community unrest. Improved </w:t>
      </w:r>
      <w:r w:rsidR="4E9262DF">
        <w:t>infrastructure in town, such as fenc</w:t>
      </w:r>
      <w:r w:rsidR="00E43853">
        <w:t>ing of outdoor spaces</w:t>
      </w:r>
      <w:r w:rsidR="4E9262DF">
        <w:t xml:space="preserve">, </w:t>
      </w:r>
      <w:r w:rsidR="00E43853">
        <w:t>is also supporting</w:t>
      </w:r>
      <w:r w:rsidR="4E9262DF">
        <w:t xml:space="preserve"> safe</w:t>
      </w:r>
      <w:r w:rsidR="00E43853">
        <w:t>r</w:t>
      </w:r>
      <w:r w:rsidR="4E9262DF">
        <w:t xml:space="preserve"> </w:t>
      </w:r>
      <w:r w:rsidR="00E43853">
        <w:t xml:space="preserve">community </w:t>
      </w:r>
      <w:r w:rsidR="4E9262DF">
        <w:t>place</w:t>
      </w:r>
      <w:r w:rsidR="00E43853">
        <w:t>s for sporting activities and outdoor play</w:t>
      </w:r>
      <w:r w:rsidR="4E9262DF">
        <w:t>.</w:t>
      </w:r>
      <w:r w:rsidR="00006A76">
        <w:rPr>
          <w:rStyle w:val="FootnoteReference"/>
        </w:rPr>
        <w:t xml:space="preserve"> </w:t>
      </w:r>
      <w:r w:rsidR="4E9262DF">
        <w:t xml:space="preserve"> While support is appreciated by services, funding is seen by some providers as a ‘band-aid’ solution that </w:t>
      </w:r>
      <w:r w:rsidR="1E98A3CC">
        <w:t>does</w:t>
      </w:r>
      <w:r w:rsidR="4E9262DF">
        <w:t xml:space="preserve"> not address their community’s major concerns with safety.</w:t>
      </w:r>
      <w:r w:rsidR="00006A76">
        <w:rPr>
          <w:rStyle w:val="FootnoteReference"/>
        </w:rPr>
        <w:t xml:space="preserve"> </w:t>
      </w:r>
      <w:r w:rsidR="4E9262DF">
        <w:rPr>
          <w:rFonts w:eastAsia="Times New Roman" w:cs="Times New Roman"/>
        </w:rPr>
        <w:t xml:space="preserve"> </w:t>
      </w:r>
      <w:r w:rsidR="4E9262DF">
        <w:t xml:space="preserve">Some service providers </w:t>
      </w:r>
      <w:r w:rsidR="0CAF250E">
        <w:t xml:space="preserve">also </w:t>
      </w:r>
      <w:r w:rsidR="4E9262DF">
        <w:t>note that they ha</w:t>
      </w:r>
      <w:r w:rsidR="1F42BF96">
        <w:t>ve</w:t>
      </w:r>
      <w:r w:rsidR="4E9262DF">
        <w:t xml:space="preserve"> not yet been able to see any changes in their community since CAP implementation</w:t>
      </w:r>
      <w:r w:rsidR="00E43853">
        <w:t>,</w:t>
      </w:r>
      <w:r w:rsidR="00006A76">
        <w:rPr>
          <w:rStyle w:val="FootnoteReference"/>
        </w:rPr>
        <w:t xml:space="preserve"> </w:t>
      </w:r>
      <w:r w:rsidR="4E9262DF">
        <w:t xml:space="preserve"> and expressed a need for strategic and ongoing funding to address underlying issues impacting remote communities.</w:t>
      </w:r>
    </w:p>
    <w:p w14:paraId="15B8B0DA" w14:textId="77777777" w:rsidR="00611249" w:rsidRDefault="00611249" w:rsidP="00DA4528"/>
    <w:p w14:paraId="20044152" w14:textId="77777777" w:rsidR="009A1979" w:rsidRDefault="00E43853" w:rsidP="00611249">
      <w:pPr>
        <w:pStyle w:val="Heading1"/>
        <w:shd w:val="clear" w:color="auto" w:fill="FFFFFF"/>
      </w:pPr>
      <w:r>
        <w:br w:type="page"/>
      </w:r>
    </w:p>
    <w:p w14:paraId="24D09F84" w14:textId="5B044F7D" w:rsidR="00B21261" w:rsidRDefault="00B21261" w:rsidP="000F115B">
      <w:pPr>
        <w:pStyle w:val="Heading2"/>
      </w:pPr>
      <w:r w:rsidRPr="000F115B">
        <w:lastRenderedPageBreak/>
        <w:t>KEQ5: What are the lessons learnt from the CAP process so far?​</w:t>
      </w:r>
    </w:p>
    <w:p w14:paraId="04027D26" w14:textId="7E1AC071" w:rsidR="00F646F0" w:rsidRPr="00F646F0" w:rsidRDefault="00F646F0" w:rsidP="00F646F0">
      <w:r>
        <w:t xml:space="preserve">These findings explore the lessons learnt from the CAP focussing on the factors that enable the CAP and doing things differently, the barriers, and future areas of focus. </w:t>
      </w:r>
    </w:p>
    <w:tbl>
      <w:tblPr>
        <w:tblStyle w:val="TableGrid2"/>
        <w:tblpPr w:leftFromText="180" w:rightFromText="180" w:vertAnchor="text" w:horzAnchor="margin" w:tblpY="24"/>
        <w:tblW w:w="5000" w:type="pct"/>
        <w:tblLook w:val="04A0" w:firstRow="1" w:lastRow="0" w:firstColumn="1" w:lastColumn="0" w:noHBand="0" w:noVBand="1"/>
      </w:tblPr>
      <w:tblGrid>
        <w:gridCol w:w="9680"/>
      </w:tblGrid>
      <w:tr w:rsidR="00B21261" w:rsidRPr="00FA22E6" w14:paraId="32E3DE42" w14:textId="77777777" w:rsidTr="00F75344">
        <w:trPr>
          <w:trHeight w:val="6036"/>
        </w:trPr>
        <w:tc>
          <w:tcPr>
            <w:tcW w:w="5000" w:type="pct"/>
            <w:tcBorders>
              <w:top w:val="single" w:sz="24" w:space="0" w:color="009999"/>
              <w:left w:val="single" w:sz="24" w:space="0" w:color="009999"/>
              <w:bottom w:val="single" w:sz="24" w:space="0" w:color="009999"/>
              <w:right w:val="single" w:sz="24" w:space="0" w:color="009999"/>
            </w:tcBorders>
          </w:tcPr>
          <w:p w14:paraId="72845C19" w14:textId="787136BD" w:rsidR="00B21261" w:rsidRPr="00032663" w:rsidRDefault="00F646F0" w:rsidP="00E20227">
            <w:pPr>
              <w:pStyle w:val="Heading3"/>
            </w:pPr>
            <w:r>
              <w:t>Summary of e</w:t>
            </w:r>
            <w:r w:rsidR="00B21261">
              <w:t>valuation findings</w:t>
            </w:r>
          </w:p>
          <w:p w14:paraId="5ACE206B" w14:textId="6989E1DB" w:rsidR="00B21261" w:rsidRPr="00975FE1" w:rsidRDefault="00B21261" w:rsidP="00DA4528">
            <w:pPr>
              <w:rPr>
                <w:lang w:val="en-US"/>
              </w:rPr>
            </w:pPr>
            <w:r w:rsidRPr="00975FE1">
              <w:rPr>
                <w:lang w:val="en-US"/>
              </w:rPr>
              <w:t xml:space="preserve">Strong governance mechanisms, involvement of community leadership, and government taking a flexible, relational approach are key enablers of the CAP. The involvement of experienced public servants with strong networks across government </w:t>
            </w:r>
            <w:r w:rsidR="15F96491" w:rsidRPr="06E9A464">
              <w:rPr>
                <w:lang w:val="en-US"/>
              </w:rPr>
              <w:t>is</w:t>
            </w:r>
            <w:r w:rsidRPr="00975FE1">
              <w:rPr>
                <w:lang w:val="en-US"/>
              </w:rPr>
              <w:t xml:space="preserve"> another key factor in the CAP’s implementation</w:t>
            </w:r>
            <w:r w:rsidR="57816949" w:rsidRPr="06E9A464">
              <w:rPr>
                <w:lang w:val="en-US"/>
              </w:rPr>
              <w:t>. H</w:t>
            </w:r>
            <w:r>
              <w:rPr>
                <w:lang w:val="en-US"/>
              </w:rPr>
              <w:t>owever</w:t>
            </w:r>
            <w:r w:rsidR="629E774F" w:rsidRPr="06E9A464">
              <w:rPr>
                <w:lang w:val="en-US"/>
              </w:rPr>
              <w:t>,</w:t>
            </w:r>
            <w:r>
              <w:rPr>
                <w:lang w:val="en-US"/>
              </w:rPr>
              <w:t xml:space="preserve"> t</w:t>
            </w:r>
            <w:r w:rsidRPr="00975FE1">
              <w:rPr>
                <w:lang w:val="en-US"/>
              </w:rPr>
              <w:t>his posed risks where there was a reliance on personal relationships</w:t>
            </w:r>
            <w:r w:rsidR="00E068D4">
              <w:rPr>
                <w:lang w:val="en-US"/>
              </w:rPr>
              <w:t xml:space="preserve"> </w:t>
            </w:r>
            <w:r w:rsidRPr="00975FE1">
              <w:rPr>
                <w:lang w:val="en-US"/>
              </w:rPr>
              <w:t>rather than an official process or mechanism that could be followed, regardless of personnel involved.</w:t>
            </w:r>
          </w:p>
          <w:p w14:paraId="30BE93F2" w14:textId="69AA7DAD" w:rsidR="00B21261" w:rsidRPr="00975FE1" w:rsidRDefault="00B21261" w:rsidP="00DA4528">
            <w:pPr>
              <w:rPr>
                <w:lang w:val="en-US"/>
              </w:rPr>
            </w:pPr>
            <w:r w:rsidRPr="00975FE1">
              <w:rPr>
                <w:lang w:val="en-US"/>
              </w:rPr>
              <w:t>Barriers to effective implementation of the CAP and long-term meaningful change stem from:</w:t>
            </w:r>
          </w:p>
          <w:p w14:paraId="1A3E740C" w14:textId="6E594085" w:rsidR="00B21261" w:rsidRPr="002D7276" w:rsidRDefault="00B21261" w:rsidP="003343AE">
            <w:pPr>
              <w:pStyle w:val="ListParagraph"/>
            </w:pPr>
            <w:r w:rsidRPr="002D7276">
              <w:t xml:space="preserve">Minimal time to develop CAP strategic direction and alignment with existing mechanisms such as </w:t>
            </w:r>
            <w:r w:rsidR="00FA13E6">
              <w:t>National Agreement</w:t>
            </w:r>
            <w:r w:rsidRPr="002D7276">
              <w:t xml:space="preserve"> and local decision making </w:t>
            </w:r>
            <w:r w:rsidR="46CB3F4D" w:rsidRPr="002D7276">
              <w:t xml:space="preserve">has </w:t>
            </w:r>
            <w:r w:rsidRPr="002D7276">
              <w:t>reduced the effectiveness, and representa</w:t>
            </w:r>
            <w:r w:rsidR="1D6B8376" w:rsidRPr="002D7276">
              <w:t>tiveness</w:t>
            </w:r>
            <w:r w:rsidRPr="002D7276">
              <w:t xml:space="preserve"> of Aboriginal community-led decision making in the CAP. </w:t>
            </w:r>
          </w:p>
          <w:p w14:paraId="68F6AE9F" w14:textId="77777777" w:rsidR="00B21261" w:rsidRPr="002D7276" w:rsidRDefault="00B21261" w:rsidP="003343AE">
            <w:pPr>
              <w:pStyle w:val="ListParagraph"/>
            </w:pPr>
            <w:r w:rsidRPr="002D7276">
              <w:t xml:space="preserve">Complex legislative processes around government grants and procurements have remained unchanged from business-as-usual processes, delaying implementation once a funding decision has been made. </w:t>
            </w:r>
          </w:p>
          <w:p w14:paraId="5A9607CA" w14:textId="3B67DF39" w:rsidR="00B21261" w:rsidRPr="002D7276" w:rsidRDefault="00220E6B" w:rsidP="003343AE">
            <w:pPr>
              <w:pStyle w:val="ListParagraph"/>
            </w:pPr>
            <w:r w:rsidRPr="002D7276">
              <w:t>Time pressures</w:t>
            </w:r>
            <w:r w:rsidR="00B21261" w:rsidRPr="002D7276">
              <w:t xml:space="preserve"> </w:t>
            </w:r>
            <w:r w:rsidRPr="002D7276">
              <w:t>and a lack of</w:t>
            </w:r>
            <w:r w:rsidR="00B21261" w:rsidRPr="002D7276">
              <w:t xml:space="preserve"> </w:t>
            </w:r>
            <w:r w:rsidR="62B9931B" w:rsidRPr="002D7276">
              <w:t>established</w:t>
            </w:r>
            <w:r w:rsidR="00B21261" w:rsidRPr="002D7276">
              <w:t xml:space="preserve"> frameworks to </w:t>
            </w:r>
            <w:r w:rsidR="00BC56FE" w:rsidRPr="002D7276">
              <w:t xml:space="preserve">plan and </w:t>
            </w:r>
            <w:r w:rsidR="00B21261" w:rsidRPr="002D7276">
              <w:t>conduct feasibility analys</w:t>
            </w:r>
            <w:r w:rsidR="00BC56FE" w:rsidRPr="002D7276">
              <w:t>es</w:t>
            </w:r>
            <w:r w:rsidR="00B21261" w:rsidRPr="002D7276">
              <w:t xml:space="preserve"> of proposed projects mean</w:t>
            </w:r>
            <w:r w:rsidR="592EE6DF" w:rsidRPr="002D7276">
              <w:t xml:space="preserve"> </w:t>
            </w:r>
            <w:r w:rsidR="00B21261" w:rsidRPr="002D7276">
              <w:t xml:space="preserve">that producing outcomes in alignment with the overarching goals of the CAP </w:t>
            </w:r>
            <w:r w:rsidR="3A33344B" w:rsidRPr="002D7276">
              <w:t xml:space="preserve">has not been </w:t>
            </w:r>
            <w:r w:rsidR="00B21261" w:rsidRPr="002D7276">
              <w:t>purposefully guided or tracked</w:t>
            </w:r>
            <w:r w:rsidR="00142236" w:rsidRPr="002D7276">
              <w:t>.</w:t>
            </w:r>
          </w:p>
          <w:p w14:paraId="48B5BE27" w14:textId="1E23ED2D" w:rsidR="00B21261" w:rsidRPr="002D7276" w:rsidRDefault="2A5BC641" w:rsidP="003343AE">
            <w:pPr>
              <w:pStyle w:val="ListParagraph"/>
            </w:pPr>
            <w:r w:rsidRPr="002D7276">
              <w:t xml:space="preserve">Lack of </w:t>
            </w:r>
            <w:r w:rsidR="00B21261" w:rsidRPr="002D7276">
              <w:t xml:space="preserve">formal mechanisms </w:t>
            </w:r>
            <w:r w:rsidR="7D77A1BC" w:rsidRPr="002D7276">
              <w:t>for</w:t>
            </w:r>
            <w:r w:rsidR="00B21261" w:rsidRPr="002D7276">
              <w:t xml:space="preserve"> communica</w:t>
            </w:r>
            <w:r w:rsidR="3BDA7B06" w:rsidRPr="002D7276">
              <w:t>t</w:t>
            </w:r>
            <w:r w:rsidR="0016083F" w:rsidRPr="002D7276">
              <w:t xml:space="preserve">ing </w:t>
            </w:r>
            <w:r w:rsidR="00B21261" w:rsidRPr="002D7276">
              <w:t xml:space="preserve">CAP objectives and accountability of implementation progress to stakeholders and community </w:t>
            </w:r>
            <w:r w:rsidR="39AB6C62" w:rsidRPr="002D7276">
              <w:t xml:space="preserve">has </w:t>
            </w:r>
            <w:r w:rsidR="00B21261" w:rsidRPr="002D7276">
              <w:t>resulted in confus</w:t>
            </w:r>
            <w:r w:rsidR="1E0C7326" w:rsidRPr="002D7276">
              <w:t>ion</w:t>
            </w:r>
            <w:r w:rsidR="63A032D2" w:rsidRPr="002D7276">
              <w:t>,</w:t>
            </w:r>
            <w:r w:rsidR="00B21261" w:rsidRPr="002D7276">
              <w:t xml:space="preserve"> and a lack of visibility of CAP actions for community stakeholders</w:t>
            </w:r>
            <w:r w:rsidR="005A494F" w:rsidRPr="002D7276">
              <w:t>.</w:t>
            </w:r>
          </w:p>
          <w:p w14:paraId="7F4CBBFA" w14:textId="0B962A2D" w:rsidR="00B21261" w:rsidRPr="00975FE1" w:rsidRDefault="00B21261" w:rsidP="00DA4528">
            <w:pPr>
              <w:rPr>
                <w:lang w:val="en-US"/>
              </w:rPr>
            </w:pPr>
            <w:r w:rsidRPr="00975FE1">
              <w:rPr>
                <w:lang w:val="en-US"/>
              </w:rPr>
              <w:t xml:space="preserve">Underlying all these challenges are the ongoing drivers of the unrest in Central Australia including the impacts of years of government interventions, </w:t>
            </w:r>
            <w:r w:rsidRPr="00975FE1">
              <w:rPr>
                <w:rFonts w:eastAsia="Times New Roman" w:cs="Helvetica"/>
              </w:rPr>
              <w:t xml:space="preserve">overcrowding, food </w:t>
            </w:r>
            <w:r w:rsidR="00CF0026">
              <w:rPr>
                <w:rFonts w:eastAsia="Times New Roman" w:cs="Helvetica"/>
              </w:rPr>
              <w:t>in</w:t>
            </w:r>
            <w:r w:rsidRPr="00975FE1">
              <w:rPr>
                <w:rFonts w:eastAsia="Times New Roman" w:cs="Helvetica"/>
              </w:rPr>
              <w:t>security, a lack of social investment in the region, and poor social cohesion - all of which pose barriers to genuine partnership with community and achievement of long</w:t>
            </w:r>
            <w:r w:rsidR="00512E9C" w:rsidRPr="00975FE1">
              <w:rPr>
                <w:rFonts w:eastAsia="Times New Roman" w:cs="Helvetica"/>
              </w:rPr>
              <w:t>-</w:t>
            </w:r>
            <w:r w:rsidRPr="00975FE1">
              <w:rPr>
                <w:rFonts w:eastAsia="Times New Roman" w:cs="Helvetica"/>
              </w:rPr>
              <w:t xml:space="preserve">term positive change. </w:t>
            </w:r>
          </w:p>
          <w:p w14:paraId="3DD44F8B" w14:textId="3CC1DAAE" w:rsidR="00B21261" w:rsidRPr="00975FE1" w:rsidRDefault="00B21261" w:rsidP="00DA4528">
            <w:pPr>
              <w:rPr>
                <w:lang w:val="en-US"/>
              </w:rPr>
            </w:pPr>
            <w:r w:rsidRPr="00975FE1">
              <w:rPr>
                <w:lang w:val="en-US"/>
              </w:rPr>
              <w:t xml:space="preserve">Looking to the next phase of the CAP, a key focus needs to be on the effective implementation of </w:t>
            </w:r>
            <w:r w:rsidR="1F8A66D8" w:rsidRPr="436F00B0">
              <w:rPr>
                <w:lang w:val="en-US"/>
              </w:rPr>
              <w:t>the</w:t>
            </w:r>
            <w:r w:rsidRPr="436F00B0">
              <w:rPr>
                <w:lang w:val="en-US"/>
              </w:rPr>
              <w:t xml:space="preserve"> </w:t>
            </w:r>
            <w:r w:rsidRPr="00975FE1">
              <w:rPr>
                <w:lang w:val="en-US"/>
              </w:rPr>
              <w:t xml:space="preserve">funding that has been allocated, and on building the sustainability of existing measures beyond the four-year life of the CAP. </w:t>
            </w:r>
            <w:r w:rsidR="00B27C57" w:rsidRPr="00B27C57">
              <w:rPr>
                <w:lang w:val="en-US"/>
              </w:rPr>
              <w:t xml:space="preserve">Stakeholders also </w:t>
            </w:r>
            <w:r w:rsidR="74FA1705" w:rsidRPr="436F00B0">
              <w:rPr>
                <w:lang w:val="en-US"/>
              </w:rPr>
              <w:t>identi</w:t>
            </w:r>
            <w:r w:rsidR="0A84278A" w:rsidRPr="436F00B0">
              <w:rPr>
                <w:lang w:val="en-US"/>
              </w:rPr>
              <w:t>fy</w:t>
            </w:r>
            <w:r w:rsidR="00B27C57" w:rsidRPr="00B27C57">
              <w:rPr>
                <w:lang w:val="en-US"/>
              </w:rPr>
              <w:t xml:space="preserve"> a need to </w:t>
            </w:r>
            <w:proofErr w:type="spellStart"/>
            <w:r w:rsidR="00B27C57" w:rsidRPr="00B27C57">
              <w:rPr>
                <w:lang w:val="en-US"/>
              </w:rPr>
              <w:t>prioritise</w:t>
            </w:r>
            <w:proofErr w:type="spellEnd"/>
            <w:r w:rsidR="00B27C57" w:rsidRPr="00B27C57">
              <w:rPr>
                <w:lang w:val="en-US"/>
              </w:rPr>
              <w:t xml:space="preserve"> funding of initiatives that </w:t>
            </w:r>
            <w:r w:rsidR="39DC28AC" w:rsidRPr="436F00B0">
              <w:rPr>
                <w:lang w:val="en-US"/>
              </w:rPr>
              <w:t>are likely to</w:t>
            </w:r>
            <w:r w:rsidR="00B27C57" w:rsidRPr="00B27C57">
              <w:rPr>
                <w:lang w:val="en-US"/>
              </w:rPr>
              <w:t xml:space="preserve"> address underlying root-cause issues, such as housing, education, and health.</w:t>
            </w:r>
          </w:p>
          <w:p w14:paraId="2D793B41" w14:textId="2BA65772" w:rsidR="00116430" w:rsidRPr="00975FE1" w:rsidRDefault="003E40F5" w:rsidP="00DA4528">
            <w:pPr>
              <w:rPr>
                <w:lang w:val="en-US"/>
              </w:rPr>
            </w:pPr>
            <w:r>
              <w:rPr>
                <w:lang w:val="en-US"/>
              </w:rPr>
              <w:t>Future action also needs to include improv</w:t>
            </w:r>
            <w:r w:rsidR="004358AD">
              <w:rPr>
                <w:lang w:val="en-US"/>
              </w:rPr>
              <w:t>ing</w:t>
            </w:r>
            <w:r>
              <w:rPr>
                <w:lang w:val="en-US"/>
              </w:rPr>
              <w:t xml:space="preserve"> communication with </w:t>
            </w:r>
            <w:r w:rsidR="2664D971" w:rsidRPr="436F00B0">
              <w:rPr>
                <w:lang w:val="en-US"/>
              </w:rPr>
              <w:t>people</w:t>
            </w:r>
            <w:r>
              <w:rPr>
                <w:lang w:val="en-US"/>
              </w:rPr>
              <w:t xml:space="preserve"> </w:t>
            </w:r>
            <w:r w:rsidR="004358AD">
              <w:rPr>
                <w:lang w:val="en-US"/>
              </w:rPr>
              <w:t xml:space="preserve">outside of </w:t>
            </w:r>
            <w:r w:rsidR="60F6335C" w:rsidRPr="436F00B0">
              <w:rPr>
                <w:lang w:val="en-US"/>
              </w:rPr>
              <w:t xml:space="preserve">the </w:t>
            </w:r>
            <w:r w:rsidR="004358AD">
              <w:rPr>
                <w:lang w:val="en-US"/>
              </w:rPr>
              <w:t>CAP architecture</w:t>
            </w:r>
            <w:r w:rsidR="008A17A6">
              <w:rPr>
                <w:lang w:val="en-US"/>
              </w:rPr>
              <w:t xml:space="preserve">, </w:t>
            </w:r>
            <w:r w:rsidR="5AA3371E" w:rsidRPr="436F00B0">
              <w:rPr>
                <w:lang w:val="en-US"/>
              </w:rPr>
              <w:t>including</w:t>
            </w:r>
            <w:r w:rsidR="008A17A6">
              <w:rPr>
                <w:lang w:val="en-US"/>
              </w:rPr>
              <w:t xml:space="preserve"> service providers and general community, to ensure the visibility of </w:t>
            </w:r>
            <w:r w:rsidR="00B2137B">
              <w:rPr>
                <w:lang w:val="en-US"/>
              </w:rPr>
              <w:t xml:space="preserve">the </w:t>
            </w:r>
            <w:r w:rsidR="008A17A6">
              <w:rPr>
                <w:lang w:val="en-US"/>
              </w:rPr>
              <w:t>CAP</w:t>
            </w:r>
            <w:r w:rsidR="00B2137B">
              <w:rPr>
                <w:lang w:val="en-US"/>
              </w:rPr>
              <w:t xml:space="preserve">’s rollout and </w:t>
            </w:r>
            <w:r w:rsidR="0449E886" w:rsidRPr="436F00B0">
              <w:rPr>
                <w:lang w:val="en-US"/>
              </w:rPr>
              <w:t>achievements</w:t>
            </w:r>
            <w:r w:rsidR="004358AD">
              <w:rPr>
                <w:lang w:val="en-US"/>
              </w:rPr>
              <w:t xml:space="preserve">. </w:t>
            </w:r>
          </w:p>
          <w:p w14:paraId="14FC6CBA" w14:textId="24DF7412" w:rsidR="00B21261" w:rsidRPr="00032663" w:rsidRDefault="00B21261" w:rsidP="00DA4528">
            <w:pPr>
              <w:rPr>
                <w:lang w:val="en-US"/>
              </w:rPr>
            </w:pPr>
            <w:r w:rsidRPr="00975FE1">
              <w:rPr>
                <w:lang w:val="en-US"/>
              </w:rPr>
              <w:t xml:space="preserve">Specific findings on lessons learnt on the CAP process to date on </w:t>
            </w:r>
            <w:r w:rsidRPr="00975FE1">
              <w:t>enablers, barriers and future areas of focus </w:t>
            </w:r>
            <w:r w:rsidRPr="00975FE1">
              <w:rPr>
                <w:lang w:val="en-US"/>
              </w:rPr>
              <w:t>are below</w:t>
            </w:r>
            <w:r>
              <w:rPr>
                <w:lang w:val="en-US"/>
              </w:rPr>
              <w:t>.</w:t>
            </w:r>
          </w:p>
        </w:tc>
      </w:tr>
    </w:tbl>
    <w:p w14:paraId="544989E5" w14:textId="7E47F501" w:rsidR="00DE3850" w:rsidRPr="00DE3850" w:rsidRDefault="00B21261" w:rsidP="003343AE">
      <w:pPr>
        <w:pStyle w:val="Heading3"/>
      </w:pPr>
      <w:r w:rsidRPr="000A653C">
        <w:t xml:space="preserve">Enablers and barriers of strategic decision-making relating to implementation  </w:t>
      </w:r>
    </w:p>
    <w:p w14:paraId="2257F11A" w14:textId="77777777" w:rsidR="00B21261" w:rsidRPr="009C453B" w:rsidRDefault="00B21261" w:rsidP="0094034C">
      <w:pPr>
        <w:pStyle w:val="Heading4"/>
      </w:pPr>
      <w:r w:rsidRPr="009C453B">
        <w:t xml:space="preserve">Governance mechanisms and leadership in decision-making </w:t>
      </w:r>
    </w:p>
    <w:p w14:paraId="22C94000" w14:textId="06539179" w:rsidR="00B21261" w:rsidRDefault="4E9262DF" w:rsidP="00DA4528">
      <w:r w:rsidRPr="009C453B">
        <w:t xml:space="preserve">Strong governance mechanisms, such as the ALG, the IDC, and NIAA coordination, </w:t>
      </w:r>
      <w:r w:rsidR="69D5FEB9">
        <w:t>are</w:t>
      </w:r>
      <w:r w:rsidRPr="009C453B">
        <w:t xml:space="preserve"> identified as critical enablers of the CAP. Th</w:t>
      </w:r>
      <w:r w:rsidR="32F8A42C">
        <w:t xml:space="preserve">ey are described as being vital for </w:t>
      </w:r>
      <w:r w:rsidRPr="009C453B">
        <w:t>understanding the needs of communities across Central Australia and coordinating the multiple departments and layers of government involved in delivering projects under the CAP</w:t>
      </w:r>
      <w:r>
        <w:t>.</w:t>
      </w:r>
      <w:r w:rsidR="00006A76">
        <w:rPr>
          <w:rStyle w:val="FootnoteReference"/>
          <w:rFonts w:eastAsia="Helvetica" w:cs="Helvetica"/>
        </w:rPr>
        <w:t xml:space="preserve"> </w:t>
      </w:r>
      <w:r w:rsidRPr="009C453B">
        <w:t xml:space="preserve"> All stakeholders were clear that success under the CAP </w:t>
      </w:r>
      <w:r w:rsidR="34C85DB6">
        <w:t>i</w:t>
      </w:r>
      <w:r w:rsidRPr="009C453B">
        <w:t>s reliant on strong functioning relationships across agencies, all three levels of government and the ALG.</w:t>
      </w:r>
      <w:r w:rsidR="00006A76">
        <w:rPr>
          <w:rStyle w:val="FootnoteReference"/>
        </w:rPr>
        <w:t xml:space="preserve"> </w:t>
      </w:r>
      <w:r w:rsidRPr="009C453B">
        <w:t xml:space="preserve"> </w:t>
      </w:r>
    </w:p>
    <w:p w14:paraId="1DA8F367" w14:textId="4CE5373B" w:rsidR="00B21261" w:rsidRDefault="00B21261" w:rsidP="00DA4528">
      <w:r w:rsidRPr="00A92B68">
        <w:t>The CAP</w:t>
      </w:r>
      <w:r w:rsidR="2E4E3F81">
        <w:t xml:space="preserve"> has</w:t>
      </w:r>
      <w:r w:rsidRPr="00A92B68">
        <w:t xml:space="preserve"> established new mechanisms to </w:t>
      </w:r>
      <w:r>
        <w:t xml:space="preserve">specifically </w:t>
      </w:r>
      <w:r w:rsidRPr="00A92B68">
        <w:t xml:space="preserve">improve the inclusion of Aboriginal voices in decision-making. These mechanisms have </w:t>
      </w:r>
      <w:r>
        <w:t>established</w:t>
      </w:r>
      <w:r w:rsidRPr="00A92B68">
        <w:t xml:space="preserve"> </w:t>
      </w:r>
      <w:r>
        <w:t xml:space="preserve">new </w:t>
      </w:r>
      <w:r w:rsidRPr="00A92B68">
        <w:t>avenues for Aboriginal people to contribute to the development and implementation of the CAP. These mechanisms also reflect a broader recognition identified in documents and interviews of the need to rebuild trust following the legacy of previous government interventions. However, analysis of documents and stakeholder interviews highlights several systemic and operational constraints of the current approach. These are highlighted in detail below:</w:t>
      </w:r>
    </w:p>
    <w:p w14:paraId="758E811E" w14:textId="7E6167BE" w:rsidR="00B21261" w:rsidRPr="00387621" w:rsidRDefault="00B21261" w:rsidP="0094034C">
      <w:pPr>
        <w:pStyle w:val="Heading4"/>
        <w:rPr>
          <w:rFonts w:eastAsia="Palatino Linotype"/>
          <w:b/>
          <w:color w:val="262626" w:themeColor="text1" w:themeTint="D9"/>
        </w:rPr>
      </w:pPr>
      <w:r w:rsidRPr="00141FEE">
        <w:lastRenderedPageBreak/>
        <w:t xml:space="preserve">Aboriginal Leadership Group </w:t>
      </w:r>
      <w:r w:rsidR="0094034C">
        <w:t>r</w:t>
      </w:r>
      <w:r w:rsidRPr="00141FEE">
        <w:t xml:space="preserve">epresentation </w:t>
      </w:r>
    </w:p>
    <w:p w14:paraId="76FC5FC5" w14:textId="0E2A0F73" w:rsidR="00B21261" w:rsidRPr="00B7399E" w:rsidRDefault="4E9262DF" w:rsidP="00DA4528">
      <w:r>
        <w:t>The creation</w:t>
      </w:r>
      <w:r w:rsidDel="4E9262DF">
        <w:t xml:space="preserve"> </w:t>
      </w:r>
      <w:r>
        <w:t xml:space="preserve">and integration of an ALG was agreed by most stakeholders as a step in the right direction of government intent to involve </w:t>
      </w:r>
      <w:r w:rsidR="00DB6B66">
        <w:t>First Nations</w:t>
      </w:r>
      <w:r>
        <w:t xml:space="preserve"> communit</w:t>
      </w:r>
      <w:r w:rsidR="00933F9C">
        <w:t>ies</w:t>
      </w:r>
      <w:r>
        <w:t xml:space="preserve"> in Central Australia investment. However, w</w:t>
      </w:r>
      <w:r w:rsidRPr="00EB0649">
        <w:t xml:space="preserve">hile the ALG includes respected community leaders authorised to speak on behalf of their respective organisations or communities, they cannot represent the full diversity of </w:t>
      </w:r>
      <w:r w:rsidR="00387621">
        <w:t>First Nations</w:t>
      </w:r>
      <w:r w:rsidRPr="00EB0649">
        <w:t xml:space="preserve"> peoples across Central Australia</w:t>
      </w:r>
      <w:r>
        <w:t>.</w:t>
      </w:r>
      <w:r w:rsidR="00006A76">
        <w:rPr>
          <w:rFonts w:cs="Times New Roman"/>
          <w:color w:val="404040"/>
          <w:vertAlign w:val="superscript"/>
        </w:rPr>
        <w:t xml:space="preserve"> </w:t>
      </w:r>
      <w:r w:rsidRPr="00EB0649">
        <w:rPr>
          <w:rFonts w:cs="Times New Roman"/>
          <w:color w:val="404040"/>
        </w:rPr>
        <w:t xml:space="preserve"> </w:t>
      </w:r>
      <w:r w:rsidRPr="00EB0649">
        <w:t>The region is home to many distinct language groups and communities</w:t>
      </w:r>
      <w:r>
        <w:t>.</w:t>
      </w:r>
      <w:r w:rsidR="00B21261" w:rsidRPr="00EB0649">
        <w:rPr>
          <w:rFonts w:cs="Times New Roman"/>
          <w:color w:val="404040"/>
          <w:vertAlign w:val="superscript"/>
        </w:rPr>
        <w:footnoteReference w:id="63"/>
      </w:r>
      <w:r w:rsidRPr="00EB0649">
        <w:rPr>
          <w:rFonts w:cs="Times New Roman"/>
          <w:color w:val="404040"/>
        </w:rPr>
        <w:t xml:space="preserve"> </w:t>
      </w:r>
      <w:r w:rsidRPr="00EB0649">
        <w:t xml:space="preserve">Several limitations </w:t>
      </w:r>
      <w:r w:rsidR="2A056778">
        <w:t>are</w:t>
      </w:r>
      <w:r w:rsidRPr="00EB0649">
        <w:t xml:space="preserve"> identified across the interviews and documentation regarding community input via the ALG into the CAP including: </w:t>
      </w:r>
    </w:p>
    <w:p w14:paraId="4AF2FCC8" w14:textId="704E19F8" w:rsidR="00B21261" w:rsidRPr="002D7276" w:rsidRDefault="4E9262DF" w:rsidP="003343AE">
      <w:pPr>
        <w:pStyle w:val="ListParagraph"/>
        <w:rPr>
          <w:rFonts w:cs="Times New Roman"/>
        </w:rPr>
      </w:pPr>
      <w:r w:rsidRPr="0033525B">
        <w:t xml:space="preserve">the </w:t>
      </w:r>
      <w:r w:rsidR="33CFD71D" w:rsidRPr="0033525B">
        <w:t xml:space="preserve">creation of the </w:t>
      </w:r>
      <w:r w:rsidRPr="0033525B">
        <w:t xml:space="preserve">ALG </w:t>
      </w:r>
      <w:r w:rsidR="5F1BBFA1" w:rsidRPr="0033525B">
        <w:t>added</w:t>
      </w:r>
      <w:r w:rsidRPr="0033525B">
        <w:t xml:space="preserve"> a new </w:t>
      </w:r>
      <w:r w:rsidR="1DEB51FB" w:rsidRPr="0033525B">
        <w:t xml:space="preserve">representative </w:t>
      </w:r>
      <w:r w:rsidRPr="0033525B">
        <w:t xml:space="preserve">body, when many governance structures </w:t>
      </w:r>
      <w:r w:rsidR="48F7EA95" w:rsidRPr="0033525B">
        <w:t xml:space="preserve">already </w:t>
      </w:r>
      <w:r w:rsidRPr="0033525B">
        <w:t>exist in Central Australia</w:t>
      </w:r>
      <w:r w:rsidRPr="002D7276">
        <w:rPr>
          <w:rFonts w:cs="Times New Roman"/>
        </w:rPr>
        <w:t>.</w:t>
      </w:r>
      <w:r w:rsidR="00006A76">
        <w:rPr>
          <w:rFonts w:cs="Times New Roman"/>
          <w:vertAlign w:val="superscript"/>
        </w:rPr>
        <w:t xml:space="preserve"> </w:t>
      </w:r>
      <w:r w:rsidRPr="002D7276">
        <w:rPr>
          <w:rFonts w:cs="Times New Roman"/>
        </w:rPr>
        <w:t xml:space="preserve"> </w:t>
      </w:r>
    </w:p>
    <w:p w14:paraId="66D85401" w14:textId="011055E1" w:rsidR="00B21261" w:rsidRPr="002D7276" w:rsidRDefault="4E9262DF" w:rsidP="003343AE">
      <w:pPr>
        <w:pStyle w:val="ListParagraph"/>
        <w:rPr>
          <w:rFonts w:cs="Times New Roman"/>
        </w:rPr>
      </w:pPr>
      <w:r w:rsidRPr="0033525B">
        <w:t xml:space="preserve">alternative governance bodies and decision-making forums already operating within some communities </w:t>
      </w:r>
      <w:r w:rsidR="10B37F7D" w:rsidRPr="0033525B">
        <w:t>have not been</w:t>
      </w:r>
      <w:r w:rsidRPr="0033525B">
        <w:t xml:space="preserve"> engaged under the CAP, creating confusion, distrust, and potential duplication.</w:t>
      </w:r>
      <w:r w:rsidR="00006A76">
        <w:rPr>
          <w:rFonts w:cs="Times New Roman"/>
          <w:vertAlign w:val="superscript"/>
        </w:rPr>
        <w:t xml:space="preserve"> </w:t>
      </w:r>
    </w:p>
    <w:p w14:paraId="141B91EB" w14:textId="6BEAA0A1" w:rsidR="00B21261" w:rsidRPr="002D7276" w:rsidRDefault="4E9262DF" w:rsidP="003343AE">
      <w:pPr>
        <w:pStyle w:val="ListParagraph"/>
        <w:rPr>
          <w:rFonts w:cs="Times New Roman"/>
        </w:rPr>
      </w:pPr>
      <w:r w:rsidRPr="0033525B">
        <w:t>projects under the CAP had not been distributed equitably</w:t>
      </w:r>
      <w:r w:rsidR="5AE83140" w:rsidRPr="0033525B">
        <w:t>, in part</w:t>
      </w:r>
      <w:r w:rsidRPr="0033525B">
        <w:t xml:space="preserve"> due to the utilisation of certain </w:t>
      </w:r>
      <w:r w:rsidR="0B29146D" w:rsidRPr="0033525B">
        <w:t>L</w:t>
      </w:r>
      <w:r w:rsidRPr="0033525B">
        <w:t xml:space="preserve">ocal </w:t>
      </w:r>
      <w:r w:rsidR="74E00C0B" w:rsidRPr="0033525B">
        <w:t>D</w:t>
      </w:r>
      <w:r w:rsidRPr="0033525B">
        <w:t>ecision-</w:t>
      </w:r>
      <w:r w:rsidR="20311005" w:rsidRPr="0033525B">
        <w:t>M</w:t>
      </w:r>
      <w:r w:rsidRPr="0033525B">
        <w:t xml:space="preserve">aking </w:t>
      </w:r>
      <w:r w:rsidR="224235DD" w:rsidRPr="0033525B">
        <w:t>(LDM)</w:t>
      </w:r>
      <w:r w:rsidRPr="0033525B">
        <w:t xml:space="preserve"> groups</w:t>
      </w:r>
      <w:r w:rsidR="1010B3F4" w:rsidRPr="0033525B">
        <w:t>, and existing</w:t>
      </w:r>
      <w:r w:rsidRPr="0033525B">
        <w:t xml:space="preserve"> decision-making </w:t>
      </w:r>
      <w:r w:rsidR="1010B3F4" w:rsidRPr="0033525B">
        <w:t>structures not fully representing all communities</w:t>
      </w:r>
      <w:r w:rsidRPr="002D7276">
        <w:rPr>
          <w:rFonts w:cs="Times New Roman"/>
        </w:rPr>
        <w:t>.</w:t>
      </w:r>
      <w:r w:rsidR="00006A76">
        <w:rPr>
          <w:rFonts w:cs="Times New Roman"/>
          <w:vertAlign w:val="superscript"/>
        </w:rPr>
        <w:t xml:space="preserve"> </w:t>
      </w:r>
      <w:r w:rsidRPr="002D7276">
        <w:rPr>
          <w:rFonts w:cs="Times New Roman"/>
        </w:rPr>
        <w:t xml:space="preserve">  </w:t>
      </w:r>
    </w:p>
    <w:p w14:paraId="00B998E6" w14:textId="2D51940A" w:rsidR="00B21261" w:rsidRPr="002D7276" w:rsidRDefault="4E9262DF" w:rsidP="003343AE">
      <w:pPr>
        <w:pStyle w:val="ListParagraph"/>
        <w:rPr>
          <w:rFonts w:cs="Times New Roman"/>
        </w:rPr>
      </w:pPr>
      <w:r w:rsidRPr="0033525B">
        <w:t>the process for selection of the ALG representat</w:t>
      </w:r>
      <w:r w:rsidR="3957C445" w:rsidRPr="0033525B">
        <w:t>ives</w:t>
      </w:r>
      <w:r w:rsidRPr="0033525B">
        <w:t xml:space="preserve"> is not clear to community stakeholders, which has caused tensions in community.</w:t>
      </w:r>
      <w:r w:rsidR="00006A76">
        <w:rPr>
          <w:rFonts w:cs="Times New Roman"/>
          <w:vertAlign w:val="superscript"/>
        </w:rPr>
        <w:t xml:space="preserve"> </w:t>
      </w:r>
      <w:r w:rsidRPr="002D7276">
        <w:rPr>
          <w:rFonts w:cs="Times New Roman"/>
        </w:rPr>
        <w:t xml:space="preserve"> </w:t>
      </w:r>
    </w:p>
    <w:p w14:paraId="6B2B6FB1" w14:textId="354D0CD9" w:rsidR="00B21261" w:rsidRPr="0033525B" w:rsidRDefault="4E9262DF" w:rsidP="003343AE">
      <w:pPr>
        <w:pStyle w:val="ListParagraph"/>
      </w:pPr>
      <w:r w:rsidRPr="0033525B">
        <w:t xml:space="preserve">whilst ALG members are </w:t>
      </w:r>
      <w:r w:rsidR="00387621" w:rsidRPr="0033525B">
        <w:t>First Nations peoples</w:t>
      </w:r>
      <w:r w:rsidRPr="0033525B">
        <w:t xml:space="preserve"> and have cultural authority, </w:t>
      </w:r>
      <w:r w:rsidR="78C02E5E" w:rsidRPr="0033525B">
        <w:t>they are not chosen to be experts in all areas that CAP projects cover. S</w:t>
      </w:r>
      <w:r w:rsidR="5515CB6C" w:rsidRPr="0033525B">
        <w:t xml:space="preserve">ome stakeholders </w:t>
      </w:r>
      <w:r w:rsidRPr="0033525B">
        <w:t>queried whether they have</w:t>
      </w:r>
      <w:r w:rsidR="004B5F4B" w:rsidRPr="0033525B">
        <w:t xml:space="preserve"> a</w:t>
      </w:r>
      <w:r w:rsidR="239E93F7" w:rsidRPr="0033525B">
        <w:t>dequate knowledge</w:t>
      </w:r>
      <w:r w:rsidR="004B5F4B" w:rsidRPr="0033525B">
        <w:t xml:space="preserve"> </w:t>
      </w:r>
      <w:r w:rsidR="34629CB2" w:rsidRPr="0033525B">
        <w:t>and expertise</w:t>
      </w:r>
      <w:r w:rsidR="004B5F4B" w:rsidRPr="0033525B">
        <w:t xml:space="preserve"> to comment on all types of CAP projects</w:t>
      </w:r>
      <w:r w:rsidR="3287552B" w:rsidRPr="0033525B">
        <w:t xml:space="preserve"> </w:t>
      </w:r>
      <w:r w:rsidR="5E362B82" w:rsidRPr="0033525B">
        <w:t xml:space="preserve">(for example DFV projects) </w:t>
      </w:r>
      <w:r w:rsidR="3287552B" w:rsidRPr="0033525B">
        <w:t>without support</w:t>
      </w:r>
      <w:r w:rsidR="004B5F4B" w:rsidRPr="0033525B">
        <w:t>.</w:t>
      </w:r>
      <w:r w:rsidR="00006A76">
        <w:rPr>
          <w:vertAlign w:val="superscript"/>
        </w:rPr>
        <w:t xml:space="preserve"> </w:t>
      </w:r>
      <w:r w:rsidRPr="0033525B">
        <w:t xml:space="preserve"> </w:t>
      </w:r>
    </w:p>
    <w:p w14:paraId="7C68C5B8" w14:textId="182F1FB9" w:rsidR="00B21261" w:rsidRDefault="4E9262DF" w:rsidP="00DA4528">
      <w:r>
        <w:t xml:space="preserve">The representative nature and composition of the ALG </w:t>
      </w:r>
      <w:r w:rsidR="5F3BED15">
        <w:t>is</w:t>
      </w:r>
      <w:r>
        <w:t xml:space="preserve"> highlighted as an essential potential enabler of the CAP, that at this time does not appropriately contain the representation or expertise required to inform </w:t>
      </w:r>
      <w:r w:rsidR="00070757">
        <w:t>decision-making</w:t>
      </w:r>
      <w:r>
        <w:t xml:space="preserve"> or appropriately represent all communities in the Central Australia region</w:t>
      </w:r>
      <w:r w:rsidR="00F83B4E">
        <w:t>.</w:t>
      </w:r>
      <w:r w:rsidR="00006A76">
        <w:rPr>
          <w:rStyle w:val="FootnoteReference"/>
        </w:rPr>
        <w:t xml:space="preserve"> </w:t>
      </w:r>
    </w:p>
    <w:p w14:paraId="5A762924" w14:textId="1D06B039" w:rsidR="00B21261" w:rsidRPr="00156305" w:rsidRDefault="663386E1" w:rsidP="00DA4528">
      <w:r>
        <w:t>Lack of clarity</w:t>
      </w:r>
      <w:r w:rsidR="4E9262DF">
        <w:t xml:space="preserve"> of ALG membership selection, roles and responsibilities of ALG members, and NIAA governance of ALG membership, has led to tensions between ALG members</w:t>
      </w:r>
      <w:r w:rsidR="008E0B3A">
        <w:t xml:space="preserve">. </w:t>
      </w:r>
      <w:r w:rsidR="4E9262DF">
        <w:t xml:space="preserve">Greater clarity of ALG roles and the provision of culturally appropriate and government decision-making </w:t>
      </w:r>
      <w:r w:rsidR="4E9262DF" w:rsidRPr="002C5F3D">
        <w:t>supports for the ALG</w:t>
      </w:r>
      <w:r w:rsidR="4E9262DF">
        <w:t>, would further enhance ALG decision-making. This may include the</w:t>
      </w:r>
      <w:r w:rsidR="4E9262DF" w:rsidRPr="002C5F3D">
        <w:t xml:space="preserve"> sharing </w:t>
      </w:r>
      <w:r w:rsidR="4E9262DF">
        <w:t xml:space="preserve">of </w:t>
      </w:r>
      <w:r w:rsidR="4E9262DF" w:rsidRPr="002C5F3D">
        <w:t>evidence</w:t>
      </w:r>
      <w:r w:rsidR="00942F2A" w:rsidRPr="002C5F3D">
        <w:t>-</w:t>
      </w:r>
      <w:r w:rsidR="4E9262DF" w:rsidRPr="002C5F3D">
        <w:t>based feasibility data and providing project</w:t>
      </w:r>
      <w:r w:rsidR="4E9262DF">
        <w:t xml:space="preserve"> and subject matter </w:t>
      </w:r>
      <w:r w:rsidR="4E9262DF" w:rsidRPr="002C5F3D">
        <w:t>expertise</w:t>
      </w:r>
      <w:r w:rsidR="4E9262DF">
        <w:t xml:space="preserve"> to assist ALG in decision-making.</w:t>
      </w:r>
      <w:r w:rsidR="00006A76">
        <w:rPr>
          <w:rStyle w:val="FootnoteReference"/>
        </w:rPr>
        <w:t xml:space="preserve"> </w:t>
      </w:r>
    </w:p>
    <w:p w14:paraId="02152951" w14:textId="30C7B319" w:rsidR="00B21261" w:rsidRPr="00387621" w:rsidRDefault="00B21261" w:rsidP="0094034C">
      <w:pPr>
        <w:pStyle w:val="Heading4"/>
      </w:pPr>
      <w:r w:rsidRPr="00387621">
        <w:t>Youth Round</w:t>
      </w:r>
      <w:r w:rsidR="0094034C">
        <w:t>t</w:t>
      </w:r>
      <w:r w:rsidRPr="00387621">
        <w:t xml:space="preserve">able </w:t>
      </w:r>
      <w:r w:rsidR="0094034C">
        <w:t>r</w:t>
      </w:r>
      <w:r w:rsidRPr="00387621">
        <w:t>epresentation</w:t>
      </w:r>
    </w:p>
    <w:p w14:paraId="7B150783" w14:textId="2FFEEF4E" w:rsidR="00B21261" w:rsidRPr="001D3E40" w:rsidRDefault="1D5092C4" w:rsidP="00DA4528">
      <w:r>
        <w:t xml:space="preserve">As mentioned earlier in the report, </w:t>
      </w:r>
      <w:r w:rsidR="0094034C">
        <w:t>t</w:t>
      </w:r>
      <w:r w:rsidR="4E9262DF" w:rsidRPr="001D3E40">
        <w:t xml:space="preserve">he </w:t>
      </w:r>
      <w:r w:rsidR="1BDF7EBE">
        <w:t xml:space="preserve">YRT </w:t>
      </w:r>
      <w:r w:rsidR="39021CDE">
        <w:t>provides</w:t>
      </w:r>
      <w:r w:rsidR="4E9262DF" w:rsidRPr="001D3E40">
        <w:t xml:space="preserve"> a mechanism for youth input </w:t>
      </w:r>
      <w:r w:rsidR="4DC2D10E">
        <w:t>to the CAP</w:t>
      </w:r>
      <w:r w:rsidR="4E9262DF" w:rsidRPr="001D3E40">
        <w:rPr>
          <w:rFonts w:eastAsia="HGSMinchoE"/>
        </w:rPr>
        <w:t xml:space="preserve">. The YRT has had input into </w:t>
      </w:r>
      <w:r w:rsidR="3B353BB4" w:rsidRPr="3562EEFD">
        <w:rPr>
          <w:rFonts w:eastAsia="HGSMinchoE"/>
        </w:rPr>
        <w:t xml:space="preserve">some priorities </w:t>
      </w:r>
      <w:r w:rsidR="4E9262DF" w:rsidRPr="001D3E40">
        <w:rPr>
          <w:rFonts w:eastAsia="HGSMinchoE"/>
        </w:rPr>
        <w:t xml:space="preserve">under the CAP. </w:t>
      </w:r>
      <w:r w:rsidR="4E9262DF" w:rsidRPr="001D3E40">
        <w:t xml:space="preserve">However, interviews with some stakeholders identified there are limitations in the structure and effectiveness of this </w:t>
      </w:r>
      <w:r w:rsidR="0574A504">
        <w:t>group</w:t>
      </w:r>
      <w:r w:rsidR="4E9262DF" w:rsidRPr="001D3E40">
        <w:t xml:space="preserve">. Although the Chair of YRT holds a seat on the ALG, the current arrangement does not provide </w:t>
      </w:r>
      <w:r w:rsidR="4E9262DF" w:rsidRPr="001D3E40">
        <w:rPr>
          <w:rFonts w:eastAsia="HGSMinchoE"/>
        </w:rPr>
        <w:t xml:space="preserve">the </w:t>
      </w:r>
      <w:r w:rsidR="4E9262DF" w:rsidRPr="001D3E40">
        <w:t>Y</w:t>
      </w:r>
      <w:r w:rsidR="4E9262DF" w:rsidRPr="001D3E40">
        <w:rPr>
          <w:rFonts w:eastAsia="HGSMinchoE"/>
        </w:rPr>
        <w:t>RT</w:t>
      </w:r>
      <w:r w:rsidR="4E9262DF" w:rsidRPr="001D3E40">
        <w:t xml:space="preserve"> with a direct or formalised platform to influence decisions or shape youth-specific priorities within the CAP. Further, there were examples highlighted where the YRT ha</w:t>
      </w:r>
      <w:r w:rsidR="2E59BC69">
        <w:t>ve</w:t>
      </w:r>
      <w:r w:rsidR="4E9262DF" w:rsidRPr="001D3E40">
        <w:t xml:space="preserve"> not been consulted regarding issues directly impacting young people.</w:t>
      </w:r>
      <w:r w:rsidR="00006A76">
        <w:rPr>
          <w:vertAlign w:val="superscript"/>
        </w:rPr>
        <w:t xml:space="preserve"> </w:t>
      </w:r>
      <w:r w:rsidR="4E9262DF" w:rsidRPr="001D3E40">
        <w:t xml:space="preserve"> </w:t>
      </w:r>
    </w:p>
    <w:p w14:paraId="3098FFF3" w14:textId="21AF9ECD" w:rsidR="00B21261" w:rsidRPr="00E57B81" w:rsidRDefault="00B21261" w:rsidP="00DA4528">
      <w:r w:rsidRPr="001D3E40">
        <w:t>These limitations suggest a need to strengthen the role of YRT within the CAP by establishing more direct pathways for youth input, improving consultation processes on youth-specific issues, and ensuring that young people’s perspectives are embedded across all relevant areas of investment and service delivery.</w:t>
      </w:r>
      <w:r w:rsidRPr="001D3E40">
        <w:rPr>
          <w:rFonts w:cs="Helvetica"/>
        </w:rPr>
        <w:t xml:space="preserve"> </w:t>
      </w:r>
    </w:p>
    <w:p w14:paraId="1C93C608" w14:textId="77777777" w:rsidR="003B4646" w:rsidRDefault="003B4646">
      <w:pPr>
        <w:keepLines w:val="0"/>
        <w:widowControl/>
        <w:spacing w:before="0" w:after="0"/>
        <w:rPr>
          <w:i/>
          <w:color w:val="009999"/>
        </w:rPr>
      </w:pPr>
      <w:r>
        <w:br w:type="page"/>
      </w:r>
    </w:p>
    <w:p w14:paraId="789FDA86" w14:textId="6E2F0305" w:rsidR="00B21261" w:rsidRPr="00387621" w:rsidRDefault="00B21261" w:rsidP="0094034C">
      <w:pPr>
        <w:pStyle w:val="Heading4"/>
      </w:pPr>
      <w:r w:rsidRPr="00387621">
        <w:lastRenderedPageBreak/>
        <w:t>Relationship building and consistency</w:t>
      </w:r>
    </w:p>
    <w:p w14:paraId="278F514D" w14:textId="44D7FCAF" w:rsidR="00B21261" w:rsidRPr="00596877" w:rsidRDefault="0570F028" w:rsidP="00DA4528">
      <w:r>
        <w:t xml:space="preserve">Many stakeholders indicated that </w:t>
      </w:r>
      <w:r w:rsidR="00B21261" w:rsidRPr="00596877">
        <w:rPr>
          <w:rFonts w:eastAsia="HGSMinchoE"/>
        </w:rPr>
        <w:t>consistency in government personnel</w:t>
      </w:r>
      <w:r w:rsidR="00B21261" w:rsidRPr="00596877">
        <w:t xml:space="preserve"> </w:t>
      </w:r>
      <w:r w:rsidR="35F2241A">
        <w:t xml:space="preserve">is an essential </w:t>
      </w:r>
      <w:r w:rsidR="029C30FB">
        <w:t xml:space="preserve">component for </w:t>
      </w:r>
      <w:r w:rsidR="00B21261" w:rsidRPr="00596877">
        <w:t>working with community stakeholders, the YRT</w:t>
      </w:r>
      <w:r w:rsidR="00882FAE">
        <w:t>,</w:t>
      </w:r>
      <w:r w:rsidR="00B21261" w:rsidRPr="00596877">
        <w:t xml:space="preserve"> and the ALG, </w:t>
      </w:r>
      <w:r w:rsidR="00B21261">
        <w:t>and</w:t>
      </w:r>
      <w:r w:rsidR="00B21261" w:rsidRPr="00596877">
        <w:t xml:space="preserve"> </w:t>
      </w:r>
      <w:r w:rsidR="518124AD">
        <w:t xml:space="preserve">may </w:t>
      </w:r>
      <w:r w:rsidR="00B21261" w:rsidRPr="00596877">
        <w:t>improve inter-agency collaboration for government stakeholders.</w:t>
      </w:r>
    </w:p>
    <w:p w14:paraId="402EABCC" w14:textId="22BAFDD0" w:rsidR="00B21261" w:rsidRPr="00DA14F2" w:rsidRDefault="4E9262DF" w:rsidP="00DA4528">
      <w:r w:rsidRPr="0046497A">
        <w:t xml:space="preserve">The support of the NIAA </w:t>
      </w:r>
      <w:r>
        <w:t>leading the CAP</w:t>
      </w:r>
      <w:r w:rsidRPr="00C76F9E">
        <w:t xml:space="preserve"> </w:t>
      </w:r>
      <w:r w:rsidRPr="00612F7F">
        <w:t>Implementation Taskforce and overseeing governance of the CAP</w:t>
      </w:r>
      <w:r>
        <w:t xml:space="preserve"> </w:t>
      </w:r>
      <w:r w:rsidRPr="0046497A">
        <w:t>was</w:t>
      </w:r>
      <w:r>
        <w:t xml:space="preserve"> </w:t>
      </w:r>
      <w:r w:rsidR="1D484449">
        <w:t xml:space="preserve">identified as </w:t>
      </w:r>
      <w:r>
        <w:t>a key enabler for</w:t>
      </w:r>
      <w:r w:rsidRPr="0046497A">
        <w:t xml:space="preserve"> </w:t>
      </w:r>
      <w:r>
        <w:t>government stakeholders</w:t>
      </w:r>
      <w:r w:rsidRPr="0046497A">
        <w:t xml:space="preserve">, </w:t>
      </w:r>
      <w:r>
        <w:t xml:space="preserve">particularly </w:t>
      </w:r>
      <w:r w:rsidRPr="00612F7F">
        <w:t xml:space="preserve">in the early stages of the CAP when the governance mechanisms were being established, </w:t>
      </w:r>
      <w:r>
        <w:t>and</w:t>
      </w:r>
      <w:r w:rsidRPr="0046497A">
        <w:t xml:space="preserve"> for </w:t>
      </w:r>
      <w:r>
        <w:t xml:space="preserve">government </w:t>
      </w:r>
      <w:r w:rsidRPr="0046497A">
        <w:t>agencies with limited networks or experience working in Central Australia</w:t>
      </w:r>
      <w:r>
        <w:t>.</w:t>
      </w:r>
      <w:r w:rsidR="00006A76">
        <w:rPr>
          <w:rStyle w:val="FootnoteReference"/>
        </w:rPr>
        <w:t xml:space="preserve"> </w:t>
      </w:r>
      <w:r w:rsidRPr="0046497A">
        <w:t xml:space="preserve"> The NIAA </w:t>
      </w:r>
      <w:r w:rsidR="003B1749">
        <w:t xml:space="preserve">Central Australia </w:t>
      </w:r>
      <w:r w:rsidRPr="0046497A">
        <w:t xml:space="preserve">Regional Office was also identified by </w:t>
      </w:r>
      <w:r>
        <w:t xml:space="preserve">some </w:t>
      </w:r>
      <w:r w:rsidRPr="0046497A">
        <w:t xml:space="preserve">service providers as providing </w:t>
      </w:r>
      <w:r>
        <w:t xml:space="preserve">strong support, </w:t>
      </w:r>
      <w:r w:rsidRPr="00612F7F">
        <w:t>developing relationships and trust in the region as a bridge between governments and service providers</w:t>
      </w:r>
      <w:r w:rsidR="00445CA5">
        <w:t>.</w:t>
      </w:r>
      <w:r w:rsidR="00006A76">
        <w:rPr>
          <w:rStyle w:val="FootnoteReference"/>
        </w:rPr>
        <w:t xml:space="preserve"> </w:t>
      </w:r>
    </w:p>
    <w:p w14:paraId="59818D1F" w14:textId="0AF63726" w:rsidR="00B21261" w:rsidRPr="00596877" w:rsidRDefault="0D995ABE" w:rsidP="00DA4528">
      <w:r>
        <w:t>Most p</w:t>
      </w:r>
      <w:r w:rsidR="00B21261">
        <w:t>articipants</w:t>
      </w:r>
      <w:r w:rsidR="00B21261" w:rsidRPr="00596877">
        <w:t xml:space="preserve"> highlighted that building trust and fostering effective collaboration </w:t>
      </w:r>
      <w:r w:rsidR="43B47E91">
        <w:t xml:space="preserve">in Central Australia </w:t>
      </w:r>
      <w:r w:rsidR="00B21261" w:rsidRPr="00596877">
        <w:t xml:space="preserve">requires sustained relationships over time, which can be undermined by frequent </w:t>
      </w:r>
      <w:r w:rsidR="150F02B8">
        <w:t xml:space="preserve">staff </w:t>
      </w:r>
      <w:r w:rsidR="00B21261" w:rsidRPr="00596877">
        <w:t xml:space="preserve">turnover, different representatives attending meetings, or short-term engagement from government representatives. </w:t>
      </w:r>
    </w:p>
    <w:p w14:paraId="5A0FBA33" w14:textId="7F7E5B8E" w:rsidR="00B21261" w:rsidRDefault="4E9262DF" w:rsidP="00DA4528">
      <w:r w:rsidRPr="00596877">
        <w:t xml:space="preserve">Some </w:t>
      </w:r>
      <w:r w:rsidR="701B44D4" w:rsidRPr="00596877">
        <w:t>First Nations</w:t>
      </w:r>
      <w:r w:rsidRPr="00596877">
        <w:t xml:space="preserve"> stakeholders noted that when the same government staff are present across multiple engagements, it supports relationship building and strengthens momentum and progress. This consistency allows for more meaningful dialogue and greater follow-through on commitments made. Conversely, a lack of continuity was perceived to create disruptions in communication</w:t>
      </w:r>
      <w:r w:rsidR="3919A2E9" w:rsidRPr="00596877">
        <w:t xml:space="preserve"> </w:t>
      </w:r>
      <w:r w:rsidRPr="00596877">
        <w:t>and progress on agreed activities.</w:t>
      </w:r>
      <w:r w:rsidR="00006A76">
        <w:rPr>
          <w:vertAlign w:val="superscript"/>
        </w:rPr>
        <w:t xml:space="preserve"> </w:t>
      </w:r>
      <w:r w:rsidRPr="00596877">
        <w:t xml:space="preserve">  </w:t>
      </w:r>
    </w:p>
    <w:p w14:paraId="28670B7F" w14:textId="2DB37E7F" w:rsidR="00B21261" w:rsidRDefault="4756BDA2" w:rsidP="00DA4528">
      <w:r>
        <w:t>The</w:t>
      </w:r>
      <w:r w:rsidR="4E9262DF" w:rsidRPr="00596877">
        <w:t xml:space="preserve"> reflections </w:t>
      </w:r>
      <w:r>
        <w:t>highlight</w:t>
      </w:r>
      <w:r w:rsidR="4E9262DF" w:rsidRPr="00596877">
        <w:t xml:space="preserve"> the </w:t>
      </w:r>
      <w:r>
        <w:t>importance</w:t>
      </w:r>
      <w:r w:rsidR="4E9262DF" w:rsidRPr="00596877">
        <w:t xml:space="preserve"> of </w:t>
      </w:r>
      <w:r w:rsidR="4E9262DF">
        <w:t>relational consistency</w:t>
      </w:r>
      <w:r w:rsidR="4E9262DF" w:rsidRPr="00596877">
        <w:t xml:space="preserve"> as a key </w:t>
      </w:r>
      <w:r>
        <w:t xml:space="preserve">enabler of </w:t>
      </w:r>
      <w:r w:rsidR="4E9262DF" w:rsidRPr="00596877">
        <w:t xml:space="preserve">effective </w:t>
      </w:r>
      <w:r>
        <w:t xml:space="preserve">partnerships and </w:t>
      </w:r>
      <w:r w:rsidR="4E9262DF" w:rsidRPr="00596877">
        <w:t xml:space="preserve">implementation. </w:t>
      </w:r>
      <w:r>
        <w:t>Early reliance</w:t>
      </w:r>
      <w:r w:rsidR="4E9262DF" w:rsidRPr="00612F7F">
        <w:t xml:space="preserve"> on existing </w:t>
      </w:r>
      <w:r w:rsidR="4E9262DF">
        <w:t xml:space="preserve">government </w:t>
      </w:r>
      <w:r w:rsidR="4E9262DF" w:rsidRPr="00612F7F">
        <w:t>relationships and networks</w:t>
      </w:r>
      <w:r>
        <w:t xml:space="preserve">—rather than establishing formal </w:t>
      </w:r>
      <w:r w:rsidR="4E9262DF" w:rsidRPr="00612F7F">
        <w:t xml:space="preserve">governance </w:t>
      </w:r>
      <w:r>
        <w:t>structures</w:t>
      </w:r>
      <w:r w:rsidR="4E9262DF" w:rsidRPr="00612F7F">
        <w:t xml:space="preserve"> and decision-making processes</w:t>
      </w:r>
      <w:r>
        <w:t>—</w:t>
      </w:r>
      <w:r w:rsidR="4E9262DF">
        <w:t>raises concerns</w:t>
      </w:r>
      <w:r w:rsidR="4E9262DF" w:rsidRPr="00612F7F">
        <w:t xml:space="preserve"> </w:t>
      </w:r>
      <w:r>
        <w:t xml:space="preserve">about the sustainability of </w:t>
      </w:r>
      <w:r w:rsidR="4E9262DF" w:rsidRPr="00612F7F">
        <w:t xml:space="preserve">the </w:t>
      </w:r>
      <w:r>
        <w:t xml:space="preserve">current </w:t>
      </w:r>
      <w:r w:rsidR="4E9262DF" w:rsidRPr="00612F7F">
        <w:t xml:space="preserve">CAP </w:t>
      </w:r>
      <w:r>
        <w:t xml:space="preserve">governance </w:t>
      </w:r>
      <w:r w:rsidR="4E9262DF" w:rsidRPr="00612F7F">
        <w:t>model</w:t>
      </w:r>
      <w:r>
        <w:t xml:space="preserve">, as this approach is vulnerable to </w:t>
      </w:r>
      <w:r w:rsidR="4E9262DF" w:rsidRPr="00612F7F">
        <w:t xml:space="preserve">staff </w:t>
      </w:r>
      <w:r>
        <w:t>turnover.</w:t>
      </w:r>
      <w:r w:rsidR="4E9262DF" w:rsidRPr="00612F7F">
        <w:t xml:space="preserve"> </w:t>
      </w:r>
      <w:r w:rsidR="4E9262DF" w:rsidRPr="00596877">
        <w:t xml:space="preserve">In </w:t>
      </w:r>
      <w:r>
        <w:t>regions like</w:t>
      </w:r>
      <w:r w:rsidR="4E9262DF" w:rsidRPr="00596877">
        <w:t xml:space="preserve"> Central Australia</w:t>
      </w:r>
      <w:r w:rsidR="4E9262DF">
        <w:t>,</w:t>
      </w:r>
      <w:r w:rsidR="4E9262DF" w:rsidRPr="00596877">
        <w:t xml:space="preserve"> </w:t>
      </w:r>
      <w:r>
        <w:t xml:space="preserve">where </w:t>
      </w:r>
      <w:r w:rsidR="4E9262DF" w:rsidRPr="00596877">
        <w:t xml:space="preserve">long-term government relationships with </w:t>
      </w:r>
      <w:r w:rsidR="00882FAE">
        <w:t>First Nations</w:t>
      </w:r>
      <w:r w:rsidR="4E9262DF" w:rsidRPr="00596877">
        <w:t xml:space="preserve"> stakeholders are </w:t>
      </w:r>
      <w:r>
        <w:t xml:space="preserve">critical, building and maintaining strong, structured partnerships is </w:t>
      </w:r>
      <w:r w:rsidR="4E9262DF" w:rsidRPr="00596877">
        <w:t xml:space="preserve">essential to </w:t>
      </w:r>
      <w:r>
        <w:t>achieving</w:t>
      </w:r>
      <w:r w:rsidR="4E9262DF" w:rsidRPr="00596877">
        <w:t xml:space="preserve"> the </w:t>
      </w:r>
      <w:r>
        <w:t>goal</w:t>
      </w:r>
      <w:r w:rsidR="4E9262DF" w:rsidRPr="00596877">
        <w:t xml:space="preserve"> of </w:t>
      </w:r>
      <w:r w:rsidR="00882FAE">
        <w:t>‘</w:t>
      </w:r>
      <w:r w:rsidR="4E9262DF" w:rsidRPr="00596877">
        <w:t xml:space="preserve">doing things </w:t>
      </w:r>
      <w:r>
        <w:t>differently’</w:t>
      </w:r>
      <w:r w:rsidR="4E9262DF">
        <w:t>.</w:t>
      </w:r>
      <w:r w:rsidR="00006A76">
        <w:rPr>
          <w:vertAlign w:val="superscript"/>
        </w:rPr>
        <w:t xml:space="preserve"> </w:t>
      </w:r>
    </w:p>
    <w:p w14:paraId="1430E03B" w14:textId="77777777" w:rsidR="00B21261" w:rsidRPr="00882FAE" w:rsidRDefault="00B21261" w:rsidP="0094034C">
      <w:pPr>
        <w:pStyle w:val="Heading4"/>
        <w:rPr>
          <w:rFonts w:cs="Times New Roman"/>
          <w:b/>
          <w:color w:val="404040"/>
        </w:rPr>
      </w:pPr>
      <w:r w:rsidRPr="00882FAE">
        <w:t>Government processes</w:t>
      </w:r>
    </w:p>
    <w:p w14:paraId="3216E9C9" w14:textId="611D7431" w:rsidR="00B21261" w:rsidRPr="00BD2216" w:rsidRDefault="4E9262DF" w:rsidP="00DA4528">
      <w:pPr>
        <w:rPr>
          <w:rFonts w:cs="Times New Roman"/>
          <w:color w:val="404040"/>
        </w:rPr>
      </w:pPr>
      <w:r>
        <w:t>A</w:t>
      </w:r>
      <w:r w:rsidRPr="00890A4A">
        <w:t>n authorising environment created by senior executives in government at both the ministerial and departmental level</w:t>
      </w:r>
      <w:r>
        <w:t xml:space="preserve"> </w:t>
      </w:r>
      <w:r w:rsidR="70A8F1C4">
        <w:t xml:space="preserve">is described as </w:t>
      </w:r>
      <w:r>
        <w:t xml:space="preserve">an </w:t>
      </w:r>
      <w:r w:rsidRPr="00890A4A">
        <w:t xml:space="preserve">enabler for the </w:t>
      </w:r>
      <w:r w:rsidDel="4E9262DF">
        <w:t>effectiveness</w:t>
      </w:r>
      <w:r w:rsidRPr="00890A4A">
        <w:t xml:space="preserve"> of the CAP</w:t>
      </w:r>
      <w:r w:rsidR="00445CA5">
        <w:t>.</w:t>
      </w:r>
      <w:r w:rsidR="00006A76">
        <w:rPr>
          <w:rStyle w:val="FootnoteReference"/>
          <w:rFonts w:eastAsia="Helvetica" w:cs="Helvetica"/>
        </w:rPr>
        <w:t xml:space="preserve"> </w:t>
      </w:r>
      <w:r w:rsidRPr="00890A4A">
        <w:t xml:space="preserve"> This</w:t>
      </w:r>
      <w:r>
        <w:t xml:space="preserve"> initial objective</w:t>
      </w:r>
      <w:r w:rsidRPr="00890A4A">
        <w:t xml:space="preserve"> gave departments the impetus to adopt new ways of working with community through the ALG, and</w:t>
      </w:r>
      <w:r>
        <w:t xml:space="preserve"> </w:t>
      </w:r>
      <w:r w:rsidRPr="00890A4A">
        <w:t xml:space="preserve">supported better coordination across government and ownership by different </w:t>
      </w:r>
      <w:r w:rsidR="00D147A0">
        <w:t>Australian</w:t>
      </w:r>
      <w:r w:rsidRPr="00141FEE" w:rsidDel="4E9262DF">
        <w:rPr>
          <w:rFonts w:eastAsia="Helvetica" w:cs="Helvetica"/>
        </w:rPr>
        <w:t xml:space="preserve"> Government</w:t>
      </w:r>
      <w:r w:rsidRPr="00890A4A">
        <w:t xml:space="preserve"> departments around their roles in the CAP.</w:t>
      </w:r>
      <w:r w:rsidRPr="000C4CFE">
        <w:t xml:space="preserve"> </w:t>
      </w:r>
    </w:p>
    <w:p w14:paraId="1F7682CD" w14:textId="12DC7394" w:rsidR="00B21261" w:rsidRDefault="4E9262DF" w:rsidP="00DA4528">
      <w:r w:rsidRPr="00612F7F">
        <w:t xml:space="preserve">Government taking </w:t>
      </w:r>
      <w:r w:rsidR="5534CF9E">
        <w:t>a</w:t>
      </w:r>
      <w:r w:rsidR="009F33E4">
        <w:t xml:space="preserve"> </w:t>
      </w:r>
      <w:r w:rsidRPr="00612F7F">
        <w:t xml:space="preserve">more flexible and responsive approach to co-design, </w:t>
      </w:r>
      <w:bookmarkStart w:id="39" w:name="_Int_PDmY1PhL"/>
      <w:r w:rsidRPr="00612F7F">
        <w:t>program</w:t>
      </w:r>
      <w:bookmarkEnd w:id="39"/>
      <w:r w:rsidRPr="00612F7F">
        <w:t xml:space="preserve"> and project delivery, was identified as an important enabler for progress under the CAP</w:t>
      </w:r>
      <w:r w:rsidR="00CB023F">
        <w:t>.</w:t>
      </w:r>
      <w:r w:rsidR="00006A76">
        <w:rPr>
          <w:rStyle w:val="FootnoteReference"/>
          <w:rFonts w:eastAsia="Helvetica" w:cs="Helvetica"/>
        </w:rPr>
        <w:t xml:space="preserve"> </w:t>
      </w:r>
      <w:r w:rsidRPr="00612F7F">
        <w:t xml:space="preserve"> </w:t>
      </w:r>
      <w:r w:rsidR="218838E8">
        <w:t>S</w:t>
      </w:r>
      <w:r>
        <w:t>ome government stakeholders</w:t>
      </w:r>
      <w:r w:rsidRPr="00612F7F">
        <w:t xml:space="preserve"> </w:t>
      </w:r>
      <w:r>
        <w:t>found</w:t>
      </w:r>
      <w:r w:rsidRPr="00612F7F">
        <w:t xml:space="preserve"> this way of working consistent with their usual practice in line with </w:t>
      </w:r>
      <w:r w:rsidR="00FA13E6">
        <w:t>National Agreement</w:t>
      </w:r>
      <w:r w:rsidR="6F57E09F">
        <w:t>.</w:t>
      </w:r>
      <w:r>
        <w:t xml:space="preserve"> </w:t>
      </w:r>
      <w:r w:rsidR="6562AFEA">
        <w:t>O</w:t>
      </w:r>
      <w:r w:rsidRPr="00612F7F">
        <w:t>thers</w:t>
      </w:r>
      <w:r w:rsidR="381774B4">
        <w:t xml:space="preserve"> were required to adopt </w:t>
      </w:r>
      <w:r w:rsidRPr="00612F7F">
        <w:t>new ways of working and greater flexibility than had previously been supported. In such instances, having a network through the IDC that could share learnings and support progress was critical.</w:t>
      </w:r>
      <w:r w:rsidRPr="000C4CFE">
        <w:t xml:space="preserve"> </w:t>
      </w:r>
      <w:r w:rsidR="15FD689B">
        <w:t xml:space="preserve">Although deemed useful in the initial stages of the CAP, these flexible and unstructured </w:t>
      </w:r>
      <w:r>
        <w:t>ways of working within government have begun to slow with the CAP</w:t>
      </w:r>
      <w:r w:rsidR="6BF73E29">
        <w:t>’</w:t>
      </w:r>
      <w:r>
        <w:t xml:space="preserve">s progress, and turnover of government staff </w:t>
      </w:r>
      <w:r w:rsidR="4C1EF079">
        <w:t xml:space="preserve">has </w:t>
      </w:r>
      <w:r>
        <w:t>reduc</w:t>
      </w:r>
      <w:r w:rsidR="4A3BB0B9">
        <w:t>ed</w:t>
      </w:r>
      <w:r>
        <w:t xml:space="preserve"> IDC engagement.</w:t>
      </w:r>
      <w:r w:rsidR="00006A76">
        <w:rPr>
          <w:rStyle w:val="FootnoteReference"/>
        </w:rPr>
        <w:t xml:space="preserve"> </w:t>
      </w:r>
      <w:r>
        <w:t xml:space="preserve"> </w:t>
      </w:r>
    </w:p>
    <w:p w14:paraId="6FF7CE74" w14:textId="51988AF2" w:rsidR="00B21261" w:rsidRDefault="4E9262DF" w:rsidP="00DA4528">
      <w:r>
        <w:t xml:space="preserve">Some non-government stakeholders expressed that while they had experienced strong engagement with </w:t>
      </w:r>
      <w:r w:rsidR="00D147A0">
        <w:t>Australian</w:t>
      </w:r>
      <w:r w:rsidRPr="00141FEE" w:rsidDel="4E9262DF">
        <w:rPr>
          <w:rFonts w:eastAsia="Helvetica" w:cs="Helvetica"/>
        </w:rPr>
        <w:t xml:space="preserve"> Government</w:t>
      </w:r>
      <w:r>
        <w:t xml:space="preserve">, minimal and inconsistent </w:t>
      </w:r>
      <w:r w:rsidR="00E446DE">
        <w:t>engagement</w:t>
      </w:r>
      <w:r>
        <w:t xml:space="preserve"> with the territory government had been a </w:t>
      </w:r>
      <w:r w:rsidRPr="00890A4A">
        <w:t xml:space="preserve">barrier to more effective </w:t>
      </w:r>
      <w:r>
        <w:t>implementation.</w:t>
      </w:r>
      <w:r w:rsidR="00006A76">
        <w:rPr>
          <w:rStyle w:val="FootnoteReference"/>
        </w:rPr>
        <w:t xml:space="preserve"> </w:t>
      </w:r>
      <w:r>
        <w:t xml:space="preserve"> Unclear or inconsistent processes for engagements between </w:t>
      </w:r>
      <w:r w:rsidR="00D147A0">
        <w:t>Australian</w:t>
      </w:r>
      <w:r w:rsidRPr="00E06AA4">
        <w:t xml:space="preserve"> </w:t>
      </w:r>
      <w:r>
        <w:t>and territory governments may have contributed to this perceived disengagement by territory agencies.</w:t>
      </w:r>
    </w:p>
    <w:p w14:paraId="10B8271D" w14:textId="77777777" w:rsidR="00B21261" w:rsidRPr="00E155A2" w:rsidRDefault="00B21261" w:rsidP="00DA4528">
      <w:r>
        <w:t>Reflections on the ways the CAP inter-agency collaboration has enhanced project implementation and engagement with community suggests a need to support and strengthen the continued use of the IDC for government actions in Central Australia.</w:t>
      </w:r>
    </w:p>
    <w:p w14:paraId="4485EDFF" w14:textId="77777777" w:rsidR="003B4646" w:rsidRDefault="003B4646">
      <w:pPr>
        <w:keepLines w:val="0"/>
        <w:widowControl/>
        <w:spacing w:before="0" w:after="0"/>
        <w:rPr>
          <w:i/>
          <w:color w:val="009999"/>
        </w:rPr>
      </w:pPr>
      <w:r>
        <w:br w:type="page"/>
      </w:r>
    </w:p>
    <w:p w14:paraId="03C13777" w14:textId="6C20E1DE" w:rsidR="00B21261" w:rsidRPr="00E86B6B" w:rsidRDefault="00B21261" w:rsidP="0094034C">
      <w:pPr>
        <w:pStyle w:val="Heading4"/>
      </w:pPr>
      <w:r w:rsidRPr="00E86B6B">
        <w:lastRenderedPageBreak/>
        <w:t>Communication and accountability</w:t>
      </w:r>
    </w:p>
    <w:p w14:paraId="2ADBFF95" w14:textId="77777777" w:rsidR="00C840A6" w:rsidRDefault="00B21261" w:rsidP="00DA4528">
      <w:r>
        <w:t>Effective communication and accountability between government, non-government, and community stakeholders are essential components to the effectiveness of the CAP</w:t>
      </w:r>
      <w:r w:rsidR="00406F2D">
        <w:t xml:space="preserve">. </w:t>
      </w:r>
      <w:r w:rsidR="007A42D9">
        <w:t>Improving mechanisms to achieve improved communication and accountability is essential to ensuring CAP efficacy</w:t>
      </w:r>
      <w:r w:rsidR="006412AD">
        <w:t xml:space="preserve"> as discussed in KEQ1</w:t>
      </w:r>
      <w:r w:rsidR="007A42D9">
        <w:t>.</w:t>
      </w:r>
      <w:r w:rsidR="002E16DC">
        <w:t xml:space="preserve"> </w:t>
      </w:r>
    </w:p>
    <w:p w14:paraId="26797EFD" w14:textId="58CD1D8A" w:rsidR="00B21261" w:rsidRDefault="002E16DC" w:rsidP="00DA4528">
      <w:r>
        <w:t xml:space="preserve">This includes developing improved </w:t>
      </w:r>
      <w:r w:rsidR="009D3AF9">
        <w:t xml:space="preserve">First Nations community representation </w:t>
      </w:r>
      <w:r>
        <w:t>through:</w:t>
      </w:r>
    </w:p>
    <w:p w14:paraId="7066048B" w14:textId="165D10A1" w:rsidR="00C840A6" w:rsidRPr="002D7276" w:rsidRDefault="009D3AF9" w:rsidP="003343AE">
      <w:pPr>
        <w:pStyle w:val="ListParagraph"/>
        <w:rPr>
          <w:rFonts w:cs="Times New Roman"/>
        </w:rPr>
      </w:pPr>
      <w:r w:rsidRPr="007573F2">
        <w:t>G</w:t>
      </w:r>
      <w:r w:rsidR="002E16DC" w:rsidRPr="007573F2">
        <w:t>reater clarity and plain language in ALG meetings for members to understand what is being asked of them or delivered to them</w:t>
      </w:r>
      <w:r w:rsidR="002E16DC" w:rsidRPr="002D7276">
        <w:rPr>
          <w:rFonts w:cs="Times New Roman"/>
        </w:rPr>
        <w:t>.</w:t>
      </w:r>
      <w:r w:rsidR="00006A76">
        <w:rPr>
          <w:rFonts w:cs="Times New Roman"/>
          <w:vertAlign w:val="superscript"/>
        </w:rPr>
        <w:t xml:space="preserve"> </w:t>
      </w:r>
      <w:r w:rsidR="00C840A6" w:rsidRPr="007573F2">
        <w:t xml:space="preserve"> </w:t>
      </w:r>
    </w:p>
    <w:p w14:paraId="58A539A2" w14:textId="36963C17" w:rsidR="009D3AF9" w:rsidRPr="002D7276" w:rsidRDefault="009D3AF9" w:rsidP="003343AE">
      <w:pPr>
        <w:pStyle w:val="ListParagraph"/>
        <w:rPr>
          <w:rFonts w:cs="Times New Roman"/>
        </w:rPr>
      </w:pPr>
      <w:r w:rsidRPr="007573F2">
        <w:t>Developing several formalised avenues to hear from the voices of community that are not solely through the ALG.</w:t>
      </w:r>
      <w:r w:rsidR="00006A76">
        <w:rPr>
          <w:rFonts w:cs="Times New Roman"/>
          <w:vertAlign w:val="superscript"/>
        </w:rPr>
        <w:t xml:space="preserve"> </w:t>
      </w:r>
      <w:r w:rsidRPr="002D7276">
        <w:rPr>
          <w:rFonts w:cs="Times New Roman"/>
        </w:rPr>
        <w:t xml:space="preserve"> </w:t>
      </w:r>
    </w:p>
    <w:p w14:paraId="5C1CBA0F" w14:textId="3C8C0158" w:rsidR="002E16DC" w:rsidRPr="007573F2" w:rsidRDefault="00C840A6" w:rsidP="003343AE">
      <w:pPr>
        <w:pStyle w:val="ListParagraph"/>
      </w:pPr>
      <w:r w:rsidRPr="007573F2">
        <w:t xml:space="preserve">Strengthen the ALG and other avenues for community </w:t>
      </w:r>
      <w:r w:rsidR="00246C75" w:rsidRPr="007573F2">
        <w:t>input and</w:t>
      </w:r>
      <w:r w:rsidRPr="007573F2">
        <w:t xml:space="preserve"> align these mechanisms with the </w:t>
      </w:r>
      <w:r w:rsidR="00FA13E6">
        <w:t>National Agreement</w:t>
      </w:r>
      <w:r w:rsidRPr="007573F2">
        <w:t xml:space="preserve"> commitments to enhance the government’s commitment under the CAP to ‘doing things differently.’</w:t>
      </w:r>
    </w:p>
    <w:p w14:paraId="5B1F0C46" w14:textId="40659ADC" w:rsidR="00C840A6" w:rsidRPr="009C21DA" w:rsidRDefault="00C840A6" w:rsidP="00C840A6">
      <w:r>
        <w:t>Community accountability can be strengthened by:</w:t>
      </w:r>
    </w:p>
    <w:p w14:paraId="1BDA2123" w14:textId="3CB1C806" w:rsidR="009D3AF9" w:rsidRPr="002D7276" w:rsidRDefault="009D3AF9" w:rsidP="003343AE">
      <w:pPr>
        <w:pStyle w:val="ListParagraph"/>
        <w:rPr>
          <w:rFonts w:cs="Times New Roman"/>
        </w:rPr>
      </w:pPr>
      <w:r w:rsidRPr="007573F2">
        <w:t>Develop</w:t>
      </w:r>
      <w:r w:rsidR="3139932D" w:rsidRPr="007573F2">
        <w:t>ing</w:t>
      </w:r>
      <w:r w:rsidRPr="007573F2">
        <w:t xml:space="preserve"> formalised process for regularly reporting progress of the CAP back to community organisations or communities across Central Australia</w:t>
      </w:r>
      <w:r w:rsidR="002269DE" w:rsidRPr="007573F2">
        <w:t>, to increased transparency of CAP impacts, and reduce confusion in community and among service providers</w:t>
      </w:r>
      <w:r w:rsidR="00D35612">
        <w:t>.</w:t>
      </w:r>
    </w:p>
    <w:p w14:paraId="14F270AE" w14:textId="0A311A27" w:rsidR="00B558C6" w:rsidRPr="002D7276" w:rsidRDefault="00B558C6" w:rsidP="003343AE">
      <w:pPr>
        <w:pStyle w:val="ListParagraph"/>
        <w:rPr>
          <w:rFonts w:cs="Times New Roman"/>
        </w:rPr>
      </w:pPr>
      <w:r w:rsidRPr="007573F2">
        <w:t>Increased feedback loops and more accessible progress updates to ensure communities remain informed and engaged</w:t>
      </w:r>
      <w:r w:rsidR="00D35612">
        <w:t>,</w:t>
      </w:r>
      <w:r w:rsidR="00006A76">
        <w:rPr>
          <w:vertAlign w:val="superscript"/>
        </w:rPr>
        <w:t xml:space="preserve"> </w:t>
      </w:r>
      <w:r w:rsidRPr="007573F2">
        <w:t>such as the DSS community engagement process under the Strengthening Family and Communities Partnership</w:t>
      </w:r>
      <w:r w:rsidR="00D35612">
        <w:t>.</w:t>
      </w:r>
      <w:r w:rsidRPr="007573F2">
        <w:rPr>
          <w:vertAlign w:val="superscript"/>
        </w:rPr>
        <w:footnoteReference w:id="64"/>
      </w:r>
      <w:r w:rsidRPr="007573F2">
        <w:t xml:space="preserve"> </w:t>
      </w:r>
    </w:p>
    <w:p w14:paraId="40D2BEB1" w14:textId="0F9D32EC" w:rsidR="009D3AF9" w:rsidRPr="002D7276" w:rsidRDefault="00545BA1" w:rsidP="003343AE">
      <w:pPr>
        <w:pStyle w:val="ListParagraph"/>
        <w:rPr>
          <w:rFonts w:cs="Times New Roman"/>
        </w:rPr>
      </w:pPr>
      <w:r w:rsidRPr="007573F2">
        <w:t xml:space="preserve">Increased transparency </w:t>
      </w:r>
      <w:r w:rsidR="00A22400" w:rsidRPr="007573F2">
        <w:t xml:space="preserve">of </w:t>
      </w:r>
      <w:r w:rsidR="00B71D18" w:rsidRPr="007573F2">
        <w:t>decision-making</w:t>
      </w:r>
      <w:r w:rsidR="00A22400" w:rsidRPr="007573F2">
        <w:t xml:space="preserve"> groups </w:t>
      </w:r>
      <w:r w:rsidR="00B71D18" w:rsidRPr="007573F2">
        <w:t>roles in</w:t>
      </w:r>
      <w:r w:rsidR="00A22400" w:rsidRPr="007573F2">
        <w:t xml:space="preserve"> resourcing, program design, </w:t>
      </w:r>
      <w:r w:rsidR="00B71D18" w:rsidRPr="007573F2">
        <w:t>and/</w:t>
      </w:r>
      <w:r w:rsidR="00A22400" w:rsidRPr="007573F2">
        <w:t>or service delivery to ensure</w:t>
      </w:r>
      <w:r w:rsidRPr="007573F2">
        <w:t xml:space="preserve"> </w:t>
      </w:r>
      <w:r w:rsidR="00B71D18" w:rsidRPr="007573F2">
        <w:t xml:space="preserve">appropriate accountability, </w:t>
      </w:r>
      <w:r w:rsidR="03567C0A" w:rsidRPr="007573F2">
        <w:t>collaborative working and reduced duplication of work efforts</w:t>
      </w:r>
      <w:r w:rsidRPr="007573F2">
        <w:t>.</w:t>
      </w:r>
    </w:p>
    <w:p w14:paraId="0C4EDF74" w14:textId="6C9FF535" w:rsidR="00B21261" w:rsidRPr="002D7276" w:rsidRDefault="00B71D18" w:rsidP="003343AE">
      <w:pPr>
        <w:pStyle w:val="ListParagraph"/>
        <w:rPr>
          <w:rFonts w:cs="Helvetica"/>
        </w:rPr>
      </w:pPr>
      <w:r w:rsidRPr="007573F2">
        <w:t>Increased transparency of grants processes to ensure equitable, consistent, and evidence-based processes for funding.</w:t>
      </w:r>
    </w:p>
    <w:p w14:paraId="2A043B56" w14:textId="77777777" w:rsidR="00B969E1" w:rsidRPr="004C11DA" w:rsidRDefault="00B969E1" w:rsidP="0094034C">
      <w:pPr>
        <w:pStyle w:val="Heading4"/>
        <w:rPr>
          <w:highlight w:val="yellow"/>
        </w:rPr>
      </w:pPr>
      <w:r>
        <w:t xml:space="preserve">Systems limitations </w:t>
      </w:r>
    </w:p>
    <w:p w14:paraId="7F650E1B" w14:textId="7E493DC2" w:rsidR="00B969E1" w:rsidRPr="00B969E1" w:rsidRDefault="00B969E1" w:rsidP="00B969E1">
      <w:pPr>
        <w:rPr>
          <w:rFonts w:eastAsia="Times New Roman" w:cs="Times New Roman"/>
        </w:rPr>
      </w:pPr>
      <w:r w:rsidRPr="00B969E1">
        <w:t xml:space="preserve">Challenges to ‘doing things differently’ raised by government stakeholders stemmed largely from inflexible and complex government and legislative processes </w:t>
      </w:r>
      <w:r w:rsidR="180F4C17">
        <w:t>that</w:t>
      </w:r>
      <w:r w:rsidRPr="00B969E1">
        <w:t xml:space="preserve"> funding and projects under the CAP are still subject</w:t>
      </w:r>
      <w:r w:rsidR="5E82D708">
        <w:t xml:space="preserve"> to</w:t>
      </w:r>
      <w:r w:rsidRPr="00B969E1">
        <w:t xml:space="preserve">. Complexity and delays around grants, procurements and government approval timeframes </w:t>
      </w:r>
      <w:r w:rsidR="3C94AEEF">
        <w:t>i</w:t>
      </w:r>
      <w:r w:rsidRPr="00B969E1">
        <w:t>s a source of frustration</w:t>
      </w:r>
      <w:r w:rsidR="00D35612">
        <w:t>,</w:t>
      </w:r>
      <w:r w:rsidR="00006A76">
        <w:rPr>
          <w:rFonts w:eastAsia="Times New Roman" w:cs="Times New Roman"/>
          <w:vertAlign w:val="superscript"/>
        </w:rPr>
        <w:t xml:space="preserve"> </w:t>
      </w:r>
      <w:r w:rsidRPr="00B969E1">
        <w:rPr>
          <w:rFonts w:eastAsia="Times New Roman" w:cs="Times New Roman"/>
        </w:rPr>
        <w:t xml:space="preserve"> </w:t>
      </w:r>
      <w:r w:rsidRPr="00B969E1">
        <w:t>with one key stakeholder observing that processes of government are not designed for this kind of work,</w:t>
      </w:r>
      <w:r w:rsidR="00006A76">
        <w:rPr>
          <w:rFonts w:eastAsia="Times New Roman" w:cs="Times New Roman"/>
          <w:vertAlign w:val="superscript"/>
        </w:rPr>
        <w:t xml:space="preserve"> </w:t>
      </w:r>
      <w:r w:rsidRPr="00B969E1">
        <w:rPr>
          <w:rFonts w:eastAsia="Times New Roman" w:cs="Times New Roman"/>
        </w:rPr>
        <w:t xml:space="preserve"> </w:t>
      </w:r>
      <w:r w:rsidRPr="00B969E1">
        <w:rPr>
          <w:rFonts w:eastAsia="Times New Roman" w:cs="Helvetica"/>
        </w:rPr>
        <w:t>and another questioning the appropriateness of funding mechanisms, and their grounding in Aboriginal community-led design and outcomes-based planning.</w:t>
      </w:r>
      <w:r w:rsidR="00006A76">
        <w:rPr>
          <w:rStyle w:val="FootnoteReference"/>
          <w:rFonts w:eastAsia="Times New Roman" w:cs="Helvetica"/>
        </w:rPr>
        <w:t xml:space="preserve"> </w:t>
      </w:r>
      <w:r w:rsidRPr="00B969E1">
        <w:rPr>
          <w:rFonts w:eastAsia="Times New Roman" w:cs="Times New Roman"/>
        </w:rPr>
        <w:t xml:space="preserve"> </w:t>
      </w:r>
      <w:r w:rsidRPr="00B969E1">
        <w:t>It is noted that this is a broader systemic issue</w:t>
      </w:r>
      <w:r w:rsidR="405A7EF8">
        <w:t xml:space="preserve"> but it requires consideration to</w:t>
      </w:r>
      <w:r w:rsidRPr="00B969E1">
        <w:t xml:space="preserve"> achieve long-term change.</w:t>
      </w:r>
      <w:r w:rsidR="00006A76">
        <w:rPr>
          <w:rStyle w:val="FootnoteReference"/>
          <w:rFonts w:eastAsia="Times New Roman" w:cs="Helvetica"/>
        </w:rPr>
        <w:t xml:space="preserve"> </w:t>
      </w:r>
      <w:r w:rsidRPr="00B969E1">
        <w:rPr>
          <w:rFonts w:eastAsia="Times New Roman" w:cs="Times New Roman"/>
        </w:rPr>
        <w:t xml:space="preserve"> </w:t>
      </w:r>
    </w:p>
    <w:p w14:paraId="67479730" w14:textId="70D36188" w:rsidR="00B969E1" w:rsidRPr="006F0340" w:rsidRDefault="00B969E1" w:rsidP="264F9013">
      <w:pPr>
        <w:rPr>
          <w:rFonts w:eastAsia="Times New Roman" w:cs="Helvetica"/>
        </w:rPr>
      </w:pPr>
      <w:r w:rsidRPr="00B969E1">
        <w:t>The CAP expenditure is still subject to complicated,</w:t>
      </w:r>
      <w:r w:rsidRPr="00B969E1" w:rsidDel="02E097A4">
        <w:t xml:space="preserve"> </w:t>
      </w:r>
      <w:r w:rsidRPr="00B969E1">
        <w:t>legislative rules around grants and procurements, adding additional complexity and slowing down the process of implementing the CAP initiatives once the decision has been taken.</w:t>
      </w:r>
      <w:r w:rsidR="00006A76">
        <w:rPr>
          <w:rStyle w:val="FootnoteReference"/>
        </w:rPr>
        <w:t xml:space="preserve"> </w:t>
      </w:r>
      <w:r w:rsidRPr="00B969E1">
        <w:t xml:space="preserve"> Government stakeholders noted that a key challenge to integrating the ALG into government decision-making processes stemmed from a misalignment between the timeframes in which Government funding decisions are made, and the time the ALG needed to form a position and provide advice on potential projects</w:t>
      </w:r>
      <w:r w:rsidRPr="00B969E1">
        <w:rPr>
          <w:rFonts w:eastAsia="Times New Roman" w:cs="Helvetica"/>
        </w:rPr>
        <w:t>.</w:t>
      </w:r>
      <w:r w:rsidR="00006A76">
        <w:rPr>
          <w:rFonts w:eastAsia="Times New Roman" w:cs="Helvetica"/>
          <w:vertAlign w:val="superscript"/>
        </w:rPr>
        <w:t xml:space="preserve"> </w:t>
      </w:r>
      <w:r w:rsidRPr="00B969E1">
        <w:rPr>
          <w:rFonts w:eastAsia="Times New Roman" w:cs="Helvetica"/>
        </w:rPr>
        <w:t xml:space="preserve"> </w:t>
      </w:r>
      <w:r w:rsidRPr="00B969E1">
        <w:t>The involvement of multiple levels of government and multiple ministers also ma</w:t>
      </w:r>
      <w:r w:rsidR="125A98D1">
        <w:t>kes</w:t>
      </w:r>
      <w:r w:rsidRPr="00B969E1">
        <w:t xml:space="preserve"> decision-making processes more complicated</w:t>
      </w:r>
      <w:r w:rsidR="00006A76">
        <w:rPr>
          <w:rStyle w:val="FootnoteReference"/>
          <w:rFonts w:eastAsia="Times New Roman" w:cs="Helvetica"/>
        </w:rPr>
        <w:t xml:space="preserve"> </w:t>
      </w:r>
      <w:r w:rsidRPr="00B969E1">
        <w:t xml:space="preserve"> and slow</w:t>
      </w:r>
      <w:r w:rsidR="7C358334">
        <w:t>s</w:t>
      </w:r>
      <w:r w:rsidRPr="00B969E1">
        <w:t xml:space="preserve"> down approvals and implementation when the ALG ha</w:t>
      </w:r>
      <w:r w:rsidR="1004D905">
        <w:t>s</w:t>
      </w:r>
      <w:r w:rsidRPr="00B969E1">
        <w:t xml:space="preserve"> formed its position. </w:t>
      </w:r>
      <w:r w:rsidRPr="00B969E1">
        <w:rPr>
          <w:rFonts w:eastAsia="Times New Roman" w:cs="Helvetica"/>
        </w:rPr>
        <w:t xml:space="preserve">Delays in funding </w:t>
      </w:r>
      <w:r w:rsidR="1620A63E" w:rsidRPr="3562EEFD">
        <w:rPr>
          <w:rFonts w:eastAsia="Times New Roman" w:cs="Helvetica"/>
        </w:rPr>
        <w:t>are</w:t>
      </w:r>
      <w:r w:rsidRPr="3562EEFD" w:rsidDel="00B969E1">
        <w:rPr>
          <w:rFonts w:eastAsia="Times New Roman" w:cs="Helvetica"/>
        </w:rPr>
        <w:t xml:space="preserve"> </w:t>
      </w:r>
      <w:r w:rsidRPr="00B969E1">
        <w:rPr>
          <w:rFonts w:eastAsia="Times New Roman" w:cs="Helvetica"/>
        </w:rPr>
        <w:t>impacting service providers, delaying project initiation and placing liability on the provider, with some proceeding with project timelines at their own cost.</w:t>
      </w:r>
      <w:r w:rsidR="00006A76">
        <w:rPr>
          <w:rStyle w:val="FootnoteReference"/>
          <w:rFonts w:eastAsia="Times New Roman" w:cs="Helvetica"/>
        </w:rPr>
        <w:t xml:space="preserve"> </w:t>
      </w:r>
      <w:r w:rsidRPr="00B969E1">
        <w:rPr>
          <w:rFonts w:eastAsia="Times New Roman" w:cs="Helvetica"/>
        </w:rPr>
        <w:t xml:space="preserve">  Working directly with local government was noted by one ALG member as producing faster implementation of CAP projects</w:t>
      </w:r>
      <w:r w:rsidR="00D35612">
        <w:rPr>
          <w:rFonts w:eastAsia="Times New Roman" w:cs="Helvetica"/>
        </w:rPr>
        <w:t>,</w:t>
      </w:r>
      <w:r w:rsidR="00006A76">
        <w:rPr>
          <w:rStyle w:val="FootnoteReference"/>
          <w:rFonts w:eastAsia="Times New Roman" w:cs="Helvetica"/>
        </w:rPr>
        <w:t xml:space="preserve"> </w:t>
      </w:r>
      <w:r w:rsidRPr="00B969E1">
        <w:rPr>
          <w:rFonts w:eastAsia="Times New Roman" w:cs="Helvetica"/>
        </w:rPr>
        <w:t xml:space="preserve"> perhaps due to this personal responsibility that some providers had undertaken. Conversely, at times government ministers would want to move more quickly than the ALG and community could match, creating tension between speedy delivery and genuine partnership. Timeframes being driven by political pressure rather than timeframes that support engagement with community and the ALG </w:t>
      </w:r>
      <w:r w:rsidR="09E1DEFC" w:rsidRPr="00B969E1">
        <w:rPr>
          <w:rFonts w:eastAsia="Times New Roman" w:cs="Helvetica"/>
        </w:rPr>
        <w:t>have the potential to</w:t>
      </w:r>
      <w:r w:rsidRPr="00B969E1">
        <w:rPr>
          <w:rFonts w:eastAsia="Times New Roman" w:cs="Helvetica"/>
        </w:rPr>
        <w:t xml:space="preserve"> impact the success of the CAP in delivering on its intent of ‘doing things differently’. </w:t>
      </w:r>
    </w:p>
    <w:p w14:paraId="0C75361A" w14:textId="6CBE20FE" w:rsidR="00B969E1" w:rsidRPr="006F0340" w:rsidRDefault="55F6DE95" w:rsidP="00B969E1">
      <w:pPr>
        <w:rPr>
          <w:rFonts w:eastAsia="Times New Roman" w:cs="Helvetica"/>
        </w:rPr>
      </w:pPr>
      <w:r w:rsidRPr="3562EEFD">
        <w:rPr>
          <w:rFonts w:eastAsia="Times New Roman" w:cs="Helvetica"/>
        </w:rPr>
        <w:lastRenderedPageBreak/>
        <w:t xml:space="preserve">The size of the CAP funding pool is also somewhat at odds </w:t>
      </w:r>
      <w:r w:rsidR="00513498" w:rsidRPr="3562EEFD">
        <w:rPr>
          <w:rFonts w:eastAsia="Times New Roman" w:cs="Helvetica"/>
        </w:rPr>
        <w:t>with</w:t>
      </w:r>
      <w:r w:rsidRPr="3562EEFD">
        <w:rPr>
          <w:rFonts w:eastAsia="Times New Roman" w:cs="Helvetica"/>
        </w:rPr>
        <w:t xml:space="preserve"> the approach taken to community consultation. </w:t>
      </w:r>
      <w:r w:rsidR="00B969E1" w:rsidRPr="00B969E1">
        <w:rPr>
          <w:rFonts w:eastAsia="Times New Roman" w:cs="Helvetica"/>
        </w:rPr>
        <w:t xml:space="preserve">While consultations with community were expansive in documenting issues identified by Central Australian communities, some government stakeholders and service providers </w:t>
      </w:r>
      <w:r w:rsidR="7559874D" w:rsidRPr="3562EEFD">
        <w:rPr>
          <w:rFonts w:eastAsia="Times New Roman" w:cs="Helvetica"/>
        </w:rPr>
        <w:t xml:space="preserve">acknowledged that </w:t>
      </w:r>
      <w:r w:rsidR="00B969E1" w:rsidRPr="00B969E1">
        <w:rPr>
          <w:rFonts w:eastAsia="Times New Roman" w:cs="Helvetica"/>
        </w:rPr>
        <w:t>the $250 million package was insufficient to address all issues raised by community</w:t>
      </w:r>
      <w:r w:rsidR="009155B8">
        <w:rPr>
          <w:rFonts w:eastAsia="Times New Roman" w:cs="Helvetica"/>
        </w:rPr>
        <w:t>.</w:t>
      </w:r>
      <w:r w:rsidR="00006A76">
        <w:rPr>
          <w:rStyle w:val="FootnoteReference"/>
          <w:rFonts w:eastAsia="Times New Roman" w:cs="Helvetica"/>
        </w:rPr>
        <w:t xml:space="preserve"> </w:t>
      </w:r>
      <w:r w:rsidR="00B969E1" w:rsidRPr="00B969E1">
        <w:rPr>
          <w:rFonts w:eastAsia="Times New Roman" w:cs="Helvetica"/>
        </w:rPr>
        <w:t xml:space="preserve"> </w:t>
      </w:r>
      <w:r w:rsidR="00F90483">
        <w:rPr>
          <w:rFonts w:eastAsia="Times New Roman" w:cs="Helvetica"/>
        </w:rPr>
        <w:t>G</w:t>
      </w:r>
      <w:r w:rsidR="00B969E1" w:rsidRPr="00B969E1">
        <w:rPr>
          <w:rFonts w:eastAsia="Times New Roman" w:cs="Helvetica"/>
        </w:rPr>
        <w:t>overnment stakeholders</w:t>
      </w:r>
      <w:r w:rsidR="003B71F7">
        <w:rPr>
          <w:rFonts w:eastAsia="Times New Roman" w:cs="Helvetica"/>
        </w:rPr>
        <w:t xml:space="preserve"> experienced difficulties</w:t>
      </w:r>
      <w:r w:rsidR="00B969E1" w:rsidRPr="00B969E1">
        <w:rPr>
          <w:rFonts w:eastAsia="Times New Roman" w:cs="Helvetica"/>
        </w:rPr>
        <w:t xml:space="preserve"> managing community expectations </w:t>
      </w:r>
      <w:r w:rsidR="00793E15">
        <w:rPr>
          <w:rFonts w:eastAsia="Times New Roman" w:cs="Helvetica"/>
        </w:rPr>
        <w:t>after the broad</w:t>
      </w:r>
      <w:r w:rsidR="00B969E1" w:rsidRPr="00B969E1">
        <w:rPr>
          <w:rFonts w:eastAsia="Times New Roman" w:cs="Helvetica"/>
        </w:rPr>
        <w:t xml:space="preserve"> nature of consultations</w:t>
      </w:r>
      <w:r w:rsidR="00554DEB">
        <w:rPr>
          <w:rFonts w:eastAsia="Times New Roman" w:cs="Helvetica"/>
        </w:rPr>
        <w:t>.</w:t>
      </w:r>
      <w:r w:rsidR="00B969E1" w:rsidRPr="00B969E1">
        <w:rPr>
          <w:rFonts w:eastAsia="Times New Roman" w:cs="Helvetica"/>
        </w:rPr>
        <w:t xml:space="preserve"> </w:t>
      </w:r>
      <w:r w:rsidR="00E33D8E">
        <w:rPr>
          <w:rFonts w:eastAsia="Times New Roman" w:cs="Helvetica"/>
        </w:rPr>
        <w:t>S</w:t>
      </w:r>
      <w:r w:rsidR="00B969E1" w:rsidRPr="00B969E1">
        <w:rPr>
          <w:rFonts w:eastAsia="Times New Roman" w:cs="Helvetica"/>
        </w:rPr>
        <w:t xml:space="preserve">ervice providers reported confusion within their </w:t>
      </w:r>
      <w:r w:rsidR="00524C81">
        <w:rPr>
          <w:rFonts w:eastAsia="Times New Roman" w:cs="Helvetica"/>
        </w:rPr>
        <w:t>organisations</w:t>
      </w:r>
      <w:r w:rsidR="00B969E1" w:rsidRPr="00B969E1">
        <w:rPr>
          <w:rFonts w:eastAsia="Times New Roman" w:cs="Helvetica"/>
        </w:rPr>
        <w:t xml:space="preserve"> and community</w:t>
      </w:r>
      <w:r w:rsidR="00E8174B">
        <w:rPr>
          <w:rFonts w:eastAsia="Times New Roman" w:cs="Helvetica"/>
        </w:rPr>
        <w:t>,</w:t>
      </w:r>
      <w:r w:rsidR="00B969E1" w:rsidRPr="00B969E1">
        <w:rPr>
          <w:rFonts w:eastAsia="Times New Roman" w:cs="Helvetica"/>
        </w:rPr>
        <w:t xml:space="preserve"> </w:t>
      </w:r>
      <w:r w:rsidR="00A351E1">
        <w:rPr>
          <w:rFonts w:eastAsia="Times New Roman" w:cs="Helvetica"/>
        </w:rPr>
        <w:t>as</w:t>
      </w:r>
      <w:r w:rsidR="00B969E1" w:rsidRPr="00B969E1">
        <w:rPr>
          <w:rFonts w:eastAsia="Times New Roman" w:cs="Helvetica"/>
        </w:rPr>
        <w:t xml:space="preserve"> the </w:t>
      </w:r>
      <w:r w:rsidR="00A351E1">
        <w:rPr>
          <w:rFonts w:eastAsia="Times New Roman" w:cs="Helvetica"/>
        </w:rPr>
        <w:t xml:space="preserve">funding </w:t>
      </w:r>
      <w:r w:rsidR="00B969E1" w:rsidRPr="00B969E1">
        <w:rPr>
          <w:rFonts w:eastAsia="Times New Roman" w:cs="Helvetica"/>
        </w:rPr>
        <w:t xml:space="preserve">received </w:t>
      </w:r>
      <w:r w:rsidR="00A351E1">
        <w:rPr>
          <w:rFonts w:eastAsia="Times New Roman" w:cs="Helvetica"/>
        </w:rPr>
        <w:t>was seen</w:t>
      </w:r>
      <w:r w:rsidR="00B969E1" w:rsidRPr="00B969E1">
        <w:rPr>
          <w:rFonts w:eastAsia="Times New Roman" w:cs="Helvetica"/>
        </w:rPr>
        <w:t xml:space="preserve"> to </w:t>
      </w:r>
      <w:r w:rsidR="00A351E1">
        <w:rPr>
          <w:rFonts w:eastAsia="Times New Roman" w:cs="Helvetica"/>
        </w:rPr>
        <w:t>have little</w:t>
      </w:r>
      <w:r w:rsidR="00B969E1" w:rsidRPr="00B969E1">
        <w:rPr>
          <w:rFonts w:eastAsia="Times New Roman" w:cs="Helvetica"/>
        </w:rPr>
        <w:t xml:space="preserve"> impact </w:t>
      </w:r>
      <w:r w:rsidR="00A351E1">
        <w:rPr>
          <w:rFonts w:eastAsia="Times New Roman" w:cs="Helvetica"/>
        </w:rPr>
        <w:t xml:space="preserve">relative to the scale of </w:t>
      </w:r>
      <w:r w:rsidR="00B969E1" w:rsidRPr="00B969E1">
        <w:rPr>
          <w:rFonts w:eastAsia="Times New Roman" w:cs="Helvetica"/>
        </w:rPr>
        <w:t xml:space="preserve">issues </w:t>
      </w:r>
      <w:r w:rsidR="00A351E1">
        <w:rPr>
          <w:rFonts w:eastAsia="Times New Roman" w:cs="Helvetica"/>
        </w:rPr>
        <w:t>raised</w:t>
      </w:r>
      <w:r w:rsidR="00B969E1" w:rsidRPr="00B969E1">
        <w:rPr>
          <w:rFonts w:eastAsia="Times New Roman" w:cs="Helvetica"/>
        </w:rPr>
        <w:t xml:space="preserve"> in consultations</w:t>
      </w:r>
      <w:r w:rsidR="00FB1A1F">
        <w:rPr>
          <w:rFonts w:eastAsia="Times New Roman" w:cs="Helvetica"/>
        </w:rPr>
        <w:t>.</w:t>
      </w:r>
      <w:r w:rsidR="00006A76">
        <w:rPr>
          <w:rStyle w:val="FootnoteReference"/>
          <w:rFonts w:eastAsia="Times New Roman" w:cs="Helvetica"/>
        </w:rPr>
        <w:t xml:space="preserve"> </w:t>
      </w:r>
    </w:p>
    <w:p w14:paraId="1C5A9406" w14:textId="77777777" w:rsidR="00B21261" w:rsidRPr="003343AE" w:rsidRDefault="00B21261" w:rsidP="0094034C">
      <w:pPr>
        <w:pStyle w:val="Heading4"/>
        <w:rPr>
          <w:rFonts w:eastAsia="Times New Roman" w:cs="Helvetica"/>
        </w:rPr>
      </w:pPr>
      <w:r w:rsidRPr="003343AE">
        <w:t>Project needs, feasibility, &amp; sustainability</w:t>
      </w:r>
    </w:p>
    <w:p w14:paraId="727E1EF8" w14:textId="66B2EA60" w:rsidR="00532E3E" w:rsidRPr="003343AE" w:rsidRDefault="001131DB" w:rsidP="3B3046B4">
      <w:r w:rsidRPr="003343AE">
        <w:t>M</w:t>
      </w:r>
      <w:r w:rsidR="4E9262DF" w:rsidRPr="003343AE">
        <w:t xml:space="preserve">any interviews </w:t>
      </w:r>
      <w:r w:rsidRPr="003343AE">
        <w:t xml:space="preserve">identified </w:t>
      </w:r>
      <w:r w:rsidR="4E9262DF" w:rsidRPr="003343AE">
        <w:t xml:space="preserve">that any investment decisions must be supported by robust, evidence-based planning and feasibility assessments. </w:t>
      </w:r>
      <w:r w:rsidR="681DA8EB" w:rsidRPr="003343AE">
        <w:t xml:space="preserve">This has been consistently raised as an ongoing concern of ALG members in meetings. </w:t>
      </w:r>
      <w:r w:rsidR="00532E3E" w:rsidRPr="003343AE">
        <w:t>Service providers, ALG</w:t>
      </w:r>
      <w:r w:rsidR="00C65BEA" w:rsidRPr="003343AE">
        <w:t xml:space="preserve"> members</w:t>
      </w:r>
      <w:r w:rsidR="00532E3E" w:rsidRPr="003343AE">
        <w:t xml:space="preserve">, and government stakeholders expressed concerns regarding the adequacy of project planning, including limited consideration for long-term sustainability such as maintenance funding. Stakeholders also noted </w:t>
      </w:r>
      <w:r w:rsidR="0072389C" w:rsidRPr="003343AE">
        <w:t xml:space="preserve">concern around the </w:t>
      </w:r>
      <w:r w:rsidR="00F85112" w:rsidRPr="003343AE">
        <w:t>capability</w:t>
      </w:r>
      <w:r w:rsidR="0072389C" w:rsidRPr="003343AE">
        <w:t xml:space="preserve"> of</w:t>
      </w:r>
      <w:r w:rsidR="00532E3E" w:rsidRPr="003343AE">
        <w:t xml:space="preserve"> selected projects </w:t>
      </w:r>
      <w:r w:rsidR="00F85112" w:rsidRPr="003343AE">
        <w:t>to</w:t>
      </w:r>
      <w:r w:rsidR="00532E3E" w:rsidRPr="003343AE">
        <w:t xml:space="preserve"> deliver </w:t>
      </w:r>
      <w:r w:rsidR="00356C98" w:rsidRPr="003343AE">
        <w:t xml:space="preserve">the most </w:t>
      </w:r>
      <w:r w:rsidR="00532E3E" w:rsidRPr="003343AE">
        <w:t xml:space="preserve">meaningful, </w:t>
      </w:r>
      <w:r w:rsidR="00356C98" w:rsidRPr="003343AE">
        <w:t xml:space="preserve">and </w:t>
      </w:r>
      <w:r w:rsidR="00532E3E" w:rsidRPr="003343AE">
        <w:t>lasting change</w:t>
      </w:r>
      <w:r w:rsidR="00356C98" w:rsidRPr="003343AE">
        <w:t xml:space="preserve"> possible with available funds</w:t>
      </w:r>
      <w:r w:rsidR="00532E3E" w:rsidRPr="003343AE">
        <w:t xml:space="preserve">. </w:t>
      </w:r>
    </w:p>
    <w:p w14:paraId="11DBB913" w14:textId="397B72A0" w:rsidR="00572041" w:rsidRPr="003343AE" w:rsidRDefault="00572041" w:rsidP="3B3046B4">
      <w:r w:rsidRPr="003343AE">
        <w:t>The ongoing fundamental issues facing disadvantaged communities in Central Australia will continue to present major barriers to meaningful change through the CAP. The level of regional investment under the CAP, while substantial, was not designed to improve all areas of social and economic life in Central Australia. Issues such as overcrowding, food security, a lack of social investment in the region, and poor social cohesion all pose a risk to meaningful change without ongoing political will and investment additional to the CAP.</w:t>
      </w:r>
      <w:r w:rsidR="00006A76" w:rsidRPr="003343AE">
        <w:rPr>
          <w:rStyle w:val="FootnoteReference"/>
          <w:rFonts w:eastAsia="Times New Roman" w:cs="Helvetica"/>
        </w:rPr>
        <w:t xml:space="preserve"> </w:t>
      </w:r>
      <w:r w:rsidRPr="003343AE">
        <w:t xml:space="preserve"> </w:t>
      </w:r>
    </w:p>
    <w:p w14:paraId="05F77C20" w14:textId="0B175D3E" w:rsidR="00B21261" w:rsidRPr="003343AE" w:rsidRDefault="00892D3E" w:rsidP="3B3046B4">
      <w:pPr>
        <w:rPr>
          <w:rStyle w:val="FootnoteReference"/>
        </w:rPr>
      </w:pPr>
      <w:r w:rsidRPr="003343AE">
        <w:t>Complex c</w:t>
      </w:r>
      <w:r w:rsidR="4E9262DF" w:rsidRPr="003343AE">
        <w:t xml:space="preserve">ontextual </w:t>
      </w:r>
      <w:r w:rsidR="006744CE" w:rsidRPr="003343AE">
        <w:t>factors</w:t>
      </w:r>
      <w:r w:rsidR="4E9262DF" w:rsidRPr="003343AE">
        <w:t xml:space="preserve"> </w:t>
      </w:r>
      <w:r w:rsidR="00C94DAF" w:rsidRPr="003343AE">
        <w:t>have made it difficult to</w:t>
      </w:r>
      <w:r w:rsidR="4E9262DF" w:rsidRPr="003343AE">
        <w:t xml:space="preserve"> implement CAP</w:t>
      </w:r>
      <w:r w:rsidR="00AA2067" w:rsidRPr="003343AE">
        <w:t>-</w:t>
      </w:r>
      <w:r w:rsidR="4E9262DF" w:rsidRPr="003343AE">
        <w:t>funded projects easily across Central Australia</w:t>
      </w:r>
      <w:r w:rsidR="00027A6E" w:rsidRPr="003343AE">
        <w:t>.</w:t>
      </w:r>
      <w:r w:rsidR="4E9262DF" w:rsidRPr="003343AE">
        <w:t xml:space="preserve"> ALG members and service providers </w:t>
      </w:r>
      <w:r w:rsidR="004F490B" w:rsidRPr="003343AE">
        <w:t>noted that</w:t>
      </w:r>
      <w:r w:rsidR="4E9262DF" w:rsidRPr="003343AE">
        <w:t xml:space="preserve"> the lack of strategic design </w:t>
      </w:r>
      <w:r w:rsidR="00983387" w:rsidRPr="003343AE">
        <w:t>in</w:t>
      </w:r>
      <w:r w:rsidR="4E9262DF" w:rsidRPr="003343AE">
        <w:t xml:space="preserve"> CAP investment</w:t>
      </w:r>
      <w:r w:rsidR="00983387" w:rsidRPr="003343AE">
        <w:t>s</w:t>
      </w:r>
      <w:r w:rsidR="00245C20" w:rsidRPr="003343AE">
        <w:t xml:space="preserve"> </w:t>
      </w:r>
      <w:r w:rsidR="00AF5D58" w:rsidRPr="003343AE">
        <w:t xml:space="preserve"> (</w:t>
      </w:r>
      <w:r w:rsidR="00254719" w:rsidRPr="003343AE">
        <w:t xml:space="preserve">and not accounting for </w:t>
      </w:r>
      <w:r w:rsidR="4E9262DF" w:rsidRPr="003343AE">
        <w:t xml:space="preserve">the </w:t>
      </w:r>
      <w:r w:rsidR="00254719" w:rsidRPr="003343AE">
        <w:t xml:space="preserve">contextual factors) </w:t>
      </w:r>
      <w:r w:rsidR="002D394D" w:rsidRPr="003343AE">
        <w:t>limited</w:t>
      </w:r>
      <w:r w:rsidR="4E9262DF" w:rsidRPr="003343AE">
        <w:t xml:space="preserve"> ability to address </w:t>
      </w:r>
      <w:r w:rsidR="00671E90" w:rsidRPr="003343AE">
        <w:t>the</w:t>
      </w:r>
      <w:r w:rsidR="4E9262DF" w:rsidRPr="003343AE">
        <w:t xml:space="preserve"> </w:t>
      </w:r>
      <w:r w:rsidR="00671E90" w:rsidRPr="003343AE">
        <w:t xml:space="preserve">region’s </w:t>
      </w:r>
      <w:r w:rsidR="00A102FE" w:rsidRPr="003343AE">
        <w:t>needs</w:t>
      </w:r>
      <w:r w:rsidR="00553F96" w:rsidRPr="003343AE">
        <w:t>.</w:t>
      </w:r>
      <w:r w:rsidR="00006A76" w:rsidRPr="003343AE">
        <w:rPr>
          <w:rStyle w:val="FootnoteReference"/>
        </w:rPr>
        <w:t xml:space="preserve"> </w:t>
      </w:r>
      <w:r w:rsidR="4E9262DF" w:rsidRPr="003343AE">
        <w:t xml:space="preserve"> Typical challenges facing service delivery in remote areas arose throughout the process, including the capacity of councils to deliver and manage infrastructure projects</w:t>
      </w:r>
      <w:r w:rsidR="00182977" w:rsidRPr="003343AE">
        <w:t>,</w:t>
      </w:r>
      <w:r w:rsidR="00006A76" w:rsidRPr="003343AE">
        <w:rPr>
          <w:rStyle w:val="FootnoteReference"/>
          <w:rFonts w:eastAsia="Times New Roman" w:cs="Helvetica"/>
        </w:rPr>
        <w:t xml:space="preserve"> </w:t>
      </w:r>
      <w:r w:rsidR="4E9262DF" w:rsidRPr="003343AE">
        <w:t xml:space="preserve"> procurement shortages, and thin markets impacting workforce recruitment and service delivery</w:t>
      </w:r>
      <w:r w:rsidR="00182977" w:rsidRPr="003343AE">
        <w:t>.</w:t>
      </w:r>
      <w:r w:rsidR="00006A76" w:rsidRPr="003343AE">
        <w:rPr>
          <w:rStyle w:val="FootnoteReference"/>
          <w:rFonts w:eastAsia="Times New Roman" w:cs="Helvetica"/>
        </w:rPr>
        <w:t xml:space="preserve"> </w:t>
      </w:r>
      <w:r w:rsidR="4E9262DF" w:rsidRPr="003343AE">
        <w:t xml:space="preserve"> Greater consideration of this context within project design and allocation would enable improved project implementation by service providers</w:t>
      </w:r>
      <w:r w:rsidR="00553F96" w:rsidRPr="003343AE">
        <w:t>.</w:t>
      </w:r>
      <w:r w:rsidR="00006A76" w:rsidRPr="003343AE">
        <w:rPr>
          <w:rStyle w:val="FootnoteReference"/>
        </w:rPr>
        <w:t xml:space="preserve"> </w:t>
      </w:r>
    </w:p>
    <w:p w14:paraId="71E8E436" w14:textId="2E1F51CB" w:rsidR="00B21261" w:rsidRPr="003343AE" w:rsidRDefault="4E9262DF" w:rsidP="3B3046B4">
      <w:pPr>
        <w:rPr>
          <w:rFonts w:cs="Times New Roman"/>
          <w:color w:val="404040"/>
        </w:rPr>
      </w:pPr>
      <w:r w:rsidRPr="003343AE">
        <w:t>There is a need for disciplined, transparent funding decisions that are both community-informed and technically sound</w:t>
      </w:r>
      <w:r w:rsidR="00314D65" w:rsidRPr="003343AE">
        <w:t xml:space="preserve">, </w:t>
      </w:r>
      <w:r w:rsidRPr="003343AE">
        <w:t>not an open-ended allocation of resources without due regard to service gaps, capability constraints, important evidence or long-term sustainability</w:t>
      </w:r>
      <w:r w:rsidRPr="003343AE">
        <w:rPr>
          <w:rFonts w:cs="Times New Roman"/>
          <w:color w:val="404040"/>
        </w:rPr>
        <w:t>.</w:t>
      </w:r>
      <w:r w:rsidR="00006A76" w:rsidRPr="003343AE">
        <w:rPr>
          <w:rFonts w:cs="Times New Roman"/>
          <w:vertAlign w:val="superscript"/>
        </w:rPr>
        <w:t xml:space="preserve"> </w:t>
      </w:r>
      <w:r w:rsidRPr="003343AE">
        <w:rPr>
          <w:rFonts w:cs="Times New Roman"/>
          <w:color w:val="404040"/>
        </w:rPr>
        <w:t xml:space="preserve"> </w:t>
      </w:r>
      <w:r w:rsidR="4BB333D9" w:rsidRPr="003343AE">
        <w:rPr>
          <w:rFonts w:cs="Times New Roman"/>
          <w:color w:val="404040"/>
        </w:rPr>
        <w:t>Non-government s</w:t>
      </w:r>
      <w:r w:rsidRPr="003343AE">
        <w:t xml:space="preserve">takeholders identified that </w:t>
      </w:r>
      <w:r w:rsidR="294321AB" w:rsidRPr="003343AE">
        <w:t xml:space="preserve">some </w:t>
      </w:r>
      <w:r w:rsidRPr="003343AE">
        <w:t>major</w:t>
      </w:r>
      <w:r w:rsidR="2CAF3D23" w:rsidRPr="003343AE">
        <w:t xml:space="preserve"> infrastructure</w:t>
      </w:r>
      <w:r w:rsidRPr="003343AE">
        <w:t xml:space="preserve"> projects currently have issues of use and feasibility already apparent.</w:t>
      </w:r>
      <w:r w:rsidR="00006A76" w:rsidRPr="003343AE">
        <w:rPr>
          <w:rFonts w:cs="Times New Roman"/>
          <w:vertAlign w:val="superscript"/>
        </w:rPr>
        <w:t xml:space="preserve"> </w:t>
      </w:r>
      <w:r w:rsidRPr="003343AE">
        <w:rPr>
          <w:rFonts w:cs="Times New Roman"/>
          <w:color w:val="404040"/>
        </w:rPr>
        <w:t xml:space="preserve"> </w:t>
      </w:r>
      <w:r w:rsidR="000B00BE" w:rsidRPr="003343AE">
        <w:rPr>
          <w:rFonts w:cs="Times New Roman"/>
        </w:rPr>
        <w:t xml:space="preserve">Some </w:t>
      </w:r>
      <w:r w:rsidR="000B00BE" w:rsidRPr="003343AE">
        <w:t>o</w:t>
      </w:r>
      <w:r w:rsidRPr="003343AE">
        <w:t>ther stakeholders identified that large investments ha</w:t>
      </w:r>
      <w:r w:rsidR="00B06A32" w:rsidRPr="003343AE">
        <w:t>ve</w:t>
      </w:r>
      <w:r w:rsidRPr="003343AE">
        <w:t xml:space="preserve"> been allocated to</w:t>
      </w:r>
      <w:r w:rsidRPr="003343AE" w:rsidDel="4E9262DF">
        <w:t xml:space="preserve"> </w:t>
      </w:r>
      <w:r w:rsidRPr="003343AE">
        <w:t>infrastructure</w:t>
      </w:r>
      <w:r w:rsidR="00C17D9A" w:rsidRPr="003343AE">
        <w:t xml:space="preserve"> builds</w:t>
      </w:r>
      <w:r w:rsidRPr="003343AE">
        <w:t xml:space="preserve"> </w:t>
      </w:r>
      <w:r w:rsidR="00BA3EA2" w:rsidRPr="003343AE">
        <w:t>with</w:t>
      </w:r>
      <w:r w:rsidR="004A15A3" w:rsidRPr="003343AE">
        <w:t xml:space="preserve">out </w:t>
      </w:r>
      <w:r w:rsidR="007E5DF6" w:rsidRPr="003343AE">
        <w:t xml:space="preserve">forward </w:t>
      </w:r>
      <w:r w:rsidR="00AD4FA1" w:rsidRPr="003343AE">
        <w:t>plan</w:t>
      </w:r>
      <w:r w:rsidR="007E5DF6" w:rsidRPr="003343AE">
        <w:t>ning</w:t>
      </w:r>
      <w:r w:rsidR="00AD4FA1" w:rsidRPr="003343AE">
        <w:t xml:space="preserve"> for ongoing</w:t>
      </w:r>
      <w:r w:rsidR="00784CF1" w:rsidRPr="003343AE">
        <w:t xml:space="preserve"> funding to support </w:t>
      </w:r>
      <w:r w:rsidR="006C03A9" w:rsidRPr="003343AE">
        <w:t xml:space="preserve">significant </w:t>
      </w:r>
      <w:r w:rsidRPr="003343AE">
        <w:t>maintenance</w:t>
      </w:r>
      <w:r w:rsidR="006255CC" w:rsidRPr="003343AE">
        <w:t xml:space="preserve"> </w:t>
      </w:r>
      <w:r w:rsidR="0022194B" w:rsidRPr="003343AE">
        <w:t xml:space="preserve">requirements </w:t>
      </w:r>
      <w:r w:rsidR="006255CC" w:rsidRPr="003343AE">
        <w:t>or asset handover to the community</w:t>
      </w:r>
      <w:r w:rsidR="0022194B" w:rsidRPr="003343AE">
        <w:t>.</w:t>
      </w:r>
      <w:r w:rsidR="00006A76" w:rsidRPr="003343AE">
        <w:rPr>
          <w:rFonts w:cs="Times New Roman"/>
          <w:vertAlign w:val="superscript"/>
        </w:rPr>
        <w:t xml:space="preserve"> </w:t>
      </w:r>
    </w:p>
    <w:p w14:paraId="0E87E036" w14:textId="79384FF2" w:rsidR="00B21261" w:rsidRPr="003343AE" w:rsidRDefault="6E98FD1D" w:rsidP="3B3046B4">
      <w:r w:rsidRPr="003343AE">
        <w:t>Additionally, while some agencies work well in communicating and collaborating with the ALG and IDC, inconsistent data sharing across government agencies is restricting the implementation of data-informed action</w:t>
      </w:r>
      <w:r w:rsidR="6852E6D0" w:rsidRPr="003343AE">
        <w:t>.</w:t>
      </w:r>
      <w:r w:rsidR="00006A76" w:rsidRPr="003343AE">
        <w:rPr>
          <w:rStyle w:val="FootnoteReference"/>
        </w:rPr>
        <w:t xml:space="preserve"> </w:t>
      </w:r>
      <w:r w:rsidRPr="003343AE">
        <w:t xml:space="preserve"> Service providers noted that a lack of consistent agency transparency in reporting of specific issues, such as housing needs, is a barrier to adequately informing project feasibility and </w:t>
      </w:r>
      <w:r w:rsidR="515919D1" w:rsidRPr="003343AE">
        <w:t>decision-making</w:t>
      </w:r>
      <w:r w:rsidRPr="003343AE">
        <w:t>.</w:t>
      </w:r>
      <w:r w:rsidR="00006A76" w:rsidRPr="003343AE">
        <w:rPr>
          <w:rStyle w:val="FootnoteReference"/>
        </w:rPr>
        <w:t xml:space="preserve"> </w:t>
      </w:r>
    </w:p>
    <w:p w14:paraId="0DB133F0" w14:textId="7779B48A" w:rsidR="00B21261" w:rsidRPr="003343AE" w:rsidRDefault="4E9262DF" w:rsidP="3B3046B4">
      <w:pPr>
        <w:rPr>
          <w:rFonts w:cs="Times New Roman"/>
          <w:color w:val="404040"/>
        </w:rPr>
      </w:pPr>
      <w:r w:rsidRPr="003343AE">
        <w:t>Interviews with many stakeholders identified that ensuring the feasibility of actions under the CAP is critical to secure community trust and sustained engagement</w:t>
      </w:r>
      <w:r w:rsidR="00CB0711" w:rsidRPr="003343AE">
        <w:t xml:space="preserve"> and </w:t>
      </w:r>
      <w:r w:rsidRPr="003343AE">
        <w:t>ensure that proposed initiatives are realistic, implementable, and capable of delivering meaningful, long-term outcomes.</w:t>
      </w:r>
      <w:r w:rsidRPr="003343AE">
        <w:rPr>
          <w:rFonts w:cs="Times New Roman"/>
          <w:color w:val="404040"/>
        </w:rPr>
        <w:t xml:space="preserve"> </w:t>
      </w:r>
      <w:r w:rsidRPr="003343AE">
        <w:t>The</w:t>
      </w:r>
      <w:r w:rsidR="43F66833" w:rsidRPr="003343AE">
        <w:t xml:space="preserve"> Strengthening Families and Communities Partnerships</w:t>
      </w:r>
      <w:r w:rsidRPr="003343AE">
        <w:t xml:space="preserve"> </w:t>
      </w:r>
      <w:r w:rsidR="7DC191AF" w:rsidRPr="003343AE">
        <w:t>(</w:t>
      </w:r>
      <w:r w:rsidRPr="003343AE">
        <w:t>SFC</w:t>
      </w:r>
      <w:r w:rsidR="0A5BCD4B" w:rsidRPr="003343AE">
        <w:t>)</w:t>
      </w:r>
      <w:r w:rsidR="00820F0D" w:rsidRPr="003343AE">
        <w:t xml:space="preserve"> project examined in </w:t>
      </w:r>
      <w:r w:rsidRPr="003343AE">
        <w:t xml:space="preserve">Case Study </w:t>
      </w:r>
      <w:r w:rsidR="00820F0D" w:rsidRPr="003343AE">
        <w:t xml:space="preserve">number </w:t>
      </w:r>
      <w:r w:rsidR="002A6A6F" w:rsidRPr="003343AE">
        <w:t>two</w:t>
      </w:r>
      <w:r w:rsidR="00820F0D" w:rsidRPr="003343AE">
        <w:t xml:space="preserve"> used</w:t>
      </w:r>
      <w:r w:rsidRPr="003343AE">
        <w:t xml:space="preserve"> </w:t>
      </w:r>
      <w:r w:rsidR="00B90882" w:rsidRPr="003343AE">
        <w:t xml:space="preserve">both </w:t>
      </w:r>
      <w:r w:rsidRPr="003343AE">
        <w:t xml:space="preserve">community input, and evidence-based decision-making processes </w:t>
      </w:r>
      <w:r w:rsidR="007A2B11" w:rsidRPr="003343AE">
        <w:t xml:space="preserve">to ensure </w:t>
      </w:r>
      <w:r w:rsidRPr="003343AE">
        <w:t>that decisions are heavily guided by community input</w:t>
      </w:r>
      <w:r w:rsidR="00145740" w:rsidRPr="003343AE">
        <w:t>,</w:t>
      </w:r>
      <w:r w:rsidR="007A2B11" w:rsidRPr="003343AE">
        <w:t xml:space="preserve"> </w:t>
      </w:r>
      <w:r w:rsidRPr="003343AE">
        <w:t>are feasible</w:t>
      </w:r>
      <w:r w:rsidR="00145740" w:rsidRPr="003343AE">
        <w:t>,</w:t>
      </w:r>
      <w:r w:rsidRPr="003343AE">
        <w:t xml:space="preserve"> and backed by evidence</w:t>
      </w:r>
      <w:r w:rsidRPr="003343AE">
        <w:rPr>
          <w:rFonts w:cs="Times New Roman"/>
          <w:color w:val="404040"/>
        </w:rPr>
        <w:t>.</w:t>
      </w:r>
      <w:r w:rsidR="00006A76" w:rsidRPr="003343AE">
        <w:rPr>
          <w:rFonts w:cs="Times New Roman"/>
          <w:vertAlign w:val="superscript"/>
        </w:rPr>
        <w:t xml:space="preserve"> </w:t>
      </w:r>
      <w:r w:rsidR="00C46439" w:rsidRPr="003343AE">
        <w:rPr>
          <w:rFonts w:cs="Times New Roman"/>
        </w:rPr>
        <w:t xml:space="preserve"> </w:t>
      </w:r>
      <w:r w:rsidRPr="003343AE">
        <w:rPr>
          <w:rFonts w:cs="Times New Roman"/>
          <w:color w:val="404040"/>
        </w:rPr>
        <w:t xml:space="preserve"> </w:t>
      </w:r>
      <w:r w:rsidRPr="003343AE">
        <w:rPr>
          <w:rFonts w:eastAsia="Times New Roman" w:cs="Helvetica"/>
        </w:rPr>
        <w:t xml:space="preserve">Some local governments </w:t>
      </w:r>
      <w:r w:rsidR="008D0627" w:rsidRPr="003343AE">
        <w:rPr>
          <w:rFonts w:eastAsia="Times New Roman" w:cs="Helvetica"/>
        </w:rPr>
        <w:t xml:space="preserve">indicated that they </w:t>
      </w:r>
      <w:r w:rsidRPr="003343AE">
        <w:rPr>
          <w:rFonts w:eastAsia="Times New Roman" w:cs="Helvetica"/>
        </w:rPr>
        <w:t xml:space="preserve">are contributing </w:t>
      </w:r>
      <w:r w:rsidR="008D0627" w:rsidRPr="003343AE">
        <w:rPr>
          <w:rFonts w:eastAsia="Times New Roman" w:cs="Helvetica"/>
        </w:rPr>
        <w:t xml:space="preserve">additional funding </w:t>
      </w:r>
      <w:r w:rsidRPr="003343AE">
        <w:rPr>
          <w:rFonts w:eastAsia="Times New Roman" w:cs="Helvetica"/>
        </w:rPr>
        <w:t xml:space="preserve">to </w:t>
      </w:r>
      <w:r w:rsidR="008D0627" w:rsidRPr="003343AE">
        <w:rPr>
          <w:rFonts w:eastAsia="Times New Roman" w:cs="Helvetica"/>
        </w:rPr>
        <w:t xml:space="preserve">cover </w:t>
      </w:r>
      <w:r w:rsidRPr="003343AE">
        <w:rPr>
          <w:rFonts w:eastAsia="Times New Roman" w:cs="Helvetica"/>
        </w:rPr>
        <w:t xml:space="preserve">shortfalls </w:t>
      </w:r>
      <w:r w:rsidR="008D0627" w:rsidRPr="003343AE">
        <w:rPr>
          <w:rFonts w:eastAsia="Times New Roman" w:cs="Helvetica"/>
        </w:rPr>
        <w:t>in</w:t>
      </w:r>
      <w:r w:rsidRPr="003343AE">
        <w:rPr>
          <w:rFonts w:eastAsia="Times New Roman" w:cs="Helvetica"/>
        </w:rPr>
        <w:t xml:space="preserve"> CAP</w:t>
      </w:r>
      <w:r w:rsidR="008D0627" w:rsidRPr="003343AE">
        <w:rPr>
          <w:rFonts w:eastAsia="Times New Roman" w:cs="Helvetica"/>
        </w:rPr>
        <w:t xml:space="preserve"> funding</w:t>
      </w:r>
      <w:r w:rsidRPr="003343AE">
        <w:rPr>
          <w:rFonts w:eastAsia="Times New Roman" w:cs="Helvetica"/>
        </w:rPr>
        <w:t xml:space="preserve"> to continue to support the social and economic benefits</w:t>
      </w:r>
      <w:r w:rsidR="00F06F52" w:rsidRPr="003343AE">
        <w:rPr>
          <w:rFonts w:eastAsia="Times New Roman" w:cs="Helvetica"/>
        </w:rPr>
        <w:t xml:space="preserve"> that</w:t>
      </w:r>
      <w:r w:rsidRPr="003343AE">
        <w:rPr>
          <w:rFonts w:eastAsia="Times New Roman" w:cs="Helvetica"/>
        </w:rPr>
        <w:t xml:space="preserve"> they are beginning to see in community from </w:t>
      </w:r>
      <w:r w:rsidR="00BB4B19" w:rsidRPr="003343AE">
        <w:rPr>
          <w:rFonts w:eastAsia="Times New Roman" w:cs="Helvetica"/>
        </w:rPr>
        <w:t>initial</w:t>
      </w:r>
      <w:r w:rsidRPr="003343AE">
        <w:rPr>
          <w:rFonts w:eastAsia="Times New Roman" w:cs="Helvetica"/>
        </w:rPr>
        <w:t xml:space="preserve"> CAP </w:t>
      </w:r>
      <w:r w:rsidR="00BB4B19" w:rsidRPr="003343AE">
        <w:rPr>
          <w:rFonts w:eastAsia="Times New Roman" w:cs="Helvetica"/>
        </w:rPr>
        <w:t>investment</w:t>
      </w:r>
      <w:r w:rsidR="007B61DB" w:rsidRPr="003343AE">
        <w:rPr>
          <w:rFonts w:eastAsia="Times New Roman" w:cs="Helvetica"/>
        </w:rPr>
        <w:t>.</w:t>
      </w:r>
      <w:r w:rsidR="00006A76" w:rsidRPr="003343AE">
        <w:rPr>
          <w:rStyle w:val="FootnoteReference"/>
          <w:rFonts w:eastAsia="Times New Roman" w:cs="Helvetica"/>
        </w:rPr>
        <w:t xml:space="preserve"> </w:t>
      </w:r>
      <w:r w:rsidRPr="003343AE">
        <w:rPr>
          <w:rFonts w:eastAsia="Times New Roman" w:cs="Helvetica"/>
        </w:rPr>
        <w:t xml:space="preserve"> There is an opportunity to greater engage with service providers and community stakeholders, to ‘do things differently’ to address project funding needs.</w:t>
      </w:r>
    </w:p>
    <w:p w14:paraId="326D57E0" w14:textId="77777777" w:rsidR="00A25030" w:rsidRDefault="00A25030">
      <w:pPr>
        <w:keepLines w:val="0"/>
        <w:widowControl/>
        <w:spacing w:before="0" w:after="0"/>
        <w:rPr>
          <w:rFonts w:eastAsiaTheme="minorHAnsi" w:cs="Segoe UI"/>
          <w:b/>
          <w:color w:val="009999"/>
          <w:sz w:val="24"/>
        </w:rPr>
      </w:pPr>
      <w:r>
        <w:br w:type="page"/>
      </w:r>
    </w:p>
    <w:p w14:paraId="62223A21" w14:textId="05D40917" w:rsidR="00B21261" w:rsidRDefault="00B21261" w:rsidP="00DA4528">
      <w:pPr>
        <w:pStyle w:val="Heading3"/>
      </w:pPr>
      <w:r w:rsidRPr="00090AA9">
        <w:lastRenderedPageBreak/>
        <w:t xml:space="preserve">Future </w:t>
      </w:r>
      <w:r>
        <w:t xml:space="preserve">areas of </w:t>
      </w:r>
      <w:r w:rsidRPr="00090AA9">
        <w:t xml:space="preserve">focus </w:t>
      </w:r>
    </w:p>
    <w:p w14:paraId="561CE9D1" w14:textId="77777777" w:rsidR="00B21261" w:rsidRPr="00B27C57" w:rsidRDefault="00B21261" w:rsidP="007573F2">
      <w:pPr>
        <w:pStyle w:val="Heading4"/>
      </w:pPr>
      <w:r w:rsidRPr="00B27C57">
        <w:t>Priority project areas</w:t>
      </w:r>
    </w:p>
    <w:p w14:paraId="2E42CAFF" w14:textId="4663C4C0" w:rsidR="00B21261" w:rsidRDefault="4E9262DF" w:rsidP="00DA4528">
      <w:r w:rsidRPr="00842304">
        <w:t>Stakeholders raised the importance of greater consideration of addressing ongoing social issues and the root causes of community unrest in the next phase of the CAP.</w:t>
      </w:r>
      <w:r w:rsidR="003343AE">
        <w:rPr>
          <w:rFonts w:eastAsia="Times New Roman" w:cs="Helvetica"/>
        </w:rPr>
        <w:t xml:space="preserve"> </w:t>
      </w:r>
      <w:r>
        <w:t>These priority areas can be broken into education and youth, housing</w:t>
      </w:r>
      <w:r w:rsidR="00D35612">
        <w:t>,</w:t>
      </w:r>
      <w:r w:rsidR="00006A76">
        <w:rPr>
          <w:rStyle w:val="FootnoteReference"/>
        </w:rPr>
        <w:t xml:space="preserve"> </w:t>
      </w:r>
      <w:r>
        <w:t xml:space="preserve"> justice, health supports, </w:t>
      </w:r>
      <w:r w:rsidRPr="00842304">
        <w:t>crime, youth engagement, social cohesion</w:t>
      </w:r>
      <w:r>
        <w:t>,</w:t>
      </w:r>
      <w:r w:rsidRPr="00842304">
        <w:t xml:space="preserve"> </w:t>
      </w:r>
      <w:r>
        <w:t xml:space="preserve">and community development and capacity building. Specific initiative </w:t>
      </w:r>
      <w:proofErr w:type="gramStart"/>
      <w:r>
        <w:t>focus</w:t>
      </w:r>
      <w:proofErr w:type="gramEnd"/>
      <w:r>
        <w:t xml:space="preserve"> areas identified include: </w:t>
      </w:r>
    </w:p>
    <w:p w14:paraId="22FED34E" w14:textId="3E7794DA" w:rsidR="00B21261" w:rsidRPr="007573F2" w:rsidRDefault="00B21261" w:rsidP="003343AE">
      <w:pPr>
        <w:pStyle w:val="ListParagraph"/>
      </w:pPr>
      <w:r w:rsidRPr="00B27C57">
        <w:t>Education and youth</w:t>
      </w:r>
      <w:r w:rsidR="003343AE">
        <w:t xml:space="preserve"> that have a strengths-based view of young people, including</w:t>
      </w:r>
      <w:r w:rsidR="4E9262DF" w:rsidRPr="007573F2">
        <w:t xml:space="preserve"> changes to the curriculum to support all First Nations youth</w:t>
      </w:r>
      <w:r w:rsidR="003343AE">
        <w:t xml:space="preserve">, availability of </w:t>
      </w:r>
      <w:r w:rsidR="4E9262DF" w:rsidRPr="007573F2">
        <w:t>residential programs for kids at risk of anti</w:t>
      </w:r>
      <w:r w:rsidR="004870FC" w:rsidRPr="007573F2">
        <w:t>-</w:t>
      </w:r>
      <w:r w:rsidR="4E9262DF" w:rsidRPr="007573F2">
        <w:t xml:space="preserve">social </w:t>
      </w:r>
      <w:r w:rsidR="00515FF7" w:rsidRPr="007573F2">
        <w:t>behaviour</w:t>
      </w:r>
      <w:r w:rsidR="4E9262DF" w:rsidRPr="007573F2">
        <w:t>, or kids engaging in anti</w:t>
      </w:r>
      <w:r w:rsidR="004870FC" w:rsidRPr="007573F2">
        <w:t>-</w:t>
      </w:r>
      <w:r w:rsidR="4E9262DF" w:rsidRPr="007573F2">
        <w:t xml:space="preserve">social </w:t>
      </w:r>
      <w:r w:rsidR="00515FF7" w:rsidRPr="007573F2">
        <w:t>behaviour</w:t>
      </w:r>
      <w:r w:rsidR="003343AE">
        <w:t>, and r</w:t>
      </w:r>
      <w:r w:rsidR="4E9262DF" w:rsidRPr="007573F2">
        <w:t>emote sport and recreation programs to provide support on a regular basis, to cater for kids of all ages</w:t>
      </w:r>
      <w:r w:rsidR="007573F2" w:rsidRPr="007573F2">
        <w:t>.</w:t>
      </w:r>
      <w:r w:rsidR="00006A76">
        <w:rPr>
          <w:rStyle w:val="FootnoteReference"/>
        </w:rPr>
        <w:t xml:space="preserve"> </w:t>
      </w:r>
    </w:p>
    <w:p w14:paraId="7620C667" w14:textId="72875281" w:rsidR="00B21261" w:rsidRPr="007573F2" w:rsidRDefault="00B21261" w:rsidP="003343AE">
      <w:pPr>
        <w:pStyle w:val="ListParagraph"/>
      </w:pPr>
      <w:r>
        <w:t>Housing</w:t>
      </w:r>
      <w:r w:rsidR="003343AE">
        <w:t xml:space="preserve"> including s</w:t>
      </w:r>
      <w:r w:rsidR="4E9262DF" w:rsidRPr="007573F2">
        <w:t>upports and funding to raise town camps to a liveable standard</w:t>
      </w:r>
      <w:r w:rsidR="007573F2" w:rsidRPr="007573F2">
        <w:t>.</w:t>
      </w:r>
      <w:r w:rsidR="00006A76">
        <w:rPr>
          <w:rStyle w:val="FootnoteReference"/>
        </w:rPr>
        <w:t xml:space="preserve"> </w:t>
      </w:r>
    </w:p>
    <w:p w14:paraId="49389640" w14:textId="2737AA1B" w:rsidR="00B21261" w:rsidRPr="007573F2" w:rsidRDefault="00B21261" w:rsidP="003343AE">
      <w:pPr>
        <w:pStyle w:val="ListParagraph"/>
      </w:pPr>
      <w:r>
        <w:t>Health</w:t>
      </w:r>
      <w:r w:rsidRPr="00BC3250">
        <w:t xml:space="preserve"> </w:t>
      </w:r>
      <w:r w:rsidR="003343AE">
        <w:t>including mental health, a</w:t>
      </w:r>
      <w:r w:rsidR="4E9262DF" w:rsidRPr="007573F2">
        <w:t>lcohol and drug support services</w:t>
      </w:r>
      <w:r w:rsidR="003343AE">
        <w:t>, f</w:t>
      </w:r>
      <w:r w:rsidR="4E9262DF" w:rsidRPr="007573F2">
        <w:t>ood security, particularly for youth.</w:t>
      </w:r>
      <w:r w:rsidR="00006A76">
        <w:rPr>
          <w:rStyle w:val="FootnoteReference"/>
        </w:rPr>
        <w:t xml:space="preserve"> </w:t>
      </w:r>
    </w:p>
    <w:p w14:paraId="73E445A3" w14:textId="556A8A14" w:rsidR="00B21261" w:rsidRPr="007573F2" w:rsidRDefault="00B21261" w:rsidP="003343AE">
      <w:pPr>
        <w:pStyle w:val="ListParagraph"/>
      </w:pPr>
      <w:r>
        <w:t>Justice</w:t>
      </w:r>
      <w:r w:rsidR="003343AE">
        <w:t xml:space="preserve"> with a focus on </w:t>
      </w:r>
      <w:r w:rsidR="4E9262DF" w:rsidRPr="007573F2">
        <w:t>supporting early prevention activities rather than reactive programs and supports, to address root cause issues before they reach crisis</w:t>
      </w:r>
      <w:r w:rsidR="00D35612">
        <w:t>.</w:t>
      </w:r>
      <w:r w:rsidR="00006A76">
        <w:rPr>
          <w:rStyle w:val="FootnoteReference"/>
        </w:rPr>
        <w:t xml:space="preserve"> </w:t>
      </w:r>
    </w:p>
    <w:p w14:paraId="1750834A" w14:textId="430D3939" w:rsidR="00B21261" w:rsidRPr="007573F2" w:rsidRDefault="4E9262DF" w:rsidP="003343AE">
      <w:pPr>
        <w:pStyle w:val="ListParagraph"/>
      </w:pPr>
      <w:r w:rsidRPr="007573F2">
        <w:t xml:space="preserve">Investment is needed for smaller communities and smaller organisations that work towards community safety, as they </w:t>
      </w:r>
      <w:r w:rsidR="003E592C" w:rsidRPr="007573F2">
        <w:t>can</w:t>
      </w:r>
      <w:r w:rsidRPr="007573F2">
        <w:t xml:space="preserve"> closely work with community.</w:t>
      </w:r>
      <w:r w:rsidR="00006A76">
        <w:rPr>
          <w:rStyle w:val="FootnoteReference"/>
        </w:rPr>
        <w:t xml:space="preserve"> </w:t>
      </w:r>
    </w:p>
    <w:p w14:paraId="06C97824" w14:textId="068A4F6C" w:rsidR="00B21261" w:rsidRDefault="00B21261" w:rsidP="007573F2">
      <w:pPr>
        <w:pStyle w:val="Heading4"/>
      </w:pPr>
      <w:r>
        <w:t xml:space="preserve">Community </w:t>
      </w:r>
      <w:r w:rsidR="003343AE">
        <w:t>d</w:t>
      </w:r>
      <w:r>
        <w:t xml:space="preserve">evelopment and </w:t>
      </w:r>
      <w:r w:rsidR="003343AE">
        <w:t>c</w:t>
      </w:r>
      <w:r>
        <w:t>apacity building</w:t>
      </w:r>
    </w:p>
    <w:p w14:paraId="7A12B0C7" w14:textId="300C67B1" w:rsidR="00B21261" w:rsidRPr="007573F2" w:rsidRDefault="4E9262DF" w:rsidP="003343AE">
      <w:r w:rsidRPr="007573F2">
        <w:t xml:space="preserve">Supports for developing local workforce to support broader and </w:t>
      </w:r>
      <w:r w:rsidR="00246C75" w:rsidRPr="007573F2">
        <w:t>longer-term</w:t>
      </w:r>
      <w:r w:rsidRPr="007573F2">
        <w:t xml:space="preserve"> outcomes</w:t>
      </w:r>
      <w:r w:rsidR="009A1CAB">
        <w:t>.</w:t>
      </w:r>
      <w:r w:rsidR="00006A76">
        <w:rPr>
          <w:rStyle w:val="FootnoteReference"/>
        </w:rPr>
        <w:t xml:space="preserve"> </w:t>
      </w:r>
      <w:r w:rsidRPr="007573F2">
        <w:t xml:space="preserve"> Support initiatives are needed to build Alice based workforce including training and skills, secondments, staff accommodation etc</w:t>
      </w:r>
      <w:r w:rsidR="009A1CAB">
        <w:t>.</w:t>
      </w:r>
      <w:r w:rsidR="00006A76">
        <w:rPr>
          <w:rStyle w:val="FootnoteReference"/>
        </w:rPr>
        <w:t xml:space="preserve"> </w:t>
      </w:r>
      <w:r w:rsidRPr="007573F2">
        <w:t xml:space="preserve"> Focus should be on upskilling community members and developing communities economically. The money should assist people in engaging and getting involved in their own communities.</w:t>
      </w:r>
    </w:p>
    <w:p w14:paraId="3A14A8DF" w14:textId="28A8643F" w:rsidR="00B21261" w:rsidRPr="009A1CAB" w:rsidRDefault="4E9262DF" w:rsidP="003343AE">
      <w:r w:rsidRPr="009A1CAB">
        <w:t>Some expressed a need to maintain funding for remote communities, as creating better living conditions in remote areas could help ease some of the issues felt in Alice Springs</w:t>
      </w:r>
      <w:r w:rsidR="009A1CAB" w:rsidRPr="009A1CAB">
        <w:t>.</w:t>
      </w:r>
      <w:r w:rsidR="00006A76">
        <w:rPr>
          <w:rStyle w:val="FootnoteReference"/>
        </w:rPr>
        <w:t xml:space="preserve"> </w:t>
      </w:r>
      <w:r w:rsidRPr="009A1CAB">
        <w:t xml:space="preserve"> Others believed prioritising funding in Alice Springs should be prioritised to support the needs of residents and mobile communities entering the town</w:t>
      </w:r>
      <w:r w:rsidR="009A1CAB" w:rsidRPr="009A1CAB">
        <w:t>.</w:t>
      </w:r>
      <w:r w:rsidR="00006A76">
        <w:rPr>
          <w:rStyle w:val="FootnoteReference"/>
        </w:rPr>
        <w:t xml:space="preserve"> </w:t>
      </w:r>
    </w:p>
    <w:p w14:paraId="459F401D" w14:textId="619305F6" w:rsidR="00B21261" w:rsidRPr="009A1CAB" w:rsidRDefault="4E9262DF" w:rsidP="003343AE">
      <w:r w:rsidRPr="009A1CAB">
        <w:t>Community development services, such as cultural and language programs, were identified as an opportunity for CAP investment, as programs that mainstream government departments typically do not fund</w:t>
      </w:r>
      <w:r w:rsidR="009A1CAB" w:rsidRPr="009A1CAB">
        <w:t>.</w:t>
      </w:r>
      <w:r w:rsidR="00006A76">
        <w:rPr>
          <w:rStyle w:val="FootnoteReference"/>
        </w:rPr>
        <w:t xml:space="preserve"> </w:t>
      </w:r>
    </w:p>
    <w:p w14:paraId="096B6EDB" w14:textId="77777777" w:rsidR="00B21261" w:rsidRPr="004E73DE" w:rsidRDefault="00B21261" w:rsidP="009A1CAB">
      <w:pPr>
        <w:pStyle w:val="Heading4"/>
      </w:pPr>
      <w:r w:rsidRPr="004E73DE">
        <w:t>ALG membership and supports</w:t>
      </w:r>
    </w:p>
    <w:p w14:paraId="7988849F" w14:textId="408B45C5" w:rsidR="00B21261" w:rsidRDefault="4E9262DF" w:rsidP="00DA4528">
      <w:r>
        <w:t>The ALG and the YRT were seen by stakeholders as useful mechanism</w:t>
      </w:r>
      <w:r w:rsidR="00D35F96">
        <w:t>s</w:t>
      </w:r>
      <w:r w:rsidR="00FA6BFE">
        <w:t xml:space="preserve"> </w:t>
      </w:r>
      <w:r>
        <w:t>to improve the way government agencies ‘do things differently’. There is a need for the CAP</w:t>
      </w:r>
      <w:r w:rsidR="00243B57">
        <w:t xml:space="preserve"> continue</w:t>
      </w:r>
      <w:r>
        <w:t xml:space="preserve"> to</w:t>
      </w:r>
      <w:r w:rsidR="00803F10">
        <w:t xml:space="preserve"> be led </w:t>
      </w:r>
      <w:r>
        <w:t>by C</w:t>
      </w:r>
      <w:r w:rsidRPr="001E455F">
        <w:t xml:space="preserve">entral Australian </w:t>
      </w:r>
      <w:r w:rsidR="003E5F53">
        <w:t xml:space="preserve">First Nations </w:t>
      </w:r>
      <w:r w:rsidRPr="001E455F">
        <w:t>people</w:t>
      </w:r>
      <w:r>
        <w:t>, with empowerment and resourcing</w:t>
      </w:r>
      <w:r w:rsidR="00F92FF6">
        <w:t>.</w:t>
      </w:r>
      <w:r w:rsidR="00006A76">
        <w:rPr>
          <w:rStyle w:val="FootnoteReference"/>
        </w:rPr>
        <w:t xml:space="preserve"> </w:t>
      </w:r>
    </w:p>
    <w:p w14:paraId="0554C964" w14:textId="0CB1D2FE" w:rsidR="00B21261" w:rsidRDefault="4E9262DF" w:rsidP="00DA4528">
      <w:r>
        <w:t>To improve community leadership, ALG and YRT require greater supports, direction, and certainty in their advisory roles to be able to effectively continue to represent community and effect change</w:t>
      </w:r>
      <w:r w:rsidR="000055BA">
        <w:rPr>
          <w:rStyle w:val="FootnoteReference"/>
        </w:rPr>
        <w:t xml:space="preserve"> </w:t>
      </w:r>
      <w:r>
        <w:t xml:space="preserve">. </w:t>
      </w:r>
      <w:r w:rsidR="00632903">
        <w:t>W</w:t>
      </w:r>
      <w:r>
        <w:t xml:space="preserve">orking with service providers was identified </w:t>
      </w:r>
      <w:r w:rsidR="003E592C">
        <w:t>to</w:t>
      </w:r>
      <w:r>
        <w:t xml:space="preserve"> support the ALG to increase subject knowledge on areas, and to provide informed advice on subject matter issues, such as DFV</w:t>
      </w:r>
      <w:r w:rsidR="00D35612">
        <w:t>.</w:t>
      </w:r>
      <w:r w:rsidR="000055BA">
        <w:rPr>
          <w:rStyle w:val="FootnoteReference"/>
        </w:rPr>
        <w:t xml:space="preserve"> </w:t>
      </w:r>
    </w:p>
    <w:p w14:paraId="20BEBDF3" w14:textId="61670848" w:rsidR="00B21261" w:rsidRDefault="4E9262DF" w:rsidP="00DA4528">
      <w:r>
        <w:t xml:space="preserve">Current interest and value of input from youth representatives is high, however stakeholders indicated that their engagement could be increased. YRT members indicated that they require greater supports </w:t>
      </w:r>
      <w:r w:rsidR="00380067">
        <w:t xml:space="preserve">and </w:t>
      </w:r>
      <w:r w:rsidR="18601CA2">
        <w:t>opportunity</w:t>
      </w:r>
      <w:r w:rsidR="00380067">
        <w:t xml:space="preserve"> </w:t>
      </w:r>
      <w:r>
        <w:t>to facilitate representative participation. T</w:t>
      </w:r>
      <w:r w:rsidR="00380067">
        <w:t>his could look like</w:t>
      </w:r>
      <w:r w:rsidR="000055BA">
        <w:rPr>
          <w:rStyle w:val="FootnoteReference"/>
        </w:rPr>
        <w:t xml:space="preserve"> </w:t>
      </w:r>
      <w:r>
        <w:t>:</w:t>
      </w:r>
    </w:p>
    <w:p w14:paraId="5089C4BB" w14:textId="69EF53B4" w:rsidR="00B21261" w:rsidRPr="009A1CAB" w:rsidRDefault="003E592C" w:rsidP="003343AE">
      <w:pPr>
        <w:pStyle w:val="ListParagraph"/>
      </w:pPr>
      <w:r>
        <w:t>e</w:t>
      </w:r>
      <w:r w:rsidR="00B21261">
        <w:t xml:space="preserve">xpanding the YRT </w:t>
      </w:r>
      <w:r w:rsidR="002B3EAD">
        <w:t xml:space="preserve">membership </w:t>
      </w:r>
      <w:r w:rsidR="00B21261">
        <w:t xml:space="preserve">to </w:t>
      </w:r>
      <w:r w:rsidR="00955CC9">
        <w:t>communities within the entire CAP boundary</w:t>
      </w:r>
      <w:r w:rsidR="00B21261">
        <w:t xml:space="preserve"> (currently members are limited to a smaller number of communities than those that cover </w:t>
      </w:r>
      <w:r w:rsidR="00955CC9">
        <w:t>the CAP</w:t>
      </w:r>
      <w:r w:rsidR="00B21261">
        <w:t>)</w:t>
      </w:r>
    </w:p>
    <w:p w14:paraId="504D0F47" w14:textId="46227386" w:rsidR="00B21261" w:rsidRPr="009A1CAB" w:rsidRDefault="003E592C" w:rsidP="003343AE">
      <w:pPr>
        <w:pStyle w:val="ListParagraph"/>
      </w:pPr>
      <w:r>
        <w:t>m</w:t>
      </w:r>
      <w:r w:rsidR="00B21261" w:rsidRPr="009A1CAB">
        <w:t xml:space="preserve">ore input of YRT into areas of interest, such as justice responses, education investments and mental health </w:t>
      </w:r>
    </w:p>
    <w:p w14:paraId="2F1D2072" w14:textId="4754D6CE" w:rsidR="00344B12" w:rsidRPr="009A1CAB" w:rsidRDefault="003E592C" w:rsidP="00955CC9">
      <w:pPr>
        <w:pStyle w:val="ListParagraph"/>
      </w:pPr>
      <w:r>
        <w:t>t</w:t>
      </w:r>
      <w:r w:rsidR="00B21261" w:rsidRPr="009A1CAB">
        <w:t>ravel and commitment requirements were identified as a barrier for YRT members, with the suggestions of the use of online meetings and meeting in remote communities presented as ways to improve YRT participation</w:t>
      </w:r>
    </w:p>
    <w:p w14:paraId="4197EE27" w14:textId="3BF9A357" w:rsidR="00FA33B0" w:rsidRDefault="003E592C" w:rsidP="003343AE">
      <w:pPr>
        <w:pStyle w:val="ListParagraph"/>
      </w:pPr>
      <w:r>
        <w:t>m</w:t>
      </w:r>
      <w:r w:rsidR="00B21261">
        <w:t>eeting outside of the NIAA office was also identified as desirable.</w:t>
      </w:r>
    </w:p>
    <w:p w14:paraId="0E057FF0" w14:textId="77777777" w:rsidR="00955CC9" w:rsidRDefault="00955CC9" w:rsidP="00955CC9">
      <w:pPr>
        <w:pStyle w:val="ListParagraph"/>
        <w:numPr>
          <w:ilvl w:val="0"/>
          <w:numId w:val="0"/>
        </w:numPr>
        <w:ind w:left="720"/>
      </w:pPr>
    </w:p>
    <w:p w14:paraId="347E3E2F" w14:textId="77777777" w:rsidR="00955CC9" w:rsidRDefault="00955CC9" w:rsidP="00955CC9">
      <w:pPr>
        <w:pStyle w:val="ListParagraph"/>
        <w:numPr>
          <w:ilvl w:val="0"/>
          <w:numId w:val="0"/>
        </w:numPr>
        <w:ind w:left="720"/>
      </w:pPr>
    </w:p>
    <w:p w14:paraId="0ED94AB4" w14:textId="77777777" w:rsidR="00955CC9" w:rsidRDefault="00955CC9" w:rsidP="00955CC9">
      <w:pPr>
        <w:pStyle w:val="ListParagraph"/>
        <w:numPr>
          <w:ilvl w:val="0"/>
          <w:numId w:val="0"/>
        </w:numPr>
        <w:ind w:left="720"/>
      </w:pPr>
    </w:p>
    <w:p w14:paraId="5693E8E6" w14:textId="77777777" w:rsidR="003343AE" w:rsidRPr="003343AE" w:rsidRDefault="003343AE" w:rsidP="003343AE">
      <w:pPr>
        <w:pStyle w:val="Heading4"/>
      </w:pPr>
      <w:r w:rsidRPr="003343AE">
        <w:t>Planning, feasibility and sustainability</w:t>
      </w:r>
    </w:p>
    <w:p w14:paraId="035A935E" w14:textId="77777777" w:rsidR="003343AE" w:rsidRPr="003343AE" w:rsidRDefault="003343AE" w:rsidP="003343AE">
      <w:pPr>
        <w:rPr>
          <w:rStyle w:val="FootnoteReference"/>
        </w:rPr>
      </w:pPr>
      <w:r w:rsidRPr="003343AE">
        <w:lastRenderedPageBreak/>
        <w:t>More coordination and planning are required to ensure the effectiveness of CAP funding.</w:t>
      </w:r>
      <w:r w:rsidRPr="003343AE">
        <w:rPr>
          <w:rStyle w:val="FootnoteReference"/>
        </w:rPr>
        <w:t xml:space="preserve"> </w:t>
      </w:r>
      <w:r w:rsidRPr="003343AE">
        <w:t xml:space="preserve"> While service providers were generally positive regarding received funding, CAP funding has been insufficiently planned to always adequately complete projects, account for maintenance, or create impactful change in remote communities.</w:t>
      </w:r>
      <w:r w:rsidRPr="003343AE">
        <w:rPr>
          <w:rStyle w:val="FootnoteReference"/>
        </w:rPr>
        <w:t xml:space="preserve"> </w:t>
      </w:r>
      <w:r w:rsidRPr="003343AE">
        <w:t xml:space="preserve"> Approved infrastructure projects or small-scale safety programs were not believed to be projects that would address the core issues faced by communities.</w:t>
      </w:r>
      <w:r w:rsidRPr="003343AE">
        <w:rPr>
          <w:rStyle w:val="FootnoteReference"/>
        </w:rPr>
        <w:t xml:space="preserve"> </w:t>
      </w:r>
    </w:p>
    <w:p w14:paraId="44D423D0" w14:textId="77777777" w:rsidR="003343AE" w:rsidRPr="003343AE" w:rsidRDefault="003343AE" w:rsidP="003343AE">
      <w:pPr>
        <w:rPr>
          <w:rStyle w:val="FootnoteReference"/>
        </w:rPr>
      </w:pPr>
      <w:r w:rsidRPr="003343AE">
        <w:t>Without addressing the core issues of workforce training and housing supports, service providers noted certain projects were limited in their efficacy.</w:t>
      </w:r>
      <w:r w:rsidRPr="003343AE">
        <w:rPr>
          <w:rStyle w:val="FootnoteReference"/>
        </w:rPr>
        <w:t xml:space="preserve"> </w:t>
      </w:r>
      <w:r w:rsidRPr="003343AE">
        <w:t xml:space="preserve"> Non-government stakeholders indicated a need to consult community intentionally and in a guided way to better inform longer-lasting, generational investments that still meet community needs while offering better value and sustainability.</w:t>
      </w:r>
      <w:r w:rsidRPr="003343AE">
        <w:rPr>
          <w:rStyle w:val="FootnoteReference"/>
        </w:rPr>
        <w:t xml:space="preserve"> </w:t>
      </w:r>
      <w:r w:rsidRPr="003343AE">
        <w:t xml:space="preserve"> This includes consulting of local government meaningfully to assess viability and sustainability of projects, and realigning funding and project scope to better meet community needs.</w:t>
      </w:r>
      <w:r w:rsidRPr="003343AE">
        <w:rPr>
          <w:rStyle w:val="FootnoteReference"/>
        </w:rPr>
        <w:t xml:space="preserve"> </w:t>
      </w:r>
    </w:p>
    <w:p w14:paraId="196EB1EA" w14:textId="77777777" w:rsidR="003343AE" w:rsidRPr="003343AE" w:rsidRDefault="003343AE" w:rsidP="003343AE">
      <w:pPr>
        <w:rPr>
          <w:rStyle w:val="FootnoteReference"/>
        </w:rPr>
      </w:pPr>
      <w:r w:rsidRPr="003343AE">
        <w:t>ALG members agreed that it is important to resource project supports, and that this role could be supported by government.</w:t>
      </w:r>
      <w:r w:rsidRPr="003343AE">
        <w:rPr>
          <w:rStyle w:val="FootnoteReference"/>
        </w:rPr>
        <w:t xml:space="preserve"> </w:t>
      </w:r>
      <w:r w:rsidRPr="003343AE">
        <w:t xml:space="preserve"> Aligning CAP with National Agreement was seen by some non-government stakeholders as an opportunity to strategically align CAP projects and investment with clear direction, and form more respectful and easier conduits for decision-making between the ALG and government.</w:t>
      </w:r>
      <w:r w:rsidRPr="003343AE">
        <w:rPr>
          <w:rStyle w:val="FootnoteReference"/>
        </w:rPr>
        <w:t xml:space="preserve"> </w:t>
      </w:r>
      <w:r w:rsidRPr="003343AE">
        <w:t xml:space="preserve"> Greater planning for projects could also result in opportunities to connect with other funding opportunities outside of government that could enhance projects and support service providers.</w:t>
      </w:r>
      <w:r w:rsidRPr="003343AE">
        <w:rPr>
          <w:rStyle w:val="FootnoteReference"/>
        </w:rPr>
        <w:t xml:space="preserve"> </w:t>
      </w:r>
    </w:p>
    <w:p w14:paraId="46AC1F32" w14:textId="77777777" w:rsidR="003343AE" w:rsidRPr="003343AE" w:rsidRDefault="003343AE" w:rsidP="003343AE">
      <w:pPr>
        <w:rPr>
          <w:b/>
          <w:bCs/>
        </w:rPr>
      </w:pPr>
      <w:r w:rsidRPr="003343AE">
        <w:t>Funding processes also require supports, with a need to increase CAP funding, adjust cyclical funding processes, and improve funding guidelines flexibility, to improve certainty for service providers and community members, to allow them to build trust and reliability of the provision of programs.</w:t>
      </w:r>
      <w:r w:rsidRPr="003343AE">
        <w:rPr>
          <w:rStyle w:val="FootnoteReference"/>
        </w:rPr>
        <w:t xml:space="preserve"> </w:t>
      </w:r>
      <w:r w:rsidRPr="003343AE">
        <w:rPr>
          <w:b/>
          <w:bCs/>
        </w:rPr>
        <w:t xml:space="preserve"> </w:t>
      </w:r>
      <w:r w:rsidRPr="003343AE">
        <w:t>Some services expressed a need to allow</w:t>
      </w:r>
      <w:r w:rsidRPr="003343AE">
        <w:rPr>
          <w:b/>
          <w:bCs/>
        </w:rPr>
        <w:t xml:space="preserve"> </w:t>
      </w:r>
      <w:r w:rsidRPr="003343AE">
        <w:t>CAP grant recipients to roll over underspends especially where workforce challenges have meant roles haven’t or can’t be filled. Fund supports based on need rather than population, particularly for DFV supports. Make funding reporting processes less burdensome including a portal that is easier to navigate, less frequent progress updates (weekly is too frequent, quarterly site visits are fine) and having KPIs that are relevant to the activity that is being funded.</w:t>
      </w:r>
    </w:p>
    <w:p w14:paraId="6736E233" w14:textId="77777777" w:rsidR="003343AE" w:rsidRPr="004E73DE" w:rsidRDefault="003343AE" w:rsidP="003343AE">
      <w:pPr>
        <w:pStyle w:val="Heading4"/>
      </w:pPr>
      <w:r w:rsidRPr="004E73DE">
        <w:t>Implementation</w:t>
      </w:r>
    </w:p>
    <w:p w14:paraId="3F90B5AA" w14:textId="77777777" w:rsidR="003343AE" w:rsidRPr="007A7BB0" w:rsidRDefault="003343AE" w:rsidP="003343AE">
      <w:pPr>
        <w:rPr>
          <w:b/>
          <w:bCs/>
        </w:rPr>
      </w:pPr>
      <w:r w:rsidRPr="00842304">
        <w:t>In the next phase of the CAP implementation, stakeholders raised the importance of a strong focus on delivery of those initiatives that have been agreed to date</w:t>
      </w:r>
      <w:r>
        <w:rPr>
          <w:rStyle w:val="FootnoteReference"/>
        </w:rPr>
        <w:t xml:space="preserve"> </w:t>
      </w:r>
      <w:r w:rsidRPr="00842304">
        <w:t xml:space="preserve"> and ensuring the sustainability of measures beyond the life cycle of the CAP</w:t>
      </w:r>
      <w:r>
        <w:t>.</w:t>
      </w:r>
      <w:r>
        <w:rPr>
          <w:rStyle w:val="FootnoteReference"/>
        </w:rPr>
        <w:t xml:space="preserve"> </w:t>
      </w:r>
      <w:r w:rsidRPr="00842304">
        <w:t xml:space="preserve"> This includes a focus on building community leadership and strengthening governance </w:t>
      </w:r>
      <w:r w:rsidRPr="00842304">
        <w:rPr>
          <w:rFonts w:eastAsia="Times New Roman" w:cs="Helvetica"/>
        </w:rPr>
        <w:t>and ensuring those organisations tasked with delivery, including regional councils and ACCOs, have support to improve their project management, delivery and governance capabilities.</w:t>
      </w:r>
      <w:r>
        <w:rPr>
          <w:rStyle w:val="FootnoteReference"/>
          <w:rFonts w:eastAsia="Times New Roman" w:cs="Helvetica"/>
        </w:rPr>
        <w:t xml:space="preserve"> </w:t>
      </w:r>
      <w:r w:rsidRPr="00842304">
        <w:t xml:space="preserve"> Ensuring government stakeholders maintain their own capabilities in the people working to deliver the CAP is also critical given the high levels of staff turnover and the specialised set of skills and knowledge required to work effectively in partnership with </w:t>
      </w:r>
      <w:r>
        <w:t>First Nations</w:t>
      </w:r>
      <w:r w:rsidRPr="00842304">
        <w:t xml:space="preserve"> communities in Central Australia.</w:t>
      </w:r>
      <w:r>
        <w:rPr>
          <w:rStyle w:val="FootnoteReference"/>
        </w:rPr>
        <w:t xml:space="preserve"> </w:t>
      </w:r>
    </w:p>
    <w:p w14:paraId="2D960D41" w14:textId="77777777" w:rsidR="003343AE" w:rsidRDefault="003343AE" w:rsidP="003343AE">
      <w:pPr>
        <w:pStyle w:val="Heading4"/>
      </w:pPr>
      <w:r>
        <w:t xml:space="preserve">Outcome monitoring, communication and accountability </w:t>
      </w:r>
    </w:p>
    <w:p w14:paraId="70874FED" w14:textId="77777777" w:rsidR="003343AE" w:rsidRPr="00BF6483" w:rsidRDefault="003343AE" w:rsidP="003343AE">
      <w:pPr>
        <w:rPr>
          <w:i/>
          <w:iCs/>
        </w:rPr>
      </w:pPr>
      <w:r w:rsidRPr="00842304">
        <w:t xml:space="preserve">In relation to outcome monitoring, tracking the impact of the various initiatives under the CAP will be critical, particularly as funding agreed under the </w:t>
      </w:r>
      <w:r>
        <w:t>six</w:t>
      </w:r>
      <w:r w:rsidRPr="00842304">
        <w:t>-year Plan approaches its end date. Ensuring all initiatives funded under the CAP have a monitoring, learning and evaluation plan in place (including a clearly articulated program logic) would help to identify the impact of this funding at the community level. Noting the challenges with evaluating the impact of projects aimed at long term, community-level changes, departments overseeing delivery of the CAP-funded initiatives could explore identifying short term indicators which capture service availability, quality and participation established in the Murdoch Children’s Research Institute ‘Restacking the Odds’ framework</w:t>
      </w:r>
      <w:r>
        <w:t>.</w:t>
      </w:r>
      <w:r w:rsidRPr="00842304">
        <w:rPr>
          <w:rStyle w:val="FootnoteReference"/>
        </w:rPr>
        <w:footnoteReference w:id="65"/>
      </w:r>
      <w:r w:rsidRPr="00842304">
        <w:t xml:space="preserve"> These indicators will thereby provide information on whether services are on track to achieve their intended long-term outcomes. Government stakeholders also raised the importance of improving transparency around outcomes under the CAP and sharing success stories.</w:t>
      </w:r>
      <w:r>
        <w:rPr>
          <w:rStyle w:val="FootnoteReference"/>
        </w:rPr>
        <w:t xml:space="preserve"> </w:t>
      </w:r>
      <w:r w:rsidRPr="00BF6483">
        <w:t xml:space="preserve"> </w:t>
      </w:r>
    </w:p>
    <w:p w14:paraId="121224B9" w14:textId="77777777" w:rsidR="003343AE" w:rsidRPr="0062480E" w:rsidRDefault="003343AE" w:rsidP="003343AE">
      <w:pPr>
        <w:rPr>
          <w:b/>
          <w:bCs/>
        </w:rPr>
      </w:pPr>
      <w:r>
        <w:lastRenderedPageBreak/>
        <w:t>Most non-government stakeholders agreed on the need to track and implement outcomes monitoring of projects, and communicate outcomes to community.</w:t>
      </w:r>
      <w:r>
        <w:rPr>
          <w:rStyle w:val="FootnoteReference"/>
        </w:rPr>
        <w:t xml:space="preserve"> </w:t>
      </w:r>
      <w:r>
        <w:rPr>
          <w:b/>
          <w:bCs/>
        </w:rPr>
        <w:t xml:space="preserve"> </w:t>
      </w:r>
      <w:r>
        <w:t>Non-government stakeholders also emphasised the need for improved community data sharing and government accountability in line with National Agreement ,</w:t>
      </w:r>
      <w:r>
        <w:rPr>
          <w:rStyle w:val="FootnoteReference"/>
        </w:rPr>
        <w:t xml:space="preserve"> </w:t>
      </w:r>
      <w:r>
        <w:t xml:space="preserve"> which includes keeping service providers and the greater community informed of CAP investments.</w:t>
      </w:r>
      <w:r>
        <w:rPr>
          <w:rStyle w:val="FootnoteReference"/>
        </w:rPr>
        <w:t xml:space="preserve"> </w:t>
      </w:r>
      <w:r>
        <w:t xml:space="preserve"> This requires more close alignment between NTG and leadership group to better ensure cross-agency and service accountability.</w:t>
      </w:r>
      <w:r>
        <w:rPr>
          <w:rStyle w:val="FootnoteReference"/>
        </w:rPr>
        <w:t xml:space="preserve"> </w:t>
      </w:r>
    </w:p>
    <w:p w14:paraId="037DAFC7" w14:textId="67FE92E9" w:rsidR="00283F66" w:rsidRPr="003343AE" w:rsidRDefault="003343AE" w:rsidP="003343AE">
      <w:r>
        <w:t>Improved communication processes should also be established to improve engagements with service providers, to ensure clarity around funding allocations and limit community confusion and improve social cohesion.</w:t>
      </w:r>
    </w:p>
    <w:p w14:paraId="7C469E72" w14:textId="0837FECE" w:rsidR="002212FD" w:rsidRDefault="00FA33B0" w:rsidP="00352004">
      <w:r>
        <w:br w:type="page"/>
      </w:r>
    </w:p>
    <w:p w14:paraId="73457163" w14:textId="77777777" w:rsidR="000F115B" w:rsidRPr="000F115B" w:rsidRDefault="000F115B" w:rsidP="000F115B">
      <w:pPr>
        <w:pStyle w:val="Heading1"/>
      </w:pPr>
      <w:bookmarkStart w:id="40" w:name="_Toc205475105"/>
      <w:r w:rsidRPr="000F115B">
        <w:lastRenderedPageBreak/>
        <w:t>Case studies</w:t>
      </w:r>
      <w:bookmarkEnd w:id="40"/>
      <w:r w:rsidRPr="000F115B">
        <w:t xml:space="preserve"> </w:t>
      </w:r>
    </w:p>
    <w:p w14:paraId="4A1BC51F" w14:textId="76F6DA1D" w:rsidR="000F115B" w:rsidRPr="00180614" w:rsidRDefault="000F115B" w:rsidP="000F115B">
      <w:pPr>
        <w:pStyle w:val="NormalWeb"/>
        <w:spacing w:before="120" w:beforeAutospacing="0" w:after="120" w:afterAutospacing="0"/>
      </w:pPr>
      <w:r w:rsidRPr="00180614">
        <w:t xml:space="preserve">The case studies </w:t>
      </w:r>
      <w:r>
        <w:t xml:space="preserve">below </w:t>
      </w:r>
      <w:r w:rsidRPr="00180614">
        <w:t>explore three distinct examples of activities undertaken as part of the CAP. While these activities fall under the CAP, it is important to note that the CAP itself is not a single, unified program. Rather, it is a multi-measure, multi-government agency response comprising a range of initiatives, each with different scopes, objectives, and delivery partners. As such, the case studies do not reflect a single approach or model</w:t>
      </w:r>
      <w:r>
        <w:t xml:space="preserve"> rather they</w:t>
      </w:r>
      <w:r w:rsidRPr="00180614">
        <w:t xml:space="preserve"> illustrate a diversity of responses aligned with the CAP’s overarching intent.</w:t>
      </w:r>
    </w:p>
    <w:p w14:paraId="26660E28" w14:textId="77777777" w:rsidR="000F115B" w:rsidRPr="00CC7409" w:rsidRDefault="000F115B" w:rsidP="000F115B">
      <w:pPr>
        <w:pStyle w:val="NormalWeb"/>
        <w:spacing w:before="120" w:beforeAutospacing="0" w:after="120" w:afterAutospacing="0"/>
      </w:pPr>
      <w:r w:rsidRPr="00180614">
        <w:t>Given that all three activities are in the early stages of implementation, the case studies focus on emerging success</w:t>
      </w:r>
      <w:r>
        <w:t xml:space="preserve"> or key features in the </w:t>
      </w:r>
      <w:r w:rsidRPr="00180614">
        <w:t>implementation process</w:t>
      </w:r>
      <w:r>
        <w:t xml:space="preserve">, </w:t>
      </w:r>
      <w:r w:rsidRPr="00180614">
        <w:t xml:space="preserve">rather than definitive outcomes or long-term impact. </w:t>
      </w:r>
      <w:r>
        <w:t xml:space="preserve">They include analysis of opportunities for improvement to help guide the ongoing implementation. </w:t>
      </w:r>
    </w:p>
    <w:p w14:paraId="3439CA7B" w14:textId="77777777" w:rsidR="000F115B" w:rsidRDefault="000F115B" w:rsidP="000F115B">
      <w:r w:rsidRPr="0095299F">
        <w:t xml:space="preserve">It is acknowledged that the Success Case Method is a Western-derived evaluation approach, which may not fully align with Aboriginal ways of knowing, being, and doing. Care was taken to ensure that the method was adapted in culturally appropriate ways. The definition of "success" used in the study was developed in consultation with the NIAA and the ALG. Additionally, during interviews and conversations with participants, questions were intentionally left open-ended to allow individuals to define success in their own terms. This approach aimed to centre Aboriginal perspectives and experiences, while still meeting the requirements of an evaluation framework that speaks to government. </w:t>
      </w:r>
    </w:p>
    <w:p w14:paraId="161A9896" w14:textId="520D7F86" w:rsidR="00DD72F9" w:rsidRDefault="00DD72F9" w:rsidP="00DD72F9">
      <w:pPr>
        <w:rPr>
          <w:rFonts w:eastAsia="Times New Roman" w:cs="Times New Roman"/>
        </w:rPr>
      </w:pPr>
      <w:r>
        <w:rPr>
          <w:rFonts w:eastAsia="Times New Roman" w:cs="Times New Roman"/>
        </w:rPr>
        <w:t>In aggregate, t</w:t>
      </w:r>
      <w:r w:rsidRPr="00CC7409">
        <w:rPr>
          <w:rFonts w:eastAsia="Times New Roman" w:cs="Times New Roman"/>
        </w:rPr>
        <w:t xml:space="preserve">hese case studies </w:t>
      </w:r>
      <w:r>
        <w:rPr>
          <w:rFonts w:eastAsia="Times New Roman" w:cs="Times New Roman"/>
        </w:rPr>
        <w:t>illustrate the factors that are</w:t>
      </w:r>
      <w:r w:rsidRPr="00CC7409">
        <w:rPr>
          <w:rFonts w:eastAsia="Times New Roman" w:cs="Times New Roman"/>
        </w:rPr>
        <w:t xml:space="preserve"> contributing to project success </w:t>
      </w:r>
      <w:r>
        <w:rPr>
          <w:rFonts w:eastAsia="Times New Roman" w:cs="Times New Roman"/>
        </w:rPr>
        <w:t>in addition to the</w:t>
      </w:r>
      <w:r w:rsidRPr="00CC7409">
        <w:rPr>
          <w:rFonts w:eastAsia="Times New Roman" w:cs="Times New Roman"/>
        </w:rPr>
        <w:t xml:space="preserve"> opportunities for improvement.</w:t>
      </w:r>
    </w:p>
    <w:p w14:paraId="7EB8621F" w14:textId="184E18FE" w:rsidR="00DD72F9" w:rsidRDefault="00DD72F9" w:rsidP="00DD72F9">
      <w:pPr>
        <w:rPr>
          <w:rFonts w:eastAsia="Times New Roman" w:cs="Times New Roman"/>
        </w:rPr>
      </w:pPr>
      <w:r>
        <w:rPr>
          <w:rFonts w:eastAsia="Times New Roman" w:cs="Times New Roman"/>
        </w:rPr>
        <w:t>The factors across the three case studies that enable project success are:</w:t>
      </w:r>
    </w:p>
    <w:p w14:paraId="155C7841" w14:textId="684ADDE8" w:rsidR="00DD72F9" w:rsidRPr="00353F23" w:rsidRDefault="00DD72F9" w:rsidP="003343AE">
      <w:pPr>
        <w:pStyle w:val="ListParagraph"/>
      </w:pPr>
      <w:r w:rsidRPr="00DD72F9">
        <w:rPr>
          <w:rStyle w:val="Heading4Char"/>
          <w:i w:val="0"/>
          <w:iCs/>
          <w:color w:val="404040" w:themeColor="text1" w:themeTint="BF"/>
        </w:rPr>
        <w:t>First Nations-Led Programs and Decision-Makin</w:t>
      </w:r>
      <w:r>
        <w:rPr>
          <w:rStyle w:val="Heading4Char"/>
          <w:i w:val="0"/>
          <w:iCs/>
          <w:color w:val="404040" w:themeColor="text1" w:themeTint="BF"/>
        </w:rPr>
        <w:t xml:space="preserve">g – </w:t>
      </w:r>
      <w:r>
        <w:t>First Nations</w:t>
      </w:r>
      <w:r w:rsidRPr="00353F23">
        <w:t xml:space="preserve"> leadership across programs and decision-making ensures that community voice, priorities, and cultural knowledge are embedded throughout</w:t>
      </w:r>
      <w:r>
        <w:t xml:space="preserve"> implementation and project delivery. </w:t>
      </w:r>
    </w:p>
    <w:p w14:paraId="177E0D36" w14:textId="6DAF1B1B" w:rsidR="00DD72F9" w:rsidRDefault="00DD72F9" w:rsidP="003343AE">
      <w:pPr>
        <w:pStyle w:val="ListParagraph"/>
      </w:pPr>
      <w:r w:rsidRPr="00DD72F9">
        <w:rPr>
          <w:rStyle w:val="Heading4Char"/>
          <w:i w:val="0"/>
          <w:iCs/>
          <w:color w:val="404040" w:themeColor="text1" w:themeTint="BF"/>
        </w:rPr>
        <w:t>Diverse and Inclusive Engagement</w:t>
      </w:r>
      <w:r>
        <w:rPr>
          <w:i/>
          <w:iCs/>
        </w:rPr>
        <w:t xml:space="preserve"> – </w:t>
      </w:r>
      <w:r w:rsidRPr="00353F23">
        <w:t xml:space="preserve">Engagement </w:t>
      </w:r>
      <w:r>
        <w:t>with</w:t>
      </w:r>
      <w:r w:rsidRPr="00353F23">
        <w:t xml:space="preserve"> diverse voices </w:t>
      </w:r>
      <w:r>
        <w:t xml:space="preserve">supports </w:t>
      </w:r>
      <w:r w:rsidRPr="00353F23">
        <w:t xml:space="preserve">planning </w:t>
      </w:r>
      <w:r>
        <w:t xml:space="preserve">and initiatives that </w:t>
      </w:r>
      <w:r w:rsidRPr="00353F23">
        <w:t>reflect the breadth of community perspectives.</w:t>
      </w:r>
    </w:p>
    <w:p w14:paraId="40C96AEB" w14:textId="6CD61705" w:rsidR="00DD72F9" w:rsidRPr="00DD72F9" w:rsidRDefault="00DD72F9" w:rsidP="003343AE">
      <w:pPr>
        <w:pStyle w:val="ListParagraph"/>
        <w:rPr>
          <w:rFonts w:eastAsia="Times New Roman" w:cs="Times New Roman"/>
        </w:rPr>
      </w:pPr>
      <w:r w:rsidRPr="005A6319">
        <w:t>Collaborative working between various partners</w:t>
      </w:r>
      <w:r>
        <w:t xml:space="preserve"> – Genuine and ongoing collaborative between various partners including government, community, organisation, service providers and local leaders supports projects and initiatives that reflect local priorities, avoid duplication and foster a focus on holistic and sustainable outcomes. </w:t>
      </w:r>
    </w:p>
    <w:p w14:paraId="0A179C35" w14:textId="230B7908" w:rsidR="00DD72F9" w:rsidRPr="00DD72F9" w:rsidRDefault="00DD72F9" w:rsidP="003343AE">
      <w:pPr>
        <w:pStyle w:val="ListParagraph"/>
      </w:pPr>
      <w:r w:rsidRPr="00DD72F9">
        <w:t>Long-Term Relationships and Trust – Strong, sustained relationships between government and First Nations communities foster trust, dialogue, and collaborative ways of working.</w:t>
      </w:r>
    </w:p>
    <w:p w14:paraId="46D040C5" w14:textId="04ACDC5D" w:rsidR="00DD72F9" w:rsidRPr="00DD72F9" w:rsidRDefault="00DD72F9" w:rsidP="003343AE">
      <w:pPr>
        <w:pStyle w:val="ListParagraph"/>
      </w:pPr>
      <w:r w:rsidRPr="00DD72F9">
        <w:t xml:space="preserve">Strengths-Based and Community-Defined Success </w:t>
      </w:r>
      <w:r>
        <w:t>–</w:t>
      </w:r>
      <w:r w:rsidRPr="00DD72F9">
        <w:t xml:space="preserve"> Initiatives and project grounded in the strengths, knowledge and aspirations of local community, and enabling community to define success on their own terms, support initiatives to be locally relevant. </w:t>
      </w:r>
    </w:p>
    <w:p w14:paraId="3E51A327" w14:textId="048C0CB4" w:rsidR="00DD72F9" w:rsidRPr="00DD72F9" w:rsidRDefault="00DD72F9" w:rsidP="003343AE">
      <w:pPr>
        <w:pStyle w:val="ListParagraph"/>
      </w:pPr>
      <w:r w:rsidRPr="00DD72F9">
        <w:t xml:space="preserve">Government Capability and Cultural Competency </w:t>
      </w:r>
      <w:r>
        <w:t>–</w:t>
      </w:r>
      <w:r w:rsidRPr="00DD72F9">
        <w:t xml:space="preserve"> Government agencies with strong cultural competency can engage respectfully and effectively with First Nations communities. Governments with competency in working in a place-based and coordinated approach can strengthen initiatives and projects under the CAP. </w:t>
      </w:r>
    </w:p>
    <w:p w14:paraId="5CECE3FC" w14:textId="7D26021C" w:rsidR="00DD72F9" w:rsidRPr="00DD72F9" w:rsidRDefault="00DD72F9" w:rsidP="003343AE">
      <w:pPr>
        <w:pStyle w:val="ListParagraph"/>
      </w:pPr>
      <w:r w:rsidRPr="00DD72F9">
        <w:t xml:space="preserve">Feasibility and Evidence-Informed Planning </w:t>
      </w:r>
      <w:r>
        <w:t>–</w:t>
      </w:r>
      <w:r w:rsidRPr="00DD72F9">
        <w:t xml:space="preserve"> Initiatives should be realistic, locally informed, and grounded in evidence to support sustainable and effective outcomes.</w:t>
      </w:r>
    </w:p>
    <w:p w14:paraId="06F32C11" w14:textId="6CC05383" w:rsidR="00DD72F9" w:rsidRPr="00DD72F9" w:rsidRDefault="00DD72F9" w:rsidP="003343AE">
      <w:pPr>
        <w:pStyle w:val="ListParagraph"/>
      </w:pPr>
      <w:r w:rsidRPr="00DD72F9">
        <w:t xml:space="preserve">Shared Accountability and Transparent Data Practices </w:t>
      </w:r>
      <w:r>
        <w:t>–</w:t>
      </w:r>
      <w:r w:rsidRPr="00DD72F9">
        <w:t xml:space="preserve"> Co-designed data-sharing processes promote transparency, joint accountability, and trust between communities and government. </w:t>
      </w:r>
    </w:p>
    <w:p w14:paraId="56714C2F" w14:textId="321D8796" w:rsidR="00DD72F9" w:rsidRPr="00DD72F9" w:rsidRDefault="00DD72F9" w:rsidP="003343AE">
      <w:pPr>
        <w:pStyle w:val="ListParagraph"/>
      </w:pPr>
      <w:r w:rsidRPr="00DD72F9">
        <w:t xml:space="preserve">Respect for Data Sovereignty </w:t>
      </w:r>
      <w:r>
        <w:t>–</w:t>
      </w:r>
      <w:r w:rsidRPr="00DD72F9">
        <w:t xml:space="preserve"> Upholding data sovereignty ensures Aboriginal communities retain control over how information about them is collected, used, and shared.</w:t>
      </w:r>
    </w:p>
    <w:p w14:paraId="04845B0F" w14:textId="7D4A7F5A" w:rsidR="00DD72F9" w:rsidRPr="00DD72F9" w:rsidRDefault="00DD72F9" w:rsidP="003343AE">
      <w:pPr>
        <w:pStyle w:val="ListParagraph"/>
      </w:pPr>
      <w:r w:rsidRPr="00DD72F9">
        <w:t xml:space="preserve">Flexibility and Responsiveness </w:t>
      </w:r>
      <w:r>
        <w:t>–</w:t>
      </w:r>
      <w:r w:rsidRPr="00DD72F9">
        <w:t xml:space="preserve"> Flexible approaches enable government and services to respond to evolving community needs and priorities.</w:t>
      </w:r>
    </w:p>
    <w:p w14:paraId="17F108C7" w14:textId="77777777" w:rsidR="00A25030" w:rsidRDefault="00A25030">
      <w:pPr>
        <w:keepLines w:val="0"/>
        <w:widowControl/>
        <w:spacing w:before="0" w:after="0"/>
      </w:pPr>
      <w:r>
        <w:br w:type="page"/>
      </w:r>
    </w:p>
    <w:p w14:paraId="03F55B08" w14:textId="27D0FFC6" w:rsidR="00DD72F9" w:rsidRDefault="00DD72F9" w:rsidP="00DD72F9">
      <w:r>
        <w:lastRenderedPageBreak/>
        <w:t>The opportunities for improvement that are highlighted across the three case studies are:</w:t>
      </w:r>
    </w:p>
    <w:p w14:paraId="2BE31F18" w14:textId="21843E18" w:rsidR="00DD72F9" w:rsidRPr="00DD72F9" w:rsidRDefault="00DD72F9" w:rsidP="003343AE">
      <w:pPr>
        <w:pStyle w:val="ListParagraph"/>
        <w:rPr>
          <w:color w:val="009193"/>
        </w:rPr>
      </w:pPr>
      <w:r w:rsidRPr="0033525B">
        <w:rPr>
          <w:rStyle w:val="Strong"/>
          <w:b w:val="0"/>
        </w:rPr>
        <w:t>Doing things differently</w:t>
      </w:r>
      <w:r>
        <w:rPr>
          <w:rStyle w:val="Strong"/>
          <w:b w:val="0"/>
        </w:rPr>
        <w:t xml:space="preserve"> – </w:t>
      </w:r>
      <w:r w:rsidRPr="00CC7409">
        <w:t xml:space="preserve">These opportunities for improvement reflect a broader call to </w:t>
      </w:r>
      <w:r>
        <w:t>“</w:t>
      </w:r>
      <w:r w:rsidRPr="00DD72F9">
        <w:rPr>
          <w:rStyle w:val="Emphasis"/>
          <w:rFonts w:eastAsiaTheme="majorEastAsia"/>
        </w:rPr>
        <w:t>do things differently”</w:t>
      </w:r>
      <w:r w:rsidRPr="00CC7409">
        <w:t xml:space="preserve"> </w:t>
      </w:r>
      <w:r>
        <w:t xml:space="preserve">to </w:t>
      </w:r>
      <w:r w:rsidRPr="00CC7409">
        <w:t xml:space="preserve">embed ways of working that are genuinely community-led, place-based, and culturally grounded. </w:t>
      </w:r>
      <w:r>
        <w:t xml:space="preserve">This </w:t>
      </w:r>
      <w:r w:rsidRPr="00CC7409">
        <w:t>involves building long-term trust, and designing systems that are flexible, transparent, and accountable to communities. By embracing these shifts, government and partners can foster more respectful, responsive, and sustainable outcomes that align with what communities know works best for them.</w:t>
      </w:r>
    </w:p>
    <w:p w14:paraId="2304DA3B" w14:textId="30332588" w:rsidR="00DD72F9" w:rsidRPr="00DD72F9" w:rsidRDefault="00DD72F9" w:rsidP="003343AE">
      <w:pPr>
        <w:pStyle w:val="ListParagraph"/>
        <w:rPr>
          <w:bCs/>
        </w:rPr>
      </w:pPr>
      <w:r w:rsidRPr="0033525B">
        <w:rPr>
          <w:rStyle w:val="Strong"/>
          <w:b w:val="0"/>
        </w:rPr>
        <w:t>Coordination and governance across governments and community</w:t>
      </w:r>
      <w:r>
        <w:rPr>
          <w:rStyle w:val="Strong"/>
          <w:b w:val="0"/>
        </w:rPr>
        <w:t xml:space="preserve"> – </w:t>
      </w:r>
      <w:r>
        <w:t xml:space="preserve">The </w:t>
      </w:r>
      <w:r w:rsidRPr="00CC7409">
        <w:t>case studies highlight that coordination between different levels of government and community organisations could be improved through more consistent and structured engagement practices. Community governance arrangements are often complex, and to support effective engagement and reduce delays in project delivery, more staged and collaborative planning processes are needed.</w:t>
      </w:r>
      <w:r>
        <w:t xml:space="preserve"> This includes involving services, organisations or local councils who will be delivering projects to be involved in all stages of planning. </w:t>
      </w:r>
    </w:p>
    <w:p w14:paraId="5A71DFD5" w14:textId="3F268876" w:rsidR="00DD72F9" w:rsidRPr="0095299F" w:rsidRDefault="00DD72F9" w:rsidP="003343AE">
      <w:pPr>
        <w:pStyle w:val="ListParagraph"/>
      </w:pPr>
      <w:r w:rsidRPr="0033525B">
        <w:rPr>
          <w:rStyle w:val="Strong"/>
          <w:b w:val="0"/>
        </w:rPr>
        <w:t xml:space="preserve">Stronger </w:t>
      </w:r>
      <w:r>
        <w:t>p</w:t>
      </w:r>
      <w:r w:rsidRPr="004A3CD3">
        <w:t xml:space="preserve">lanning to </w:t>
      </w:r>
      <w:r>
        <w:t>r</w:t>
      </w:r>
      <w:r w:rsidRPr="004A3CD3">
        <w:t xml:space="preserve">eflect </w:t>
      </w:r>
      <w:r>
        <w:t>c</w:t>
      </w:r>
      <w:r w:rsidRPr="004A3CD3">
        <w:t xml:space="preserve">ommunity </w:t>
      </w:r>
      <w:r>
        <w:t>p</w:t>
      </w:r>
      <w:r w:rsidRPr="004A3CD3">
        <w:t>riorities</w:t>
      </w:r>
      <w:r>
        <w:t xml:space="preserve"> – </w:t>
      </w:r>
      <w:r w:rsidRPr="00DD72F9">
        <w:rPr>
          <w:rStyle w:val="Strong"/>
          <w:rFonts w:eastAsiaTheme="majorEastAsia"/>
          <w:b w:val="0"/>
        </w:rPr>
        <w:t>There is an opportunity to build on community strengths by deepening their involvement in feasibility and strategic planning processes.</w:t>
      </w:r>
      <w:r w:rsidRPr="00CC7409">
        <w:t xml:space="preserve"> </w:t>
      </w:r>
      <w:r>
        <w:t xml:space="preserve">Opportunities exist to </w:t>
      </w:r>
      <w:r w:rsidRPr="00CC7409">
        <w:t>guide planning</w:t>
      </w:r>
      <w:r>
        <w:t xml:space="preserve"> in conjunction with feasibility assessments,</w:t>
      </w:r>
      <w:r w:rsidRPr="00CC7409">
        <w:t xml:space="preserve"> </w:t>
      </w:r>
      <w:r>
        <w:t xml:space="preserve">to support </w:t>
      </w:r>
      <w:r w:rsidRPr="00CC7409">
        <w:t xml:space="preserve">long-term sustainability. </w:t>
      </w:r>
      <w:r>
        <w:t>F</w:t>
      </w:r>
      <w:r w:rsidRPr="00CC7409">
        <w:t>easibility studies and strategic assessments</w:t>
      </w:r>
      <w:r>
        <w:t xml:space="preserve"> could enhance </w:t>
      </w:r>
      <w:r w:rsidRPr="00CC7409">
        <w:t>more effective</w:t>
      </w:r>
      <w:r>
        <w:t xml:space="preserve"> projects. Community, including services and organisations who will be delivering projects should be included in these planning phases. </w:t>
      </w:r>
    </w:p>
    <w:p w14:paraId="2819A222" w14:textId="5B53EDC9" w:rsidR="000F115B" w:rsidRPr="000F115B" w:rsidRDefault="000F115B" w:rsidP="000F115B">
      <w:pPr>
        <w:pStyle w:val="Heading2"/>
      </w:pPr>
      <w:r w:rsidRPr="000F115B">
        <w:t>Case Study 1</w:t>
      </w:r>
      <w:r w:rsidR="00DD72F9">
        <w:t xml:space="preserve">: </w:t>
      </w:r>
      <w:proofErr w:type="spellStart"/>
      <w:r w:rsidRPr="000F115B">
        <w:t>Oonchiumpa</w:t>
      </w:r>
      <w:proofErr w:type="spellEnd"/>
      <w:r w:rsidRPr="000F115B">
        <w:t xml:space="preserve"> Consultancy and Services – Alternative service delivery model </w:t>
      </w:r>
    </w:p>
    <w:p w14:paraId="5E0C0A54" w14:textId="77777777" w:rsidR="000F115B" w:rsidRPr="0098235E" w:rsidRDefault="000F115B" w:rsidP="000F115B">
      <w:pPr>
        <w:pStyle w:val="NormalWeb"/>
        <w:spacing w:before="120" w:beforeAutospacing="0" w:after="120" w:afterAutospacing="0"/>
      </w:pPr>
      <w:proofErr w:type="spellStart"/>
      <w:r>
        <w:t>Oonchiumpa</w:t>
      </w:r>
      <w:proofErr w:type="spellEnd"/>
      <w:r>
        <w:t xml:space="preserve"> is an alternative service delivery model. It is </w:t>
      </w:r>
      <w:proofErr w:type="gramStart"/>
      <w:r>
        <w:t>a grassroots</w:t>
      </w:r>
      <w:proofErr w:type="gramEnd"/>
      <w:r>
        <w:t xml:space="preserve">, Aboriginal-led initiative based in </w:t>
      </w:r>
      <w:proofErr w:type="spellStart"/>
      <w:r>
        <w:t>Mparntwe</w:t>
      </w:r>
      <w:proofErr w:type="spellEnd"/>
      <w:r>
        <w:t xml:space="preserve"> (Alice Springs), Central Australia. The primary focus is to support the most at-risk young people in the region facing significant challenges such as disconnection from family, community, culture, or education and who are </w:t>
      </w:r>
      <w:proofErr w:type="gramStart"/>
      <w:r>
        <w:t>coming into contact with</w:t>
      </w:r>
      <w:proofErr w:type="gramEnd"/>
      <w:r>
        <w:t xml:space="preserve"> the police and/or child protection systems. </w:t>
      </w:r>
    </w:p>
    <w:p w14:paraId="0EF52996" w14:textId="77777777" w:rsidR="000F115B" w:rsidRPr="0098235E" w:rsidRDefault="000F115B" w:rsidP="000F115B">
      <w:pPr>
        <w:pStyle w:val="Heading3"/>
        <w:rPr>
          <w:rFonts w:eastAsia="Helvetica" w:cs="Helvetica"/>
          <w:b w:val="0"/>
          <w:color w:val="009193"/>
          <w:sz w:val="20"/>
        </w:rPr>
      </w:pPr>
      <w:r w:rsidRPr="0098235E">
        <w:t>Implementation</w:t>
      </w:r>
    </w:p>
    <w:p w14:paraId="6E4916A3" w14:textId="77777777" w:rsidR="000F115B" w:rsidRPr="0098235E" w:rsidRDefault="000F115B" w:rsidP="000F115B">
      <w:pPr>
        <w:rPr>
          <w:rFonts w:eastAsia="Helvetica" w:cs="Helvetica"/>
        </w:rPr>
      </w:pPr>
      <w:r w:rsidRPr="3D34D46F">
        <w:rPr>
          <w:rFonts w:cs="Hadassah Friedlaender"/>
        </w:rPr>
        <w:t xml:space="preserve">The program was established in 2023 with funding from NIAA through the CAP. Funding from NIAA was secured after a sustained period of advocacy by the organisation’s directors to several government agencies and ministers, which had long recognised the urgent need for </w:t>
      </w:r>
      <w:proofErr w:type="gramStart"/>
      <w:r w:rsidRPr="3D34D46F">
        <w:rPr>
          <w:rFonts w:cs="Hadassah Friedlaender"/>
        </w:rPr>
        <w:t>culturally-led</w:t>
      </w:r>
      <w:proofErr w:type="gramEnd"/>
      <w:r w:rsidRPr="3D34D46F">
        <w:rPr>
          <w:rFonts w:cs="Hadassah Friedlaender"/>
        </w:rPr>
        <w:t>, community-driven support for young people in Central Australia.</w:t>
      </w:r>
    </w:p>
    <w:p w14:paraId="04F65F6F" w14:textId="77777777" w:rsidR="000F115B" w:rsidRDefault="000F115B" w:rsidP="000F115B">
      <w:pPr>
        <w:pStyle w:val="NormalWeb"/>
        <w:spacing w:before="120" w:beforeAutospacing="0" w:after="120" w:afterAutospacing="0"/>
        <w:rPr>
          <w:rFonts w:cs="Hadassah Friedlaender"/>
        </w:rPr>
      </w:pPr>
      <w:r w:rsidRPr="0098235E">
        <w:rPr>
          <w:rFonts w:cs="Hadassah Friedlaender"/>
        </w:rPr>
        <w:t>The funding enabled the formal launch of the project, building on years of grassroots work, cultural authority, and trusted community relationships. Since its establishment, the program has been steadily growing, laying strong foundations, engaging with community, and developing place-based, culturally safe responses tailored to the needs of at-risk Aboriginal young people. The program continues to be shaped by Aboriginal leadership, community voices, and the lived realities of the young people it supports.</w:t>
      </w:r>
    </w:p>
    <w:p w14:paraId="7AB7CE4F" w14:textId="77777777" w:rsidR="000F115B" w:rsidRPr="00753CE0" w:rsidRDefault="000F115B" w:rsidP="000F115B">
      <w:pPr>
        <w:pStyle w:val="NormalWeb"/>
        <w:spacing w:before="120" w:beforeAutospacing="0" w:after="120" w:afterAutospacing="0"/>
        <w:rPr>
          <w:rFonts w:cs="Hadassah Friedlaender"/>
        </w:rPr>
      </w:pPr>
      <w:r w:rsidRPr="00CC7409">
        <w:rPr>
          <w:rFonts w:cs="Hadassah Friedlaender"/>
        </w:rPr>
        <w:t xml:space="preserve">To date the program has: </w:t>
      </w:r>
    </w:p>
    <w:p w14:paraId="7872943F" w14:textId="4E50726A" w:rsidR="000F115B" w:rsidRPr="008333AF" w:rsidRDefault="000F115B" w:rsidP="000F115B">
      <w:pPr>
        <w:pStyle w:val="NormalWeb"/>
        <w:keepLines w:val="0"/>
        <w:widowControl/>
        <w:numPr>
          <w:ilvl w:val="0"/>
          <w:numId w:val="12"/>
        </w:numPr>
        <w:spacing w:before="120" w:beforeAutospacing="0" w:after="120" w:afterAutospacing="0"/>
        <w:ind w:left="714" w:hanging="357"/>
        <w:contextualSpacing/>
        <w:rPr>
          <w:rFonts w:cs="Hadassah Friedlaender"/>
        </w:rPr>
      </w:pPr>
      <w:r w:rsidRPr="008333AF">
        <w:rPr>
          <w:rFonts w:cs="Hadassah Friedlaender"/>
        </w:rPr>
        <w:t>Maintained 100</w:t>
      </w:r>
      <w:r>
        <w:rPr>
          <w:rFonts w:cs="Hadassah Friedlaender"/>
        </w:rPr>
        <w:t>%</w:t>
      </w:r>
      <w:r w:rsidRPr="008333AF">
        <w:rPr>
          <w:rFonts w:cs="Hadassah Friedlaender"/>
        </w:rPr>
        <w:t xml:space="preserve"> employment of local Aboriginal people with around 10 staff working across the program. </w:t>
      </w:r>
    </w:p>
    <w:p w14:paraId="5EAE3623" w14:textId="77777777" w:rsidR="000F115B" w:rsidRPr="008333AF" w:rsidRDefault="000F115B" w:rsidP="000F115B">
      <w:pPr>
        <w:pStyle w:val="NormalWeb"/>
        <w:keepLines w:val="0"/>
        <w:widowControl/>
        <w:numPr>
          <w:ilvl w:val="0"/>
          <w:numId w:val="12"/>
        </w:numPr>
        <w:spacing w:before="120" w:beforeAutospacing="0" w:after="120" w:afterAutospacing="0"/>
        <w:ind w:left="714" w:hanging="357"/>
        <w:contextualSpacing/>
        <w:rPr>
          <w:rFonts w:cs="Hadassah Friedlaender"/>
        </w:rPr>
      </w:pPr>
      <w:r w:rsidRPr="3D34D46F">
        <w:rPr>
          <w:rFonts w:cs="Hadassah Friedlaender"/>
        </w:rPr>
        <w:t>Supported a consistent case load of between 18 and 24 at-risk young people.</w:t>
      </w:r>
    </w:p>
    <w:p w14:paraId="5C5FC34A" w14:textId="77777777" w:rsidR="000F115B" w:rsidRPr="008333AF" w:rsidRDefault="000F115B" w:rsidP="000F115B">
      <w:pPr>
        <w:pStyle w:val="NormalWeb"/>
        <w:keepLines w:val="0"/>
        <w:widowControl/>
        <w:numPr>
          <w:ilvl w:val="0"/>
          <w:numId w:val="12"/>
        </w:numPr>
        <w:spacing w:before="120" w:beforeAutospacing="0" w:after="120" w:afterAutospacing="0"/>
        <w:ind w:left="714" w:hanging="357"/>
        <w:contextualSpacing/>
        <w:rPr>
          <w:rFonts w:cs="Hadassah Friedlaender"/>
        </w:rPr>
      </w:pPr>
      <w:r w:rsidRPr="1A31B231">
        <w:rPr>
          <w:rFonts w:cs="Hadassah Friedlaender"/>
        </w:rPr>
        <w:t xml:space="preserve">Enabled significant referrals to other programs. In the July-December 2024 period, 32 referrals for female participants and 39 for male participants were recorded. </w:t>
      </w:r>
    </w:p>
    <w:p w14:paraId="60D3E145" w14:textId="77777777" w:rsidR="000F115B" w:rsidRPr="0098235E" w:rsidRDefault="000F115B" w:rsidP="000F115B">
      <w:pPr>
        <w:pStyle w:val="Heading3"/>
        <w:rPr>
          <w:rFonts w:eastAsia="Helvetica" w:cs="Helvetica"/>
          <w:b w:val="0"/>
          <w:color w:val="009193"/>
          <w:sz w:val="20"/>
        </w:rPr>
      </w:pPr>
      <w:r w:rsidRPr="0098235E">
        <w:t>What results are being achieved by the project</w:t>
      </w:r>
    </w:p>
    <w:p w14:paraId="3B7609C8" w14:textId="77777777" w:rsidR="000F115B" w:rsidRPr="008333AF" w:rsidRDefault="000F115B" w:rsidP="000F115B">
      <w:pPr>
        <w:pStyle w:val="NormalWeb"/>
        <w:spacing w:before="120" w:beforeAutospacing="0" w:after="120" w:afterAutospacing="0"/>
        <w:rPr>
          <w:rFonts w:cs="Hadassah Friedlaender"/>
        </w:rPr>
      </w:pPr>
      <w:proofErr w:type="spellStart"/>
      <w:r>
        <w:t>Oonchiumpa</w:t>
      </w:r>
      <w:proofErr w:type="spellEnd"/>
      <w:r w:rsidRPr="009C55FE">
        <w:rPr>
          <w:rFonts w:cs="Hadassah Friedlaender"/>
        </w:rPr>
        <w:t xml:space="preserve"> </w:t>
      </w:r>
      <w:r>
        <w:rPr>
          <w:rFonts w:cs="Hadassah Friedlaender"/>
        </w:rPr>
        <w:t xml:space="preserve">has commissioned </w:t>
      </w:r>
      <w:r w:rsidRPr="008333AF">
        <w:rPr>
          <w:rFonts w:cs="Hadassah Friedlaender"/>
        </w:rPr>
        <w:t xml:space="preserve">one external </w:t>
      </w:r>
      <w:r>
        <w:rPr>
          <w:rFonts w:cs="Hadassah Friedlaender"/>
        </w:rPr>
        <w:t xml:space="preserve">and </w:t>
      </w:r>
      <w:r w:rsidRPr="008333AF">
        <w:rPr>
          <w:rFonts w:cs="Hadassah Friedlaender"/>
        </w:rPr>
        <w:t>one internal</w:t>
      </w:r>
      <w:r>
        <w:rPr>
          <w:rFonts w:cs="Hadassah Friedlaender"/>
        </w:rPr>
        <w:t xml:space="preserve"> evaluation.</w:t>
      </w:r>
      <w:r w:rsidRPr="008333AF">
        <w:rPr>
          <w:rFonts w:cs="Hadassah Friedlaender"/>
        </w:rPr>
        <w:t xml:space="preserve"> </w:t>
      </w:r>
      <w:r>
        <w:rPr>
          <w:rFonts w:cs="Hadassah Friedlaender"/>
        </w:rPr>
        <w:t>Both evaluations have</w:t>
      </w:r>
      <w:r w:rsidRPr="008333AF">
        <w:rPr>
          <w:rFonts w:cs="Hadassah Friedlaender"/>
        </w:rPr>
        <w:t xml:space="preserve"> </w:t>
      </w:r>
      <w:r>
        <w:rPr>
          <w:rFonts w:cs="Hadassah Friedlaender"/>
        </w:rPr>
        <w:t xml:space="preserve">indicated </w:t>
      </w:r>
      <w:r w:rsidRPr="008333AF">
        <w:rPr>
          <w:rFonts w:cs="Hadassah Friedlaender"/>
        </w:rPr>
        <w:t>early succes</w:t>
      </w:r>
      <w:r>
        <w:rPr>
          <w:rFonts w:cs="Hadassah Friedlaender"/>
        </w:rPr>
        <w:t>s</w:t>
      </w:r>
      <w:r w:rsidRPr="008333AF">
        <w:rPr>
          <w:rFonts w:cs="Hadassah Friedlaender"/>
        </w:rPr>
        <w:t xml:space="preserve"> of the </w:t>
      </w:r>
      <w:r>
        <w:rPr>
          <w:rFonts w:cs="Hadassah Friedlaender"/>
        </w:rPr>
        <w:t>initiative</w:t>
      </w:r>
      <w:r w:rsidRPr="008333AF">
        <w:rPr>
          <w:rFonts w:cs="Hadassah Friedlaender"/>
        </w:rPr>
        <w:t xml:space="preserve">. The </w:t>
      </w:r>
      <w:r>
        <w:rPr>
          <w:rFonts w:cs="Hadassah Friedlaender"/>
        </w:rPr>
        <w:t xml:space="preserve">2024 internal </w:t>
      </w:r>
      <w:r w:rsidRPr="008333AF">
        <w:rPr>
          <w:rFonts w:cs="Hadassah Friedlaender"/>
        </w:rPr>
        <w:t>evaluation reported a range of positive behavioural and engagement outcomes among program participants, particularly those with high and complex needs. Key observed outcomes included:</w:t>
      </w:r>
    </w:p>
    <w:p w14:paraId="3A61FED8" w14:textId="77777777" w:rsidR="000F115B" w:rsidRDefault="000F115B" w:rsidP="000F115B">
      <w:pPr>
        <w:pStyle w:val="NormalWeb"/>
        <w:keepLines w:val="0"/>
        <w:widowControl/>
        <w:spacing w:before="120" w:beforeAutospacing="0" w:after="120" w:afterAutospacing="0"/>
      </w:pPr>
      <w:r w:rsidRPr="00F50D6C">
        <w:rPr>
          <w:rStyle w:val="Heading4Char"/>
        </w:rPr>
        <w:t>Reduction in justice system involvement:</w:t>
      </w:r>
      <w:r w:rsidRPr="0098235E">
        <w:br/>
      </w:r>
      <w:r w:rsidRPr="008333AF">
        <w:rPr>
          <w:rFonts w:cs="Hadassah Friedlaender"/>
        </w:rPr>
        <w:t xml:space="preserve">Several young people who were previously engaged in regular offending </w:t>
      </w:r>
      <w:r>
        <w:rPr>
          <w:rFonts w:cs="Hadassah Friedlaender"/>
        </w:rPr>
        <w:t>(</w:t>
      </w:r>
      <w:r w:rsidRPr="008333AF">
        <w:rPr>
          <w:rFonts w:cs="Hadassah Friedlaender"/>
        </w:rPr>
        <w:t>including repeated vehicle theft</w:t>
      </w:r>
      <w:r>
        <w:rPr>
          <w:rFonts w:cs="Hadassah Friedlaender"/>
        </w:rPr>
        <w:t xml:space="preserve">) </w:t>
      </w:r>
      <w:r w:rsidRPr="008333AF">
        <w:rPr>
          <w:rFonts w:cs="Hadassah Friedlaender"/>
        </w:rPr>
        <w:t>had no further contact with the justice system since engaging with the program.</w:t>
      </w:r>
    </w:p>
    <w:p w14:paraId="0DF1F1C7" w14:textId="77777777" w:rsidR="0047541F" w:rsidRDefault="0047541F">
      <w:pPr>
        <w:keepLines w:val="0"/>
        <w:widowControl/>
        <w:spacing w:before="0" w:after="0"/>
        <w:rPr>
          <w:rStyle w:val="Strong"/>
          <w:b w:val="0"/>
          <w:bCs w:val="0"/>
          <w:i/>
          <w:color w:val="008080"/>
        </w:rPr>
      </w:pPr>
      <w:r>
        <w:rPr>
          <w:rStyle w:val="Strong"/>
          <w:b w:val="0"/>
          <w:bCs w:val="0"/>
        </w:rPr>
        <w:br w:type="page"/>
      </w:r>
    </w:p>
    <w:p w14:paraId="5C7A7F5B" w14:textId="071D6680" w:rsidR="000F115B" w:rsidRPr="00F50D6C" w:rsidRDefault="000F115B" w:rsidP="00F50D6C">
      <w:pPr>
        <w:pStyle w:val="Heading4"/>
        <w:rPr>
          <w:rStyle w:val="Strong"/>
          <w:b w:val="0"/>
          <w:bCs w:val="0"/>
        </w:rPr>
      </w:pPr>
      <w:r w:rsidRPr="00F50D6C">
        <w:rPr>
          <w:rStyle w:val="Strong"/>
          <w:b w:val="0"/>
          <w:bCs w:val="0"/>
        </w:rPr>
        <w:lastRenderedPageBreak/>
        <w:t xml:space="preserve">Personal growth and leadership: </w:t>
      </w:r>
    </w:p>
    <w:p w14:paraId="6274AC8F" w14:textId="77777777" w:rsidR="000F115B" w:rsidRPr="008333AF" w:rsidRDefault="000F115B" w:rsidP="000F115B">
      <w:pPr>
        <w:pStyle w:val="paragraph"/>
        <w:spacing w:before="0" w:beforeAutospacing="0" w:after="0" w:afterAutospacing="0"/>
        <w:textAlignment w:val="baseline"/>
        <w:rPr>
          <w:rFonts w:ascii="Calibri" w:hAnsi="Calibri" w:cs="Calibri"/>
        </w:rPr>
      </w:pPr>
      <w:proofErr w:type="spellStart"/>
      <w:r w:rsidRPr="008333AF">
        <w:rPr>
          <w:rFonts w:eastAsia="Times New Roman" w:cs="Times New Roman"/>
          <w:lang w:eastAsia="en-GB"/>
        </w:rPr>
        <w:t>Oonchiumpa</w:t>
      </w:r>
      <w:proofErr w:type="spellEnd"/>
      <w:r w:rsidRPr="008333AF">
        <w:rPr>
          <w:rFonts w:eastAsia="Times New Roman" w:cs="Times New Roman"/>
          <w:lang w:eastAsia="en-GB"/>
        </w:rPr>
        <w:t xml:space="preserve"> supported two young people to receive youth allowance promoting independence and boosting confidence.  </w:t>
      </w:r>
    </w:p>
    <w:p w14:paraId="310CD65F" w14:textId="77777777" w:rsidR="000F115B" w:rsidRPr="00F50D6C" w:rsidRDefault="000F115B" w:rsidP="00F50D6C">
      <w:pPr>
        <w:pStyle w:val="Heading4"/>
      </w:pPr>
      <w:r w:rsidRPr="00F50D6C">
        <w:rPr>
          <w:rStyle w:val="Strong"/>
          <w:b w:val="0"/>
          <w:bCs w:val="0"/>
        </w:rPr>
        <w:t>High retention rates:</w:t>
      </w:r>
      <w:r w:rsidRPr="00F50D6C">
        <w:t xml:space="preserve"> </w:t>
      </w:r>
    </w:p>
    <w:p w14:paraId="5488CDFB" w14:textId="78A1099A" w:rsidR="000F115B" w:rsidRPr="0056029E" w:rsidRDefault="000F115B" w:rsidP="000F115B">
      <w:pPr>
        <w:pStyle w:val="paragraph"/>
        <w:spacing w:before="0" w:beforeAutospacing="0" w:after="0" w:afterAutospacing="0"/>
        <w:textAlignment w:val="baseline"/>
        <w:rPr>
          <w:rFonts w:cs="Calibri"/>
          <w:b/>
          <w:bCs/>
        </w:rPr>
      </w:pPr>
      <w:r w:rsidRPr="008333AF">
        <w:rPr>
          <w:rFonts w:cs="Calibri"/>
        </w:rPr>
        <w:t>Strong retention rates with 90</w:t>
      </w:r>
      <w:r>
        <w:rPr>
          <w:rFonts w:cs="Calibri"/>
        </w:rPr>
        <w:t>%</w:t>
      </w:r>
      <w:r w:rsidRPr="008333AF">
        <w:rPr>
          <w:rFonts w:cs="Calibri"/>
        </w:rPr>
        <w:t xml:space="preserve"> of participants consistently engaging with the program. </w:t>
      </w:r>
      <w:r w:rsidRPr="0056029E">
        <w:rPr>
          <w:rStyle w:val="Strong"/>
          <w:rFonts w:eastAsiaTheme="majorEastAsia"/>
          <w:b w:val="0"/>
          <w:bCs w:val="0"/>
        </w:rPr>
        <w:t>Key factors supporting strong retention included:</w:t>
      </w:r>
    </w:p>
    <w:p w14:paraId="1F52FD5D" w14:textId="77777777" w:rsidR="000F115B" w:rsidRPr="0056029E" w:rsidRDefault="000F115B" w:rsidP="004C6984">
      <w:pPr>
        <w:pStyle w:val="NormalWeb"/>
        <w:keepLines w:val="0"/>
        <w:widowControl/>
        <w:numPr>
          <w:ilvl w:val="0"/>
          <w:numId w:val="15"/>
        </w:numPr>
        <w:spacing w:before="120" w:beforeAutospacing="0" w:after="120" w:afterAutospacing="0"/>
        <w:ind w:left="1077" w:hanging="357"/>
        <w:contextualSpacing/>
      </w:pPr>
      <w:r w:rsidRPr="00E4419E">
        <w:rPr>
          <w:rStyle w:val="Strong"/>
          <w:rFonts w:eastAsiaTheme="majorEastAsia"/>
        </w:rPr>
        <w:t>Cultural Connection:</w:t>
      </w:r>
      <w:r w:rsidRPr="0056029E">
        <w:t xml:space="preserve"> incorporating Aboriginal cultural practices like camps, art, and connection to Country helped participants feel respected and engaged.</w:t>
      </w:r>
    </w:p>
    <w:p w14:paraId="4DCE90D5" w14:textId="77777777" w:rsidR="000F115B" w:rsidRPr="0056029E" w:rsidRDefault="000F115B" w:rsidP="004C6984">
      <w:pPr>
        <w:pStyle w:val="NormalWeb"/>
        <w:keepLines w:val="0"/>
        <w:widowControl/>
        <w:numPr>
          <w:ilvl w:val="0"/>
          <w:numId w:val="15"/>
        </w:numPr>
        <w:spacing w:before="120" w:beforeAutospacing="0" w:after="120" w:afterAutospacing="0"/>
        <w:ind w:left="1077" w:hanging="357"/>
        <w:contextualSpacing/>
      </w:pPr>
      <w:r w:rsidRPr="00E4419E">
        <w:rPr>
          <w:rStyle w:val="Strong"/>
          <w:rFonts w:eastAsiaTheme="majorEastAsia"/>
        </w:rPr>
        <w:t>Trusted Relationships:</w:t>
      </w:r>
      <w:r w:rsidRPr="0056029E">
        <w:t xml:space="preserve"> consistent guidance and mentorship from Aboriginal staff fostered trust and a sense of security.</w:t>
      </w:r>
    </w:p>
    <w:p w14:paraId="08971020" w14:textId="77777777" w:rsidR="000F115B" w:rsidRPr="00F83B4E" w:rsidRDefault="000F115B" w:rsidP="004C6984">
      <w:pPr>
        <w:pStyle w:val="NormalWeb"/>
        <w:keepLines w:val="0"/>
        <w:widowControl/>
        <w:numPr>
          <w:ilvl w:val="0"/>
          <w:numId w:val="15"/>
        </w:numPr>
        <w:spacing w:before="120" w:beforeAutospacing="0" w:after="120" w:afterAutospacing="0"/>
        <w:ind w:left="1077" w:hanging="357"/>
        <w:contextualSpacing/>
      </w:pPr>
      <w:r w:rsidRPr="00E4419E">
        <w:rPr>
          <w:rStyle w:val="Strong"/>
          <w:rFonts w:eastAsiaTheme="majorEastAsia"/>
        </w:rPr>
        <w:t>Comprehensive Support:</w:t>
      </w:r>
      <w:r w:rsidRPr="0056029E">
        <w:t xml:space="preserve"> practical assistance such as transport, meals, and mental</w:t>
      </w:r>
      <w:r w:rsidRPr="008333AF">
        <w:t xml:space="preserve"> health services helped remove barriers to ongoing participation.</w:t>
      </w:r>
    </w:p>
    <w:p w14:paraId="26525FD0" w14:textId="77777777" w:rsidR="000F115B" w:rsidRPr="00F50D6C" w:rsidRDefault="000F115B" w:rsidP="00F50D6C">
      <w:pPr>
        <w:pStyle w:val="Heading4"/>
      </w:pPr>
      <w:r w:rsidRPr="00F50D6C">
        <w:t xml:space="preserve">Improved school attendance and employment: </w:t>
      </w:r>
    </w:p>
    <w:p w14:paraId="41326D47" w14:textId="353CD45B" w:rsidR="000F115B" w:rsidRPr="00796A0D" w:rsidRDefault="000F115B" w:rsidP="000F115B">
      <w:pPr>
        <w:pStyle w:val="NormalWeb"/>
        <w:keepLines w:val="0"/>
        <w:widowControl/>
        <w:numPr>
          <w:ilvl w:val="0"/>
          <w:numId w:val="13"/>
        </w:numPr>
        <w:spacing w:before="120" w:beforeAutospacing="0" w:after="120" w:afterAutospacing="0"/>
        <w:ind w:left="714" w:hanging="357"/>
        <w:contextualSpacing/>
      </w:pPr>
      <w:r w:rsidRPr="00796A0D">
        <w:t>At the outset of the project, 95</w:t>
      </w:r>
      <w:r>
        <w:t>%</w:t>
      </w:r>
      <w:r w:rsidRPr="00796A0D">
        <w:t xml:space="preserve"> of participants were no longer engaged in school. Since becoming involved with </w:t>
      </w:r>
      <w:proofErr w:type="spellStart"/>
      <w:r>
        <w:t>Oonchiumpa</w:t>
      </w:r>
      <w:proofErr w:type="spellEnd"/>
      <w:r w:rsidRPr="00796A0D">
        <w:t>, 72</w:t>
      </w:r>
      <w:r>
        <w:t>%</w:t>
      </w:r>
      <w:r w:rsidRPr="00796A0D">
        <w:t xml:space="preserve"> have re-engaged through school or alternative education options.</w:t>
      </w:r>
    </w:p>
    <w:p w14:paraId="469717E8" w14:textId="77777777" w:rsidR="000F115B" w:rsidRPr="00796A0D" w:rsidRDefault="000F115B" w:rsidP="000F115B">
      <w:pPr>
        <w:pStyle w:val="NormalWeb"/>
        <w:keepLines w:val="0"/>
        <w:widowControl/>
        <w:numPr>
          <w:ilvl w:val="0"/>
          <w:numId w:val="13"/>
        </w:numPr>
        <w:spacing w:before="120" w:beforeAutospacing="0" w:after="120" w:afterAutospacing="0"/>
        <w:ind w:left="714" w:hanging="357"/>
        <w:contextualSpacing/>
      </w:pPr>
      <w:r w:rsidRPr="00796A0D">
        <w:t>Teachers have reported noticeable improvements in students’ motivation and engagement because of participating in the program.</w:t>
      </w:r>
    </w:p>
    <w:p w14:paraId="2D7CF454" w14:textId="77777777" w:rsidR="000F115B" w:rsidRPr="00796A0D" w:rsidRDefault="000F115B" w:rsidP="000F115B">
      <w:pPr>
        <w:pStyle w:val="NormalWeb"/>
        <w:keepLines w:val="0"/>
        <w:widowControl/>
        <w:numPr>
          <w:ilvl w:val="0"/>
          <w:numId w:val="13"/>
        </w:numPr>
        <w:spacing w:before="120" w:beforeAutospacing="0" w:after="120" w:afterAutospacing="0"/>
        <w:ind w:left="714" w:hanging="357"/>
        <w:contextualSpacing/>
      </w:pPr>
      <w:r w:rsidRPr="00796A0D">
        <w:t>Three young people who had not previously shown interest in work or career pathways are now actively inquiring about employment and training opportunities.</w:t>
      </w:r>
    </w:p>
    <w:p w14:paraId="2DB5F436" w14:textId="77777777" w:rsidR="000F115B" w:rsidRPr="00796A0D" w:rsidRDefault="000F115B" w:rsidP="000F115B">
      <w:pPr>
        <w:pStyle w:val="NormalWeb"/>
        <w:keepLines w:val="0"/>
        <w:widowControl/>
        <w:numPr>
          <w:ilvl w:val="0"/>
          <w:numId w:val="13"/>
        </w:numPr>
        <w:spacing w:before="120" w:beforeAutospacing="0" w:after="120" w:afterAutospacing="0"/>
        <w:ind w:left="714" w:hanging="357"/>
        <w:contextualSpacing/>
      </w:pPr>
      <w:r w:rsidRPr="00796A0D">
        <w:t>One in three eligible participants is now applying for jobs.</w:t>
      </w:r>
    </w:p>
    <w:p w14:paraId="38669036" w14:textId="79AB8983" w:rsidR="000F115B" w:rsidRPr="00796A0D" w:rsidRDefault="000F115B" w:rsidP="000F115B">
      <w:pPr>
        <w:pStyle w:val="NormalWeb"/>
        <w:keepLines w:val="0"/>
        <w:widowControl/>
        <w:numPr>
          <w:ilvl w:val="0"/>
          <w:numId w:val="13"/>
        </w:numPr>
        <w:spacing w:before="120" w:beforeAutospacing="0" w:after="120" w:afterAutospacing="0"/>
        <w:ind w:left="714" w:hanging="357"/>
        <w:contextualSpacing/>
      </w:pPr>
      <w:r w:rsidRPr="00796A0D">
        <w:t>70</w:t>
      </w:r>
      <w:r>
        <w:t>%</w:t>
      </w:r>
      <w:r w:rsidRPr="00796A0D">
        <w:t xml:space="preserve"> of participants indicated they are interested in continuing their education, with many attributing their motivation to the support and encouragement provided by the program.</w:t>
      </w:r>
    </w:p>
    <w:p w14:paraId="34175748" w14:textId="77816DF2" w:rsidR="000F115B" w:rsidRPr="000F115B" w:rsidRDefault="000F115B" w:rsidP="000F115B">
      <w:pPr>
        <w:pStyle w:val="NormalWeb"/>
        <w:keepLines w:val="0"/>
        <w:widowControl/>
        <w:numPr>
          <w:ilvl w:val="0"/>
          <w:numId w:val="13"/>
        </w:numPr>
        <w:spacing w:before="120" w:beforeAutospacing="0" w:after="120" w:afterAutospacing="0"/>
        <w:ind w:left="714" w:hanging="357"/>
        <w:rPr>
          <w:rStyle w:val="Heading4Char"/>
          <w:i w:val="0"/>
          <w:color w:val="404040" w:themeColor="text1" w:themeTint="BF"/>
        </w:rPr>
      </w:pPr>
      <w:r w:rsidRPr="00796A0D">
        <w:t>40</w:t>
      </w:r>
      <w:r>
        <w:t>%</w:t>
      </w:r>
      <w:r w:rsidRPr="00796A0D">
        <w:t xml:space="preserve"> of participants expressed a goal of attending boarding school, and the program is actively assisting them in pursuing this pathway.</w:t>
      </w:r>
    </w:p>
    <w:p w14:paraId="7EC15263" w14:textId="2EE220F6" w:rsidR="000F115B" w:rsidRPr="0098235E" w:rsidRDefault="000F115B" w:rsidP="000F115B">
      <w:pPr>
        <w:pStyle w:val="NormalWeb"/>
        <w:keepLines w:val="0"/>
        <w:widowControl/>
        <w:spacing w:before="120" w:beforeAutospacing="0" w:after="120" w:afterAutospacing="0"/>
      </w:pPr>
      <w:r w:rsidRPr="00F50D6C">
        <w:rPr>
          <w:rStyle w:val="Heading4Char"/>
        </w:rPr>
        <w:t>Improved behaviour in public spaces:</w:t>
      </w:r>
      <w:r w:rsidRPr="0098235E">
        <w:br/>
        <w:t xml:space="preserve">Young people who were previously known for antisocial behaviour </w:t>
      </w:r>
      <w:r>
        <w:t xml:space="preserve">were </w:t>
      </w:r>
      <w:r w:rsidRPr="0098235E">
        <w:t>rarely seen engaging in inappropriate activities when sighted in the community at night.</w:t>
      </w:r>
    </w:p>
    <w:p w14:paraId="5982A0B1" w14:textId="77777777" w:rsidR="000F115B" w:rsidRPr="0098235E" w:rsidRDefault="000F115B" w:rsidP="000F115B">
      <w:pPr>
        <w:pStyle w:val="NormalWeb"/>
        <w:keepLines w:val="0"/>
        <w:widowControl/>
        <w:spacing w:before="120" w:beforeAutospacing="0" w:after="120" w:afterAutospacing="0"/>
      </w:pPr>
      <w:r w:rsidRPr="00F50D6C">
        <w:rPr>
          <w:rStyle w:val="Heading4Char"/>
        </w:rPr>
        <w:t>Successful engagement of high-risk individuals:</w:t>
      </w:r>
      <w:r w:rsidRPr="0098235E">
        <w:br/>
        <w:t>The program successfully engaged a young woman previously turned away by all other services. Through culturally safe and consistent support, she was connected to Centrelink, attended health and mental health appointments, and began receiving care that had previously been inaccessible despite years of attempted engagement by other providers.</w:t>
      </w:r>
    </w:p>
    <w:p w14:paraId="035B8264" w14:textId="77777777" w:rsidR="000F115B" w:rsidRPr="0098235E" w:rsidRDefault="000F115B" w:rsidP="000F115B">
      <w:pPr>
        <w:pStyle w:val="NormalWeb"/>
        <w:keepLines w:val="0"/>
        <w:widowControl/>
        <w:spacing w:before="120" w:beforeAutospacing="0" w:after="120" w:afterAutospacing="0"/>
      </w:pPr>
      <w:r w:rsidRPr="00F50D6C">
        <w:rPr>
          <w:rStyle w:val="Heading4Char"/>
        </w:rPr>
        <w:t>High levels of trust and relational engagement:</w:t>
      </w:r>
      <w:r w:rsidRPr="0098235E">
        <w:br/>
        <w:t>Participants regularly request</w:t>
      </w:r>
      <w:r>
        <w:t>ed</w:t>
      </w:r>
      <w:r w:rsidRPr="0098235E">
        <w:t xml:space="preserve"> support from </w:t>
      </w:r>
      <w:proofErr w:type="spellStart"/>
      <w:r>
        <w:t>Oonchiumpa</w:t>
      </w:r>
      <w:proofErr w:type="spellEnd"/>
      <w:r w:rsidRPr="0098235E">
        <w:t xml:space="preserve"> staff in contexts such as school interviews, counselling sessions, and health appointments even when linked with other services, demonstrating deep trust and connection.</w:t>
      </w:r>
    </w:p>
    <w:p w14:paraId="68A5F2DE" w14:textId="77777777" w:rsidR="000F115B" w:rsidRPr="0098235E" w:rsidRDefault="000F115B" w:rsidP="000F115B">
      <w:pPr>
        <w:pStyle w:val="NormalWeb"/>
        <w:keepLines w:val="0"/>
        <w:widowControl/>
        <w:spacing w:before="120" w:beforeAutospacing="0" w:after="120" w:afterAutospacing="0"/>
      </w:pPr>
      <w:r w:rsidRPr="00F50D6C">
        <w:rPr>
          <w:rStyle w:val="Heading4Char"/>
        </w:rPr>
        <w:t>Culturally grounded accountability and behavioural change:</w:t>
      </w:r>
      <w:r w:rsidRPr="0098235E">
        <w:br/>
        <w:t xml:space="preserve">The </w:t>
      </w:r>
      <w:r>
        <w:t>First Nations</w:t>
      </w:r>
      <w:r w:rsidRPr="0098235E">
        <w:t>-led model foster</w:t>
      </w:r>
      <w:r>
        <w:t>ed</w:t>
      </w:r>
      <w:r w:rsidRPr="0098235E">
        <w:t xml:space="preserve"> a sense of belonging and responsibility among young people. This connection </w:t>
      </w:r>
      <w:r>
        <w:t xml:space="preserve">was </w:t>
      </w:r>
      <w:r w:rsidRPr="0098235E">
        <w:t>contribut</w:t>
      </w:r>
      <w:r>
        <w:t>ing</w:t>
      </w:r>
      <w:r w:rsidRPr="0098235E">
        <w:t xml:space="preserve"> to increased self-awareness and more respectful behaviour, driven by a desire not to let the program or its staff down.</w:t>
      </w:r>
    </w:p>
    <w:p w14:paraId="416325DC" w14:textId="77777777" w:rsidR="000F115B" w:rsidRDefault="000F115B" w:rsidP="000F115B">
      <w:pPr>
        <w:pStyle w:val="NormalWeb"/>
        <w:keepLines w:val="0"/>
        <w:widowControl/>
        <w:spacing w:before="120" w:beforeAutospacing="0" w:after="120" w:afterAutospacing="0"/>
      </w:pPr>
      <w:r w:rsidRPr="00F50D6C">
        <w:rPr>
          <w:rStyle w:val="Heading4Char"/>
        </w:rPr>
        <w:t>Positive feedback from external stakeholders:</w:t>
      </w:r>
      <w:r w:rsidRPr="0098235E">
        <w:br/>
        <w:t>Other service providers have reported noticeable changes in the young people’s behaviour and engagement levels. The program’s impact has also been acknowledged in inter-agency forums and by broader community members, who are now reaching out to refer other at-risk youth.</w:t>
      </w:r>
    </w:p>
    <w:p w14:paraId="13B04264" w14:textId="77777777" w:rsidR="000F115B" w:rsidRPr="007571F3" w:rsidRDefault="000F115B" w:rsidP="000F115B">
      <w:pPr>
        <w:pStyle w:val="Heading3"/>
      </w:pPr>
      <w:r w:rsidRPr="007E4672">
        <w:t xml:space="preserve">What factors have enabled </w:t>
      </w:r>
      <w:r w:rsidRPr="007571F3">
        <w:t>or hindered success (outcomes)?</w:t>
      </w:r>
    </w:p>
    <w:p w14:paraId="6BEFA528" w14:textId="77777777" w:rsidR="000F115B" w:rsidRPr="00E52592" w:rsidRDefault="000F115B" w:rsidP="000F115B">
      <w:pPr>
        <w:pStyle w:val="Heading4"/>
        <w:rPr>
          <w:rFonts w:eastAsia="Helvetica" w:cs="Helvetica"/>
          <w:i w:val="0"/>
          <w:color w:val="009193"/>
        </w:rPr>
      </w:pPr>
      <w:r w:rsidRPr="00E52592">
        <w:t xml:space="preserve">Seeking out and listening to community voice </w:t>
      </w:r>
    </w:p>
    <w:p w14:paraId="639FDD86" w14:textId="1D271722" w:rsidR="000F115B" w:rsidRPr="00FD20CF" w:rsidRDefault="000F115B" w:rsidP="000F115B">
      <w:pPr>
        <w:pStyle w:val="paragraph"/>
        <w:keepLines w:val="0"/>
        <w:widowControl/>
        <w:autoSpaceDE/>
        <w:autoSpaceDN/>
        <w:adjustRightInd/>
        <w:spacing w:before="120" w:beforeAutospacing="0" w:after="120" w:afterAutospacing="0"/>
        <w:rPr>
          <w:rFonts w:cs="Segoe UI"/>
          <w:color w:val="000000" w:themeColor="text1"/>
        </w:rPr>
      </w:pPr>
      <w:r w:rsidRPr="0098235E">
        <w:t>A key factor i</w:t>
      </w:r>
      <w:r>
        <w:t>dentified in</w:t>
      </w:r>
      <w:r w:rsidRPr="0098235E">
        <w:t xml:space="preserve"> the program’s success is that it is 100</w:t>
      </w:r>
      <w:r>
        <w:t>%</w:t>
      </w:r>
      <w:r w:rsidRPr="0098235E">
        <w:t xml:space="preserve"> </w:t>
      </w:r>
      <w:r>
        <w:t>First Nations</w:t>
      </w:r>
      <w:r w:rsidRPr="0098235E">
        <w:t>-owned and led</w:t>
      </w:r>
      <w:r>
        <w:t xml:space="preserve"> by Arrernte staff.</w:t>
      </w:r>
      <w:r w:rsidRPr="0098235E">
        <w:t xml:space="preserve"> This</w:t>
      </w:r>
      <w:r>
        <w:t xml:space="preserve"> is</w:t>
      </w:r>
      <w:r w:rsidRPr="0098235E">
        <w:t xml:space="preserve"> </w:t>
      </w:r>
      <w:r>
        <w:t>supporting</w:t>
      </w:r>
      <w:r w:rsidRPr="0098235E">
        <w:t xml:space="preserve"> the work </w:t>
      </w:r>
      <w:r>
        <w:t>to be</w:t>
      </w:r>
      <w:r w:rsidRPr="0098235E">
        <w:t xml:space="preserve"> grounded in cultural knowledge, lived experience, and genuine community connection. The leadership team brings deep understanding of the local context, language, and kinship systems, allowing them to engage young people in ways that other services (mainstream services) </w:t>
      </w:r>
      <w:r w:rsidRPr="0098235E">
        <w:lastRenderedPageBreak/>
        <w:t>cannot. Their cultural authority and trusted relationships</w:t>
      </w:r>
      <w:r>
        <w:t xml:space="preserve"> have</w:t>
      </w:r>
      <w:r w:rsidRPr="0098235E">
        <w:t xml:space="preserve"> mean</w:t>
      </w:r>
      <w:r>
        <w:t>t that</w:t>
      </w:r>
      <w:r w:rsidRPr="0098235E">
        <w:t xml:space="preserve"> they can intervene early, respond with cultural integrity, and hold young people accountable in a way that is both firm and respectful. Because young people see themselves reflected in the program’s leaders, </w:t>
      </w:r>
      <w:r>
        <w:t xml:space="preserve">it was identified that </w:t>
      </w:r>
      <w:r w:rsidRPr="0098235E">
        <w:t xml:space="preserve">they feel safe, understood, and more willing to engage. </w:t>
      </w:r>
    </w:p>
    <w:p w14:paraId="07025066" w14:textId="6539592C" w:rsidR="000F115B" w:rsidRPr="0098235E" w:rsidRDefault="000F115B" w:rsidP="000F115B">
      <w:pPr>
        <w:pStyle w:val="paragraph"/>
        <w:keepLines w:val="0"/>
        <w:widowControl/>
        <w:autoSpaceDE/>
        <w:autoSpaceDN/>
        <w:adjustRightInd/>
        <w:spacing w:before="120" w:beforeAutospacing="0" w:after="120" w:afterAutospacing="0"/>
        <w:rPr>
          <w:rFonts w:cs="Segoe UI"/>
          <w:color w:val="000000" w:themeColor="text1"/>
        </w:rPr>
      </w:pPr>
      <w:r>
        <w:t xml:space="preserve">The strength and credibility of the organisation’s governance structure is another key factor identified in its success. The board is made up of members from two pioneering Aboriginal families who were foundational in establishing the Central Australian Aboriginal Legal Aid Service, demonstrating a long legacy of advocacy, justice, and leadership in the region. The inclusion of elders from diverse communities and language groups (e.g. </w:t>
      </w:r>
      <w:proofErr w:type="spellStart"/>
      <w:r>
        <w:t>Yuendumu</w:t>
      </w:r>
      <w:proofErr w:type="spellEnd"/>
      <w:r>
        <w:t xml:space="preserve">, Utopia, and Tennant Creek) in advisory roles brings deep cultural authority and broad regional knowledge. Many of these Elders have held senior roles in government and community organisations, extending the organisation’s reach, strengthening partnerships, and building trust with stakeholders across Central Australia. The board is chaired by a respected </w:t>
      </w:r>
      <w:proofErr w:type="spellStart"/>
      <w:r>
        <w:t>Mbantua</w:t>
      </w:r>
      <w:proofErr w:type="spellEnd"/>
      <w:r>
        <w:t xml:space="preserve"> Traditional Owner and comprises strong Aboriginal women leaders with longstanding experience in justice and advocacy. Their presence is supporting the organisation to remain grounded in local lore culture, and community priorities. This culturally informed leadership is promoting the program’s legitimacy and accountability and ability to navigate complex cultural and political landscapes</w:t>
      </w:r>
      <w:r w:rsidR="003F3EAB">
        <w:t>.</w:t>
      </w:r>
      <w:r>
        <w:t xml:space="preserve"> </w:t>
      </w:r>
    </w:p>
    <w:p w14:paraId="7ED3100C" w14:textId="77777777" w:rsidR="000F115B" w:rsidRPr="0098235E" w:rsidRDefault="000F115B" w:rsidP="000F115B">
      <w:pPr>
        <w:pStyle w:val="paragraph"/>
        <w:keepLines w:val="0"/>
        <w:widowControl/>
        <w:autoSpaceDE/>
        <w:autoSpaceDN/>
        <w:adjustRightInd/>
        <w:spacing w:before="120" w:beforeAutospacing="0" w:after="120" w:afterAutospacing="0"/>
        <w:rPr>
          <w:rStyle w:val="normaltextrun"/>
          <w:rFonts w:cs="Segoe UI"/>
          <w:color w:val="000000" w:themeColor="text1"/>
        </w:rPr>
      </w:pPr>
      <w:r>
        <w:t>M</w:t>
      </w:r>
      <w:r w:rsidRPr="0098235E">
        <w:t xml:space="preserve">any of </w:t>
      </w:r>
      <w:r>
        <w:t xml:space="preserve">the staff </w:t>
      </w:r>
      <w:r w:rsidRPr="0098235E">
        <w:t xml:space="preserve">bring lived experience, strong community ties, and a deep understanding of the challenges facing local young people. Their credibility and cultural competence </w:t>
      </w:r>
      <w:r>
        <w:t xml:space="preserve">enable </w:t>
      </w:r>
      <w:r w:rsidRPr="0098235E">
        <w:t>them to engage with participants in a way that is authentic, respectful, and effective, fostering trust, consistency, and real behavioural change.</w:t>
      </w:r>
    </w:p>
    <w:p w14:paraId="021BA901" w14:textId="77777777" w:rsidR="000F115B" w:rsidRPr="00CC7409" w:rsidRDefault="000F115B" w:rsidP="000F115B">
      <w:pPr>
        <w:pStyle w:val="paragraph"/>
        <w:keepLines w:val="0"/>
        <w:widowControl/>
        <w:autoSpaceDE/>
        <w:autoSpaceDN/>
        <w:adjustRightInd/>
        <w:spacing w:before="120" w:beforeAutospacing="0" w:after="120" w:afterAutospacing="0"/>
        <w:rPr>
          <w:rFonts w:cs="Segoe UI"/>
          <w:color w:val="000000" w:themeColor="text1"/>
        </w:rPr>
      </w:pPr>
      <w:r w:rsidRPr="0098235E">
        <w:t xml:space="preserve">A core strength of the program is its role as a cultural broker helping young people navigate between the expectations of their Aboriginal cultural world and the demands of the Western or "town" world. Many of the young people supported by the program face challenges in understanding and meeting the requirements of systems like education, justice, health, and social services, which are often culturally unsafe or unfamiliar. The program helps bridge this gap by walking alongside young people in both worlds, supporting them to access services, meet obligations, and communicate with mainstream systems, while also staying grounded in culture, kinship, and community values. It </w:t>
      </w:r>
      <w:r>
        <w:t>was identified that it is</w:t>
      </w:r>
      <w:r w:rsidRPr="0098235E">
        <w:t xml:space="preserve"> this cultural brokerage that makes the program effective in reaching young people who have otherwise fallen through the cracks.</w:t>
      </w:r>
    </w:p>
    <w:p w14:paraId="013453AA" w14:textId="77777777" w:rsidR="000F115B" w:rsidRPr="00F50D6C" w:rsidRDefault="000F115B" w:rsidP="00F50D6C">
      <w:pPr>
        <w:pStyle w:val="Heading4"/>
      </w:pPr>
      <w:r w:rsidRPr="00F50D6C">
        <w:t xml:space="preserve">Working relationship between NIAA and </w:t>
      </w:r>
      <w:proofErr w:type="spellStart"/>
      <w:r w:rsidRPr="00F50D6C">
        <w:t>Oonchiumpa</w:t>
      </w:r>
      <w:proofErr w:type="spellEnd"/>
    </w:p>
    <w:p w14:paraId="4F7A4CE4" w14:textId="77777777" w:rsidR="000F115B" w:rsidRPr="0098235E" w:rsidRDefault="000F115B" w:rsidP="000F115B">
      <w:pPr>
        <w:pStyle w:val="paragraph"/>
        <w:spacing w:before="120" w:beforeAutospacing="0" w:after="120" w:afterAutospacing="0"/>
      </w:pPr>
      <w:r w:rsidRPr="0098235E">
        <w:t xml:space="preserve">A strong and constructive working relationship has been established between the </w:t>
      </w:r>
      <w:proofErr w:type="spellStart"/>
      <w:r w:rsidRPr="007801E4">
        <w:t>Oonchiumpa</w:t>
      </w:r>
      <w:proofErr w:type="spellEnd"/>
      <w:r w:rsidRPr="007801E4">
        <w:t xml:space="preserve"> </w:t>
      </w:r>
      <w:r w:rsidRPr="0098235E">
        <w:t xml:space="preserve">and NIAA, which has become an important </w:t>
      </w:r>
      <w:r w:rsidRPr="00884BC4">
        <w:t xml:space="preserve">enabler of the program’s success. While the relationship faced some early challenges particularly around </w:t>
      </w:r>
      <w:r w:rsidRPr="00CC7409">
        <w:t>NIAA’s initial emphasis on structured oversight and standardised processes,</w:t>
      </w:r>
      <w:r w:rsidRPr="00884BC4">
        <w:t xml:space="preserve"> the organisation remained</w:t>
      </w:r>
      <w:r w:rsidRPr="0098235E">
        <w:t xml:space="preserve"> committed to open communication and mutual respect. Over time, through consistent delivery, transparency, and demonstrated cultural leadership, trust has grown significantly. NIAA has increasingly recognised the value of </w:t>
      </w:r>
      <w:r>
        <w:t>this First Nations</w:t>
      </w:r>
      <w:r w:rsidRPr="0098235E">
        <w:t>-led, place-based approach and has shown greater willingness to listen, adapt, and allow the organisation to lead in ways that reflect local needs and cultural context. This growing relationship of trust has enabled more flexible, responsive program delivery and strengthened the foundation for long-term collaboration.</w:t>
      </w:r>
    </w:p>
    <w:p w14:paraId="57597D55" w14:textId="77777777" w:rsidR="000F115B" w:rsidRDefault="000F115B">
      <w:pPr>
        <w:keepLines w:val="0"/>
        <w:widowControl/>
        <w:spacing w:before="0" w:after="0"/>
        <w:rPr>
          <w:b/>
          <w:bCs/>
          <w:color w:val="009999"/>
          <w:sz w:val="28"/>
          <w:szCs w:val="28"/>
        </w:rPr>
      </w:pPr>
      <w:r>
        <w:br w:type="page"/>
      </w:r>
    </w:p>
    <w:p w14:paraId="21E4A025" w14:textId="27BD6697" w:rsidR="000F115B" w:rsidRDefault="000F115B" w:rsidP="000F115B">
      <w:pPr>
        <w:pStyle w:val="Heading2"/>
        <w:keepNext/>
        <w:rPr>
          <w:b w:val="0"/>
          <w:bCs w:val="0"/>
          <w:color w:val="009193"/>
        </w:rPr>
      </w:pPr>
      <w:r>
        <w:lastRenderedPageBreak/>
        <w:t>Case Study 2</w:t>
      </w:r>
      <w:r w:rsidR="00DD72F9">
        <w:t>:</w:t>
      </w:r>
      <w:r w:rsidRPr="1A31B231">
        <w:rPr>
          <w:color w:val="009193"/>
        </w:rPr>
        <w:t xml:space="preserve"> Strengthening Families and Community Partnership (SFCP) </w:t>
      </w:r>
    </w:p>
    <w:p w14:paraId="7154D91D" w14:textId="69F8DFFF" w:rsidR="000F115B" w:rsidRPr="00633772" w:rsidRDefault="000F115B" w:rsidP="000F115B">
      <w:pPr>
        <w:keepNext/>
      </w:pPr>
      <w:r>
        <w:t xml:space="preserve">The Strengthening Families and Communities Partnership (SFCP) is a $30 million, five-year initiative established under the </w:t>
      </w:r>
      <w:r w:rsidR="00D366EE">
        <w:t>Australian</w:t>
      </w:r>
      <w:r>
        <w:t xml:space="preserve"> Government’s </w:t>
      </w:r>
      <w:r w:rsidRPr="1BDB4558">
        <w:rPr>
          <w:rFonts w:eastAsiaTheme="minorEastAsia"/>
        </w:rPr>
        <w:t>Better, Safer Future for Central Australia</w:t>
      </w:r>
      <w:r w:rsidRPr="1BDB4558">
        <w:rPr>
          <w:i/>
          <w:iCs/>
        </w:rPr>
        <w:t xml:space="preserve"> Central Australia Plan</w:t>
      </w:r>
      <w:r>
        <w:t xml:space="preserve"> to support place-based initiatives across regional and remote Central Australia in the Northern Territory. This initiative is delivered by DSS and was developed in response to community consultation, which underscored the need for more flexible, responsive, and culturally grounded approaches to service delivery. Funding is intended to support community-led solutions to improve family and community safety in communities across Central Australia.</w:t>
      </w:r>
    </w:p>
    <w:p w14:paraId="5F1A0ECA" w14:textId="77777777" w:rsidR="000F115B" w:rsidRDefault="000F115B" w:rsidP="000F115B">
      <w:pPr>
        <w:pStyle w:val="Heading3"/>
        <w:rPr>
          <w:rFonts w:eastAsia="Helvetica" w:cs="Helvetica"/>
          <w:b w:val="0"/>
          <w:color w:val="009193"/>
          <w:sz w:val="20"/>
        </w:rPr>
      </w:pPr>
      <w:r w:rsidRPr="0098235E">
        <w:t>Implementation</w:t>
      </w:r>
    </w:p>
    <w:p w14:paraId="05B652BF" w14:textId="77777777" w:rsidR="000F115B" w:rsidRPr="008333AF" w:rsidRDefault="000F115B" w:rsidP="000F115B">
      <w:pPr>
        <w:rPr>
          <w:rFonts w:eastAsiaTheme="minorEastAsia"/>
          <w:lang w:eastAsia="en-US"/>
        </w:rPr>
      </w:pPr>
      <w:r w:rsidRPr="008333AF">
        <w:rPr>
          <w:lang w:eastAsia="en-US"/>
        </w:rPr>
        <w:t xml:space="preserve">The Partnership was announced in December 2023 and is in the early phases of implementation. </w:t>
      </w:r>
      <w:proofErr w:type="gramStart"/>
      <w:r w:rsidRPr="008333AF">
        <w:rPr>
          <w:lang w:eastAsia="en-US"/>
        </w:rPr>
        <w:t>At</w:t>
      </w:r>
      <w:proofErr w:type="gramEnd"/>
      <w:r w:rsidRPr="008333AF">
        <w:rPr>
          <w:lang w:eastAsia="en-US"/>
        </w:rPr>
        <w:t xml:space="preserve"> April 30</w:t>
      </w:r>
      <w:proofErr w:type="gramStart"/>
      <w:r w:rsidRPr="008333AF">
        <w:rPr>
          <w:lang w:eastAsia="en-US"/>
        </w:rPr>
        <w:t xml:space="preserve"> 2025</w:t>
      </w:r>
      <w:proofErr w:type="gramEnd"/>
      <w:r>
        <w:rPr>
          <w:lang w:eastAsia="en-US"/>
        </w:rPr>
        <w:t>,</w:t>
      </w:r>
      <w:r w:rsidRPr="008333AF">
        <w:rPr>
          <w:lang w:eastAsia="en-US"/>
        </w:rPr>
        <w:t xml:space="preserve"> $8.7 million has been committed</w:t>
      </w:r>
      <w:r w:rsidRPr="1BDB4558">
        <w:rPr>
          <w:lang w:eastAsia="en-US"/>
        </w:rPr>
        <w:t xml:space="preserve"> until 2027,</w:t>
      </w:r>
      <w:r w:rsidRPr="008333AF">
        <w:rPr>
          <w:lang w:eastAsia="en-US"/>
        </w:rPr>
        <w:t xml:space="preserve"> </w:t>
      </w:r>
      <w:r w:rsidRPr="1BDB4558">
        <w:rPr>
          <w:lang w:eastAsia="en-US"/>
        </w:rPr>
        <w:t>including</w:t>
      </w:r>
      <w:r w:rsidRPr="008333AF">
        <w:rPr>
          <w:lang w:eastAsia="en-US"/>
        </w:rPr>
        <w:t xml:space="preserve"> $3.5 million </w:t>
      </w:r>
      <w:r w:rsidRPr="1BDB4558">
        <w:rPr>
          <w:lang w:eastAsia="en-US"/>
        </w:rPr>
        <w:t>already</w:t>
      </w:r>
      <w:r w:rsidRPr="008333AF">
        <w:rPr>
          <w:lang w:eastAsia="en-US"/>
        </w:rPr>
        <w:t xml:space="preserve"> paid to </w:t>
      </w:r>
      <w:r>
        <w:rPr>
          <w:lang w:eastAsia="en-US"/>
        </w:rPr>
        <w:t>4</w:t>
      </w:r>
      <w:r w:rsidRPr="008333AF">
        <w:rPr>
          <w:lang w:eastAsia="en-US"/>
        </w:rPr>
        <w:t xml:space="preserve"> </w:t>
      </w:r>
      <w:r>
        <w:rPr>
          <w:lang w:eastAsia="en-US"/>
        </w:rPr>
        <w:t xml:space="preserve">organisations </w:t>
      </w:r>
      <w:r w:rsidRPr="008333AF">
        <w:rPr>
          <w:lang w:eastAsia="en-US"/>
        </w:rPr>
        <w:t xml:space="preserve">based in Alice Springs and nearby remote communities to deliver projects identified by the community to help address family, domestic, and sexual violence. </w:t>
      </w:r>
      <w:r w:rsidRPr="1BDB4558">
        <w:rPr>
          <w:lang w:eastAsia="en-US"/>
        </w:rPr>
        <w:t>In June 2024, a</w:t>
      </w:r>
      <w:r w:rsidRPr="008333AF">
        <w:rPr>
          <w:lang w:eastAsia="en-US"/>
        </w:rPr>
        <w:t xml:space="preserve"> further $1.4 million </w:t>
      </w:r>
      <w:r w:rsidRPr="1BDB4558">
        <w:rPr>
          <w:lang w:eastAsia="en-US"/>
        </w:rPr>
        <w:t>was paid to</w:t>
      </w:r>
      <w:r w:rsidRPr="00D859F0">
        <w:t xml:space="preserve"> </w:t>
      </w:r>
      <w:r w:rsidRPr="008333AF">
        <w:rPr>
          <w:lang w:eastAsia="en-US"/>
        </w:rPr>
        <w:t xml:space="preserve">Central Desert Regional Council and MacDonnell Regional Council to </w:t>
      </w:r>
      <w:r w:rsidRPr="1BDB4558">
        <w:rPr>
          <w:lang w:eastAsia="en-US"/>
        </w:rPr>
        <w:t>establish a brokerage arrangement to support</w:t>
      </w:r>
      <w:r w:rsidRPr="008333AF">
        <w:rPr>
          <w:lang w:eastAsia="en-US"/>
        </w:rPr>
        <w:t xml:space="preserve"> the development of place-based and community-led initiatives that support Indigenous families and communities in Central Australia. This $1.4 million is intended to target small projects on the ground in Central Australia, begin relationships with key stakeholders, and target ad hoc requests by communities to improve family safety.</w:t>
      </w:r>
      <w:r w:rsidRPr="2FF9D77B">
        <w:rPr>
          <w:rFonts w:eastAsiaTheme="minorEastAsia"/>
          <w:kern w:val="2"/>
          <w:lang w:eastAsia="en-US"/>
          <w14:ligatures w14:val="standardContextual"/>
        </w:rPr>
        <w:t>​</w:t>
      </w:r>
      <w:r w:rsidRPr="1BDB4558">
        <w:rPr>
          <w:rFonts w:eastAsiaTheme="minorEastAsia"/>
          <w:lang w:eastAsia="en-US"/>
        </w:rPr>
        <w:t xml:space="preserve"> There will be further opportunities for funding under the Partnership for services relating to family, domestic and sexual violence in the Central Australia region, as well as funding for community-led grassroots solutions for community safety, which will be developed in partnership with communities and the ALG.</w:t>
      </w:r>
    </w:p>
    <w:p w14:paraId="3E912A6D" w14:textId="77777777" w:rsidR="000F115B" w:rsidRPr="00C6423B" w:rsidRDefault="000F115B" w:rsidP="000F115B">
      <w:pPr>
        <w:pStyle w:val="Heading3"/>
        <w:rPr>
          <w:rFonts w:eastAsia="Helvetica" w:cs="Helvetica"/>
          <w:b w:val="0"/>
          <w:color w:val="009193"/>
          <w:sz w:val="20"/>
        </w:rPr>
      </w:pPr>
      <w:r w:rsidRPr="00C6423B">
        <w:t>What results are being achieved by the project</w:t>
      </w:r>
    </w:p>
    <w:p w14:paraId="6215648C" w14:textId="77777777" w:rsidR="000F115B" w:rsidRPr="008333AF" w:rsidRDefault="000F115B" w:rsidP="000F115B">
      <w:pPr>
        <w:pStyle w:val="NormalWeb"/>
        <w:spacing w:before="120" w:beforeAutospacing="0" w:after="120" w:afterAutospacing="0"/>
      </w:pPr>
      <w:r w:rsidRPr="008333AF">
        <w:t xml:space="preserve">Given that the partnership is still in the early implementation phase, outcomes will have not yet been seen in any of the funded projects. This case study will focus on results in terms of ‘doing things differently’ through the inclusion of Aboriginal voices in the implementation of the partnership. </w:t>
      </w:r>
    </w:p>
    <w:p w14:paraId="69BF3D9A" w14:textId="77777777" w:rsidR="000F115B" w:rsidRDefault="000F115B" w:rsidP="000F115B">
      <w:pPr>
        <w:rPr>
          <w:rFonts w:eastAsia="Times"/>
        </w:rPr>
      </w:pPr>
      <w:r w:rsidRPr="008333AF">
        <w:t xml:space="preserve">The CAP was born out of the opportunity </w:t>
      </w:r>
      <w:r w:rsidRPr="008333AF">
        <w:rPr>
          <w:rFonts w:eastAsia="Times"/>
        </w:rPr>
        <w:t>that by ‘doing things differently’ or looking at the system as a whole</w:t>
      </w:r>
      <w:r w:rsidRPr="008333AF">
        <w:rPr>
          <w:rStyle w:val="FootnoteReference"/>
          <w:rFonts w:eastAsia="Times"/>
        </w:rPr>
        <w:footnoteReference w:id="66"/>
      </w:r>
      <w:r w:rsidRPr="008333AF">
        <w:rPr>
          <w:rFonts w:eastAsia="Times"/>
        </w:rPr>
        <w:t>,</w:t>
      </w:r>
      <w:r w:rsidRPr="008333AF">
        <w:rPr>
          <w:rStyle w:val="FootnoteReference"/>
          <w:rFonts w:eastAsia="Times"/>
        </w:rPr>
        <w:footnoteReference w:id="67"/>
      </w:r>
      <w:r w:rsidRPr="008333AF">
        <w:rPr>
          <w:rFonts w:eastAsia="Times"/>
        </w:rPr>
        <w:t>,</w:t>
      </w:r>
      <w:r w:rsidRPr="008333AF">
        <w:rPr>
          <w:rStyle w:val="FootnoteReference"/>
          <w:rFonts w:eastAsia="Times"/>
        </w:rPr>
        <w:footnoteReference w:id="68"/>
      </w:r>
      <w:r w:rsidRPr="008333AF">
        <w:rPr>
          <w:rFonts w:eastAsia="Times"/>
        </w:rPr>
        <w:t xml:space="preserve"> and engaging the community in developing solutions</w:t>
      </w:r>
      <w:r w:rsidRPr="008333AF">
        <w:rPr>
          <w:rStyle w:val="FootnoteReference"/>
          <w:rFonts w:eastAsia="Times"/>
        </w:rPr>
        <w:footnoteReference w:id="69"/>
      </w:r>
      <w:r w:rsidRPr="008333AF">
        <w:rPr>
          <w:rFonts w:eastAsia="Times"/>
        </w:rPr>
        <w:t>,</w:t>
      </w:r>
      <w:r w:rsidRPr="008333AF">
        <w:rPr>
          <w:rStyle w:val="FootnoteReference"/>
          <w:rFonts w:eastAsia="Times"/>
        </w:rPr>
        <w:footnoteReference w:id="70"/>
      </w:r>
      <w:r w:rsidRPr="008333AF">
        <w:rPr>
          <w:rFonts w:eastAsia="Times"/>
        </w:rPr>
        <w:t>, issues such as crime and health outcomes can improve. This is endorsed in the CAP Theory of Change.</w:t>
      </w:r>
    </w:p>
    <w:p w14:paraId="68AB289D" w14:textId="77777777" w:rsidR="000F115B" w:rsidRPr="00F54F08" w:rsidRDefault="000F115B" w:rsidP="000F115B">
      <w:pPr>
        <w:rPr>
          <w:rFonts w:eastAsia="Times"/>
        </w:rPr>
      </w:pPr>
      <w:r>
        <w:t xml:space="preserve">There are indications of ‘doing things differently’ in the project compared to ‘business as usual’ approach in government, including the ongoing involvement of the ALG in the SFCP. There is an ongoing relationship between DSS and the ALG to ensure that Aboriginal input and endorsement is obtained throughout the process. A key output of this collaboration is the community engagement principles developed by DSS and endorsed by the ALG comprising: </w:t>
      </w:r>
    </w:p>
    <w:p w14:paraId="09420FEA" w14:textId="77777777" w:rsidR="000F115B" w:rsidRPr="008333AF" w:rsidRDefault="000F115B" w:rsidP="004C6984">
      <w:pPr>
        <w:pStyle w:val="NormalWeb"/>
        <w:keepLines w:val="0"/>
        <w:widowControl/>
        <w:numPr>
          <w:ilvl w:val="2"/>
          <w:numId w:val="14"/>
        </w:numPr>
        <w:spacing w:before="120" w:beforeAutospacing="0" w:after="120" w:afterAutospacing="0"/>
        <w:ind w:left="567" w:hanging="357"/>
        <w:contextualSpacing/>
      </w:pPr>
      <w:r w:rsidRPr="008333AF">
        <w:rPr>
          <w:rStyle w:val="Strong"/>
          <w:rFonts w:eastAsiaTheme="majorEastAsia"/>
        </w:rPr>
        <w:t>Being flexible and responsive</w:t>
      </w:r>
      <w:r w:rsidRPr="008333AF">
        <w:t>: adapting the approach based on evolving community needs, preferences, and feedback</w:t>
      </w:r>
      <w:r>
        <w:t>.</w:t>
      </w:r>
    </w:p>
    <w:p w14:paraId="466947AB" w14:textId="77777777" w:rsidR="000F115B" w:rsidRPr="008333AF" w:rsidRDefault="000F115B" w:rsidP="004C6984">
      <w:pPr>
        <w:pStyle w:val="NormalWeb"/>
        <w:keepLines w:val="0"/>
        <w:widowControl/>
        <w:numPr>
          <w:ilvl w:val="2"/>
          <w:numId w:val="14"/>
        </w:numPr>
        <w:spacing w:before="120" w:beforeAutospacing="0" w:after="120" w:afterAutospacing="0"/>
        <w:ind w:left="567" w:hanging="357"/>
        <w:contextualSpacing/>
      </w:pPr>
      <w:r w:rsidRPr="008333AF">
        <w:rPr>
          <w:rStyle w:val="Strong"/>
          <w:rFonts w:eastAsiaTheme="majorEastAsia"/>
        </w:rPr>
        <w:t>Being culturally appropriate</w:t>
      </w:r>
      <w:r w:rsidRPr="008333AF">
        <w:t>: ensuring engagement processes are designed and delivered in a way that respects cultural protocols and promotes safety for participants</w:t>
      </w:r>
      <w:r>
        <w:t>.</w:t>
      </w:r>
    </w:p>
    <w:p w14:paraId="4FEF45C9" w14:textId="77777777" w:rsidR="000F115B" w:rsidRPr="008333AF" w:rsidRDefault="000F115B" w:rsidP="004C6984">
      <w:pPr>
        <w:pStyle w:val="NormalWeb"/>
        <w:keepLines w:val="0"/>
        <w:widowControl/>
        <w:numPr>
          <w:ilvl w:val="2"/>
          <w:numId w:val="14"/>
        </w:numPr>
        <w:spacing w:before="120" w:beforeAutospacing="0" w:after="120" w:afterAutospacing="0"/>
        <w:ind w:left="567" w:hanging="357"/>
        <w:contextualSpacing/>
      </w:pPr>
      <w:r w:rsidRPr="008333AF">
        <w:rPr>
          <w:rStyle w:val="Strong"/>
          <w:rFonts w:eastAsiaTheme="majorEastAsia"/>
        </w:rPr>
        <w:t>Recognising diversity</w:t>
      </w:r>
      <w:r w:rsidRPr="008333AF">
        <w:t>: tailoring approaches to reflect the distinct identities, strengths, and contexts of different communities</w:t>
      </w:r>
      <w:r>
        <w:t>.</w:t>
      </w:r>
    </w:p>
    <w:p w14:paraId="2955019E" w14:textId="77777777" w:rsidR="000F115B" w:rsidRPr="008333AF" w:rsidRDefault="000F115B" w:rsidP="004C6984">
      <w:pPr>
        <w:pStyle w:val="NormalWeb"/>
        <w:keepLines w:val="0"/>
        <w:widowControl/>
        <w:numPr>
          <w:ilvl w:val="2"/>
          <w:numId w:val="14"/>
        </w:numPr>
        <w:spacing w:before="120" w:beforeAutospacing="0" w:after="120" w:afterAutospacing="0"/>
        <w:ind w:left="567" w:hanging="357"/>
        <w:contextualSpacing/>
      </w:pPr>
      <w:r w:rsidRPr="008333AF">
        <w:rPr>
          <w:rStyle w:val="Strong"/>
          <w:rFonts w:eastAsiaTheme="majorEastAsia"/>
        </w:rPr>
        <w:t xml:space="preserve">Willing to </w:t>
      </w:r>
      <w:proofErr w:type="gramStart"/>
      <w:r w:rsidRPr="008333AF">
        <w:rPr>
          <w:rStyle w:val="Strong"/>
          <w:rFonts w:eastAsiaTheme="majorEastAsia"/>
        </w:rPr>
        <w:t>learn</w:t>
      </w:r>
      <w:r w:rsidRPr="008333AF">
        <w:t>:</w:t>
      </w:r>
      <w:proofErr w:type="gramEnd"/>
      <w:r w:rsidRPr="008333AF">
        <w:t xml:space="preserve"> embedding learning loops and openness to adapt based on what is heard from communities</w:t>
      </w:r>
      <w:r>
        <w:t>.</w:t>
      </w:r>
    </w:p>
    <w:p w14:paraId="3D2BDCD2" w14:textId="77777777" w:rsidR="000F115B" w:rsidRPr="008333AF" w:rsidRDefault="000F115B" w:rsidP="004C6984">
      <w:pPr>
        <w:pStyle w:val="NormalWeb"/>
        <w:keepLines w:val="0"/>
        <w:widowControl/>
        <w:numPr>
          <w:ilvl w:val="2"/>
          <w:numId w:val="14"/>
        </w:numPr>
        <w:spacing w:before="120" w:beforeAutospacing="0" w:after="120" w:afterAutospacing="0"/>
        <w:ind w:left="567" w:hanging="357"/>
        <w:contextualSpacing/>
      </w:pPr>
      <w:r w:rsidRPr="008333AF">
        <w:rPr>
          <w:rStyle w:val="Strong"/>
          <w:rFonts w:eastAsiaTheme="majorEastAsia"/>
        </w:rPr>
        <w:t>Enhancing awareness of existing work</w:t>
      </w:r>
      <w:r w:rsidRPr="008333AF">
        <w:t>: identifying and building on community-led efforts and strengths, rather than duplicating or displacing them</w:t>
      </w:r>
      <w:r>
        <w:t>.</w:t>
      </w:r>
    </w:p>
    <w:p w14:paraId="56C336A2" w14:textId="77777777" w:rsidR="000F115B" w:rsidRPr="008333AF" w:rsidRDefault="000F115B" w:rsidP="004C6984">
      <w:pPr>
        <w:pStyle w:val="NormalWeb"/>
        <w:keepLines w:val="0"/>
        <w:widowControl/>
        <w:numPr>
          <w:ilvl w:val="2"/>
          <w:numId w:val="14"/>
        </w:numPr>
        <w:spacing w:before="120" w:beforeAutospacing="0" w:after="120" w:afterAutospacing="0"/>
        <w:ind w:left="567" w:hanging="357"/>
      </w:pPr>
      <w:r w:rsidRPr="1A31B231">
        <w:rPr>
          <w:rStyle w:val="Strong"/>
          <w:rFonts w:eastAsiaTheme="majorEastAsia"/>
        </w:rPr>
        <w:lastRenderedPageBreak/>
        <w:t>Creating feedback loops</w:t>
      </w:r>
      <w:r>
        <w:t>: ensuring that information flows back to community, showing how their input has influenced decisions and maintaining trust through transparency.</w:t>
      </w:r>
    </w:p>
    <w:p w14:paraId="1A13D698" w14:textId="77777777" w:rsidR="000F115B" w:rsidRPr="008333AF" w:rsidRDefault="000F115B" w:rsidP="000F115B">
      <w:pPr>
        <w:pStyle w:val="NormalWeb"/>
        <w:spacing w:before="120" w:beforeAutospacing="0" w:after="120" w:afterAutospacing="0"/>
      </w:pPr>
      <w:r w:rsidRPr="008333AF">
        <w:t>In line with the advice of the ALG, there has been broader community engagement throughout the process to support informed decision-making by DSS. Projects under the SFCP have been decided by DSS with input from community engagement</w:t>
      </w:r>
      <w:r>
        <w:t xml:space="preserve">, </w:t>
      </w:r>
      <w:r w:rsidRPr="008333AF">
        <w:t xml:space="preserve">input and endorsement from the ALG. </w:t>
      </w:r>
    </w:p>
    <w:p w14:paraId="061C54B9" w14:textId="77777777" w:rsidR="000F115B" w:rsidRPr="008333AF" w:rsidRDefault="000F115B" w:rsidP="000F115B">
      <w:pPr>
        <w:pStyle w:val="NormalWeb"/>
        <w:spacing w:before="120" w:beforeAutospacing="0" w:after="120" w:afterAutospacing="0"/>
      </w:pPr>
      <w:r w:rsidRPr="008333AF">
        <w:t>As highlighted in the evaluation findings, feasibility was identified as an important factor in supporting projects to be both implementable and sustainable. DSS has developed an evidence base to ensure projects align with best practice approaches and are likely to be effective in addressing family, domestic, and sexual violence.</w:t>
      </w:r>
    </w:p>
    <w:p w14:paraId="07EAE5F9" w14:textId="77777777" w:rsidR="000F115B" w:rsidRPr="00400027" w:rsidRDefault="000F115B" w:rsidP="00400027">
      <w:pPr>
        <w:pStyle w:val="Heading3"/>
      </w:pPr>
      <w:r w:rsidRPr="00400027">
        <w:t>What factors have enabled success or hindered success (outcomes)?</w:t>
      </w:r>
    </w:p>
    <w:p w14:paraId="59852DBD" w14:textId="77777777" w:rsidR="000F115B" w:rsidRPr="00C6423B" w:rsidRDefault="000F115B" w:rsidP="000F115B">
      <w:pPr>
        <w:pStyle w:val="Heading4"/>
        <w:rPr>
          <w:rStyle w:val="eop"/>
          <w:rFonts w:eastAsiaTheme="majorEastAsia" w:cs="Segoe UI"/>
          <w:i w:val="0"/>
          <w:color w:val="009193"/>
          <w:sz w:val="22"/>
          <w:szCs w:val="22"/>
        </w:rPr>
      </w:pPr>
      <w:r w:rsidRPr="00C6423B">
        <w:rPr>
          <w:rStyle w:val="normaltextrun"/>
        </w:rPr>
        <w:t>Seeking out and listen to community voices</w:t>
      </w:r>
      <w:r w:rsidRPr="00C6423B">
        <w:rPr>
          <w:rStyle w:val="eop"/>
          <w:rFonts w:eastAsiaTheme="majorEastAsia" w:cs="Segoe UI"/>
          <w:color w:val="009193"/>
          <w:sz w:val="22"/>
          <w:szCs w:val="22"/>
        </w:rPr>
        <w:t> </w:t>
      </w:r>
    </w:p>
    <w:p w14:paraId="653892E9" w14:textId="77777777" w:rsidR="000F115B" w:rsidRPr="008333AF" w:rsidRDefault="000F115B" w:rsidP="000F115B">
      <w:r w:rsidRPr="1A31B231">
        <w:rPr>
          <w:rStyle w:val="Strong"/>
          <w:rFonts w:eastAsiaTheme="majorEastAsia" w:cs="Times New Roman"/>
          <w:b w:val="0"/>
          <w:bCs w:val="0"/>
        </w:rPr>
        <w:t>T</w:t>
      </w:r>
      <w:r>
        <w:t>he staged, place-based, and evidence-informed design of the program combined with ongoing community input is a key factor of the partnership. By tailoring implementation to the specific needs, priorities, and contexts of each community, the program is seeking to avoid a one-size-fits-all approach and instead build on local strengths and knowledge. Embedding community input at each phase is likely to support cultural legitimacy and local ownership and ensure that the program continues to reflect lived experience and evolving priorities. This integrated approach is fostering community engagement, and a higher likelihood of achieving sustainable outcomes.</w:t>
      </w:r>
    </w:p>
    <w:p w14:paraId="4668DA06" w14:textId="77777777" w:rsidR="000F115B" w:rsidRPr="008333AF" w:rsidRDefault="000F115B" w:rsidP="000F115B">
      <w:pPr>
        <w:rPr>
          <w:rStyle w:val="normaltextrun"/>
        </w:rPr>
      </w:pPr>
      <w:r w:rsidRPr="008333AF">
        <w:rPr>
          <w:rFonts w:eastAsia="Times New Roman" w:cs="Times New Roman"/>
        </w:rPr>
        <w:t>While this case study highlights positive examples of community engagement, interviews also pointed to a need for greater transparency around funding allocations to recipients, to support more effective service delivery and minimise duplication. Additionally, stakeholders noted the importance of involving service providers and organisations identified for funding earlier in the process, to ensure alignment, coordination, and shared understanding from the outset.</w:t>
      </w:r>
    </w:p>
    <w:p w14:paraId="3F80E8CE" w14:textId="77777777" w:rsidR="000F115B" w:rsidRPr="001804ED" w:rsidRDefault="000F115B" w:rsidP="000F115B">
      <w:pPr>
        <w:pStyle w:val="Heading4"/>
      </w:pPr>
      <w:r w:rsidRPr="00C6423B">
        <w:rPr>
          <w:rStyle w:val="normaltextrun"/>
        </w:rPr>
        <w:t>Collecting and shar</w:t>
      </w:r>
      <w:r w:rsidRPr="001804ED">
        <w:rPr>
          <w:rStyle w:val="normaltextrun"/>
        </w:rPr>
        <w:t>ing regional data</w:t>
      </w:r>
      <w:r w:rsidRPr="001804ED">
        <w:rPr>
          <w:rStyle w:val="eop"/>
        </w:rPr>
        <w:t> </w:t>
      </w:r>
    </w:p>
    <w:p w14:paraId="4F6FEB65" w14:textId="77777777" w:rsidR="000F115B" w:rsidRPr="008333AF" w:rsidRDefault="000F115B" w:rsidP="000F115B">
      <w:pPr>
        <w:pStyle w:val="paragraph"/>
        <w:spacing w:before="120" w:beforeAutospacing="0" w:after="120" w:afterAutospacing="0"/>
        <w:textAlignment w:val="baseline"/>
      </w:pPr>
      <w:r w:rsidRPr="008333AF">
        <w:t xml:space="preserve">DSS have consistently provided information and data to the ALG throughout the planning and implementation phases. This includes ongoing and regular progress updates, information and regional data. The initiative is supporting the sharing of data from and with Aboriginal community members, reflecting a reciprocal exchange where community knowledge informs decision-making and, in turn, communities are kept informed about progress and outcomes. </w:t>
      </w:r>
    </w:p>
    <w:p w14:paraId="13A66340" w14:textId="77777777" w:rsidR="000F115B" w:rsidRPr="00C33D0F" w:rsidRDefault="000F115B" w:rsidP="000F115B">
      <w:pPr>
        <w:pStyle w:val="NormalWeb"/>
      </w:pPr>
      <w:r>
        <w:t xml:space="preserve"> </w:t>
      </w:r>
    </w:p>
    <w:p w14:paraId="713A54C1" w14:textId="77777777" w:rsidR="000F115B" w:rsidRPr="003F56E6" w:rsidRDefault="000F115B" w:rsidP="000F115B">
      <w:pPr>
        <w:pStyle w:val="paragraph"/>
        <w:spacing w:before="120" w:beforeAutospacing="0" w:after="120" w:afterAutospacing="0"/>
        <w:textAlignment w:val="baseline"/>
        <w:rPr>
          <w:rStyle w:val="eop"/>
          <w:rFonts w:eastAsiaTheme="majorEastAsia" w:cs="Segoe UI"/>
          <w:color w:val="404040"/>
        </w:rPr>
      </w:pPr>
    </w:p>
    <w:p w14:paraId="65D26D64" w14:textId="77777777" w:rsidR="000F115B" w:rsidRPr="00CC7409" w:rsidRDefault="000F115B" w:rsidP="000F115B">
      <w:pPr>
        <w:rPr>
          <w:highlight w:val="yellow"/>
        </w:rPr>
      </w:pPr>
    </w:p>
    <w:p w14:paraId="54BB8A24" w14:textId="77777777" w:rsidR="000F115B" w:rsidRPr="00CC7409" w:rsidRDefault="000F115B" w:rsidP="000F115B">
      <w:pPr>
        <w:rPr>
          <w:highlight w:val="yellow"/>
        </w:rPr>
      </w:pPr>
    </w:p>
    <w:p w14:paraId="39AF67BD" w14:textId="77777777" w:rsidR="000F115B" w:rsidRDefault="000F115B" w:rsidP="000F115B">
      <w:pPr>
        <w:rPr>
          <w:b/>
          <w:bCs/>
          <w:color w:val="009193"/>
        </w:rPr>
      </w:pPr>
      <w:r>
        <w:rPr>
          <w:b/>
          <w:bCs/>
          <w:color w:val="009193"/>
        </w:rPr>
        <w:br w:type="page"/>
      </w:r>
    </w:p>
    <w:p w14:paraId="192B7D47" w14:textId="0F8C93E5" w:rsidR="000F115B" w:rsidRPr="001C3AB9" w:rsidRDefault="000F115B" w:rsidP="000F115B">
      <w:pPr>
        <w:pStyle w:val="Heading2"/>
      </w:pPr>
      <w:r w:rsidRPr="001E7CCE">
        <w:lastRenderedPageBreak/>
        <w:t>Case Study 3</w:t>
      </w:r>
      <w:r w:rsidR="00DD72F9">
        <w:t xml:space="preserve">: </w:t>
      </w:r>
      <w:r w:rsidRPr="001E7CCE">
        <w:rPr>
          <w:rStyle w:val="bold"/>
          <w:color w:val="009193"/>
        </w:rPr>
        <w:t>Community and Regional Infrastructure Projects</w:t>
      </w:r>
      <w:r w:rsidRPr="001C3AB9">
        <w:t xml:space="preserve"> (DITRDCA $50m)</w:t>
      </w:r>
      <w:r w:rsidRPr="001C3AB9" w:rsidDel="00942C9A">
        <w:t xml:space="preserve"> </w:t>
      </w:r>
    </w:p>
    <w:p w14:paraId="0C233AA5" w14:textId="3AE34554" w:rsidR="000F115B" w:rsidRPr="009353AF" w:rsidRDefault="000F115B" w:rsidP="000F115B">
      <w:r w:rsidRPr="009353AF">
        <w:rPr>
          <w:rStyle w:val="bold"/>
        </w:rPr>
        <w:t>Under the CAP, DITRDC</w:t>
      </w:r>
      <w:r>
        <w:rPr>
          <w:rStyle w:val="bold"/>
        </w:rPr>
        <w:t>S</w:t>
      </w:r>
      <w:r w:rsidRPr="009353AF">
        <w:rPr>
          <w:rStyle w:val="bold"/>
        </w:rPr>
        <w:t xml:space="preserve">A received an allocation of $50 million for the Community and Regional Infrastructure Projects. </w:t>
      </w:r>
      <w:r w:rsidRPr="1A31B231">
        <w:rPr>
          <w:rFonts w:eastAsiaTheme="minorEastAsia" w:cs="Helvetica"/>
          <w:color w:val="313131"/>
          <w:lang w:val="en-GB"/>
        </w:rPr>
        <w:t>This funding is provided to the NTG through a bilateral agreement (FFA). The NTG is responsible for delivering the projects through the MacDonnell and Central Desert Regional Councils. The infrastructure projects are to be delivered in 3 Tranches (Tranche 1 - short-term projects; Tranche 2 - medium term projects; and Tranche 3 - long term projects) over the 2023-24 to 2026-27 financial years. $30</w:t>
      </w:r>
      <w:r>
        <w:rPr>
          <w:rFonts w:eastAsiaTheme="minorEastAsia" w:cs="Helvetica"/>
          <w:color w:val="313131"/>
          <w:lang w:val="en-GB"/>
        </w:rPr>
        <w:t xml:space="preserve"> </w:t>
      </w:r>
      <w:r w:rsidRPr="1A31B231">
        <w:rPr>
          <w:rFonts w:eastAsiaTheme="minorEastAsia" w:cs="Helvetica"/>
          <w:color w:val="313131"/>
          <w:lang w:val="en-GB"/>
        </w:rPr>
        <w:t>m</w:t>
      </w:r>
      <w:r>
        <w:rPr>
          <w:rFonts w:eastAsiaTheme="minorEastAsia" w:cs="Helvetica"/>
          <w:color w:val="313131"/>
          <w:lang w:val="en-GB"/>
        </w:rPr>
        <w:t>illion</w:t>
      </w:r>
      <w:r w:rsidRPr="1A31B231">
        <w:rPr>
          <w:rFonts w:eastAsiaTheme="minorEastAsia" w:cs="Helvetica"/>
          <w:color w:val="313131"/>
          <w:lang w:val="en-GB"/>
        </w:rPr>
        <w:t xml:space="preserve"> of the total funding is projected to be spent over the 2025-26 to 2026-27 financial years.</w:t>
      </w:r>
      <w:r w:rsidRPr="009353AF">
        <w:rPr>
          <w:rStyle w:val="bold"/>
        </w:rPr>
        <w:t xml:space="preserve"> </w:t>
      </w:r>
    </w:p>
    <w:p w14:paraId="3E8D8A22" w14:textId="77777777" w:rsidR="000F115B" w:rsidRPr="001E7CCE" w:rsidRDefault="000F115B" w:rsidP="000F115B">
      <w:pPr>
        <w:pStyle w:val="Heading3"/>
        <w:rPr>
          <w:b w:val="0"/>
        </w:rPr>
      </w:pPr>
      <w:r w:rsidRPr="001E7CCE">
        <w:t>Implementation</w:t>
      </w:r>
    </w:p>
    <w:p w14:paraId="56F90B0C" w14:textId="5997AC3E" w:rsidR="000F115B" w:rsidRDefault="000F115B" w:rsidP="000F115B">
      <w:pPr>
        <w:rPr>
          <w:rFonts w:eastAsia="Times New Roman" w:cs="Times New Roman"/>
        </w:rPr>
      </w:pPr>
      <w:proofErr w:type="gramStart"/>
      <w:r>
        <w:rPr>
          <w:rFonts w:eastAsia="Times New Roman" w:cs="Times New Roman"/>
        </w:rPr>
        <w:t>At</w:t>
      </w:r>
      <w:proofErr w:type="gramEnd"/>
      <w:r>
        <w:rPr>
          <w:rFonts w:eastAsia="Times New Roman" w:cs="Times New Roman"/>
        </w:rPr>
        <w:t xml:space="preserve"> 30 </w:t>
      </w:r>
      <w:proofErr w:type="gramStart"/>
      <w:r>
        <w:rPr>
          <w:rFonts w:eastAsia="Times New Roman" w:cs="Times New Roman"/>
        </w:rPr>
        <w:t>April,</w:t>
      </w:r>
      <w:proofErr w:type="gramEnd"/>
      <w:r>
        <w:rPr>
          <w:rFonts w:eastAsia="Times New Roman" w:cs="Times New Roman"/>
        </w:rPr>
        <w:t xml:space="preserve"> 2025 $33.4 million of the of the $50 million has been committed </w:t>
      </w:r>
      <w:r w:rsidRPr="008520CE">
        <w:rPr>
          <w:lang w:eastAsia="en-US"/>
        </w:rPr>
        <w:t>through financial arrangement</w:t>
      </w:r>
      <w:r>
        <w:rPr>
          <w:lang w:eastAsia="en-US"/>
        </w:rPr>
        <w:t>s</w:t>
      </w:r>
      <w:r w:rsidRPr="008520CE">
        <w:rPr>
          <w:lang w:eastAsia="en-US"/>
        </w:rPr>
        <w:t xml:space="preserve"> with provider</w:t>
      </w:r>
      <w:r>
        <w:rPr>
          <w:lang w:eastAsia="en-US"/>
        </w:rPr>
        <w:t xml:space="preserve">s </w:t>
      </w:r>
      <w:r>
        <w:rPr>
          <w:rFonts w:eastAsia="Times New Roman" w:cs="Times New Roman"/>
        </w:rPr>
        <w:t>to Tranche 1 and Tranche 2 projects, which is just under the planned total of $35.3 million for the first 2 Tranches estimated in the FFA. The remaining funding can be spent on Tranche 3 projects</w:t>
      </w:r>
      <w:r>
        <w:rPr>
          <w:rStyle w:val="FootnoteReference"/>
          <w:rFonts w:eastAsia="Times New Roman" w:cs="Times New Roman"/>
        </w:rPr>
        <w:footnoteReference w:id="71"/>
      </w:r>
      <w:r>
        <w:rPr>
          <w:rFonts w:eastAsia="Times New Roman" w:cs="Times New Roman"/>
        </w:rPr>
        <w:t xml:space="preserve"> </w:t>
      </w:r>
      <w:r w:rsidRPr="008520CE">
        <w:rPr>
          <w:lang w:eastAsia="en-US"/>
        </w:rPr>
        <w:t>committed through financial arrangement</w:t>
      </w:r>
      <w:r>
        <w:rPr>
          <w:lang w:eastAsia="en-US"/>
        </w:rPr>
        <w:t>s</w:t>
      </w:r>
      <w:r w:rsidRPr="008520CE">
        <w:rPr>
          <w:lang w:eastAsia="en-US"/>
        </w:rPr>
        <w:t xml:space="preserve"> with provider</w:t>
      </w:r>
      <w:r>
        <w:rPr>
          <w:lang w:eastAsia="en-US"/>
        </w:rPr>
        <w:t>s</w:t>
      </w:r>
      <w:r>
        <w:rPr>
          <w:rFonts w:eastAsia="Times New Roman" w:cs="Times New Roman"/>
        </w:rPr>
        <w:t xml:space="preserve">, 20 are being delivered by the Central Desert Regional Council. </w:t>
      </w:r>
      <w:r w:rsidR="006709B0">
        <w:rPr>
          <w:rFonts w:eastAsia="Times New Roman" w:cs="Times New Roman"/>
        </w:rPr>
        <w:t>Twelve</w:t>
      </w:r>
      <w:r>
        <w:rPr>
          <w:rFonts w:eastAsia="Times New Roman" w:cs="Times New Roman"/>
        </w:rPr>
        <w:t xml:space="preserve"> are planned for </w:t>
      </w:r>
      <w:proofErr w:type="spellStart"/>
      <w:r>
        <w:rPr>
          <w:rFonts w:eastAsia="Times New Roman" w:cs="Times New Roman"/>
        </w:rPr>
        <w:t>Anmatjere</w:t>
      </w:r>
      <w:proofErr w:type="spellEnd"/>
      <w:r>
        <w:rPr>
          <w:rFonts w:eastAsia="Times New Roman" w:cs="Times New Roman"/>
        </w:rPr>
        <w:t xml:space="preserve">, four for southern Tanami and four for The Plenty remote clusters. </w:t>
      </w:r>
      <w:proofErr w:type="spellStart"/>
      <w:r>
        <w:rPr>
          <w:rFonts w:eastAsia="Times New Roman" w:cs="Times New Roman"/>
        </w:rPr>
        <w:t>Macdonnell</w:t>
      </w:r>
      <w:proofErr w:type="spellEnd"/>
      <w:r>
        <w:rPr>
          <w:rFonts w:eastAsia="Times New Roman" w:cs="Times New Roman"/>
        </w:rPr>
        <w:t xml:space="preserve"> Regional Council is implementing twelve projects, one in </w:t>
      </w:r>
      <w:proofErr w:type="spellStart"/>
      <w:r>
        <w:rPr>
          <w:rFonts w:eastAsia="Times New Roman" w:cs="Times New Roman"/>
        </w:rPr>
        <w:t>Iyarrka</w:t>
      </w:r>
      <w:proofErr w:type="spellEnd"/>
      <w:r>
        <w:rPr>
          <w:rFonts w:eastAsia="Times New Roman" w:cs="Times New Roman"/>
        </w:rPr>
        <w:t xml:space="preserve">, two in </w:t>
      </w:r>
      <w:proofErr w:type="spellStart"/>
      <w:r>
        <w:rPr>
          <w:rFonts w:eastAsia="Times New Roman" w:cs="Times New Roman"/>
        </w:rPr>
        <w:t>Ljirapinta</w:t>
      </w:r>
      <w:proofErr w:type="spellEnd"/>
      <w:r>
        <w:rPr>
          <w:rFonts w:eastAsia="Times New Roman" w:cs="Times New Roman"/>
        </w:rPr>
        <w:t xml:space="preserve">, five in Luritja Pintubi and four in </w:t>
      </w:r>
      <w:proofErr w:type="spellStart"/>
      <w:r>
        <w:rPr>
          <w:rFonts w:eastAsia="Times New Roman" w:cs="Times New Roman"/>
        </w:rPr>
        <w:t>Rodinga</w:t>
      </w:r>
      <w:proofErr w:type="spellEnd"/>
      <w:r>
        <w:rPr>
          <w:rFonts w:eastAsia="Times New Roman" w:cs="Times New Roman"/>
        </w:rPr>
        <w:t xml:space="preserve">.  </w:t>
      </w:r>
    </w:p>
    <w:p w14:paraId="2B29BD41" w14:textId="77777777" w:rsidR="000F115B" w:rsidRDefault="000F115B" w:rsidP="000F115B">
      <w:pPr>
        <w:rPr>
          <w:rFonts w:eastAsia="Times New Roman" w:cs="Times New Roman"/>
        </w:rPr>
      </w:pPr>
      <w:r w:rsidRPr="1A31B231">
        <w:rPr>
          <w:rFonts w:eastAsia="Times New Roman" w:cs="Times New Roman"/>
        </w:rPr>
        <w:t xml:space="preserve">The implementation process for the project has faced significant challenges, including delays to project </w:t>
      </w:r>
      <w:r>
        <w:t xml:space="preserve">implementation, with many projects not commencing as scheduled due to factors such as prolonged planning and approvals processes, contractor availability, and logistical issues resulting from undertaking work across vast distances in areas with fewer services including construction. </w:t>
      </w:r>
      <w:r w:rsidRPr="1A31B231">
        <w:rPr>
          <w:rFonts w:eastAsia="Times New Roman" w:cs="Times New Roman"/>
        </w:rPr>
        <w:t xml:space="preserve">This has resulted in only nine of the 32 projects commencing at the time of the evaluation, with each of the nine receiving half its total committed financial arrangement funding, totalling $2.6 million. </w:t>
      </w:r>
    </w:p>
    <w:p w14:paraId="7B4E1DAF" w14:textId="77777777" w:rsidR="000F115B" w:rsidRPr="007571F3" w:rsidRDefault="000F115B" w:rsidP="000F115B">
      <w:pPr>
        <w:pStyle w:val="Heading4"/>
      </w:pPr>
      <w:r w:rsidRPr="007571F3">
        <w:t>ALG input</w:t>
      </w:r>
    </w:p>
    <w:p w14:paraId="7ED5AFD1" w14:textId="3454DF98" w:rsidR="000F115B" w:rsidRPr="00B62EFC" w:rsidRDefault="000F115B" w:rsidP="000F115B">
      <w:r w:rsidRPr="00B62EFC">
        <w:t xml:space="preserve">The infrastructure projects that have been chosen to receive Regional Infrastructure have been largely influenced by the ALG. Early in the establishment of the ALG, the ALG discussed how the Regional Infrastructure funding should be allocated i.e. choosing between allocation based on a population basis, needs basis or equally. The ALG suggested the funding be equally distributed across the </w:t>
      </w:r>
      <w:r w:rsidR="006709B0">
        <w:t>seven</w:t>
      </w:r>
      <w:r w:rsidRPr="00B62EFC">
        <w:t xml:space="preserve"> community clusters in Central Australia (see Figure 3 for a map of the community clusters).</w:t>
      </w:r>
    </w:p>
    <w:p w14:paraId="66C6DEAF" w14:textId="77777777" w:rsidR="000F115B" w:rsidRDefault="000F115B" w:rsidP="000F115B">
      <w:pPr>
        <w:keepLines w:val="0"/>
        <w:widowControl/>
        <w:spacing w:before="0" w:after="0"/>
        <w:textAlignment w:val="baseline"/>
      </w:pPr>
      <w:r w:rsidRPr="00B62EFC">
        <w:t>The ALG requested the DITRDCSA work with a sub-group of the ALG to refine draft advice to government on what to consider in developing the ‘Community Infrastructure’ package, and community infrastructure priorities. The sub-group’s discussions were informed by all community infrastructure priorities identified through consultations, including remote community engagements by OCARC, the Australian</w:t>
      </w:r>
      <w:r w:rsidRPr="00B62EFC" w:rsidDel="00FE3F26">
        <w:t xml:space="preserve"> Government</w:t>
      </w:r>
      <w:r w:rsidRPr="00B62EFC">
        <w:t xml:space="preserve"> and NTG; input from the MacDonnell Regional Council and Central Desert Regional Council; input from the Central Land Council; and discussions with ALG. Advice prioritised funding of remote community projects over Alice Springs projects, also prioritising projects that were to be of mixed-use and therefore have broader community impact. The ALG recommended working with and in support of regional councils and recommended that supports for ‘out of scope’ works, such as project maintenance, needed to be examined. The ALG sub-group advice also identified specific projects that the ALG supported for investment in line with the above recommendations.</w:t>
      </w:r>
      <w:r w:rsidRPr="00B62EFC">
        <w:rPr>
          <w:rStyle w:val="FootnoteReference"/>
          <w:rFonts w:eastAsia="Times New Roman" w:cs="Calibri"/>
          <w:color w:val="000000" w:themeColor="text1"/>
          <w:sz w:val="22"/>
          <w:szCs w:val="22"/>
          <w:lang w:val="en-US" w:eastAsia="en-US"/>
        </w:rPr>
        <w:footnoteReference w:id="72"/>
      </w:r>
    </w:p>
    <w:p w14:paraId="7659BFDB" w14:textId="77777777" w:rsidR="000F115B" w:rsidRDefault="000F115B" w:rsidP="000F115B">
      <w:pPr>
        <w:keepLines w:val="0"/>
        <w:widowControl/>
        <w:spacing w:before="0" w:after="0"/>
        <w:rPr>
          <w:color w:val="009999"/>
        </w:rPr>
      </w:pPr>
    </w:p>
    <w:p w14:paraId="6C221E0E" w14:textId="77777777" w:rsidR="000F115B" w:rsidRDefault="000F115B" w:rsidP="000F115B">
      <w:pPr>
        <w:keepLines w:val="0"/>
        <w:widowControl/>
        <w:spacing w:before="0" w:after="0"/>
        <w:rPr>
          <w:color w:val="009999"/>
        </w:rPr>
      </w:pPr>
      <w:r>
        <w:rPr>
          <w:color w:val="009999"/>
        </w:rPr>
        <w:br w:type="page"/>
      </w:r>
    </w:p>
    <w:p w14:paraId="73E7F5B2" w14:textId="52982BEF" w:rsidR="000F115B" w:rsidRPr="00B15A3B" w:rsidRDefault="000F115B" w:rsidP="00400027">
      <w:pPr>
        <w:pStyle w:val="Heading6"/>
        <w:rPr>
          <w:rFonts w:eastAsia="Times New Roman" w:cs="Times New Roman"/>
        </w:rPr>
      </w:pPr>
      <w:r w:rsidRPr="3FB43FC2">
        <w:lastRenderedPageBreak/>
        <w:t xml:space="preserve">Figure </w:t>
      </w:r>
      <w:r w:rsidR="006709B0">
        <w:t>10</w:t>
      </w:r>
      <w:r w:rsidRPr="3FB43FC2">
        <w:t xml:space="preserve">. Funding committed through a financial arrangement with a provider and paid as </w:t>
      </w:r>
      <w:proofErr w:type="gramStart"/>
      <w:r w:rsidRPr="3FB43FC2">
        <w:t>at</w:t>
      </w:r>
      <w:proofErr w:type="gramEnd"/>
      <w:r w:rsidRPr="3FB43FC2">
        <w:t xml:space="preserve"> 30 April 2025 for Community Infrastructure projects in Tranche 1 and Tranche 2 represented by location of project.</w:t>
      </w:r>
    </w:p>
    <w:p w14:paraId="24C99C2F" w14:textId="77777777" w:rsidR="000F115B" w:rsidRDefault="000F115B" w:rsidP="000F115B">
      <w:pPr>
        <w:rPr>
          <w:rFonts w:eastAsia="Times New Roman" w:cs="Times New Roman"/>
        </w:rPr>
      </w:pPr>
      <w:r w:rsidRPr="000F0B1D">
        <w:rPr>
          <w:rFonts w:eastAsia="Times New Roman" w:cs="Times New Roman"/>
          <w:noProof/>
        </w:rPr>
        <w:drawing>
          <wp:inline distT="0" distB="0" distL="0" distR="0" wp14:anchorId="254B5823" wp14:editId="67C65ABD">
            <wp:extent cx="6184900" cy="3908425"/>
            <wp:effectExtent l="0" t="0" r="0" b="3175"/>
            <wp:docPr id="1689962490" name="Chart 1" descr="Funding committed through a financial arrangement for Community Infrastructure projects in Tranche 1 and Tranche 2 paid as at 30 April 2025 include: Anmatjere, with $10 million committed and $1 million paid at 30 April 2025; Iyarrka, with $1 million committed and $0 paid at 30 April 2025; Ljirapinta, with $4 million committed and $0 paid at 30 April 2025; Luritja Pintubi, with $8 million committed and $1 million paid at 30 April 2025; Rodinga with $4 million committed and $1 million paid at 30 April 2025; Southern Tanami, with $4 million committed and $0 paid at 30 April 2025; and The Plenty with $3 million committed and $0 paid at 30 April 2025.">
              <a:extLst xmlns:a="http://schemas.openxmlformats.org/drawingml/2006/main">
                <a:ext uri="{FF2B5EF4-FFF2-40B4-BE49-F238E27FC236}">
                  <a16:creationId xmlns:a16="http://schemas.microsoft.com/office/drawing/2014/main" id="{75A72595-9E44-5E67-8638-EF507293F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798DEA" w14:textId="77777777" w:rsidR="000F115B" w:rsidRPr="00F12E0A" w:rsidRDefault="000F115B" w:rsidP="000F115B">
      <w:pPr>
        <w:rPr>
          <w:rFonts w:eastAsia="Times New Roman" w:cs="Times New Roman"/>
        </w:rPr>
      </w:pPr>
    </w:p>
    <w:p w14:paraId="034637DB" w14:textId="77777777" w:rsidR="000F115B" w:rsidRPr="001E7CCE" w:rsidRDefault="000F115B" w:rsidP="000F115B">
      <w:pPr>
        <w:pStyle w:val="Heading3"/>
        <w:rPr>
          <w:rFonts w:eastAsia="Helvetica" w:cs="Helvetica"/>
          <w:b w:val="0"/>
          <w:color w:val="009193"/>
          <w:sz w:val="20"/>
        </w:rPr>
      </w:pPr>
      <w:r>
        <w:t>What results are being achieved by the project?</w:t>
      </w:r>
    </w:p>
    <w:p w14:paraId="37D98AFA" w14:textId="1EAFE43D" w:rsidR="000F115B" w:rsidRPr="003343AE" w:rsidRDefault="000F115B" w:rsidP="000F115B">
      <w:pPr>
        <w:rPr>
          <w:rFonts w:eastAsia="Times New Roman" w:cs="Times New Roman"/>
        </w:rPr>
      </w:pPr>
      <w:r>
        <w:rPr>
          <w:rFonts w:eastAsia="Times New Roman" w:cs="Times New Roman"/>
        </w:rPr>
        <w:t xml:space="preserve">As at May 2025, only four of the seven planned community clusters have had projects commence </w:t>
      </w:r>
      <w:r w:rsidRPr="003343AE">
        <w:rPr>
          <w:rFonts w:eastAsia="Times New Roman" w:cs="Times New Roman"/>
        </w:rPr>
        <w:t xml:space="preserve">(see </w:t>
      </w:r>
      <w:r w:rsidR="003343AE" w:rsidRPr="003343AE">
        <w:rPr>
          <w:rFonts w:eastAsia="Times New Roman" w:cs="Times New Roman"/>
        </w:rPr>
        <w:t>F</w:t>
      </w:r>
      <w:r w:rsidRPr="003343AE">
        <w:rPr>
          <w:rFonts w:eastAsia="Times New Roman" w:cs="Times New Roman"/>
        </w:rPr>
        <w:t>igure</w:t>
      </w:r>
      <w:r w:rsidR="003343AE" w:rsidRPr="003343AE">
        <w:rPr>
          <w:rFonts w:eastAsia="Times New Roman" w:cs="Times New Roman"/>
        </w:rPr>
        <w:t xml:space="preserve"> </w:t>
      </w:r>
      <w:r w:rsidR="006709B0">
        <w:rPr>
          <w:rFonts w:eastAsia="Times New Roman" w:cs="Times New Roman"/>
        </w:rPr>
        <w:t>10</w:t>
      </w:r>
      <w:r w:rsidRPr="003343AE">
        <w:rPr>
          <w:rFonts w:eastAsia="Times New Roman" w:cs="Times New Roman"/>
        </w:rPr>
        <w:t xml:space="preserve"> above and the list below). The following projects have commenced at the time of the evaluation: </w:t>
      </w:r>
    </w:p>
    <w:p w14:paraId="2FB55810" w14:textId="77777777" w:rsidR="000F115B" w:rsidRPr="0053376D" w:rsidRDefault="000F115B" w:rsidP="00400027">
      <w:pPr>
        <w:pStyle w:val="Heading6"/>
      </w:pPr>
      <w:r w:rsidRPr="003343AE">
        <w:t>Table 3: Projects completed at the time of evaluation:</w:t>
      </w:r>
    </w:p>
    <w:tbl>
      <w:tblPr>
        <w:tblW w:w="97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9"/>
        <w:gridCol w:w="5745"/>
        <w:gridCol w:w="1376"/>
      </w:tblGrid>
      <w:tr w:rsidR="000F115B" w:rsidRPr="003228AE" w14:paraId="59B26FED" w14:textId="77777777">
        <w:trPr>
          <w:trHeight w:val="315"/>
        </w:trPr>
        <w:tc>
          <w:tcPr>
            <w:tcW w:w="2619" w:type="dxa"/>
            <w:tcBorders>
              <w:top w:val="nil"/>
              <w:left w:val="nil"/>
              <w:bottom w:val="single" w:sz="4" w:space="0" w:color="auto"/>
              <w:right w:val="nil"/>
            </w:tcBorders>
            <w:hideMark/>
          </w:tcPr>
          <w:p w14:paraId="5B0033FB" w14:textId="77777777" w:rsidR="000F115B" w:rsidRPr="007571F3" w:rsidRDefault="000F115B">
            <w:pPr>
              <w:spacing w:after="0"/>
              <w:textAlignment w:val="baseline"/>
              <w:rPr>
                <w:rFonts w:eastAsia="Times New Roman" w:cs="Segoe UI"/>
                <w:b/>
                <w:color w:val="595959" w:themeColor="text1" w:themeTint="A6"/>
                <w:sz w:val="18"/>
                <w:szCs w:val="18"/>
              </w:rPr>
            </w:pPr>
            <w:r w:rsidRPr="007571F3">
              <w:rPr>
                <w:rFonts w:eastAsia="Times New Roman" w:cs="Segoe UI"/>
                <w:b/>
                <w:color w:val="595959" w:themeColor="text1" w:themeTint="A6"/>
                <w:sz w:val="18"/>
                <w:szCs w:val="18"/>
              </w:rPr>
              <w:t xml:space="preserve">Project </w:t>
            </w:r>
          </w:p>
        </w:tc>
        <w:tc>
          <w:tcPr>
            <w:tcW w:w="5745" w:type="dxa"/>
            <w:tcBorders>
              <w:top w:val="nil"/>
              <w:left w:val="nil"/>
              <w:bottom w:val="single" w:sz="4" w:space="0" w:color="auto"/>
              <w:right w:val="nil"/>
            </w:tcBorders>
            <w:hideMark/>
          </w:tcPr>
          <w:p w14:paraId="31D6F9AE" w14:textId="77777777" w:rsidR="000F115B" w:rsidRPr="007571F3" w:rsidRDefault="000F115B">
            <w:pPr>
              <w:spacing w:after="0"/>
              <w:textAlignment w:val="baseline"/>
              <w:rPr>
                <w:rFonts w:eastAsia="Times New Roman" w:cs="Segoe UI"/>
                <w:b/>
                <w:color w:val="595959" w:themeColor="text1" w:themeTint="A6"/>
                <w:sz w:val="18"/>
                <w:szCs w:val="18"/>
              </w:rPr>
            </w:pPr>
            <w:r w:rsidRPr="007571F3">
              <w:rPr>
                <w:rFonts w:eastAsia="Times New Roman" w:cs="Segoe UI"/>
                <w:b/>
                <w:color w:val="595959" w:themeColor="text1" w:themeTint="A6"/>
                <w:sz w:val="18"/>
                <w:szCs w:val="18"/>
              </w:rPr>
              <w:t xml:space="preserve">Status </w:t>
            </w:r>
          </w:p>
        </w:tc>
        <w:tc>
          <w:tcPr>
            <w:tcW w:w="1376" w:type="dxa"/>
            <w:tcBorders>
              <w:top w:val="nil"/>
              <w:left w:val="nil"/>
              <w:bottom w:val="single" w:sz="4" w:space="0" w:color="auto"/>
              <w:right w:val="nil"/>
            </w:tcBorders>
          </w:tcPr>
          <w:p w14:paraId="1F35455B" w14:textId="77777777" w:rsidR="000F115B" w:rsidRPr="007571F3" w:rsidRDefault="000F115B">
            <w:pPr>
              <w:spacing w:after="0"/>
              <w:textAlignment w:val="baseline"/>
              <w:rPr>
                <w:rFonts w:eastAsia="Times New Roman" w:cs="Segoe UI"/>
                <w:b/>
                <w:color w:val="595959" w:themeColor="text1" w:themeTint="A6"/>
                <w:sz w:val="18"/>
                <w:szCs w:val="18"/>
              </w:rPr>
            </w:pPr>
            <w:r w:rsidRPr="007571F3">
              <w:rPr>
                <w:rFonts w:eastAsia="Times New Roman" w:cs="Segoe UI"/>
                <w:b/>
                <w:color w:val="595959" w:themeColor="text1" w:themeTint="A6"/>
                <w:sz w:val="18"/>
                <w:szCs w:val="18"/>
              </w:rPr>
              <w:t>Cluster</w:t>
            </w:r>
          </w:p>
        </w:tc>
      </w:tr>
      <w:tr w:rsidR="000F115B" w:rsidRPr="003228AE" w14:paraId="16A12DE0" w14:textId="77777777">
        <w:trPr>
          <w:trHeight w:val="315"/>
        </w:trPr>
        <w:tc>
          <w:tcPr>
            <w:tcW w:w="2619" w:type="dxa"/>
            <w:tcBorders>
              <w:top w:val="single" w:sz="4" w:space="0" w:color="auto"/>
              <w:left w:val="nil"/>
              <w:bottom w:val="nil"/>
              <w:right w:val="nil"/>
            </w:tcBorders>
            <w:hideMark/>
          </w:tcPr>
          <w:p w14:paraId="2D7CB5F5" w14:textId="77777777" w:rsidR="000F115B" w:rsidRPr="007571F3" w:rsidRDefault="000F115B">
            <w:pPr>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 xml:space="preserve">Playground upgrade - </w:t>
            </w:r>
            <w:proofErr w:type="spellStart"/>
            <w:r w:rsidRPr="007571F3">
              <w:rPr>
                <w:rFonts w:eastAsia="Times New Roman" w:cs="Times New Roman"/>
                <w:color w:val="595959" w:themeColor="text1" w:themeTint="A6"/>
                <w:sz w:val="18"/>
                <w:szCs w:val="18"/>
              </w:rPr>
              <w:t>Atitjere</w:t>
            </w:r>
            <w:proofErr w:type="spellEnd"/>
          </w:p>
        </w:tc>
        <w:tc>
          <w:tcPr>
            <w:tcW w:w="5745" w:type="dxa"/>
            <w:tcBorders>
              <w:top w:val="single" w:sz="4" w:space="0" w:color="auto"/>
              <w:left w:val="nil"/>
              <w:bottom w:val="nil"/>
              <w:right w:val="nil"/>
            </w:tcBorders>
            <w:hideMark/>
          </w:tcPr>
          <w:p w14:paraId="245D5032"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 xml:space="preserve">Project completed. </w:t>
            </w:r>
          </w:p>
        </w:tc>
        <w:tc>
          <w:tcPr>
            <w:tcW w:w="1376" w:type="dxa"/>
            <w:tcBorders>
              <w:top w:val="single" w:sz="4" w:space="0" w:color="auto"/>
              <w:left w:val="nil"/>
              <w:bottom w:val="nil"/>
              <w:right w:val="nil"/>
            </w:tcBorders>
          </w:tcPr>
          <w:p w14:paraId="2ADA5FFD"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The Plenty</w:t>
            </w:r>
          </w:p>
        </w:tc>
      </w:tr>
      <w:tr w:rsidR="000F115B" w:rsidRPr="003228AE" w14:paraId="1CDF02F2" w14:textId="77777777">
        <w:trPr>
          <w:trHeight w:val="315"/>
        </w:trPr>
        <w:tc>
          <w:tcPr>
            <w:tcW w:w="2619" w:type="dxa"/>
            <w:tcBorders>
              <w:top w:val="nil"/>
              <w:left w:val="nil"/>
              <w:bottom w:val="nil"/>
              <w:right w:val="nil"/>
            </w:tcBorders>
            <w:hideMark/>
          </w:tcPr>
          <w:p w14:paraId="4069B05C" w14:textId="77777777" w:rsidR="000F115B" w:rsidRPr="007571F3" w:rsidRDefault="000F115B">
            <w:pPr>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 xml:space="preserve">New playground - </w:t>
            </w:r>
            <w:proofErr w:type="spellStart"/>
            <w:r w:rsidRPr="007571F3">
              <w:rPr>
                <w:rFonts w:eastAsia="Times New Roman" w:cs="Times New Roman"/>
                <w:color w:val="595959" w:themeColor="text1" w:themeTint="A6"/>
                <w:sz w:val="18"/>
                <w:szCs w:val="18"/>
              </w:rPr>
              <w:t>Engawala</w:t>
            </w:r>
            <w:proofErr w:type="spellEnd"/>
          </w:p>
        </w:tc>
        <w:tc>
          <w:tcPr>
            <w:tcW w:w="5745" w:type="dxa"/>
            <w:tcBorders>
              <w:top w:val="nil"/>
              <w:left w:val="nil"/>
              <w:bottom w:val="nil"/>
              <w:right w:val="nil"/>
            </w:tcBorders>
            <w:hideMark/>
          </w:tcPr>
          <w:p w14:paraId="319F85ED"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 xml:space="preserve">Project completed. </w:t>
            </w:r>
          </w:p>
        </w:tc>
        <w:tc>
          <w:tcPr>
            <w:tcW w:w="1376" w:type="dxa"/>
            <w:tcBorders>
              <w:top w:val="nil"/>
              <w:left w:val="nil"/>
              <w:bottom w:val="nil"/>
              <w:right w:val="nil"/>
            </w:tcBorders>
          </w:tcPr>
          <w:p w14:paraId="4FE19A08"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The Plenty</w:t>
            </w:r>
          </w:p>
        </w:tc>
      </w:tr>
      <w:tr w:rsidR="000F115B" w:rsidRPr="003228AE" w14:paraId="7D703E4B" w14:textId="77777777">
        <w:trPr>
          <w:trHeight w:val="315"/>
        </w:trPr>
        <w:tc>
          <w:tcPr>
            <w:tcW w:w="2619" w:type="dxa"/>
            <w:tcBorders>
              <w:top w:val="nil"/>
              <w:left w:val="nil"/>
              <w:bottom w:val="nil"/>
              <w:right w:val="nil"/>
            </w:tcBorders>
            <w:hideMark/>
          </w:tcPr>
          <w:p w14:paraId="3280AFD1"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 xml:space="preserve">Oval lights (training) – </w:t>
            </w:r>
            <w:proofErr w:type="spellStart"/>
            <w:r w:rsidRPr="007571F3">
              <w:rPr>
                <w:rFonts w:eastAsia="Times New Roman" w:cs="Times New Roman"/>
                <w:color w:val="595959" w:themeColor="text1" w:themeTint="A6"/>
                <w:sz w:val="18"/>
                <w:szCs w:val="18"/>
              </w:rPr>
              <w:t>Laramba</w:t>
            </w:r>
            <w:proofErr w:type="spellEnd"/>
          </w:p>
        </w:tc>
        <w:tc>
          <w:tcPr>
            <w:tcW w:w="5745" w:type="dxa"/>
            <w:tcBorders>
              <w:top w:val="nil"/>
              <w:left w:val="nil"/>
              <w:bottom w:val="nil"/>
              <w:right w:val="nil"/>
            </w:tcBorders>
            <w:hideMark/>
          </w:tcPr>
          <w:p w14:paraId="0DE5BDB8" w14:textId="77777777" w:rsidR="000F115B" w:rsidRPr="007571F3" w:rsidRDefault="000F115B">
            <w:pPr>
              <w:pStyle w:val="paragraph"/>
              <w:spacing w:before="0" w:beforeAutospacing="0" w:after="0" w:afterAutospacing="0"/>
              <w:textAlignment w:val="baseline"/>
              <w:rPr>
                <w:rFonts w:cs="Arial"/>
                <w:color w:val="595959" w:themeColor="text1" w:themeTint="A6"/>
                <w:sz w:val="18"/>
                <w:szCs w:val="18"/>
                <w:lang w:val="en-US"/>
              </w:rPr>
            </w:pPr>
            <w:r w:rsidRPr="007571F3">
              <w:rPr>
                <w:rStyle w:val="normaltextrun"/>
                <w:rFonts w:eastAsiaTheme="majorEastAsia" w:cs="Arial"/>
                <w:color w:val="595959" w:themeColor="text1" w:themeTint="A6"/>
                <w:position w:val="1"/>
                <w:sz w:val="18"/>
                <w:szCs w:val="18"/>
                <w:lang w:val="en-US"/>
              </w:rPr>
              <w:t>Works have been completed except for the electrical connection. The electricity connection is on hold due to unforeseen circumstances requiring additional funding for the Power and Water Corporation's transformer upgrade.</w:t>
            </w:r>
            <w:r w:rsidRPr="007571F3">
              <w:rPr>
                <w:rStyle w:val="eop"/>
                <w:rFonts w:eastAsiaTheme="majorEastAsia" w:cs="Arial"/>
                <w:color w:val="595959" w:themeColor="text1" w:themeTint="A6"/>
                <w:sz w:val="18"/>
                <w:szCs w:val="18"/>
                <w:lang w:val="en-US"/>
              </w:rPr>
              <w:t>​</w:t>
            </w:r>
          </w:p>
        </w:tc>
        <w:tc>
          <w:tcPr>
            <w:tcW w:w="1376" w:type="dxa"/>
            <w:tcBorders>
              <w:top w:val="nil"/>
              <w:left w:val="nil"/>
              <w:bottom w:val="nil"/>
              <w:right w:val="nil"/>
            </w:tcBorders>
          </w:tcPr>
          <w:p w14:paraId="41ABF8B0" w14:textId="77777777" w:rsidR="000F115B" w:rsidRPr="007571F3" w:rsidRDefault="000F115B">
            <w:pPr>
              <w:pStyle w:val="paragraph"/>
              <w:spacing w:before="0" w:beforeAutospacing="0" w:after="0" w:afterAutospacing="0"/>
              <w:textAlignment w:val="baseline"/>
              <w:rPr>
                <w:rStyle w:val="normaltextrun"/>
                <w:rFonts w:eastAsiaTheme="majorEastAsia" w:cs="Arial"/>
                <w:color w:val="595959" w:themeColor="text1" w:themeTint="A6"/>
                <w:position w:val="1"/>
                <w:sz w:val="18"/>
                <w:szCs w:val="18"/>
                <w:lang w:val="en-US"/>
              </w:rPr>
            </w:pPr>
            <w:proofErr w:type="spellStart"/>
            <w:r w:rsidRPr="007571F3">
              <w:rPr>
                <w:rStyle w:val="normaltextrun"/>
                <w:rFonts w:eastAsiaTheme="majorEastAsia" w:cs="Arial"/>
                <w:color w:val="595959" w:themeColor="text1" w:themeTint="A6"/>
                <w:position w:val="1"/>
                <w:sz w:val="18"/>
                <w:szCs w:val="18"/>
                <w:lang w:val="en-US"/>
              </w:rPr>
              <w:t>Anmatjere</w:t>
            </w:r>
            <w:proofErr w:type="spellEnd"/>
          </w:p>
        </w:tc>
      </w:tr>
      <w:tr w:rsidR="000F115B" w:rsidRPr="003228AE" w14:paraId="42F36739" w14:textId="77777777">
        <w:trPr>
          <w:trHeight w:val="315"/>
        </w:trPr>
        <w:tc>
          <w:tcPr>
            <w:tcW w:w="2619" w:type="dxa"/>
            <w:tcBorders>
              <w:top w:val="nil"/>
              <w:left w:val="nil"/>
              <w:bottom w:val="nil"/>
              <w:right w:val="nil"/>
            </w:tcBorders>
            <w:hideMark/>
          </w:tcPr>
          <w:p w14:paraId="5612B297" w14:textId="77777777" w:rsidR="000F115B" w:rsidRPr="007571F3" w:rsidRDefault="000F115B">
            <w:pPr>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 xml:space="preserve">New Play System - </w:t>
            </w:r>
            <w:proofErr w:type="spellStart"/>
            <w:r w:rsidRPr="007571F3">
              <w:rPr>
                <w:rFonts w:eastAsia="Times New Roman" w:cs="Times New Roman"/>
                <w:color w:val="595959" w:themeColor="text1" w:themeTint="A6"/>
                <w:sz w:val="18"/>
                <w:szCs w:val="18"/>
              </w:rPr>
              <w:t>Nturiya</w:t>
            </w:r>
            <w:proofErr w:type="spellEnd"/>
          </w:p>
        </w:tc>
        <w:tc>
          <w:tcPr>
            <w:tcW w:w="5745" w:type="dxa"/>
            <w:tcBorders>
              <w:top w:val="nil"/>
              <w:left w:val="nil"/>
              <w:bottom w:val="nil"/>
              <w:right w:val="nil"/>
            </w:tcBorders>
            <w:hideMark/>
          </w:tcPr>
          <w:p w14:paraId="265A218D"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 xml:space="preserve">Project completed. </w:t>
            </w:r>
          </w:p>
        </w:tc>
        <w:tc>
          <w:tcPr>
            <w:tcW w:w="1376" w:type="dxa"/>
            <w:tcBorders>
              <w:top w:val="nil"/>
              <w:left w:val="nil"/>
              <w:bottom w:val="nil"/>
              <w:right w:val="nil"/>
            </w:tcBorders>
          </w:tcPr>
          <w:p w14:paraId="6AC5D7C4" w14:textId="77777777" w:rsidR="000F115B" w:rsidRPr="007571F3" w:rsidRDefault="000F115B">
            <w:pPr>
              <w:spacing w:after="0"/>
              <w:textAlignment w:val="baseline"/>
              <w:rPr>
                <w:rFonts w:eastAsia="Times New Roman" w:cs="Segoe UI"/>
                <w:color w:val="595959" w:themeColor="text1" w:themeTint="A6"/>
                <w:sz w:val="18"/>
                <w:szCs w:val="18"/>
              </w:rPr>
            </w:pPr>
            <w:proofErr w:type="spellStart"/>
            <w:r w:rsidRPr="007571F3">
              <w:rPr>
                <w:rFonts w:eastAsia="Times New Roman" w:cs="Segoe UI"/>
                <w:color w:val="595959" w:themeColor="text1" w:themeTint="A6"/>
                <w:sz w:val="18"/>
                <w:szCs w:val="18"/>
              </w:rPr>
              <w:t>Anmatjere</w:t>
            </w:r>
            <w:proofErr w:type="spellEnd"/>
          </w:p>
        </w:tc>
      </w:tr>
      <w:tr w:rsidR="000F115B" w:rsidRPr="003228AE" w14:paraId="62D00758" w14:textId="77777777">
        <w:trPr>
          <w:trHeight w:val="315"/>
        </w:trPr>
        <w:tc>
          <w:tcPr>
            <w:tcW w:w="2619" w:type="dxa"/>
            <w:tcBorders>
              <w:top w:val="nil"/>
              <w:left w:val="nil"/>
              <w:bottom w:val="nil"/>
              <w:right w:val="nil"/>
            </w:tcBorders>
            <w:hideMark/>
          </w:tcPr>
          <w:p w14:paraId="0ECBDAA4" w14:textId="77777777" w:rsidR="000F115B" w:rsidRPr="007571F3" w:rsidRDefault="000F115B">
            <w:pPr>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 xml:space="preserve">Change Rooms - </w:t>
            </w:r>
            <w:proofErr w:type="spellStart"/>
            <w:r w:rsidRPr="007571F3">
              <w:rPr>
                <w:rFonts w:eastAsia="Times New Roman" w:cs="Times New Roman"/>
                <w:color w:val="595959" w:themeColor="text1" w:themeTint="A6"/>
                <w:sz w:val="18"/>
                <w:szCs w:val="18"/>
              </w:rPr>
              <w:t>Pmara</w:t>
            </w:r>
            <w:proofErr w:type="spellEnd"/>
            <w:r w:rsidRPr="007571F3">
              <w:rPr>
                <w:rFonts w:eastAsia="Times New Roman" w:cs="Times New Roman"/>
                <w:color w:val="595959" w:themeColor="text1" w:themeTint="A6"/>
                <w:sz w:val="18"/>
                <w:szCs w:val="18"/>
              </w:rPr>
              <w:t xml:space="preserve"> </w:t>
            </w:r>
            <w:proofErr w:type="spellStart"/>
            <w:r w:rsidRPr="007571F3">
              <w:rPr>
                <w:rFonts w:eastAsia="Times New Roman" w:cs="Times New Roman"/>
                <w:color w:val="595959" w:themeColor="text1" w:themeTint="A6"/>
                <w:sz w:val="18"/>
                <w:szCs w:val="18"/>
              </w:rPr>
              <w:t>Jutunta</w:t>
            </w:r>
            <w:proofErr w:type="spellEnd"/>
          </w:p>
        </w:tc>
        <w:tc>
          <w:tcPr>
            <w:tcW w:w="5745" w:type="dxa"/>
            <w:tcBorders>
              <w:top w:val="nil"/>
              <w:left w:val="nil"/>
              <w:bottom w:val="nil"/>
              <w:right w:val="nil"/>
            </w:tcBorders>
            <w:hideMark/>
          </w:tcPr>
          <w:p w14:paraId="3D8F6C64"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 xml:space="preserve">Construction commenced. </w:t>
            </w:r>
          </w:p>
        </w:tc>
        <w:tc>
          <w:tcPr>
            <w:tcW w:w="1376" w:type="dxa"/>
            <w:tcBorders>
              <w:top w:val="nil"/>
              <w:left w:val="nil"/>
              <w:bottom w:val="nil"/>
              <w:right w:val="nil"/>
            </w:tcBorders>
          </w:tcPr>
          <w:p w14:paraId="423E159D" w14:textId="77777777" w:rsidR="000F115B" w:rsidRPr="007571F3" w:rsidRDefault="000F115B">
            <w:pPr>
              <w:spacing w:after="0"/>
              <w:textAlignment w:val="baseline"/>
              <w:rPr>
                <w:rFonts w:eastAsia="Times New Roman" w:cs="Segoe UI"/>
                <w:color w:val="595959" w:themeColor="text1" w:themeTint="A6"/>
                <w:sz w:val="18"/>
                <w:szCs w:val="18"/>
              </w:rPr>
            </w:pPr>
            <w:proofErr w:type="spellStart"/>
            <w:r w:rsidRPr="007571F3">
              <w:rPr>
                <w:rFonts w:eastAsia="Times New Roman" w:cs="Segoe UI"/>
                <w:color w:val="595959" w:themeColor="text1" w:themeTint="A6"/>
                <w:sz w:val="18"/>
                <w:szCs w:val="18"/>
              </w:rPr>
              <w:t>Anmatjere</w:t>
            </w:r>
            <w:proofErr w:type="spellEnd"/>
          </w:p>
        </w:tc>
      </w:tr>
      <w:tr w:rsidR="000F115B" w:rsidRPr="003228AE" w14:paraId="0CC46083" w14:textId="77777777">
        <w:trPr>
          <w:trHeight w:val="315"/>
        </w:trPr>
        <w:tc>
          <w:tcPr>
            <w:tcW w:w="2619" w:type="dxa"/>
            <w:tcBorders>
              <w:top w:val="nil"/>
              <w:left w:val="nil"/>
              <w:bottom w:val="nil"/>
              <w:right w:val="nil"/>
            </w:tcBorders>
            <w:hideMark/>
          </w:tcPr>
          <w:p w14:paraId="61B6969B"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Oval Lights - Ti Tree</w:t>
            </w:r>
          </w:p>
        </w:tc>
        <w:tc>
          <w:tcPr>
            <w:tcW w:w="5745" w:type="dxa"/>
            <w:tcBorders>
              <w:top w:val="nil"/>
              <w:left w:val="nil"/>
              <w:bottom w:val="nil"/>
              <w:right w:val="nil"/>
            </w:tcBorders>
            <w:hideMark/>
          </w:tcPr>
          <w:p w14:paraId="34BC97C5" w14:textId="77777777" w:rsidR="000F115B" w:rsidRPr="007571F3" w:rsidRDefault="000F115B">
            <w:pPr>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 xml:space="preserve">Works completed except for electrical connection. </w:t>
            </w:r>
          </w:p>
        </w:tc>
        <w:tc>
          <w:tcPr>
            <w:tcW w:w="1376" w:type="dxa"/>
            <w:tcBorders>
              <w:top w:val="nil"/>
              <w:left w:val="nil"/>
              <w:bottom w:val="nil"/>
              <w:right w:val="nil"/>
            </w:tcBorders>
          </w:tcPr>
          <w:p w14:paraId="421723C7" w14:textId="77777777" w:rsidR="000F115B" w:rsidRPr="007571F3" w:rsidRDefault="000F115B">
            <w:pPr>
              <w:rPr>
                <w:rFonts w:eastAsia="Times New Roman" w:cs="Times New Roman"/>
                <w:color w:val="595959" w:themeColor="text1" w:themeTint="A6"/>
                <w:sz w:val="18"/>
                <w:szCs w:val="18"/>
              </w:rPr>
            </w:pPr>
            <w:proofErr w:type="spellStart"/>
            <w:r w:rsidRPr="007571F3">
              <w:rPr>
                <w:rFonts w:eastAsia="Times New Roman" w:cs="Times New Roman"/>
                <w:color w:val="595959" w:themeColor="text1" w:themeTint="A6"/>
                <w:sz w:val="18"/>
                <w:szCs w:val="18"/>
              </w:rPr>
              <w:t>Anmatjere</w:t>
            </w:r>
            <w:proofErr w:type="spellEnd"/>
          </w:p>
        </w:tc>
      </w:tr>
      <w:tr w:rsidR="000F115B" w:rsidRPr="003228AE" w14:paraId="4DCE798A" w14:textId="77777777">
        <w:trPr>
          <w:trHeight w:val="315"/>
        </w:trPr>
        <w:tc>
          <w:tcPr>
            <w:tcW w:w="2619" w:type="dxa"/>
            <w:tcBorders>
              <w:top w:val="nil"/>
              <w:left w:val="nil"/>
              <w:bottom w:val="nil"/>
              <w:right w:val="nil"/>
            </w:tcBorders>
            <w:hideMark/>
          </w:tcPr>
          <w:p w14:paraId="64B7458C" w14:textId="77777777" w:rsidR="000F115B" w:rsidRPr="007571F3" w:rsidRDefault="000F115B">
            <w:pPr>
              <w:rPr>
                <w:rFonts w:eastAsia="Times New Roman" w:cs="Times New Roman"/>
                <w:color w:val="595959" w:themeColor="text1" w:themeTint="A6"/>
                <w:sz w:val="18"/>
                <w:szCs w:val="18"/>
              </w:rPr>
            </w:pPr>
            <w:r w:rsidRPr="007571F3">
              <w:rPr>
                <w:rFonts w:eastAsia="Times New Roman" w:cs="Times New Roman"/>
                <w:color w:val="595959" w:themeColor="text1" w:themeTint="A6"/>
                <w:sz w:val="18"/>
                <w:szCs w:val="18"/>
              </w:rPr>
              <w:t xml:space="preserve">Oval Lights - Kintore </w:t>
            </w:r>
          </w:p>
        </w:tc>
        <w:tc>
          <w:tcPr>
            <w:tcW w:w="5745" w:type="dxa"/>
            <w:tcBorders>
              <w:top w:val="nil"/>
              <w:left w:val="nil"/>
              <w:bottom w:val="nil"/>
              <w:right w:val="nil"/>
            </w:tcBorders>
            <w:hideMark/>
          </w:tcPr>
          <w:p w14:paraId="65F40265"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Completion expected July 2025  </w:t>
            </w:r>
          </w:p>
        </w:tc>
        <w:tc>
          <w:tcPr>
            <w:tcW w:w="1376" w:type="dxa"/>
            <w:tcBorders>
              <w:top w:val="nil"/>
              <w:left w:val="nil"/>
              <w:bottom w:val="nil"/>
              <w:right w:val="nil"/>
            </w:tcBorders>
          </w:tcPr>
          <w:p w14:paraId="5D0CC42A"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Segoe UI"/>
                <w:color w:val="595959" w:themeColor="text1" w:themeTint="A6"/>
                <w:sz w:val="18"/>
                <w:szCs w:val="18"/>
              </w:rPr>
              <w:t>Luritja Pintubi</w:t>
            </w:r>
          </w:p>
        </w:tc>
      </w:tr>
      <w:tr w:rsidR="000F115B" w:rsidRPr="003228AE" w14:paraId="695061E2" w14:textId="77777777">
        <w:trPr>
          <w:trHeight w:val="315"/>
        </w:trPr>
        <w:tc>
          <w:tcPr>
            <w:tcW w:w="2619" w:type="dxa"/>
            <w:tcBorders>
              <w:top w:val="nil"/>
              <w:left w:val="nil"/>
              <w:bottom w:val="single" w:sz="4" w:space="0" w:color="auto"/>
              <w:right w:val="nil"/>
            </w:tcBorders>
            <w:hideMark/>
          </w:tcPr>
          <w:p w14:paraId="05198DC2" w14:textId="77777777" w:rsidR="000F115B" w:rsidRPr="007571F3" w:rsidRDefault="000F115B">
            <w:pPr>
              <w:rPr>
                <w:rFonts w:eastAsia="Times New Roman" w:cs="Times New Roman"/>
                <w:color w:val="595959" w:themeColor="text1" w:themeTint="A6"/>
                <w:sz w:val="18"/>
                <w:szCs w:val="18"/>
              </w:rPr>
            </w:pPr>
            <w:r w:rsidRPr="007571F3">
              <w:rPr>
                <w:rFonts w:eastAsia="Times New Roman" w:cs="Times New Roman"/>
                <w:color w:val="595959" w:themeColor="text1" w:themeTint="A6"/>
                <w:sz w:val="18"/>
                <w:szCs w:val="18"/>
              </w:rPr>
              <w:t xml:space="preserve">Oval Lights – </w:t>
            </w:r>
            <w:proofErr w:type="spellStart"/>
            <w:r w:rsidRPr="007571F3">
              <w:rPr>
                <w:rFonts w:eastAsia="Times New Roman" w:cs="Times New Roman"/>
                <w:color w:val="595959" w:themeColor="text1" w:themeTint="A6"/>
                <w:sz w:val="18"/>
                <w:szCs w:val="18"/>
              </w:rPr>
              <w:t>Titjikala</w:t>
            </w:r>
            <w:proofErr w:type="spellEnd"/>
          </w:p>
        </w:tc>
        <w:tc>
          <w:tcPr>
            <w:tcW w:w="5745" w:type="dxa"/>
            <w:tcBorders>
              <w:top w:val="nil"/>
              <w:left w:val="nil"/>
              <w:bottom w:val="single" w:sz="4" w:space="0" w:color="auto"/>
              <w:right w:val="nil"/>
            </w:tcBorders>
            <w:hideMark/>
          </w:tcPr>
          <w:p w14:paraId="40601129" w14:textId="77777777" w:rsidR="000F115B" w:rsidRPr="007571F3" w:rsidRDefault="000F115B">
            <w:pPr>
              <w:spacing w:after="0"/>
              <w:textAlignment w:val="baseline"/>
              <w:rPr>
                <w:rFonts w:eastAsia="Times New Roman" w:cs="Segoe UI"/>
                <w:color w:val="595959" w:themeColor="text1" w:themeTint="A6"/>
                <w:sz w:val="18"/>
                <w:szCs w:val="18"/>
              </w:rPr>
            </w:pPr>
            <w:r w:rsidRPr="007571F3">
              <w:rPr>
                <w:rFonts w:eastAsia="Times New Roman" w:cs="Times New Roman"/>
                <w:color w:val="595959" w:themeColor="text1" w:themeTint="A6"/>
                <w:sz w:val="18"/>
                <w:szCs w:val="18"/>
              </w:rPr>
              <w:t>Completion expected July 2025.</w:t>
            </w:r>
          </w:p>
        </w:tc>
        <w:tc>
          <w:tcPr>
            <w:tcW w:w="1376" w:type="dxa"/>
            <w:tcBorders>
              <w:top w:val="nil"/>
              <w:left w:val="nil"/>
              <w:bottom w:val="single" w:sz="4" w:space="0" w:color="auto"/>
              <w:right w:val="nil"/>
            </w:tcBorders>
          </w:tcPr>
          <w:p w14:paraId="407F28E3" w14:textId="77777777" w:rsidR="000F115B" w:rsidRPr="007571F3" w:rsidRDefault="000F115B">
            <w:pPr>
              <w:spacing w:after="0"/>
              <w:textAlignment w:val="baseline"/>
              <w:rPr>
                <w:rFonts w:eastAsia="Times New Roman" w:cs="Times New Roman"/>
                <w:color w:val="595959" w:themeColor="text1" w:themeTint="A6"/>
                <w:sz w:val="18"/>
                <w:szCs w:val="18"/>
              </w:rPr>
            </w:pPr>
            <w:proofErr w:type="spellStart"/>
            <w:r w:rsidRPr="007571F3">
              <w:rPr>
                <w:rFonts w:eastAsia="Times New Roman" w:cs="Times New Roman"/>
                <w:color w:val="595959" w:themeColor="text1" w:themeTint="A6"/>
                <w:sz w:val="18"/>
                <w:szCs w:val="18"/>
              </w:rPr>
              <w:t>Rodinga</w:t>
            </w:r>
            <w:proofErr w:type="spellEnd"/>
          </w:p>
        </w:tc>
      </w:tr>
    </w:tbl>
    <w:p w14:paraId="4BC7F7A3" w14:textId="756E7BBF" w:rsidR="000F115B" w:rsidRDefault="000F115B" w:rsidP="000F115B">
      <w:r>
        <w:lastRenderedPageBreak/>
        <w:t xml:space="preserve">The apparent unequal dispersion of funds across community clusters in the Tranche 1 and 2 of the infrastructure investments was noted with concern by some ALG members, who were keen to ensure that Tranche 3 funding considered remote communities that had received less funding in previous rounds to achieve the funding parity that was originally planned. NIAA confirms that in tranche 3 the distribution of funds will be focused </w:t>
      </w:r>
      <w:proofErr w:type="gramStart"/>
      <w:r>
        <w:t>towards</w:t>
      </w:r>
      <w:proofErr w:type="gramEnd"/>
      <w:r>
        <w:t xml:space="preserve"> clusters that received less funding in </w:t>
      </w:r>
      <w:r w:rsidR="00DD72F9">
        <w:t>T</w:t>
      </w:r>
      <w:r>
        <w:t xml:space="preserve">ranche 1 and 2 such as </w:t>
      </w:r>
      <w:proofErr w:type="spellStart"/>
      <w:r w:rsidRPr="003343AE">
        <w:t>I</w:t>
      </w:r>
      <w:r w:rsidR="009B2F18">
        <w:t>y</w:t>
      </w:r>
      <w:r w:rsidRPr="003343AE">
        <w:t>arrka</w:t>
      </w:r>
      <w:proofErr w:type="spellEnd"/>
      <w:r w:rsidRPr="003343AE">
        <w:t>.</w:t>
      </w:r>
      <w:r>
        <w:t xml:space="preserve"> </w:t>
      </w:r>
    </w:p>
    <w:p w14:paraId="2B15778A" w14:textId="77777777" w:rsidR="0047541F" w:rsidRDefault="0047541F" w:rsidP="000F115B"/>
    <w:p w14:paraId="51740E91" w14:textId="77777777" w:rsidR="000F115B" w:rsidRPr="00400027" w:rsidRDefault="000F115B" w:rsidP="00400027">
      <w:pPr>
        <w:pStyle w:val="Heading3"/>
      </w:pPr>
      <w:r w:rsidRPr="00400027">
        <w:t xml:space="preserve">What factors have enabled or hindered success? </w:t>
      </w:r>
    </w:p>
    <w:p w14:paraId="6C5FAF28" w14:textId="77777777" w:rsidR="000F115B" w:rsidRPr="001C3AB9" w:rsidRDefault="000F115B" w:rsidP="00DD72F9">
      <w:pPr>
        <w:pStyle w:val="Heading4"/>
        <w:rPr>
          <w:rStyle w:val="eop"/>
        </w:rPr>
      </w:pPr>
      <w:r w:rsidRPr="001C3AB9">
        <w:rPr>
          <w:rStyle w:val="normaltextrun"/>
        </w:rPr>
        <w:t>Seeking out and listen to community voices</w:t>
      </w:r>
      <w:r w:rsidRPr="001C3AB9">
        <w:rPr>
          <w:rStyle w:val="eop"/>
        </w:rPr>
        <w:t> </w:t>
      </w:r>
    </w:p>
    <w:p w14:paraId="2DCF939C" w14:textId="77777777" w:rsidR="000F115B" w:rsidRDefault="000F115B" w:rsidP="00DD72F9">
      <w:pPr>
        <w:pStyle w:val="NormalWeb"/>
        <w:spacing w:before="120" w:beforeAutospacing="0" w:after="120" w:afterAutospacing="0"/>
      </w:pPr>
      <w:r>
        <w:t>Throughout the project, community voice has been actively sought through various avenues including the ALG and through the consultations of the OCARC. The ALG were consulted on projects under Tranches 1 and 2 and will feed into Tranche 3. These engagements have helped shaped projects and priorities under the community infrastructure project. In interviews, it was raised that there were differences in priorities identified through different consultation processes (through the CAP and by local councils). The diversity of opinion reflects the richness and complexity of communities. It also highlights the challenge government faces when seeking to "do things differently", as different groups can have differing opinions.</w:t>
      </w:r>
    </w:p>
    <w:p w14:paraId="0F5E87BD" w14:textId="77777777" w:rsidR="000F115B" w:rsidRDefault="000F115B" w:rsidP="00DD72F9">
      <w:pPr>
        <w:pStyle w:val="NormalWeb"/>
        <w:spacing w:before="120" w:beforeAutospacing="0" w:after="120" w:afterAutospacing="0"/>
      </w:pPr>
      <w:r w:rsidRPr="00CC7409">
        <w:t>In addition, it was raised that councils who would hold responsibility for delivering projects should have been included in discussions from the outset. This was also highlighted by ALG members in early ALG meetings</w:t>
      </w:r>
      <w:r>
        <w:t xml:space="preserve"> where the infrastructure projects were discussed. It is unclear how this information was utilised by government. </w:t>
      </w:r>
    </w:p>
    <w:p w14:paraId="388A1CC0" w14:textId="77777777" w:rsidR="000F115B" w:rsidRDefault="000F115B" w:rsidP="00DD72F9">
      <w:pPr>
        <w:pStyle w:val="NormalWeb"/>
        <w:spacing w:before="120" w:beforeAutospacing="0" w:after="120" w:afterAutospacing="0"/>
      </w:pPr>
      <w:r w:rsidRPr="00CC7409">
        <w:t xml:space="preserve">This highlights a need for broad and inclusive engagement from the outset including bringing all relevant stakeholders into the conversation early to build trust, surface differing perspectives, and co-design solutions that are more likely to gain broad community support. </w:t>
      </w:r>
    </w:p>
    <w:p w14:paraId="257DC958" w14:textId="77777777" w:rsidR="000F115B" w:rsidRPr="001E3BB5" w:rsidRDefault="000F115B" w:rsidP="00DD72F9">
      <w:pPr>
        <w:pStyle w:val="Heading4"/>
        <w:rPr>
          <w:rFonts w:eastAsiaTheme="majorEastAsia" w:cs="Segoe UI"/>
          <w:i w:val="0"/>
          <w:color w:val="009193"/>
        </w:rPr>
      </w:pPr>
      <w:r w:rsidRPr="001E3BB5">
        <w:rPr>
          <w:rStyle w:val="normaltextrun"/>
        </w:rPr>
        <w:t>Collecting and sharing regional data</w:t>
      </w:r>
      <w:r w:rsidRPr="001E3BB5">
        <w:rPr>
          <w:rStyle w:val="eop"/>
          <w:rFonts w:eastAsiaTheme="majorEastAsia" w:cs="Segoe UI"/>
          <w:color w:val="009193"/>
        </w:rPr>
        <w:t> </w:t>
      </w:r>
    </w:p>
    <w:p w14:paraId="65A1F568" w14:textId="77777777" w:rsidR="000F115B" w:rsidRPr="00C33D0F" w:rsidRDefault="000F115B" w:rsidP="00DD72F9">
      <w:pPr>
        <w:pStyle w:val="NormalWeb"/>
        <w:spacing w:before="120" w:beforeAutospacing="0" w:after="120" w:afterAutospacing="0"/>
      </w:pPr>
      <w:r>
        <w:t xml:space="preserve">DITRDCSA, NTG and the regional councils have consistently provided information and data to the ALG. This includes ongoing and regular progress updates, information and regional data including data on existing infrastructure and services in Central Australia. This is supporting accountability to the ALG and ensuring that local community members are provided with relevant information to inform ongoing decision-making. </w:t>
      </w:r>
    </w:p>
    <w:p w14:paraId="115078B7" w14:textId="77777777" w:rsidR="000F115B" w:rsidRPr="004477EA" w:rsidRDefault="000F115B" w:rsidP="00DD72F9">
      <w:pPr>
        <w:pStyle w:val="Heading4"/>
        <w:rPr>
          <w:i w:val="0"/>
          <w:color w:val="009193"/>
        </w:rPr>
      </w:pPr>
      <w:r w:rsidRPr="004477EA">
        <w:t xml:space="preserve">Other key highlighted elements: </w:t>
      </w:r>
    </w:p>
    <w:p w14:paraId="5733C777" w14:textId="77777777" w:rsidR="000F115B" w:rsidRDefault="000F115B" w:rsidP="00DD72F9">
      <w:r w:rsidRPr="00F8106B">
        <w:t>The capability of local councils was identified as a key factor contributing to project success, with local knowledge</w:t>
      </w:r>
      <w:r>
        <w:t xml:space="preserve"> and commitment to community supporting implementation of projects. </w:t>
      </w:r>
    </w:p>
    <w:p w14:paraId="787808E7" w14:textId="77777777" w:rsidR="000F115B" w:rsidRPr="005531DD" w:rsidRDefault="000F115B" w:rsidP="00DD72F9">
      <w:pPr>
        <w:rPr>
          <w:rFonts w:eastAsia="Helvetica" w:cs="Helvetica"/>
          <w:b/>
          <w:bCs/>
        </w:rPr>
      </w:pPr>
      <w:r>
        <w:t xml:space="preserve">A </w:t>
      </w:r>
      <w:r w:rsidRPr="00CC7409">
        <w:t xml:space="preserve">concern highlighted by stakeholders </w:t>
      </w:r>
      <w:r>
        <w:t xml:space="preserve">interviewed for this case study, </w:t>
      </w:r>
      <w:r w:rsidRPr="00CC7409">
        <w:t>and identified in the evaluation</w:t>
      </w:r>
      <w:r>
        <w:t>,</w:t>
      </w:r>
      <w:r w:rsidRPr="00CC7409">
        <w:t xml:space="preserve"> is </w:t>
      </w:r>
      <w:r>
        <w:t xml:space="preserve">a </w:t>
      </w:r>
      <w:r w:rsidRPr="00CC7409">
        <w:t>need for feasibility assessments. It was noted that infrastructure projects</w:t>
      </w:r>
      <w:proofErr w:type="gramStart"/>
      <w:r w:rsidRPr="00CC7409">
        <w:t>, in particular, require</w:t>
      </w:r>
      <w:proofErr w:type="gramEnd"/>
      <w:r w:rsidRPr="00CC7409">
        <w:t xml:space="preserve"> early and thorough feasibility planning to ensure they are realistic, appropriately scoped, and aligned with community needs and capacity.</w:t>
      </w:r>
      <w:r>
        <w:t xml:space="preserve"> For example, it was highlighted that a lack of feasibility assessment has led to </w:t>
      </w:r>
      <w:r w:rsidRPr="00CC7409">
        <w:t xml:space="preserve">projects risk delays, </w:t>
      </w:r>
      <w:r>
        <w:t xml:space="preserve">risk of </w:t>
      </w:r>
      <w:r w:rsidRPr="00CC7409">
        <w:t xml:space="preserve">underutilisation, </w:t>
      </w:r>
      <w:r>
        <w:t>and potential</w:t>
      </w:r>
      <w:r w:rsidRPr="00CC7409">
        <w:t xml:space="preserve"> challenges in long-term sustainability.</w:t>
      </w:r>
      <w:r>
        <w:t xml:space="preserve"> There is currently no ongoing funding for maintenance for some projects, and it is unclear who will be responsible for maintenance, raising issues of sustainability. </w:t>
      </w:r>
    </w:p>
    <w:p w14:paraId="46F204C6" w14:textId="77777777" w:rsidR="000F115B" w:rsidRDefault="000F115B" w:rsidP="000F115B">
      <w:pPr>
        <w:keepLines w:val="0"/>
        <w:widowControl/>
        <w:spacing w:before="0" w:after="0"/>
      </w:pPr>
    </w:p>
    <w:p w14:paraId="1713F25C" w14:textId="0CB2113A" w:rsidR="000F115B" w:rsidRPr="000F115B" w:rsidRDefault="000F115B">
      <w:pPr>
        <w:keepLines w:val="0"/>
        <w:widowControl/>
        <w:spacing w:before="0" w:after="0"/>
        <w:rPr>
          <w:b/>
          <w:bCs/>
          <w:color w:val="009999"/>
          <w:sz w:val="28"/>
          <w:szCs w:val="28"/>
        </w:rPr>
      </w:pPr>
    </w:p>
    <w:p w14:paraId="3EF8788E" w14:textId="77777777" w:rsidR="000F115B" w:rsidRDefault="000F115B">
      <w:pPr>
        <w:keepLines w:val="0"/>
        <w:widowControl/>
        <w:spacing w:before="0" w:after="0"/>
        <w:rPr>
          <w:b/>
          <w:color w:val="009999"/>
          <w:sz w:val="32"/>
          <w:szCs w:val="28"/>
        </w:rPr>
      </w:pPr>
      <w:r>
        <w:br w:type="page"/>
      </w:r>
    </w:p>
    <w:p w14:paraId="76DD5F5C" w14:textId="264BA4A8" w:rsidR="005564C2" w:rsidRPr="00FD0A5D" w:rsidRDefault="000F115B" w:rsidP="1A31B231">
      <w:pPr>
        <w:pStyle w:val="Heading1"/>
      </w:pPr>
      <w:bookmarkStart w:id="41" w:name="_Toc205475106"/>
      <w:r>
        <w:lastRenderedPageBreak/>
        <w:t>Conclusions &amp; r</w:t>
      </w:r>
      <w:r w:rsidR="005564C2">
        <w:t>ecommendations</w:t>
      </w:r>
      <w:bookmarkEnd w:id="41"/>
    </w:p>
    <w:p w14:paraId="559DC123" w14:textId="481ED797" w:rsidR="0094034C" w:rsidRPr="0029233F" w:rsidRDefault="0094034C" w:rsidP="0094034C">
      <w:pPr>
        <w:pStyle w:val="Heading4"/>
        <w:rPr>
          <w:i w:val="0"/>
          <w:iCs/>
          <w:color w:val="404040" w:themeColor="text1" w:themeTint="BF"/>
        </w:rPr>
      </w:pPr>
      <w:r w:rsidRPr="0029233F">
        <w:rPr>
          <w:i w:val="0"/>
          <w:color w:val="404040" w:themeColor="text1" w:themeTint="BF"/>
        </w:rPr>
        <w:t xml:space="preserve">The evaluation findings evidence that governments and First Nations communities can work together effectively in ways that are different to conventional practices of the past, </w:t>
      </w:r>
      <w:proofErr w:type="gramStart"/>
      <w:r w:rsidRPr="0029233F">
        <w:rPr>
          <w:i w:val="0"/>
          <w:color w:val="404040" w:themeColor="text1" w:themeTint="BF"/>
        </w:rPr>
        <w:t>in order to</w:t>
      </w:r>
      <w:proofErr w:type="gramEnd"/>
      <w:r w:rsidRPr="0029233F">
        <w:rPr>
          <w:i w:val="0"/>
          <w:color w:val="404040" w:themeColor="text1" w:themeTint="BF"/>
        </w:rPr>
        <w:t xml:space="preserve"> address complex and longstanding challenges. The CAP demonstrates the importance of partners committing to “doing things differently” while bringing this commitment to life in its design and implementation. The inclusion of a diversity of First Nations voices, including the voice of young people, through a range of governance structures within the CAP is one of its core strengths. The cross-government collaboration – particularly within the </w:t>
      </w:r>
      <w:r w:rsidR="00206027">
        <w:rPr>
          <w:i w:val="0"/>
          <w:color w:val="404040" w:themeColor="text1" w:themeTint="BF"/>
        </w:rPr>
        <w:t>Australian Government</w:t>
      </w:r>
      <w:r w:rsidRPr="0029233F">
        <w:rPr>
          <w:i w:val="0"/>
          <w:color w:val="404040" w:themeColor="text1" w:themeTint="BF"/>
        </w:rPr>
        <w:t xml:space="preserve"> and with local government</w:t>
      </w:r>
      <w:r w:rsidR="00206027">
        <w:rPr>
          <w:i w:val="0"/>
          <w:color w:val="404040" w:themeColor="text1" w:themeTint="BF"/>
        </w:rPr>
        <w:t>s</w:t>
      </w:r>
      <w:r w:rsidRPr="0029233F">
        <w:rPr>
          <w:i w:val="0"/>
          <w:color w:val="404040" w:themeColor="text1" w:themeTint="BF"/>
        </w:rPr>
        <w:t xml:space="preserve"> – is another strength.</w:t>
      </w:r>
    </w:p>
    <w:p w14:paraId="2007375B" w14:textId="77777777" w:rsidR="0094034C" w:rsidRPr="0029233F" w:rsidRDefault="0094034C" w:rsidP="0094034C">
      <w:r w:rsidRPr="0029233F">
        <w:t>These governance structures have laid important groundwork for more and deepened collaboration with governments as well as the direction of funding to the priorities, locations and initiatives that represent the greatest need as articulated by communities. In turn, this has led to early evidence of improvements in outcomes in the areas within the focus of the CAP.</w:t>
      </w:r>
    </w:p>
    <w:p w14:paraId="4407B20A" w14:textId="77777777" w:rsidR="008A7719" w:rsidRDefault="0094034C" w:rsidP="0094034C">
      <w:r w:rsidRPr="0029233F">
        <w:t>As the CAP moves from design into full implementation</w:t>
      </w:r>
      <w:r w:rsidR="008A7719">
        <w:t xml:space="preserve"> following the allocation of the remaining funds</w:t>
      </w:r>
      <w:r w:rsidRPr="0029233F">
        <w:t>, the evaluation findings illustrate the need for the CAP to</w:t>
      </w:r>
      <w:r w:rsidR="008A7719">
        <w:t>:</w:t>
      </w:r>
    </w:p>
    <w:p w14:paraId="66906F21" w14:textId="13276E43" w:rsidR="008A7719" w:rsidRDefault="008A7719" w:rsidP="003343AE">
      <w:pPr>
        <w:pStyle w:val="ListParagraph"/>
      </w:pPr>
      <w:r>
        <w:rPr>
          <w:b/>
          <w:bCs/>
        </w:rPr>
        <w:t>B</w:t>
      </w:r>
      <w:r w:rsidR="0094034C" w:rsidRPr="008A7719">
        <w:rPr>
          <w:b/>
          <w:bCs/>
        </w:rPr>
        <w:t>uild on its strengths</w:t>
      </w:r>
      <w:r>
        <w:t>, including clarifying its approach to “doing things differently”, strengthening the existing governance mechanisms, and continuing the learning through the government community of practice.</w:t>
      </w:r>
    </w:p>
    <w:p w14:paraId="663C38D9" w14:textId="76BCD62C" w:rsidR="008A7719" w:rsidRDefault="008A7719" w:rsidP="003343AE">
      <w:pPr>
        <w:pStyle w:val="ListParagraph"/>
      </w:pPr>
      <w:r w:rsidRPr="008A7719">
        <w:rPr>
          <w:b/>
          <w:bCs/>
        </w:rPr>
        <w:t>A</w:t>
      </w:r>
      <w:r w:rsidR="0094034C" w:rsidRPr="008A7719">
        <w:rPr>
          <w:b/>
          <w:bCs/>
        </w:rPr>
        <w:t>ddress implementation gaps</w:t>
      </w:r>
      <w:r>
        <w:t xml:space="preserve"> specifically in accelerating investment in the community safety initiatives</w:t>
      </w:r>
      <w:r w:rsidR="003343AE">
        <w:t xml:space="preserve"> that include justice, alcohol and other drugs, and strengths-based, early supports for young people</w:t>
      </w:r>
      <w:r>
        <w:t>.</w:t>
      </w:r>
    </w:p>
    <w:p w14:paraId="4FD93194" w14:textId="77777777" w:rsidR="008A7719" w:rsidRDefault="008A7719" w:rsidP="003343AE">
      <w:pPr>
        <w:pStyle w:val="ListParagraph"/>
      </w:pPr>
      <w:r w:rsidRPr="008A7719">
        <w:rPr>
          <w:b/>
          <w:bCs/>
        </w:rPr>
        <w:t>E</w:t>
      </w:r>
      <w:r w:rsidR="0094034C" w:rsidRPr="008A7719">
        <w:rPr>
          <w:b/>
          <w:bCs/>
        </w:rPr>
        <w:t>nsure policy alignment</w:t>
      </w:r>
      <w:r>
        <w:t xml:space="preserve"> at the national level with the National Agreement and addressing any misalignments between CAP objectives and NTG policy settings.</w:t>
      </w:r>
    </w:p>
    <w:p w14:paraId="4FE35727" w14:textId="254008E7" w:rsidR="0094034C" w:rsidRPr="0029233F" w:rsidRDefault="008A7719" w:rsidP="003343AE">
      <w:pPr>
        <w:pStyle w:val="ListParagraph"/>
      </w:pPr>
      <w:r w:rsidRPr="008A7719">
        <w:rPr>
          <w:b/>
          <w:bCs/>
        </w:rPr>
        <w:t>E</w:t>
      </w:r>
      <w:r w:rsidR="0094034C" w:rsidRPr="008A7719">
        <w:rPr>
          <w:b/>
          <w:bCs/>
        </w:rPr>
        <w:t>ngage with the Central Australia</w:t>
      </w:r>
      <w:r w:rsidR="0094034C" w:rsidRPr="0029233F">
        <w:t xml:space="preserve"> community</w:t>
      </w:r>
      <w:r>
        <w:t xml:space="preserve"> to share and promote the CAP, its progress and achievements</w:t>
      </w:r>
      <w:r w:rsidR="0094034C" w:rsidRPr="0029233F">
        <w:t>.</w:t>
      </w:r>
    </w:p>
    <w:p w14:paraId="5F935CBE" w14:textId="77777777" w:rsidR="0094034C" w:rsidRPr="0029233F" w:rsidRDefault="0094034C" w:rsidP="0094034C">
      <w:r w:rsidRPr="0029233F">
        <w:t>Recommendations that respond to these broad themes are outlined below.</w:t>
      </w:r>
    </w:p>
    <w:p w14:paraId="3359BC3E" w14:textId="77777777" w:rsidR="0094034C" w:rsidRPr="0029233F" w:rsidRDefault="0094034C" w:rsidP="0094034C">
      <w:pPr>
        <w:pStyle w:val="Heading3"/>
      </w:pPr>
      <w:r w:rsidRPr="0029233F">
        <w:t>Build on the CAPs strengths</w:t>
      </w:r>
    </w:p>
    <w:p w14:paraId="14975A7D" w14:textId="77777777" w:rsidR="0094034C" w:rsidRPr="0029233F" w:rsidRDefault="0094034C" w:rsidP="0094034C">
      <w:pPr>
        <w:pStyle w:val="Heading4"/>
      </w:pPr>
      <w:r w:rsidRPr="0029233F">
        <w:t>Recommendation 1: Develop and implement a comprehensive set of guidelines for “doing things differently”.</w:t>
      </w:r>
    </w:p>
    <w:p w14:paraId="0D771739" w14:textId="77777777" w:rsidR="0094034C" w:rsidRPr="0029233F" w:rsidRDefault="0094034C" w:rsidP="0094034C">
      <w:r w:rsidRPr="0029233F">
        <w:t>The evaluation has found that governments and communities can work together in a different way and this different way does achieve outcomes. This recommendation involves NIAA and ALG, in partnership, developing and publishing guidelines that further embed and strengthen this approach by:</w:t>
      </w:r>
    </w:p>
    <w:p w14:paraId="2CC2A6D2" w14:textId="77777777" w:rsidR="0094034C" w:rsidRPr="0029233F" w:rsidRDefault="0094034C" w:rsidP="004C6984">
      <w:pPr>
        <w:pStyle w:val="ListParagraph"/>
        <w:numPr>
          <w:ilvl w:val="0"/>
          <w:numId w:val="29"/>
        </w:numPr>
      </w:pPr>
      <w:r w:rsidRPr="0029233F">
        <w:t>clearly defining what “doing things differently” means in the CAP context</w:t>
      </w:r>
    </w:p>
    <w:p w14:paraId="42869A35" w14:textId="77777777" w:rsidR="0094034C" w:rsidRPr="0029233F" w:rsidRDefault="0094034C" w:rsidP="004C6984">
      <w:pPr>
        <w:pStyle w:val="ListParagraph"/>
        <w:numPr>
          <w:ilvl w:val="0"/>
          <w:numId w:val="29"/>
        </w:numPr>
      </w:pPr>
      <w:r w:rsidRPr="0029233F">
        <w:t>explaining why doing things differently is important</w:t>
      </w:r>
    </w:p>
    <w:p w14:paraId="40D6CDE1" w14:textId="77777777" w:rsidR="0094034C" w:rsidRPr="0029233F" w:rsidRDefault="0094034C" w:rsidP="004C6984">
      <w:pPr>
        <w:pStyle w:val="ListParagraph"/>
        <w:numPr>
          <w:ilvl w:val="0"/>
          <w:numId w:val="29"/>
        </w:numPr>
      </w:pPr>
      <w:r w:rsidRPr="0029233F">
        <w:t>setting out the commitments that all CAP stakeholders must make and uphold when engaging with / investing in the CAP</w:t>
      </w:r>
    </w:p>
    <w:p w14:paraId="0BA4F66D" w14:textId="77777777" w:rsidR="0094034C" w:rsidRPr="0029233F" w:rsidRDefault="0094034C" w:rsidP="004C6984">
      <w:pPr>
        <w:pStyle w:val="ListParagraph"/>
        <w:numPr>
          <w:ilvl w:val="0"/>
          <w:numId w:val="29"/>
        </w:numPr>
      </w:pPr>
      <w:r w:rsidRPr="0029233F">
        <w:t xml:space="preserve">outlining the practical measures all CAP stakeholders will implement </w:t>
      </w:r>
      <w:proofErr w:type="gramStart"/>
      <w:r w:rsidRPr="0029233F">
        <w:t>in order to</w:t>
      </w:r>
      <w:proofErr w:type="gramEnd"/>
      <w:r w:rsidRPr="0029233F">
        <w:t xml:space="preserve"> do things differently while also aligning to the National Agreement Priority Reforms</w:t>
      </w:r>
    </w:p>
    <w:p w14:paraId="528E643A" w14:textId="77777777" w:rsidR="0094034C" w:rsidRPr="0029233F" w:rsidRDefault="0094034C" w:rsidP="004C6984">
      <w:pPr>
        <w:pStyle w:val="ListParagraph"/>
        <w:numPr>
          <w:ilvl w:val="0"/>
          <w:numId w:val="29"/>
        </w:numPr>
      </w:pPr>
      <w:r w:rsidRPr="0029233F">
        <w:t>outlining mechanisms to hold all CAP stakeholders to account for upholding their commitment to do things differently.</w:t>
      </w:r>
    </w:p>
    <w:p w14:paraId="3BA7DA7D" w14:textId="77777777" w:rsidR="0094034C" w:rsidRPr="0029233F" w:rsidRDefault="0094034C" w:rsidP="0094034C">
      <w:r w:rsidRPr="0029233F">
        <w:t>These measures aim to build a shared understanding of “doing things differently” across CAP stakeholders, align the CAP’s implementation more strongly to the National Agreement Priority Reforms, and provide a mechanism for accountability.</w:t>
      </w:r>
    </w:p>
    <w:p w14:paraId="3175C9F3" w14:textId="77777777" w:rsidR="0094034C" w:rsidRPr="0029233F" w:rsidRDefault="0094034C" w:rsidP="0094034C">
      <w:pPr>
        <w:pStyle w:val="Heading4"/>
      </w:pPr>
      <w:r w:rsidRPr="0029233F">
        <w:t>Recommendation 2: Continue and strengthen the current CAP governance mechanisms.</w:t>
      </w:r>
    </w:p>
    <w:p w14:paraId="0ED12F45" w14:textId="77777777" w:rsidR="0094034C" w:rsidRPr="0029233F" w:rsidRDefault="0094034C" w:rsidP="0094034C">
      <w:r w:rsidRPr="0029233F">
        <w:t>The current CAP governance mechanisms are the ALG, YRT and IDC and they are a strong foundation for the continued implementation of the CAP. This recommendation involves continuing these three governance mechanisms while strengthening each in the following areas:</w:t>
      </w:r>
    </w:p>
    <w:p w14:paraId="0A0F2231" w14:textId="058CC1AA" w:rsidR="0094034C" w:rsidRPr="0029233F" w:rsidRDefault="0094034C" w:rsidP="004C6984">
      <w:pPr>
        <w:pStyle w:val="ListParagraph"/>
        <w:numPr>
          <w:ilvl w:val="0"/>
          <w:numId w:val="28"/>
        </w:numPr>
      </w:pPr>
      <w:r w:rsidRPr="0029233F">
        <w:t>enabling the ALG and YRT to seek expert external advice (e.g. subject-matter expertise and/or community-specific</w:t>
      </w:r>
      <w:r w:rsidR="002522A8">
        <w:t>, place-based</w:t>
      </w:r>
      <w:r w:rsidRPr="0029233F">
        <w:t xml:space="preserve"> knowledge) to enable evidence-informed advice on future funding, policy directions and implementation</w:t>
      </w:r>
    </w:p>
    <w:p w14:paraId="019F6727" w14:textId="77777777" w:rsidR="0094034C" w:rsidRPr="0029233F" w:rsidRDefault="0094034C" w:rsidP="004C6984">
      <w:pPr>
        <w:pStyle w:val="ListParagraph"/>
        <w:numPr>
          <w:ilvl w:val="0"/>
          <w:numId w:val="28"/>
        </w:numPr>
      </w:pPr>
      <w:r w:rsidRPr="0029233F">
        <w:t xml:space="preserve">updating the ALG’s process and criteria for advising on funding and implementation to include the evidence on the need as well as the evidence on what is most effective </w:t>
      </w:r>
    </w:p>
    <w:p w14:paraId="0199D3E4" w14:textId="77777777" w:rsidR="0094034C" w:rsidRPr="009E02C7" w:rsidRDefault="0094034C" w:rsidP="004C6984">
      <w:pPr>
        <w:pStyle w:val="ListParagraph"/>
        <w:numPr>
          <w:ilvl w:val="0"/>
          <w:numId w:val="28"/>
        </w:numPr>
      </w:pPr>
      <w:r w:rsidRPr="009E02C7">
        <w:lastRenderedPageBreak/>
        <w:t>seeking advice from NTG, local councils and community organisations on the feasibility and viability of existing and future funding allocations, especially regarding infrastructure investments</w:t>
      </w:r>
    </w:p>
    <w:p w14:paraId="05628E86" w14:textId="77777777" w:rsidR="0094034C" w:rsidRPr="0029233F" w:rsidRDefault="0094034C" w:rsidP="004C6984">
      <w:pPr>
        <w:pStyle w:val="ListParagraph"/>
        <w:numPr>
          <w:ilvl w:val="0"/>
          <w:numId w:val="28"/>
        </w:numPr>
      </w:pPr>
      <w:r w:rsidRPr="0029233F">
        <w:t>ensuring the ALG and YRT both continue to provide advice for the extended life of the CAP</w:t>
      </w:r>
    </w:p>
    <w:p w14:paraId="4F4BFC8A" w14:textId="50906FD8" w:rsidR="001B638E" w:rsidRDefault="0094034C" w:rsidP="004C6984">
      <w:pPr>
        <w:pStyle w:val="ListParagraph"/>
        <w:numPr>
          <w:ilvl w:val="0"/>
          <w:numId w:val="28"/>
        </w:numPr>
      </w:pPr>
      <w:r w:rsidRPr="0029233F">
        <w:t xml:space="preserve">ensuring senior First Nations’ representation of </w:t>
      </w:r>
      <w:r w:rsidR="00206027">
        <w:t>Australian Government</w:t>
      </w:r>
      <w:r w:rsidRPr="0029233F">
        <w:t xml:space="preserve"> agencies on the IDC</w:t>
      </w:r>
    </w:p>
    <w:p w14:paraId="3102631A" w14:textId="0CD73DC9" w:rsidR="0094034C" w:rsidRPr="0029233F" w:rsidRDefault="001B638E" w:rsidP="004C6984">
      <w:pPr>
        <w:pStyle w:val="ListParagraph"/>
        <w:numPr>
          <w:ilvl w:val="0"/>
          <w:numId w:val="28"/>
        </w:numPr>
      </w:pPr>
      <w:r>
        <w:t>holding ALG and YRT meetings in communities outside of Alice Springs</w:t>
      </w:r>
      <w:r w:rsidR="0094034C" w:rsidRPr="0029233F">
        <w:t>.</w:t>
      </w:r>
    </w:p>
    <w:p w14:paraId="43A0B92B" w14:textId="77777777" w:rsidR="0094034C" w:rsidRPr="0029233F" w:rsidRDefault="0094034C" w:rsidP="0094034C">
      <w:r w:rsidRPr="0029233F">
        <w:t>These adaptations must be supported by:</w:t>
      </w:r>
    </w:p>
    <w:p w14:paraId="07EC8B37" w14:textId="77777777" w:rsidR="0094034C" w:rsidRPr="0029233F" w:rsidRDefault="0094034C" w:rsidP="004C6984">
      <w:pPr>
        <w:pStyle w:val="ListParagraph"/>
        <w:numPr>
          <w:ilvl w:val="0"/>
          <w:numId w:val="34"/>
        </w:numPr>
      </w:pPr>
      <w:r w:rsidRPr="0029233F">
        <w:t>a continuous and consistent NIAA team at the CAPI Taskforce and Regional Network levels that has the knowledge, experience and relationships required for the implementation phase of the CAP and to build trust with the ALG and YRT over time</w:t>
      </w:r>
    </w:p>
    <w:p w14:paraId="18A57E05" w14:textId="77777777" w:rsidR="0094034C" w:rsidRPr="0029233F" w:rsidRDefault="0094034C" w:rsidP="004C6984">
      <w:pPr>
        <w:pStyle w:val="ListParagraph"/>
        <w:numPr>
          <w:ilvl w:val="0"/>
          <w:numId w:val="34"/>
        </w:numPr>
      </w:pPr>
      <w:r w:rsidRPr="0029233F">
        <w:t>internal reporting and handover processes between NIAA, ALG and YRT where NIAA staff changes are unavoidable</w:t>
      </w:r>
    </w:p>
    <w:p w14:paraId="1FE052C5" w14:textId="45682483" w:rsidR="0094034C" w:rsidRPr="0029233F" w:rsidRDefault="0094034C" w:rsidP="004C6984">
      <w:pPr>
        <w:pStyle w:val="ListParagraph"/>
        <w:numPr>
          <w:ilvl w:val="0"/>
          <w:numId w:val="34"/>
        </w:numPr>
      </w:pPr>
      <w:r w:rsidRPr="0029233F">
        <w:t xml:space="preserve">an investment approach that examines the feasibility and ongoing sustainability of initiatives funded under the </w:t>
      </w:r>
      <w:r w:rsidR="00696FF5" w:rsidRPr="0029233F">
        <w:t>CAP and</w:t>
      </w:r>
      <w:r w:rsidRPr="0029233F">
        <w:t xml:space="preserve"> ensuring that projects elected are the most impactful for funding.</w:t>
      </w:r>
    </w:p>
    <w:p w14:paraId="7BD417F2" w14:textId="77777777" w:rsidR="0094034C" w:rsidRPr="0029233F" w:rsidRDefault="0094034C" w:rsidP="0094034C">
      <w:r w:rsidRPr="0029233F">
        <w:t>These measures aim to strengthen the viability and sustainability of funding decisions while supporting participation and informed decision-making.</w:t>
      </w:r>
    </w:p>
    <w:p w14:paraId="12A78A97" w14:textId="77777777" w:rsidR="0094034C" w:rsidRPr="0029233F" w:rsidRDefault="0094034C" w:rsidP="0094034C">
      <w:pPr>
        <w:pStyle w:val="Heading4"/>
      </w:pPr>
      <w:r w:rsidRPr="0029233F">
        <w:t>Recommendation 3: Continue and strengthen the community of practice for government agencies.</w:t>
      </w:r>
    </w:p>
    <w:p w14:paraId="407C7715" w14:textId="56D80180" w:rsidR="0094034C" w:rsidRPr="0029233F" w:rsidRDefault="0094034C" w:rsidP="0094034C">
      <w:r>
        <w:t xml:space="preserve">The current community of practice comprises </w:t>
      </w:r>
      <w:r w:rsidR="00206027">
        <w:t>Australian Government</w:t>
      </w:r>
      <w:r>
        <w:t xml:space="preserve"> agencies and shares lessons on collaboration, working across agencies, and broader government alignment. This recommendation involves expanding the current community of practice to </w:t>
      </w:r>
      <w:r w:rsidR="002522A8">
        <w:t>focus on practical actions that can be undertaken by agencies and the NTG to “do things differently” based on the learnings from this evaluatio</w:t>
      </w:r>
      <w:r w:rsidR="002522A8" w:rsidRPr="002522A8">
        <w:t>n</w:t>
      </w:r>
      <w:r w:rsidRPr="002522A8">
        <w:t>.</w:t>
      </w:r>
      <w:r>
        <w:t xml:space="preserve"> These measures aim to accelerate the uptake of learnings on how to do things differently while involving the NTG in these learnings.</w:t>
      </w:r>
    </w:p>
    <w:p w14:paraId="01F12B43" w14:textId="77777777" w:rsidR="0094034C" w:rsidRPr="0029233F" w:rsidRDefault="0094034C" w:rsidP="0094034C">
      <w:pPr>
        <w:pStyle w:val="Heading3"/>
      </w:pPr>
      <w:r w:rsidRPr="0029233F">
        <w:t>Address gaps in CAP priority implementation</w:t>
      </w:r>
    </w:p>
    <w:p w14:paraId="1C155985" w14:textId="77777777" w:rsidR="0094034C" w:rsidRPr="0029233F" w:rsidRDefault="0094034C" w:rsidP="008A7719">
      <w:pPr>
        <w:pStyle w:val="Heading4"/>
      </w:pPr>
      <w:r w:rsidRPr="0029233F">
        <w:t>Recommendation 4: Accelerate and strengthen the investments in community safety initiatives.</w:t>
      </w:r>
    </w:p>
    <w:p w14:paraId="7A181549" w14:textId="77777777" w:rsidR="0094034C" w:rsidRPr="0029233F" w:rsidRDefault="0094034C" w:rsidP="0094034C">
      <w:r w:rsidRPr="0029233F">
        <w:t>The evaluation found the community safety priority was the least progressed in terms of funding allocations and early evidence of improvement in outcome. This recommendation involves:</w:t>
      </w:r>
    </w:p>
    <w:p w14:paraId="08F59DCA" w14:textId="4A12CD07" w:rsidR="0094034C" w:rsidRPr="0029233F" w:rsidRDefault="0094034C" w:rsidP="004C6984">
      <w:pPr>
        <w:pStyle w:val="ListParagraph"/>
        <w:numPr>
          <w:ilvl w:val="0"/>
          <w:numId w:val="30"/>
        </w:numPr>
      </w:pPr>
      <w:r w:rsidRPr="0029233F">
        <w:t>the ALG and YRT having a dedicated focus on community safety initiatives</w:t>
      </w:r>
      <w:r w:rsidR="003343AE">
        <w:t xml:space="preserve"> that address the root cause of</w:t>
      </w:r>
      <w:r w:rsidR="00263490">
        <w:t xml:space="preserve"> social unrest and crime</w:t>
      </w:r>
      <w:r w:rsidRPr="0029233F">
        <w:t xml:space="preserve"> to form advice to NIAA on the evidence-informed projects should be funded over the next three months with a view to allocating all remaining funds committed to this priority stream</w:t>
      </w:r>
    </w:p>
    <w:p w14:paraId="51B3030F" w14:textId="77777777" w:rsidR="0094034C" w:rsidRPr="0029233F" w:rsidRDefault="0094034C" w:rsidP="004C6984">
      <w:pPr>
        <w:pStyle w:val="ListParagraph"/>
        <w:numPr>
          <w:ilvl w:val="0"/>
          <w:numId w:val="30"/>
        </w:numPr>
      </w:pPr>
      <w:r w:rsidRPr="0029233F">
        <w:t>IDC assessing this advice with a view to quickly commissioning First Nations-led organisations to deliver community safety projects</w:t>
      </w:r>
    </w:p>
    <w:p w14:paraId="5B892486" w14:textId="1B48C404" w:rsidR="0094034C" w:rsidRPr="0029233F" w:rsidRDefault="0094034C" w:rsidP="004C6984">
      <w:pPr>
        <w:pStyle w:val="ListParagraph"/>
        <w:numPr>
          <w:ilvl w:val="0"/>
          <w:numId w:val="30"/>
        </w:numPr>
      </w:pPr>
      <w:r w:rsidRPr="0029233F">
        <w:t xml:space="preserve">the </w:t>
      </w:r>
      <w:r w:rsidR="00206027">
        <w:t>Australian Government</w:t>
      </w:r>
      <w:r w:rsidRPr="0029233F">
        <w:t xml:space="preserve"> negotiating with the NTG arrangements for jointly supporting evidence-informed, community-led community safety initiatives.</w:t>
      </w:r>
    </w:p>
    <w:p w14:paraId="374B0CDC" w14:textId="77777777" w:rsidR="0094034C" w:rsidRPr="0029233F" w:rsidRDefault="0094034C" w:rsidP="0094034C">
      <w:r w:rsidRPr="0029233F">
        <w:t>These measures aim to address the underlying root causes that led to the CAP as they relate to community safety, justice and social cohesion. </w:t>
      </w:r>
      <w:r w:rsidRPr="0029233F">
        <w:rPr>
          <w:lang w:val="en-US"/>
        </w:rPr>
        <w:t> </w:t>
      </w:r>
    </w:p>
    <w:p w14:paraId="55392824" w14:textId="77777777" w:rsidR="0094034C" w:rsidRPr="0029233F" w:rsidRDefault="0094034C" w:rsidP="0094034C">
      <w:pPr>
        <w:pStyle w:val="Heading3"/>
      </w:pPr>
      <w:r w:rsidRPr="0029233F">
        <w:t>Align CAP priorities and other policy settings</w:t>
      </w:r>
    </w:p>
    <w:p w14:paraId="0CC5CD37" w14:textId="77777777" w:rsidR="0094034C" w:rsidRPr="0029233F" w:rsidRDefault="0094034C" w:rsidP="0094034C">
      <w:pPr>
        <w:pStyle w:val="Heading4"/>
      </w:pPr>
      <w:r w:rsidRPr="0029233F">
        <w:t>Recommendation 5: Review and align CAP implementation to the National Agreement Targets.</w:t>
      </w:r>
    </w:p>
    <w:p w14:paraId="1B5E6C2F" w14:textId="77777777" w:rsidR="0094034C" w:rsidRPr="0029233F" w:rsidRDefault="0094034C" w:rsidP="0094034C">
      <w:r w:rsidRPr="0029233F">
        <w:t>The CAP priority streams and the data collection process related to the CAP funding do not explicitly relate to the National Agreement Targets. This makes it challenging to establish the connection between CAP investments, outcomes achieved and contribution to CtG targets. This recommendation involves NIAA leading a comprehensive stocktake of the CAP priority streams, funding allocations and funded initiatives/projects to identify their relationship to CtG outcomes and targets. The result of this stocktake is to:</w:t>
      </w:r>
    </w:p>
    <w:p w14:paraId="1068F934" w14:textId="77777777" w:rsidR="0094034C" w:rsidRPr="0029233F" w:rsidRDefault="0094034C" w:rsidP="004C6984">
      <w:pPr>
        <w:pStyle w:val="ListParagraph"/>
        <w:numPr>
          <w:ilvl w:val="0"/>
          <w:numId w:val="32"/>
        </w:numPr>
      </w:pPr>
      <w:r w:rsidRPr="0029233F">
        <w:t>develop a CAP Outcomes Framework that establishes a clear connection between CAP priorities and CtG Outcomes and Targets</w:t>
      </w:r>
    </w:p>
    <w:p w14:paraId="262D0739" w14:textId="77777777" w:rsidR="0094034C" w:rsidRPr="0029233F" w:rsidRDefault="0094034C" w:rsidP="004C6984">
      <w:pPr>
        <w:pStyle w:val="ListParagraph"/>
        <w:numPr>
          <w:ilvl w:val="0"/>
          <w:numId w:val="32"/>
        </w:numPr>
      </w:pPr>
      <w:r w:rsidRPr="0029233F">
        <w:t>develop a data collection and reporting system for CAP that aligns to the Outcomes Framework.</w:t>
      </w:r>
    </w:p>
    <w:p w14:paraId="287AEC8D" w14:textId="77777777" w:rsidR="0094034C" w:rsidRPr="0029233F" w:rsidRDefault="0094034C" w:rsidP="0094034C">
      <w:r w:rsidRPr="0029233F">
        <w:t>These measures will ensure that NIAA collects the required data to evidence the relationship between CtG and CAP.</w:t>
      </w:r>
    </w:p>
    <w:p w14:paraId="65BB00A7" w14:textId="77777777" w:rsidR="0047541F" w:rsidRDefault="0047541F" w:rsidP="0094034C">
      <w:pPr>
        <w:pStyle w:val="Heading4"/>
      </w:pPr>
    </w:p>
    <w:p w14:paraId="0ED1A4B5" w14:textId="7197C059" w:rsidR="0094034C" w:rsidRPr="0029233F" w:rsidRDefault="0094034C" w:rsidP="0094034C">
      <w:pPr>
        <w:pStyle w:val="Heading4"/>
      </w:pPr>
      <w:r w:rsidRPr="0029233F">
        <w:lastRenderedPageBreak/>
        <w:t>Recommendation 6: Address misalignments between CAP priorities and relevant NTG policies.</w:t>
      </w:r>
    </w:p>
    <w:p w14:paraId="1BA8722C" w14:textId="00BDB9F1" w:rsidR="0094034C" w:rsidRPr="0029233F" w:rsidRDefault="0094034C" w:rsidP="0094034C">
      <w:r w:rsidRPr="0029233F">
        <w:t xml:space="preserve">The evaluation found the NTG plays a limited role in the implementation of the CAP and in some instances has adapted policy settings that work against the objectives of the CAP. Given the influential and significant role of the NTG in Central Australia, it is imperative that any misalignments between the priorities of the two levels of government and community are addressed. This can help to achieve the intent of the CAP for the </w:t>
      </w:r>
      <w:r w:rsidR="0091342F">
        <w:t>Australian Government</w:t>
      </w:r>
      <w:r w:rsidR="00A72F76">
        <w:t xml:space="preserve"> </w:t>
      </w:r>
      <w:r w:rsidRPr="0029233F">
        <w:t>to work in partnership with the NTG.</w:t>
      </w:r>
    </w:p>
    <w:p w14:paraId="2830C13A" w14:textId="7ED77B54" w:rsidR="0094034C" w:rsidRPr="0029233F" w:rsidRDefault="0094034C" w:rsidP="0094034C">
      <w:r w:rsidRPr="0029233F">
        <w:t xml:space="preserve">This recommendation involves the </w:t>
      </w:r>
      <w:r w:rsidR="00206027">
        <w:t>Australian Government</w:t>
      </w:r>
      <w:r w:rsidR="00206027" w:rsidRPr="0029233F">
        <w:t xml:space="preserve"> </w:t>
      </w:r>
      <w:r w:rsidRPr="0029233F">
        <w:t>and NTG working together to:</w:t>
      </w:r>
    </w:p>
    <w:p w14:paraId="71718D3B" w14:textId="77777777" w:rsidR="0094034C" w:rsidRPr="0029233F" w:rsidRDefault="0094034C" w:rsidP="004C6984">
      <w:pPr>
        <w:pStyle w:val="ListParagraph"/>
        <w:numPr>
          <w:ilvl w:val="0"/>
          <w:numId w:val="33"/>
        </w:numPr>
      </w:pPr>
      <w:r w:rsidRPr="0029233F">
        <w:t>identify areas of alignment and misalignment between CAP priorities and NTG policy settings</w:t>
      </w:r>
    </w:p>
    <w:p w14:paraId="2C44155C" w14:textId="2E698331" w:rsidR="0094034C" w:rsidRPr="0029233F" w:rsidRDefault="0094034C" w:rsidP="004C6984">
      <w:pPr>
        <w:pStyle w:val="ListParagraph"/>
        <w:numPr>
          <w:ilvl w:val="0"/>
          <w:numId w:val="33"/>
        </w:numPr>
      </w:pPr>
      <w:r w:rsidRPr="0029233F">
        <w:t xml:space="preserve">agree arrangements for embedding areas of alignment including any funding arrangements, accountabilities, and roles and responsibilities of the NTG versus the </w:t>
      </w:r>
      <w:r w:rsidR="00206027">
        <w:t>Australian Government</w:t>
      </w:r>
    </w:p>
    <w:p w14:paraId="4AF426BD" w14:textId="77777777" w:rsidR="0094034C" w:rsidRPr="0029233F" w:rsidRDefault="0094034C" w:rsidP="004C6984">
      <w:pPr>
        <w:pStyle w:val="ListParagraph"/>
        <w:numPr>
          <w:ilvl w:val="0"/>
          <w:numId w:val="33"/>
        </w:numPr>
      </w:pPr>
      <w:r w:rsidRPr="0029233F">
        <w:t>negotiate how and on what terms the areas of misalignment between CAP priorities and NTG policy settings will be resolved and consequences if they can’t be resolved.</w:t>
      </w:r>
    </w:p>
    <w:p w14:paraId="137F02F8" w14:textId="35EC608A" w:rsidR="0094034C" w:rsidRPr="0029233F" w:rsidRDefault="0094034C" w:rsidP="0094034C">
      <w:r w:rsidRPr="0029233F">
        <w:t xml:space="preserve">These measures </w:t>
      </w:r>
      <w:r>
        <w:t>aim to resolve</w:t>
      </w:r>
      <w:r w:rsidRPr="0029233F">
        <w:t xml:space="preserve"> any inconsistencies between the priorities and policy settings are understood and addressed</w:t>
      </w:r>
      <w:r w:rsidR="007B7DC8">
        <w:t>,</w:t>
      </w:r>
      <w:r w:rsidRPr="0029233F">
        <w:t xml:space="preserve"> </w:t>
      </w:r>
      <w:proofErr w:type="gramStart"/>
      <w:r w:rsidRPr="0029233F">
        <w:t>in order to</w:t>
      </w:r>
      <w:proofErr w:type="gramEnd"/>
      <w:r w:rsidRPr="0029233F">
        <w:t xml:space="preserve"> support the overall success and intent of the CAP.</w:t>
      </w:r>
    </w:p>
    <w:p w14:paraId="0AA1A390" w14:textId="77777777" w:rsidR="0094034C" w:rsidRPr="0029233F" w:rsidRDefault="0094034C" w:rsidP="0094034C">
      <w:pPr>
        <w:pStyle w:val="Heading3"/>
      </w:pPr>
      <w:r w:rsidRPr="0029233F">
        <w:t>Share information about the CAP</w:t>
      </w:r>
    </w:p>
    <w:p w14:paraId="760C7904" w14:textId="77777777" w:rsidR="0094034C" w:rsidRPr="0029233F" w:rsidRDefault="0094034C" w:rsidP="0094034C">
      <w:pPr>
        <w:pStyle w:val="Heading4"/>
      </w:pPr>
      <w:r w:rsidRPr="0029233F">
        <w:t>Recommendation 7: Frequently share information with the Central Australia community about the CAP.</w:t>
      </w:r>
    </w:p>
    <w:p w14:paraId="578B8703" w14:textId="77777777" w:rsidR="0094034C" w:rsidRPr="0029233F" w:rsidRDefault="0094034C" w:rsidP="0094034C">
      <w:r w:rsidRPr="0029233F">
        <w:t>The CAP has made significant progress since the $250m investment was announced, however the Central Australian community and service providers specifically report being unaware of its progress and what it is achieving. This recommendation involves the CAPI Taskforce, in partnership with the ALG and YRT, establishing and coordinating a CAP Communication Plan that, at a minimum, shares information with the Central Australian community including service providers and other stakeholders about what the CAP aims to achieve, what has been funded under the CAP, and what has been achieved so far. This information should be:</w:t>
      </w:r>
    </w:p>
    <w:p w14:paraId="1EC761F9" w14:textId="77777777" w:rsidR="0094034C" w:rsidRPr="0029233F" w:rsidRDefault="0094034C" w:rsidP="004C6984">
      <w:pPr>
        <w:pStyle w:val="ListParagraph"/>
        <w:numPr>
          <w:ilvl w:val="0"/>
          <w:numId w:val="31"/>
        </w:numPr>
      </w:pPr>
      <w:r w:rsidRPr="0029233F">
        <w:t>shared every six months</w:t>
      </w:r>
    </w:p>
    <w:p w14:paraId="620645CD" w14:textId="77777777" w:rsidR="0094034C" w:rsidRPr="0029233F" w:rsidRDefault="0094034C" w:rsidP="004C6984">
      <w:pPr>
        <w:pStyle w:val="ListParagraph"/>
        <w:numPr>
          <w:ilvl w:val="0"/>
          <w:numId w:val="31"/>
        </w:numPr>
      </w:pPr>
      <w:r w:rsidRPr="0029233F">
        <w:t>accessible and easy to understand</w:t>
      </w:r>
    </w:p>
    <w:p w14:paraId="25B0BA18" w14:textId="77777777" w:rsidR="0094034C" w:rsidRDefault="0094034C" w:rsidP="004C6984">
      <w:pPr>
        <w:pStyle w:val="ListParagraph"/>
        <w:numPr>
          <w:ilvl w:val="0"/>
          <w:numId w:val="31"/>
        </w:numPr>
      </w:pPr>
      <w:r w:rsidRPr="0029233F">
        <w:t xml:space="preserve">disseminated through a range of channels including social media, local radio, posters or newsletters. </w:t>
      </w:r>
    </w:p>
    <w:p w14:paraId="6A402294" w14:textId="7F872ABE" w:rsidR="00312324" w:rsidRPr="00312324" w:rsidRDefault="0094034C" w:rsidP="1A31B231">
      <w:r>
        <w:t xml:space="preserve">These measures aim to </w:t>
      </w:r>
      <w:r w:rsidRPr="009E02C7">
        <w:t>improve the Central Australian community’s understanding of the CAP, its progress and the outcomes it is achieving</w:t>
      </w:r>
      <w:r>
        <w:t>.</w:t>
      </w:r>
    </w:p>
    <w:p w14:paraId="756FADC0" w14:textId="4AAC9FE4" w:rsidR="00410FCE" w:rsidRPr="00EC6311" w:rsidRDefault="00410FCE" w:rsidP="00DA4528">
      <w:r>
        <w:br w:type="page"/>
      </w:r>
    </w:p>
    <w:p w14:paraId="335B9214" w14:textId="57950BCA" w:rsidR="00B82FDC" w:rsidRPr="00B82FDC" w:rsidRDefault="00853415" w:rsidP="00853415">
      <w:pPr>
        <w:pStyle w:val="Heading1"/>
        <w:rPr>
          <w:rFonts w:ascii="Segoe UI" w:hAnsi="Segoe UI"/>
          <w:color w:val="2F5496"/>
          <w:sz w:val="18"/>
          <w:szCs w:val="18"/>
        </w:rPr>
      </w:pPr>
      <w:bookmarkStart w:id="42" w:name="_Toc205475107"/>
      <w:r>
        <w:lastRenderedPageBreak/>
        <w:t>Appendix A: References</w:t>
      </w:r>
      <w:bookmarkEnd w:id="42"/>
    </w:p>
    <w:p w14:paraId="289D22F4" w14:textId="77777777" w:rsidR="004A72D1" w:rsidRPr="004A72D1" w:rsidRDefault="004A72D1" w:rsidP="004A72D1">
      <w:pPr>
        <w:pStyle w:val="FootnoteText"/>
        <w:rPr>
          <w:rFonts w:ascii="Segoe UI" w:hAnsi="Segoe UI"/>
          <w:color w:val="000000"/>
          <w:sz w:val="18"/>
          <w:szCs w:val="18"/>
          <w:lang w:val="en-US"/>
        </w:rPr>
      </w:pPr>
      <w:r w:rsidRPr="00102832">
        <w:rPr>
          <w:sz w:val="18"/>
          <w:szCs w:val="18"/>
          <w:lang w:val="en-US"/>
        </w:rPr>
        <w:t>Aboriginal Leadership Group, Meeting 14 Slide Pack Day 1 and Media and Communications- Status of CA Packages (end of August)’, NIAA, [internal document], 2024, accessed September 2024.</w:t>
      </w:r>
      <w:r w:rsidRPr="00102832">
        <w:rPr>
          <w:color w:val="000000"/>
          <w:sz w:val="18"/>
          <w:szCs w:val="18"/>
        </w:rPr>
        <w:t xml:space="preserve"> </w:t>
      </w:r>
      <w:r w:rsidRPr="00102832">
        <w:rPr>
          <w:color w:val="000000"/>
          <w:sz w:val="18"/>
          <w:szCs w:val="18"/>
          <w:lang w:val="en-US"/>
        </w:rPr>
        <w:t> </w:t>
      </w:r>
    </w:p>
    <w:p w14:paraId="2F52C215" w14:textId="01DBCA6E" w:rsidR="004A72D1" w:rsidRPr="004A72D1" w:rsidRDefault="004A72D1" w:rsidP="004A72D1">
      <w:pPr>
        <w:pStyle w:val="FootnoteText"/>
        <w:rPr>
          <w:rFonts w:ascii="Segoe UI" w:hAnsi="Segoe UI"/>
          <w:color w:val="000000"/>
          <w:sz w:val="18"/>
          <w:szCs w:val="18"/>
          <w:lang w:val="en-US"/>
        </w:rPr>
      </w:pPr>
      <w:r w:rsidRPr="00102832">
        <w:rPr>
          <w:sz w:val="18"/>
          <w:szCs w:val="18"/>
          <w:lang w:val="en-US"/>
        </w:rPr>
        <w:t>ABS, </w:t>
      </w:r>
      <w:hyperlink r:id="rId25" w:tgtFrame="_blank" w:history="1">
        <w:r w:rsidRPr="00081B2C">
          <w:rPr>
            <w:sz w:val="18"/>
            <w:szCs w:val="18"/>
            <w:u w:val="single"/>
            <w:lang w:val="en-GB"/>
          </w:rPr>
          <w:t>Alice Springs</w:t>
        </w:r>
      </w:hyperlink>
      <w:r w:rsidRPr="00081B2C">
        <w:rPr>
          <w:sz w:val="18"/>
          <w:szCs w:val="18"/>
          <w:u w:val="single"/>
          <w:lang w:val="en-GB"/>
        </w:rPr>
        <w:t>, (</w:t>
      </w:r>
      <w:r w:rsidRPr="00102832">
        <w:rPr>
          <w:sz w:val="18"/>
          <w:szCs w:val="18"/>
          <w:lang w:val="en-US"/>
        </w:rPr>
        <w:t>online content), Australian Bureau of Statistics, 2021, accessed April 2025. </w:t>
      </w:r>
    </w:p>
    <w:p w14:paraId="14EC787F" w14:textId="37294119" w:rsidR="004A72D1" w:rsidRPr="004A72D1" w:rsidRDefault="004A72D1" w:rsidP="004A72D1">
      <w:pPr>
        <w:pStyle w:val="FootnoteText"/>
        <w:rPr>
          <w:rFonts w:ascii="Segoe UI" w:hAnsi="Segoe UI"/>
          <w:color w:val="000000"/>
          <w:sz w:val="18"/>
          <w:szCs w:val="18"/>
          <w:lang w:val="en-US"/>
        </w:rPr>
      </w:pPr>
      <w:r w:rsidRPr="00102832">
        <w:rPr>
          <w:sz w:val="18"/>
          <w:szCs w:val="18"/>
          <w:lang w:val="en-GB"/>
        </w:rPr>
        <w:t xml:space="preserve">AIATSIS, </w:t>
      </w:r>
      <w:hyperlink r:id="rId26" w:tgtFrame="_blank" w:history="1">
        <w:r w:rsidRPr="00081B2C">
          <w:rPr>
            <w:sz w:val="18"/>
            <w:szCs w:val="18"/>
            <w:u w:val="single"/>
            <w:lang w:val="en-GB"/>
          </w:rPr>
          <w:t>Code of Ethics for Aboriginal and Torres Strait Islander Research</w:t>
        </w:r>
      </w:hyperlink>
      <w:r w:rsidRPr="00081B2C">
        <w:rPr>
          <w:sz w:val="18"/>
          <w:szCs w:val="18"/>
          <w:u w:val="single"/>
          <w:lang w:val="en-GB"/>
        </w:rPr>
        <w:t>,</w:t>
      </w:r>
      <w:r w:rsidRPr="00102832">
        <w:rPr>
          <w:sz w:val="18"/>
          <w:szCs w:val="18"/>
          <w:lang w:val="en-GB"/>
        </w:rPr>
        <w:t xml:space="preserve"> (online content), Australian Institute of Aboriginal and Torres Strait Islander Studies, 2020, accessed June 2025.</w:t>
      </w:r>
      <w:r w:rsidRPr="00102832">
        <w:rPr>
          <w:sz w:val="18"/>
          <w:szCs w:val="18"/>
          <w:lang w:val="en-US"/>
        </w:rPr>
        <w:t> </w:t>
      </w:r>
    </w:p>
    <w:p w14:paraId="4ED763F2" w14:textId="29F4B2BC" w:rsidR="004A72D1" w:rsidRPr="004A72D1" w:rsidRDefault="004A72D1" w:rsidP="004A72D1">
      <w:pPr>
        <w:pStyle w:val="FootnoteText"/>
        <w:rPr>
          <w:rFonts w:ascii="Segoe UI" w:hAnsi="Segoe UI"/>
          <w:color w:val="000000"/>
          <w:sz w:val="18"/>
          <w:szCs w:val="18"/>
          <w:lang w:val="en-US"/>
        </w:rPr>
      </w:pPr>
      <w:r w:rsidRPr="00102832">
        <w:rPr>
          <w:sz w:val="18"/>
          <w:szCs w:val="18"/>
          <w:lang w:val="en-GB"/>
        </w:rPr>
        <w:t xml:space="preserve">AIATSIS (Australian Institute of Aboriginal and Torres Strait Islander Studies) and the </w:t>
      </w:r>
      <w:proofErr w:type="spellStart"/>
      <w:r w:rsidRPr="00102832">
        <w:rPr>
          <w:sz w:val="18"/>
          <w:szCs w:val="18"/>
          <w:lang w:val="en-GB"/>
        </w:rPr>
        <w:t>Lowitja</w:t>
      </w:r>
      <w:proofErr w:type="spellEnd"/>
      <w:r w:rsidRPr="00102832">
        <w:rPr>
          <w:sz w:val="18"/>
          <w:szCs w:val="18"/>
          <w:lang w:val="en-GB"/>
        </w:rPr>
        <w:t xml:space="preserve"> Institute, </w:t>
      </w:r>
      <w:hyperlink r:id="rId27" w:tgtFrame="_blank" w:history="1">
        <w:r w:rsidRPr="00102832">
          <w:rPr>
            <w:sz w:val="18"/>
            <w:szCs w:val="18"/>
            <w:u w:val="single"/>
            <w:lang w:val="en-GB"/>
          </w:rPr>
          <w:t>‘Researching Right Way (2013) Aboriginal and Torres Strait Islander Health Research Ethics: A Domestic and International Review’</w:t>
        </w:r>
      </w:hyperlink>
      <w:r w:rsidRPr="00102832">
        <w:rPr>
          <w:sz w:val="18"/>
          <w:szCs w:val="18"/>
          <w:lang w:val="en-GB"/>
        </w:rPr>
        <w:t>, 2013, NHMRC, accessed June 2025. </w:t>
      </w:r>
      <w:r w:rsidRPr="00102832">
        <w:rPr>
          <w:sz w:val="18"/>
          <w:szCs w:val="18"/>
          <w:lang w:val="en-US"/>
        </w:rPr>
        <w:t> </w:t>
      </w:r>
    </w:p>
    <w:p w14:paraId="38222384" w14:textId="77777777" w:rsidR="004A72D1" w:rsidRPr="004A72D1" w:rsidRDefault="004A72D1" w:rsidP="004A72D1">
      <w:pPr>
        <w:pStyle w:val="FootnoteText"/>
        <w:rPr>
          <w:rFonts w:ascii="Segoe UI" w:hAnsi="Segoe UI"/>
          <w:color w:val="000000"/>
          <w:sz w:val="18"/>
          <w:szCs w:val="18"/>
        </w:rPr>
      </w:pPr>
      <w:r w:rsidRPr="00102832">
        <w:rPr>
          <w:sz w:val="18"/>
          <w:szCs w:val="18"/>
        </w:rPr>
        <w:t>Arthur, M, Hawkins, J, Brown, E, Briney, J, Oesterle, S &amp; Abbott, R, ‘Implementation of the Communities That Care prevention system by coalitions in the Community Youth Development Study’, Journal of Community Psychology, 2010, 38(2):245–258.  </w:t>
      </w:r>
    </w:p>
    <w:p w14:paraId="10B94850" w14:textId="75F4058F" w:rsidR="004A72D1" w:rsidRPr="004A72D1" w:rsidRDefault="004A72D1" w:rsidP="004A72D1">
      <w:pPr>
        <w:pStyle w:val="FootnoteText"/>
        <w:rPr>
          <w:rFonts w:ascii="Segoe UI" w:hAnsi="Segoe UI"/>
          <w:color w:val="auto"/>
          <w:sz w:val="18"/>
          <w:szCs w:val="18"/>
          <w:lang w:val="en-US"/>
        </w:rPr>
      </w:pPr>
      <w:r w:rsidRPr="00102832">
        <w:rPr>
          <w:sz w:val="18"/>
          <w:szCs w:val="18"/>
        </w:rPr>
        <w:t xml:space="preserve">Australian Government, </w:t>
      </w:r>
      <w:hyperlink r:id="rId28" w:tgtFrame="_blank" w:history="1">
        <w:r w:rsidRPr="00102832">
          <w:rPr>
            <w:sz w:val="18"/>
            <w:szCs w:val="18"/>
            <w:u w:val="single"/>
          </w:rPr>
          <w:t>National Agreement on Closing the Gap</w:t>
        </w:r>
      </w:hyperlink>
      <w:r w:rsidRPr="00102832">
        <w:rPr>
          <w:sz w:val="18"/>
          <w:szCs w:val="18"/>
        </w:rPr>
        <w:t xml:space="preserve">, Australian Government, 2020, accessed February 2025. </w:t>
      </w:r>
      <w:r w:rsidRPr="00102832">
        <w:rPr>
          <w:sz w:val="18"/>
          <w:szCs w:val="18"/>
          <w:lang w:val="en-US"/>
        </w:rPr>
        <w:t> </w:t>
      </w:r>
    </w:p>
    <w:p w14:paraId="2F17D1DF" w14:textId="0E157C40" w:rsidR="004A72D1" w:rsidRPr="004A72D1" w:rsidRDefault="004A72D1" w:rsidP="004A72D1">
      <w:pPr>
        <w:pStyle w:val="FootnoteText"/>
        <w:rPr>
          <w:rFonts w:ascii="Segoe UI" w:hAnsi="Segoe UI"/>
          <w:color w:val="000000"/>
          <w:sz w:val="18"/>
          <w:szCs w:val="18"/>
          <w:lang w:val="en-US"/>
        </w:rPr>
      </w:pPr>
      <w:r w:rsidRPr="00102832">
        <w:rPr>
          <w:sz w:val="18"/>
          <w:szCs w:val="18"/>
        </w:rPr>
        <w:t xml:space="preserve">Australian Indigenous </w:t>
      </w:r>
      <w:proofErr w:type="spellStart"/>
      <w:r w:rsidRPr="00102832">
        <w:rPr>
          <w:sz w:val="18"/>
          <w:szCs w:val="18"/>
        </w:rPr>
        <w:t>HealthInfoNet</w:t>
      </w:r>
      <w:proofErr w:type="spellEnd"/>
      <w:r w:rsidRPr="00102832">
        <w:rPr>
          <w:sz w:val="18"/>
          <w:szCs w:val="18"/>
        </w:rPr>
        <w:t xml:space="preserve">, </w:t>
      </w:r>
      <w:hyperlink r:id="rId29" w:tgtFrame="_blank" w:history="1">
        <w:r w:rsidRPr="00102832">
          <w:rPr>
            <w:sz w:val="18"/>
            <w:szCs w:val="18"/>
            <w:u w:val="single"/>
          </w:rPr>
          <w:t xml:space="preserve">The Australian Indigenous </w:t>
        </w:r>
        <w:proofErr w:type="spellStart"/>
        <w:r w:rsidRPr="00102832">
          <w:rPr>
            <w:sz w:val="18"/>
            <w:szCs w:val="18"/>
            <w:u w:val="single"/>
          </w:rPr>
          <w:t>HealthInfoNet</w:t>
        </w:r>
        <w:proofErr w:type="spellEnd"/>
        <w:r w:rsidRPr="00102832">
          <w:rPr>
            <w:sz w:val="18"/>
            <w:szCs w:val="18"/>
            <w:u w:val="single"/>
          </w:rPr>
          <w:t xml:space="preserve"> Guidelines for Aboriginal and Torres Strait Islander Terminology</w:t>
        </w:r>
      </w:hyperlink>
      <w:r w:rsidRPr="00102832">
        <w:rPr>
          <w:sz w:val="18"/>
          <w:szCs w:val="18"/>
        </w:rPr>
        <w:t xml:space="preserve">, </w:t>
      </w:r>
      <w:r w:rsidRPr="00102832">
        <w:rPr>
          <w:sz w:val="18"/>
          <w:szCs w:val="18"/>
          <w:lang w:val="en-GB"/>
        </w:rPr>
        <w:t>(online content),</w:t>
      </w:r>
      <w:r w:rsidRPr="00102832">
        <w:rPr>
          <w:sz w:val="18"/>
          <w:szCs w:val="18"/>
        </w:rPr>
        <w:t xml:space="preserve"> Australian Indigenous </w:t>
      </w:r>
      <w:proofErr w:type="spellStart"/>
      <w:r w:rsidRPr="00102832">
        <w:rPr>
          <w:sz w:val="18"/>
          <w:szCs w:val="18"/>
        </w:rPr>
        <w:t>HealthInfoNet</w:t>
      </w:r>
      <w:proofErr w:type="spellEnd"/>
      <w:r w:rsidRPr="00102832">
        <w:rPr>
          <w:sz w:val="18"/>
          <w:szCs w:val="18"/>
        </w:rPr>
        <w:t>, 2022, accessed August 2024. </w:t>
      </w:r>
      <w:r w:rsidRPr="00102832">
        <w:rPr>
          <w:sz w:val="18"/>
          <w:szCs w:val="18"/>
          <w:lang w:val="en-US"/>
        </w:rPr>
        <w:t> </w:t>
      </w:r>
    </w:p>
    <w:p w14:paraId="3FDB2351" w14:textId="3373AF0B" w:rsidR="004A72D1" w:rsidRPr="004A72D1" w:rsidRDefault="004A72D1" w:rsidP="004A72D1">
      <w:pPr>
        <w:pStyle w:val="FootnoteText"/>
        <w:rPr>
          <w:rFonts w:ascii="Segoe UI" w:hAnsi="Segoe UI"/>
          <w:color w:val="auto"/>
          <w:sz w:val="18"/>
          <w:szCs w:val="18"/>
          <w:lang w:val="en-US"/>
        </w:rPr>
      </w:pPr>
      <w:r w:rsidRPr="00102832">
        <w:rPr>
          <w:sz w:val="18"/>
          <w:szCs w:val="18"/>
        </w:rPr>
        <w:t xml:space="preserve">Budget NT Government, </w:t>
      </w:r>
      <w:hyperlink r:id="rId30" w:tgtFrame="_blank" w:history="1">
        <w:r w:rsidRPr="00102832">
          <w:rPr>
            <w:sz w:val="18"/>
            <w:szCs w:val="18"/>
            <w:u w:val="single"/>
          </w:rPr>
          <w:t>Central Australia Fact sheet</w:t>
        </w:r>
      </w:hyperlink>
      <w:r w:rsidRPr="00102832">
        <w:rPr>
          <w:sz w:val="18"/>
          <w:szCs w:val="18"/>
        </w:rPr>
        <w:t>, NT Government, 2024, accessed June 2025. </w:t>
      </w:r>
      <w:r w:rsidRPr="00102832">
        <w:rPr>
          <w:sz w:val="18"/>
          <w:szCs w:val="18"/>
          <w:lang w:val="en-US"/>
        </w:rPr>
        <w:t> </w:t>
      </w:r>
    </w:p>
    <w:p w14:paraId="54E6A2F5" w14:textId="70F43FB8" w:rsidR="004A72D1" w:rsidRPr="004A72D1" w:rsidRDefault="004A72D1" w:rsidP="004A72D1">
      <w:pPr>
        <w:pStyle w:val="FootnoteText"/>
        <w:rPr>
          <w:rFonts w:ascii="Segoe UI" w:hAnsi="Segoe UI"/>
          <w:color w:val="auto"/>
          <w:sz w:val="18"/>
          <w:szCs w:val="18"/>
        </w:rPr>
      </w:pPr>
      <w:r w:rsidRPr="00102832">
        <w:rPr>
          <w:sz w:val="18"/>
          <w:szCs w:val="18"/>
        </w:rPr>
        <w:t xml:space="preserve">Coalition of Peaks, </w:t>
      </w:r>
      <w:hyperlink r:id="rId31" w:tgtFrame="_blank" w:history="1">
        <w:r w:rsidRPr="00102832">
          <w:rPr>
            <w:sz w:val="18"/>
            <w:szCs w:val="18"/>
            <w:u w:val="single"/>
          </w:rPr>
          <w:t>Priority Reforms</w:t>
        </w:r>
      </w:hyperlink>
      <w:r w:rsidRPr="00102832">
        <w:rPr>
          <w:sz w:val="18"/>
          <w:szCs w:val="18"/>
        </w:rPr>
        <w:t xml:space="preserve">, </w:t>
      </w:r>
      <w:r w:rsidRPr="00102832">
        <w:rPr>
          <w:sz w:val="18"/>
          <w:szCs w:val="18"/>
          <w:lang w:val="en-GB"/>
        </w:rPr>
        <w:t>(online content),</w:t>
      </w:r>
      <w:r w:rsidRPr="00102832">
        <w:rPr>
          <w:sz w:val="18"/>
          <w:szCs w:val="18"/>
        </w:rPr>
        <w:t xml:space="preserve"> Coalition of the Peaks, n.d., accessed February 2025. </w:t>
      </w:r>
    </w:p>
    <w:p w14:paraId="2F066440" w14:textId="77777777" w:rsidR="004A72D1" w:rsidRPr="004A72D1" w:rsidRDefault="004A72D1" w:rsidP="004A72D1">
      <w:pPr>
        <w:pStyle w:val="FootnoteText"/>
        <w:rPr>
          <w:rFonts w:ascii="Segoe UI" w:hAnsi="Segoe UI"/>
          <w:sz w:val="18"/>
          <w:szCs w:val="18"/>
        </w:rPr>
      </w:pPr>
      <w:r w:rsidRPr="00102832">
        <w:rPr>
          <w:sz w:val="18"/>
          <w:szCs w:val="18"/>
          <w:lang w:val="en-GB"/>
        </w:rPr>
        <w:t>Coffman, J, ‘A Framework for Evaluating Systems Initiatives’, Build – Strong Foundations for Our Youngest Children, 2007, accessed March 2025. </w:t>
      </w:r>
      <w:r w:rsidRPr="00102832">
        <w:rPr>
          <w:sz w:val="18"/>
          <w:szCs w:val="18"/>
        </w:rPr>
        <w:t> </w:t>
      </w:r>
    </w:p>
    <w:p w14:paraId="2340BD86" w14:textId="009ECADA" w:rsidR="004A72D1" w:rsidRPr="004A72D1" w:rsidRDefault="004A72D1" w:rsidP="004A72D1">
      <w:pPr>
        <w:pStyle w:val="FootnoteText"/>
        <w:rPr>
          <w:rFonts w:ascii="Segoe UI" w:hAnsi="Segoe UI"/>
          <w:color w:val="auto"/>
          <w:sz w:val="18"/>
          <w:szCs w:val="18"/>
          <w:lang w:val="en-US"/>
        </w:rPr>
      </w:pPr>
      <w:r w:rsidRPr="00102832">
        <w:rPr>
          <w:sz w:val="18"/>
          <w:szCs w:val="18"/>
        </w:rPr>
        <w:t>Donaldson, S, ‘Program Theory-Driven Evaluation Science: Strategies and Applications’, Routledge., 2007, </w:t>
      </w:r>
      <w:hyperlink r:id="rId32" w:tgtFrame="_blank" w:history="1">
        <w:r w:rsidRPr="00102832">
          <w:rPr>
            <w:sz w:val="18"/>
            <w:szCs w:val="18"/>
            <w:u w:val="single"/>
          </w:rPr>
          <w:t>https://doi.org/10.4324/9780203809730</w:t>
        </w:r>
      </w:hyperlink>
      <w:r w:rsidRPr="00102832">
        <w:rPr>
          <w:sz w:val="18"/>
          <w:szCs w:val="18"/>
        </w:rPr>
        <w:t xml:space="preserve"> </w:t>
      </w:r>
      <w:r w:rsidRPr="00102832">
        <w:rPr>
          <w:sz w:val="18"/>
          <w:szCs w:val="18"/>
          <w:lang w:val="en-US"/>
        </w:rPr>
        <w:t> </w:t>
      </w:r>
    </w:p>
    <w:p w14:paraId="05B38218" w14:textId="77777777" w:rsidR="004A72D1" w:rsidRPr="004A72D1" w:rsidRDefault="004A72D1" w:rsidP="004A72D1">
      <w:pPr>
        <w:pStyle w:val="FootnoteText"/>
        <w:rPr>
          <w:rFonts w:ascii="Segoe UI" w:hAnsi="Segoe UI"/>
          <w:color w:val="auto"/>
          <w:sz w:val="18"/>
          <w:szCs w:val="18"/>
        </w:rPr>
      </w:pPr>
      <w:r w:rsidRPr="00102832">
        <w:rPr>
          <w:sz w:val="18"/>
          <w:szCs w:val="18"/>
        </w:rPr>
        <w:t xml:space="preserve">Feinberg, M, Damon, J, Greenberg, M, Osgood, D, &amp; Bontempo, D, ‘Effects of the Communities That Care Model in Pennsylvania on Youth Risk and Problem </w:t>
      </w:r>
      <w:proofErr w:type="spellStart"/>
      <w:r w:rsidRPr="00102832">
        <w:rPr>
          <w:sz w:val="18"/>
          <w:szCs w:val="18"/>
        </w:rPr>
        <w:t>Behaviors</w:t>
      </w:r>
      <w:proofErr w:type="spellEnd"/>
      <w:r w:rsidRPr="00102832">
        <w:rPr>
          <w:sz w:val="18"/>
          <w:szCs w:val="18"/>
        </w:rPr>
        <w:t>’, Prev Science, 2007, 11(2):163-171. doi.org/10.1007/s11121-007-0073-6  </w:t>
      </w:r>
    </w:p>
    <w:p w14:paraId="52927FFA" w14:textId="77777777" w:rsidR="004A72D1" w:rsidRPr="004A72D1" w:rsidRDefault="004A72D1" w:rsidP="004A72D1">
      <w:pPr>
        <w:pStyle w:val="FootnoteText"/>
        <w:rPr>
          <w:rFonts w:ascii="Segoe UI" w:hAnsi="Segoe UI"/>
          <w:color w:val="auto"/>
          <w:sz w:val="18"/>
          <w:szCs w:val="18"/>
        </w:rPr>
      </w:pPr>
      <w:r w:rsidRPr="00102832">
        <w:rPr>
          <w:sz w:val="18"/>
          <w:szCs w:val="18"/>
        </w:rPr>
        <w:t>Fry, R, ‘Simple rules for place-based approaches addressing disadvantage’, The University of Melbourne, 2019, accessed June 2025.  </w:t>
      </w:r>
    </w:p>
    <w:p w14:paraId="59446892" w14:textId="77777777" w:rsidR="004A72D1" w:rsidRPr="004A72D1" w:rsidRDefault="004A72D1" w:rsidP="004A72D1">
      <w:pPr>
        <w:pStyle w:val="FootnoteText"/>
        <w:rPr>
          <w:rFonts w:ascii="Segoe UI" w:hAnsi="Segoe UI"/>
          <w:color w:val="000000"/>
          <w:sz w:val="18"/>
          <w:szCs w:val="18"/>
        </w:rPr>
      </w:pPr>
      <w:r w:rsidRPr="00102832">
        <w:rPr>
          <w:sz w:val="18"/>
          <w:szCs w:val="18"/>
          <w:shd w:val="clear" w:color="auto" w:fill="FFFFFF"/>
        </w:rPr>
        <w:t xml:space="preserve">Krug, E, Mercy, J, Dahlberg, L, &amp; Zwi, A, ‘The world report on violence and health’, Lancet, 2002, 5;360(9339):1083-8. </w:t>
      </w:r>
      <w:proofErr w:type="spellStart"/>
      <w:r w:rsidRPr="00102832">
        <w:rPr>
          <w:sz w:val="18"/>
          <w:szCs w:val="18"/>
          <w:shd w:val="clear" w:color="auto" w:fill="FFFFFF"/>
        </w:rPr>
        <w:t>doi</w:t>
      </w:r>
      <w:proofErr w:type="spellEnd"/>
      <w:r w:rsidRPr="00102832">
        <w:rPr>
          <w:sz w:val="18"/>
          <w:szCs w:val="18"/>
          <w:shd w:val="clear" w:color="auto" w:fill="FFFFFF"/>
        </w:rPr>
        <w:t>: 10.1016/S0140-6736(02)11133-0. </w:t>
      </w:r>
      <w:r w:rsidRPr="00102832">
        <w:rPr>
          <w:sz w:val="18"/>
          <w:szCs w:val="18"/>
        </w:rPr>
        <w:t> </w:t>
      </w:r>
    </w:p>
    <w:p w14:paraId="306C7F35" w14:textId="26C89C9D" w:rsidR="004A72D1" w:rsidRPr="004A72D1" w:rsidRDefault="004A72D1" w:rsidP="004A72D1">
      <w:pPr>
        <w:pStyle w:val="FootnoteText"/>
        <w:rPr>
          <w:rFonts w:ascii="Segoe UI" w:hAnsi="Segoe UI"/>
          <w:color w:val="auto"/>
          <w:sz w:val="18"/>
          <w:szCs w:val="18"/>
          <w:lang w:val="en-US"/>
        </w:rPr>
      </w:pPr>
      <w:r w:rsidRPr="00102832">
        <w:rPr>
          <w:sz w:val="18"/>
          <w:szCs w:val="18"/>
        </w:rPr>
        <w:t xml:space="preserve">Molloy, C, Perini, N, &amp; Harrop, C </w:t>
      </w:r>
      <w:hyperlink r:id="rId33" w:tgtFrame="_blank" w:history="1">
        <w:r w:rsidRPr="00102832">
          <w:rPr>
            <w:sz w:val="18"/>
            <w:szCs w:val="18"/>
            <w:u w:val="single"/>
          </w:rPr>
          <w:t>‘Evidence-based Lead Indicators to Drive Equitable Early Years Services: Findings from the Restacking the Odds Study’,</w:t>
        </w:r>
      </w:hyperlink>
      <w:r w:rsidRPr="00102832">
        <w:rPr>
          <w:sz w:val="18"/>
          <w:szCs w:val="18"/>
        </w:rPr>
        <w:t xml:space="preserve"> Child Indicators Research, 2025, 3:1-35 </w:t>
      </w:r>
      <w:r w:rsidRPr="00102832">
        <w:rPr>
          <w:sz w:val="18"/>
          <w:szCs w:val="18"/>
          <w:lang w:val="en-US"/>
        </w:rPr>
        <w:t> </w:t>
      </w:r>
    </w:p>
    <w:p w14:paraId="4D58E9BF" w14:textId="4CE9E65D" w:rsidR="004A72D1" w:rsidRPr="004A72D1" w:rsidRDefault="004A72D1" w:rsidP="004A72D1">
      <w:pPr>
        <w:pStyle w:val="FootnoteText"/>
        <w:rPr>
          <w:rFonts w:ascii="Segoe UI" w:hAnsi="Segoe UI"/>
          <w:sz w:val="18"/>
          <w:szCs w:val="18"/>
          <w:lang w:val="en-US"/>
        </w:rPr>
      </w:pPr>
      <w:r w:rsidRPr="00102832">
        <w:rPr>
          <w:sz w:val="18"/>
          <w:szCs w:val="18"/>
          <w:lang w:val="en-GB"/>
        </w:rPr>
        <w:t xml:space="preserve">NAIF, </w:t>
      </w:r>
      <w:hyperlink r:id="rId34" w:tgtFrame="_blank" w:history="1">
        <w:r w:rsidRPr="00102832">
          <w:rPr>
            <w:sz w:val="18"/>
            <w:szCs w:val="18"/>
            <w:u w:val="single"/>
            <w:lang w:val="en-GB"/>
          </w:rPr>
          <w:t>Investing Impact Across the North</w:t>
        </w:r>
      </w:hyperlink>
      <w:r w:rsidRPr="00102832">
        <w:rPr>
          <w:sz w:val="18"/>
          <w:szCs w:val="18"/>
          <w:lang w:val="en-GB"/>
        </w:rPr>
        <w:t>, (online content), Northern Territory Infrastructure Facility, n.d., accessed February 2025. </w:t>
      </w:r>
      <w:r w:rsidRPr="00102832">
        <w:rPr>
          <w:sz w:val="18"/>
          <w:szCs w:val="18"/>
          <w:lang w:val="en-US"/>
        </w:rPr>
        <w:t> </w:t>
      </w:r>
    </w:p>
    <w:p w14:paraId="670C27E4" w14:textId="181E3E56" w:rsidR="004A72D1" w:rsidRPr="004A72D1" w:rsidRDefault="004A72D1" w:rsidP="004A72D1">
      <w:pPr>
        <w:pStyle w:val="FootnoteText"/>
        <w:rPr>
          <w:rFonts w:ascii="Segoe UI" w:hAnsi="Segoe UI"/>
          <w:sz w:val="18"/>
          <w:szCs w:val="18"/>
          <w:lang w:val="en-US"/>
        </w:rPr>
      </w:pPr>
      <w:r w:rsidRPr="00102832">
        <w:rPr>
          <w:sz w:val="18"/>
          <w:szCs w:val="18"/>
          <w:lang w:val="en-GB"/>
        </w:rPr>
        <w:t xml:space="preserve">National Indigenous Australians Agency, </w:t>
      </w:r>
      <w:hyperlink r:id="rId35" w:tgtFrame="_blank" w:history="1">
        <w:r w:rsidRPr="00102832">
          <w:rPr>
            <w:sz w:val="18"/>
            <w:szCs w:val="18"/>
            <w:u w:val="single"/>
            <w:lang w:val="en-GB"/>
          </w:rPr>
          <w:t>A Better, Safer Future for Central Australia</w:t>
        </w:r>
      </w:hyperlink>
      <w:r w:rsidRPr="00102832">
        <w:rPr>
          <w:sz w:val="18"/>
          <w:szCs w:val="18"/>
          <w:lang w:val="en-GB"/>
        </w:rPr>
        <w:t>, (online content), NIAA, (2023) accessed June 2025. </w:t>
      </w:r>
      <w:r w:rsidRPr="00102832">
        <w:rPr>
          <w:sz w:val="18"/>
          <w:szCs w:val="18"/>
          <w:lang w:val="en-US"/>
        </w:rPr>
        <w:t> </w:t>
      </w:r>
    </w:p>
    <w:p w14:paraId="5863380F" w14:textId="77777777" w:rsidR="004A72D1" w:rsidRPr="004A72D1" w:rsidRDefault="004A72D1" w:rsidP="004A72D1">
      <w:pPr>
        <w:pStyle w:val="FootnoteText"/>
        <w:rPr>
          <w:rFonts w:ascii="Segoe UI" w:hAnsi="Segoe UI"/>
          <w:sz w:val="18"/>
          <w:szCs w:val="18"/>
          <w:lang w:val="en-US"/>
        </w:rPr>
      </w:pPr>
      <w:r w:rsidRPr="00102832">
        <w:rPr>
          <w:sz w:val="18"/>
          <w:szCs w:val="18"/>
          <w:lang w:val="en-GB"/>
        </w:rPr>
        <w:t>National Indigenous Australians Agency, Central Australia Response Theory of Change, Commonwealth Government, 2023, accessed June 2025. </w:t>
      </w:r>
      <w:r w:rsidRPr="00102832">
        <w:rPr>
          <w:sz w:val="18"/>
          <w:szCs w:val="18"/>
          <w:lang w:val="en-US"/>
        </w:rPr>
        <w:t> </w:t>
      </w:r>
    </w:p>
    <w:p w14:paraId="716A764E" w14:textId="77777777" w:rsidR="004A72D1" w:rsidRPr="004A72D1" w:rsidRDefault="004A72D1" w:rsidP="004A72D1">
      <w:pPr>
        <w:pStyle w:val="FootnoteText"/>
        <w:rPr>
          <w:rFonts w:ascii="Segoe UI" w:hAnsi="Segoe UI"/>
          <w:sz w:val="18"/>
          <w:szCs w:val="18"/>
          <w:lang w:val="en-US"/>
        </w:rPr>
      </w:pPr>
      <w:r w:rsidRPr="00102832">
        <w:rPr>
          <w:sz w:val="18"/>
          <w:szCs w:val="18"/>
          <w:lang w:val="en-GB"/>
        </w:rPr>
        <w:t>National Indigenous Australians Agency, Central Australia Plan Taskforce CEO Brief, 2025, Australian Government, [internal document], accessed June 2025</w:t>
      </w:r>
      <w:r w:rsidRPr="00102832">
        <w:rPr>
          <w:sz w:val="18"/>
          <w:szCs w:val="18"/>
          <w:lang w:val="en-US"/>
        </w:rPr>
        <w:t> </w:t>
      </w:r>
    </w:p>
    <w:p w14:paraId="1C498CE4" w14:textId="4855ECD2" w:rsidR="004A72D1" w:rsidRPr="004A72D1" w:rsidRDefault="004A72D1" w:rsidP="004A72D1">
      <w:pPr>
        <w:pStyle w:val="FootnoteText"/>
        <w:rPr>
          <w:rFonts w:ascii="Segoe UI" w:hAnsi="Segoe UI"/>
          <w:sz w:val="18"/>
          <w:szCs w:val="18"/>
          <w:lang w:val="en-US"/>
        </w:rPr>
      </w:pPr>
      <w:r w:rsidRPr="00102832">
        <w:rPr>
          <w:sz w:val="18"/>
          <w:szCs w:val="18"/>
          <w:lang w:val="en-GB"/>
        </w:rPr>
        <w:t xml:space="preserve">National Indigenous Australians Agency, </w:t>
      </w:r>
      <w:hyperlink r:id="rId36" w:tgtFrame="_blank" w:history="1">
        <w:r w:rsidRPr="00102832">
          <w:rPr>
            <w:sz w:val="18"/>
            <w:szCs w:val="18"/>
            <w:u w:val="single"/>
            <w:lang w:val="en-GB"/>
          </w:rPr>
          <w:t>Closing the Gap Annual Report</w:t>
        </w:r>
      </w:hyperlink>
      <w:r w:rsidRPr="00102832">
        <w:rPr>
          <w:sz w:val="18"/>
          <w:szCs w:val="18"/>
          <w:lang w:val="en-GB"/>
        </w:rPr>
        <w:t>, (online content), Australian Government, 2022, accessed March 2025.</w:t>
      </w:r>
      <w:r w:rsidRPr="00102832">
        <w:rPr>
          <w:sz w:val="18"/>
          <w:szCs w:val="18"/>
          <w:lang w:val="en-US"/>
        </w:rPr>
        <w:t> </w:t>
      </w:r>
    </w:p>
    <w:p w14:paraId="4CAED8B9" w14:textId="77777777" w:rsidR="004A72D1" w:rsidRPr="004A72D1" w:rsidRDefault="004A72D1" w:rsidP="004A72D1">
      <w:pPr>
        <w:pStyle w:val="FootnoteText"/>
        <w:rPr>
          <w:rFonts w:ascii="Segoe UI" w:hAnsi="Segoe UI"/>
          <w:sz w:val="18"/>
          <w:szCs w:val="18"/>
          <w:lang w:val="en-US"/>
        </w:rPr>
      </w:pPr>
      <w:r w:rsidRPr="00102832">
        <w:rPr>
          <w:sz w:val="18"/>
          <w:szCs w:val="18"/>
          <w:lang w:val="en-GB"/>
        </w:rPr>
        <w:t>National Indigenous Australians Agency, ‘Historical timeline and key decisions associated to the Central Australia Plan’, Australian Government, n.d., accessed June 2025.</w:t>
      </w:r>
      <w:r w:rsidRPr="00102832">
        <w:rPr>
          <w:sz w:val="18"/>
          <w:szCs w:val="18"/>
          <w:lang w:val="en-US"/>
        </w:rPr>
        <w:t> </w:t>
      </w:r>
    </w:p>
    <w:p w14:paraId="6ABD1F80" w14:textId="77777777" w:rsidR="004A72D1" w:rsidRPr="004A72D1" w:rsidRDefault="004A72D1" w:rsidP="004A72D1">
      <w:pPr>
        <w:pStyle w:val="FootnoteText"/>
        <w:rPr>
          <w:rFonts w:ascii="Segoe UI" w:hAnsi="Segoe UI"/>
          <w:sz w:val="18"/>
          <w:szCs w:val="18"/>
          <w:lang w:val="en-US"/>
        </w:rPr>
      </w:pPr>
      <w:r w:rsidRPr="00102832">
        <w:rPr>
          <w:sz w:val="18"/>
          <w:szCs w:val="18"/>
          <w:lang w:val="en-GB"/>
        </w:rPr>
        <w:t>National Indigenous Australians Agency, ‘Item 5a. Investment by cluster, presentation to the Aboriginal Leadership Group’, [internal document], 2025, accessed May 2025.</w:t>
      </w:r>
      <w:r w:rsidRPr="00102832">
        <w:rPr>
          <w:sz w:val="18"/>
          <w:szCs w:val="18"/>
          <w:lang w:val="en-US"/>
        </w:rPr>
        <w:t> </w:t>
      </w:r>
    </w:p>
    <w:p w14:paraId="567DF969" w14:textId="77777777" w:rsidR="00B82FDC" w:rsidRPr="00B82FDC" w:rsidRDefault="00B82FDC" w:rsidP="00B82FDC">
      <w:pPr>
        <w:sectPr w:rsidR="00B82FDC" w:rsidRPr="00B82FDC" w:rsidSect="007A17B4">
          <w:headerReference w:type="even" r:id="rId37"/>
          <w:headerReference w:type="default" r:id="rId38"/>
          <w:footerReference w:type="even" r:id="rId39"/>
          <w:footerReference w:type="default" r:id="rId40"/>
          <w:headerReference w:type="first" r:id="rId41"/>
          <w:footerReference w:type="first" r:id="rId42"/>
          <w:pgSz w:w="11900" w:h="16840"/>
          <w:pgMar w:top="1440" w:right="1080" w:bottom="1440" w:left="1080" w:header="709" w:footer="709" w:gutter="0"/>
          <w:cols w:space="720"/>
          <w:titlePg/>
          <w:docGrid w:linePitch="272"/>
        </w:sectPr>
      </w:pPr>
    </w:p>
    <w:p w14:paraId="150CEC94" w14:textId="4FF88C46" w:rsidR="002C6ED2" w:rsidRPr="00EC6311" w:rsidRDefault="00A27FB0" w:rsidP="00DA4528">
      <w:pPr>
        <w:pStyle w:val="Heading1"/>
      </w:pPr>
      <w:bookmarkStart w:id="43" w:name="_Appendix_A:_The"/>
      <w:bookmarkStart w:id="44" w:name="_Toc205475108"/>
      <w:bookmarkEnd w:id="43"/>
      <w:r w:rsidRPr="00EC6311">
        <w:lastRenderedPageBreak/>
        <w:t xml:space="preserve">Appendix </w:t>
      </w:r>
      <w:r w:rsidR="002265EB">
        <w:t>B</w:t>
      </w:r>
      <w:r w:rsidRPr="00EC6311">
        <w:t xml:space="preserve">: </w:t>
      </w:r>
      <w:r w:rsidR="002C6ED2" w:rsidRPr="00EC6311">
        <w:t>CAP Theory of Change</w:t>
      </w:r>
      <w:bookmarkEnd w:id="44"/>
    </w:p>
    <w:p w14:paraId="4D53A6C3" w14:textId="1D31773C" w:rsidR="000076CF" w:rsidRPr="00EC6311" w:rsidRDefault="000076CF" w:rsidP="00DA4528">
      <w:r w:rsidRPr="00EC6311">
        <w:rPr>
          <w:noProof/>
        </w:rPr>
        <w:drawing>
          <wp:inline distT="0" distB="0" distL="0" distR="0" wp14:anchorId="0DB7FDF6" wp14:editId="4DAE9B51">
            <wp:extent cx="8935274" cy="5052767"/>
            <wp:effectExtent l="0" t="0" r="5715" b="1905"/>
            <wp:docPr id="628225124" name="Picture 628225124" descr="This infographic shows a metaphor of a broken truck being unable to move forward to the future. The bottom row of the metaphor is the flat tyres stopping the truck from moving forward, or the problems to be solved. These are: loss of community agency and voice, lack of coordination, constant policy and legislative change without community input, under and/or misdirected investment in services and infrastructure. The metaphor for the middle row is the repairs that need to be made to the tyres and the truck, or the actions to be taken. These are: significant investment in agreed priorities, government agrees to do things differently, governments and communities address root cause issues, seek out and listen to community voices, collect and share regional data, and coordination and governance across governments and community. The top row of the metaphor are trees in the future where change can be seen. These are: things are done in a different way: decision-making, funding and service delivery, sense of pride in community returns, communities throughout central Australia are safe and strong, and people in central Australia are experiencing positive life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25124" name="Picture 628225124" descr="This infographic shows a metaphor of a broken truck being unable to move forward to the future. The bottom row of the metaphor is the flat tyres stopping the truck from moving forward, or the problems to be solved. These are: loss of community agency and voice, lack of coordination, constant policy and legislative change without community input, under and/or misdirected investment in services and infrastructure. The metaphor for the middle row is the repairs that need to be made to the tyres and the truck, or the actions to be taken. These are: significant investment in agreed priorities, government agrees to do things differently, governments and communities address root cause issues, seek out and listen to community voices, collect and share regional data, and coordination and governance across governments and community. The top row of the metaphor are trees in the future where change can be seen. These are: things are done in a different way: decision-making, funding and service delivery, sense of pride in community returns, communities throughout central Australia are safe and strong, and people in central Australia are experiencing positive life outcome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951759" cy="5062089"/>
                    </a:xfrm>
                    <a:prstGeom prst="rect">
                      <a:avLst/>
                    </a:prstGeom>
                  </pic:spPr>
                </pic:pic>
              </a:graphicData>
            </a:graphic>
          </wp:inline>
        </w:drawing>
      </w:r>
    </w:p>
    <w:p w14:paraId="443BF8CD" w14:textId="77777777" w:rsidR="002C6ED2" w:rsidRPr="00EC6311" w:rsidRDefault="002C6ED2" w:rsidP="00DA4528">
      <w:pPr>
        <w:rPr>
          <w:color w:val="009999"/>
          <w:sz w:val="32"/>
          <w:szCs w:val="28"/>
        </w:rPr>
      </w:pPr>
      <w:r w:rsidRPr="00EC6311">
        <w:br w:type="page"/>
      </w:r>
    </w:p>
    <w:p w14:paraId="1C9A9D3A" w14:textId="2A8FC69D" w:rsidR="0067603B" w:rsidRPr="00EC6311" w:rsidRDefault="00A27FB0" w:rsidP="00DA4528">
      <w:pPr>
        <w:pStyle w:val="Heading1"/>
      </w:pPr>
      <w:bookmarkStart w:id="45" w:name="_Appendix_B:_Focus"/>
      <w:bookmarkStart w:id="46" w:name="_Toc205475109"/>
      <w:bookmarkEnd w:id="45"/>
      <w:r w:rsidRPr="00EC6311">
        <w:rPr>
          <w:bCs/>
        </w:rPr>
        <w:lastRenderedPageBreak/>
        <w:t xml:space="preserve">Appendix </w:t>
      </w:r>
      <w:r w:rsidR="002265EB">
        <w:rPr>
          <w:bCs/>
        </w:rPr>
        <w:t>C</w:t>
      </w:r>
      <w:r w:rsidRPr="00EC6311">
        <w:rPr>
          <w:bCs/>
        </w:rPr>
        <w:t xml:space="preserve">: </w:t>
      </w:r>
      <w:r w:rsidR="0067603B" w:rsidRPr="00EC6311">
        <w:t xml:space="preserve">Focus </w:t>
      </w:r>
      <w:r w:rsidR="00D530B0">
        <w:t xml:space="preserve">areas </w:t>
      </w:r>
      <w:r w:rsidR="0067603B" w:rsidRPr="00EC6311">
        <w:t>of the final report</w:t>
      </w:r>
      <w:bookmarkEnd w:id="46"/>
    </w:p>
    <w:p w14:paraId="728E83A6" w14:textId="1A1FCB6B" w:rsidR="0067603B" w:rsidRDefault="0067603B" w:rsidP="00DA4528">
      <w:pPr>
        <w:rPr>
          <w:lang w:val="en-GB"/>
        </w:rPr>
      </w:pPr>
      <w:r w:rsidRPr="00B64672">
        <w:rPr>
          <w:lang w:val="en-GB"/>
        </w:rPr>
        <w:t>Evaluation</w:t>
      </w:r>
      <w:r>
        <w:rPr>
          <w:lang w:val="en-GB"/>
        </w:rPr>
        <w:t xml:space="preserve"> questions and areas of focus for </w:t>
      </w:r>
      <w:r w:rsidR="000804AA">
        <w:rPr>
          <w:lang w:val="en-GB"/>
        </w:rPr>
        <w:t xml:space="preserve">this final </w:t>
      </w:r>
      <w:r>
        <w:rPr>
          <w:lang w:val="en-GB"/>
        </w:rPr>
        <w:t xml:space="preserve">Report. </w:t>
      </w:r>
    </w:p>
    <w:tbl>
      <w:tblPr>
        <w:tblW w:w="0" w:type="auto"/>
        <w:tblInd w:w="-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57"/>
        <w:gridCol w:w="3867"/>
        <w:gridCol w:w="3363"/>
        <w:gridCol w:w="4071"/>
      </w:tblGrid>
      <w:tr w:rsidR="007A3486" w:rsidRPr="00BB4FFE" w14:paraId="4125A830" w14:textId="77777777" w:rsidTr="007B7DC8">
        <w:trPr>
          <w:trHeight w:val="300"/>
          <w:tblHeader/>
        </w:trPr>
        <w:tc>
          <w:tcPr>
            <w:tcW w:w="2657" w:type="dxa"/>
          </w:tcPr>
          <w:p w14:paraId="605D5F61" w14:textId="77777777" w:rsidR="000804AA" w:rsidRPr="002265EB" w:rsidRDefault="000804AA" w:rsidP="002265EB">
            <w:pPr>
              <w:pStyle w:val="Heading5"/>
              <w:rPr>
                <w:sz w:val="20"/>
                <w:szCs w:val="15"/>
              </w:rPr>
            </w:pPr>
            <w:r w:rsidRPr="002265EB">
              <w:rPr>
                <w:sz w:val="20"/>
                <w:szCs w:val="15"/>
              </w:rPr>
              <w:t>Evaluation objective</w:t>
            </w:r>
          </w:p>
        </w:tc>
        <w:tc>
          <w:tcPr>
            <w:tcW w:w="3867" w:type="dxa"/>
          </w:tcPr>
          <w:p w14:paraId="7920F19D" w14:textId="77777777" w:rsidR="000804AA" w:rsidRPr="002265EB" w:rsidRDefault="000804AA" w:rsidP="002265EB">
            <w:pPr>
              <w:pStyle w:val="Heading5"/>
              <w:rPr>
                <w:sz w:val="20"/>
                <w:szCs w:val="15"/>
              </w:rPr>
            </w:pPr>
            <w:r w:rsidRPr="002265EB">
              <w:rPr>
                <w:sz w:val="20"/>
                <w:szCs w:val="15"/>
              </w:rPr>
              <w:t>Key evaluation question</w:t>
            </w:r>
          </w:p>
        </w:tc>
        <w:tc>
          <w:tcPr>
            <w:tcW w:w="3363" w:type="dxa"/>
          </w:tcPr>
          <w:p w14:paraId="7FE20B05" w14:textId="77777777" w:rsidR="000804AA" w:rsidRPr="002265EB" w:rsidRDefault="000804AA" w:rsidP="002265EB">
            <w:pPr>
              <w:pStyle w:val="Heading5"/>
              <w:rPr>
                <w:sz w:val="20"/>
                <w:szCs w:val="15"/>
                <w:lang w:val="en-US"/>
              </w:rPr>
            </w:pPr>
            <w:r w:rsidRPr="002265EB">
              <w:rPr>
                <w:sz w:val="20"/>
                <w:szCs w:val="15"/>
                <w:lang w:val="en-US"/>
              </w:rPr>
              <w:t>Areas of focus</w:t>
            </w:r>
          </w:p>
        </w:tc>
        <w:tc>
          <w:tcPr>
            <w:tcW w:w="4071" w:type="dxa"/>
          </w:tcPr>
          <w:p w14:paraId="1B2A4F01" w14:textId="61317A9C" w:rsidR="000804AA" w:rsidRPr="002265EB" w:rsidRDefault="000804AA" w:rsidP="002265EB">
            <w:pPr>
              <w:pStyle w:val="Heading5"/>
              <w:rPr>
                <w:sz w:val="20"/>
                <w:szCs w:val="15"/>
                <w:lang w:val="en-US"/>
              </w:rPr>
            </w:pPr>
            <w:r w:rsidRPr="002265EB">
              <w:rPr>
                <w:sz w:val="20"/>
                <w:szCs w:val="15"/>
                <w:lang w:val="en-US"/>
              </w:rPr>
              <w:t xml:space="preserve">Final </w:t>
            </w:r>
            <w:r w:rsidR="002265EB" w:rsidRPr="002265EB">
              <w:rPr>
                <w:sz w:val="20"/>
                <w:szCs w:val="15"/>
                <w:lang w:val="en-US"/>
              </w:rPr>
              <w:t>r</w:t>
            </w:r>
            <w:r w:rsidRPr="002265EB">
              <w:rPr>
                <w:sz w:val="20"/>
                <w:szCs w:val="15"/>
                <w:lang w:val="en-US"/>
              </w:rPr>
              <w:t>eport</w:t>
            </w:r>
            <w:r w:rsidR="002265EB" w:rsidRPr="002265EB">
              <w:rPr>
                <w:sz w:val="20"/>
                <w:szCs w:val="15"/>
                <w:lang w:val="en-US"/>
              </w:rPr>
              <w:t xml:space="preserve"> d</w:t>
            </w:r>
            <w:r w:rsidRPr="002265EB">
              <w:rPr>
                <w:sz w:val="20"/>
                <w:szCs w:val="15"/>
                <w:lang w:val="en-US"/>
              </w:rPr>
              <w:t>ata sources</w:t>
            </w:r>
          </w:p>
        </w:tc>
      </w:tr>
      <w:tr w:rsidR="007A3486" w:rsidRPr="00BB4FFE" w14:paraId="4581609F" w14:textId="77777777" w:rsidTr="007B7DC8">
        <w:trPr>
          <w:trHeight w:val="300"/>
        </w:trPr>
        <w:tc>
          <w:tcPr>
            <w:tcW w:w="2657" w:type="dxa"/>
            <w:vMerge w:val="restart"/>
          </w:tcPr>
          <w:p w14:paraId="5CB21692" w14:textId="3DD25185" w:rsidR="000804AA" w:rsidRPr="00BB4FFE" w:rsidRDefault="000804AA" w:rsidP="00DA4528">
            <w:r w:rsidRPr="00BB4FFE">
              <w:rPr>
                <w:b/>
              </w:rPr>
              <w:t>Process:</w:t>
            </w:r>
            <w:r w:rsidRPr="00BB4FFE">
              <w:t xml:space="preserve"> understanding how the CAP is being implemented, including the process of delivery including </w:t>
            </w:r>
            <w:r w:rsidR="008666B6" w:rsidRPr="00EC6EA7">
              <w:t>‘doing things differently’</w:t>
            </w:r>
            <w:r w:rsidR="008666B6">
              <w:t>.</w:t>
            </w:r>
          </w:p>
        </w:tc>
        <w:tc>
          <w:tcPr>
            <w:tcW w:w="3867" w:type="dxa"/>
          </w:tcPr>
          <w:p w14:paraId="3718D6C6" w14:textId="77777777" w:rsidR="000804AA" w:rsidRPr="00BB4FFE" w:rsidRDefault="000804AA" w:rsidP="00DA4528">
            <w:r w:rsidRPr="00BB4FFE">
              <w:t>1. What is the current state of CAP implementation?  </w:t>
            </w:r>
          </w:p>
        </w:tc>
        <w:tc>
          <w:tcPr>
            <w:tcW w:w="3363" w:type="dxa"/>
          </w:tcPr>
          <w:p w14:paraId="4EF44DCF" w14:textId="77777777" w:rsidR="000804AA" w:rsidRPr="002D7276" w:rsidRDefault="000804AA" w:rsidP="003343AE">
            <w:pPr>
              <w:pStyle w:val="ListParagraph"/>
              <w:rPr>
                <w:rFonts w:eastAsia="Times New Roman" w:cs="Helvetica"/>
                <w:color w:val="212121"/>
                <w14:textFill>
                  <w14:solidFill>
                    <w14:srgbClr w14:val="212121">
                      <w14:lumMod w14:val="75000"/>
                      <w14:lumOff w14:val="25000"/>
                    </w14:srgbClr>
                  </w14:solidFill>
                </w14:textFill>
              </w:rPr>
            </w:pPr>
            <w:r w:rsidRPr="002D7276">
              <w:rPr>
                <w:lang w:val="en-US"/>
              </w:rPr>
              <w:t>CAP intent </w:t>
            </w:r>
            <w:r w:rsidRPr="002D7276">
              <w:rPr>
                <w:rFonts w:eastAsia="Times New Roman" w:cs="Helvetica"/>
                <w:color w:val="212121"/>
                <w14:textFill>
                  <w14:solidFill>
                    <w14:srgbClr w14:val="212121">
                      <w14:lumMod w14:val="75000"/>
                      <w14:lumOff w14:val="25000"/>
                    </w14:srgbClr>
                  </w14:solidFill>
                </w14:textFill>
              </w:rPr>
              <w:t> </w:t>
            </w:r>
          </w:p>
          <w:p w14:paraId="0D59DCE9" w14:textId="77777777" w:rsidR="000804AA" w:rsidRPr="002D7276" w:rsidRDefault="000804AA" w:rsidP="003343AE">
            <w:pPr>
              <w:pStyle w:val="ListParagraph"/>
              <w:rPr>
                <w:rFonts w:eastAsia="Times New Roman" w:cs="Helvetica"/>
                <w:color w:val="212121"/>
                <w14:textFill>
                  <w14:solidFill>
                    <w14:srgbClr w14:val="212121">
                      <w14:lumMod w14:val="75000"/>
                      <w14:lumOff w14:val="25000"/>
                    </w14:srgbClr>
                  </w14:solidFill>
                </w14:textFill>
              </w:rPr>
            </w:pPr>
            <w:r w:rsidRPr="002D7276">
              <w:rPr>
                <w:lang w:val="en-US"/>
              </w:rPr>
              <w:t>Level of investment </w:t>
            </w:r>
            <w:r w:rsidRPr="002D7276">
              <w:rPr>
                <w:rFonts w:eastAsia="Times New Roman" w:cs="Helvetica"/>
                <w:color w:val="212121"/>
                <w14:textFill>
                  <w14:solidFill>
                    <w14:srgbClr w14:val="212121">
                      <w14:lumMod w14:val="75000"/>
                      <w14:lumOff w14:val="25000"/>
                    </w14:srgbClr>
                  </w14:solidFill>
                </w14:textFill>
              </w:rPr>
              <w:t> </w:t>
            </w:r>
          </w:p>
          <w:p w14:paraId="4B7CA0E6" w14:textId="77777777" w:rsidR="000804AA" w:rsidRPr="002D7276" w:rsidRDefault="000804AA" w:rsidP="003343AE">
            <w:pPr>
              <w:pStyle w:val="ListParagraph"/>
              <w:rPr>
                <w:rFonts w:eastAsia="Times New Roman" w:cs="Helvetica"/>
                <w:color w:val="212121"/>
                <w14:textFill>
                  <w14:solidFill>
                    <w14:srgbClr w14:val="212121">
                      <w14:lumMod w14:val="75000"/>
                      <w14:lumOff w14:val="25000"/>
                    </w14:srgbClr>
                  </w14:solidFill>
                </w14:textFill>
              </w:rPr>
            </w:pPr>
            <w:r w:rsidRPr="002D7276">
              <w:rPr>
                <w:lang w:val="en-US"/>
              </w:rPr>
              <w:t>Priorities </w:t>
            </w:r>
            <w:r w:rsidRPr="002D7276">
              <w:rPr>
                <w:rFonts w:eastAsia="Times New Roman" w:cs="Helvetica"/>
                <w:color w:val="212121"/>
                <w14:textFill>
                  <w14:solidFill>
                    <w14:srgbClr w14:val="212121">
                      <w14:lumMod w14:val="75000"/>
                      <w14:lumOff w14:val="25000"/>
                    </w14:srgbClr>
                  </w14:solidFill>
                </w14:textFill>
              </w:rPr>
              <w:t> </w:t>
            </w:r>
          </w:p>
          <w:p w14:paraId="0735719F" w14:textId="77777777" w:rsidR="000804AA" w:rsidRPr="002D7276" w:rsidRDefault="000804AA" w:rsidP="003343AE">
            <w:pPr>
              <w:pStyle w:val="ListParagraph"/>
              <w:rPr>
                <w:rFonts w:eastAsia="Times New Roman" w:cs="Helvetica"/>
                <w:color w:val="212121"/>
                <w14:textFill>
                  <w14:solidFill>
                    <w14:srgbClr w14:val="212121">
                      <w14:lumMod w14:val="75000"/>
                      <w14:lumOff w14:val="25000"/>
                    </w14:srgbClr>
                  </w14:solidFill>
                </w14:textFill>
              </w:rPr>
            </w:pPr>
            <w:r w:rsidRPr="002D7276">
              <w:rPr>
                <w:lang w:val="en-US"/>
              </w:rPr>
              <w:t>Mechanisms to support implementation </w:t>
            </w:r>
            <w:r w:rsidRPr="002D7276">
              <w:rPr>
                <w:rFonts w:eastAsia="Times New Roman" w:cs="Helvetica"/>
                <w:color w:val="212121"/>
                <w14:textFill>
                  <w14:solidFill>
                    <w14:srgbClr w14:val="212121">
                      <w14:lumMod w14:val="75000"/>
                      <w14:lumOff w14:val="25000"/>
                    </w14:srgbClr>
                  </w14:solidFill>
                </w14:textFill>
              </w:rPr>
              <w:t> </w:t>
            </w:r>
          </w:p>
          <w:p w14:paraId="2854A0FA" w14:textId="77777777" w:rsidR="000804AA" w:rsidRPr="002D7276" w:rsidRDefault="000804AA" w:rsidP="003343AE">
            <w:pPr>
              <w:pStyle w:val="ListParagraph"/>
              <w:rPr>
                <w:rFonts w:eastAsia="Times New Roman" w:cs="Helvetica"/>
                <w:color w:val="212121"/>
                <w14:textFill>
                  <w14:solidFill>
                    <w14:srgbClr w14:val="212121">
                      <w14:lumMod w14:val="75000"/>
                      <w14:lumOff w14:val="25000"/>
                    </w14:srgbClr>
                  </w14:solidFill>
                </w14:textFill>
              </w:rPr>
            </w:pPr>
            <w:r w:rsidRPr="002D7276">
              <w:rPr>
                <w:lang w:val="en-US"/>
              </w:rPr>
              <w:t>Roles &amp; responsibilities </w:t>
            </w:r>
            <w:r w:rsidRPr="002D7276">
              <w:rPr>
                <w:rFonts w:eastAsia="Times New Roman" w:cs="Helvetica"/>
                <w:color w:val="212121"/>
                <w14:textFill>
                  <w14:solidFill>
                    <w14:srgbClr w14:val="212121">
                      <w14:lumMod w14:val="75000"/>
                      <w14:lumOff w14:val="25000"/>
                    </w14:srgbClr>
                  </w14:solidFill>
                </w14:textFill>
              </w:rPr>
              <w:t> </w:t>
            </w:r>
          </w:p>
        </w:tc>
        <w:tc>
          <w:tcPr>
            <w:tcW w:w="4071" w:type="dxa"/>
          </w:tcPr>
          <w:p w14:paraId="22E46BA6" w14:textId="77777777" w:rsidR="000804AA" w:rsidRPr="00BB4FFE" w:rsidRDefault="000804AA" w:rsidP="00DA4528">
            <w:r w:rsidRPr="00BB4FFE">
              <w:rPr>
                <w:lang w:val="en-US"/>
              </w:rPr>
              <w:t>All stakeholder views – all levels of government and community stakeholder views.</w:t>
            </w:r>
            <w:r w:rsidRPr="00BB4FFE">
              <w:t> </w:t>
            </w:r>
          </w:p>
          <w:p w14:paraId="30028C55" w14:textId="77777777" w:rsidR="000804AA" w:rsidRPr="00BB4FFE" w:rsidRDefault="000804AA" w:rsidP="00DA4528">
            <w:r w:rsidRPr="00BB4FFE">
              <w:rPr>
                <w:lang w:val="en-US"/>
              </w:rPr>
              <w:t>Review of funding data.</w:t>
            </w:r>
            <w:r w:rsidRPr="00BB4FFE">
              <w:t> </w:t>
            </w:r>
          </w:p>
          <w:p w14:paraId="6CCE683A" w14:textId="77777777" w:rsidR="000804AA" w:rsidRPr="00BB4FFE" w:rsidRDefault="000804AA" w:rsidP="00DA4528">
            <w:r w:rsidRPr="00BB4FFE">
              <w:rPr>
                <w:lang w:val="en-US"/>
              </w:rPr>
              <w:t>All documents reviewed.</w:t>
            </w:r>
            <w:r w:rsidRPr="00BB4FFE">
              <w:t> </w:t>
            </w:r>
          </w:p>
        </w:tc>
      </w:tr>
      <w:tr w:rsidR="007A3486" w:rsidRPr="00BB4FFE" w14:paraId="402976AF" w14:textId="77777777" w:rsidTr="007B7DC8">
        <w:trPr>
          <w:trHeight w:val="300"/>
        </w:trPr>
        <w:tc>
          <w:tcPr>
            <w:tcW w:w="2657" w:type="dxa"/>
            <w:vMerge/>
          </w:tcPr>
          <w:p w14:paraId="0F648EA7" w14:textId="77777777" w:rsidR="000804AA" w:rsidRPr="00BB4FFE" w:rsidRDefault="000804AA" w:rsidP="00DA4528"/>
        </w:tc>
        <w:tc>
          <w:tcPr>
            <w:tcW w:w="3867" w:type="dxa"/>
          </w:tcPr>
          <w:p w14:paraId="1FC15CCF" w14:textId="77777777" w:rsidR="000804AA" w:rsidRPr="00BB4FFE" w:rsidRDefault="000804AA" w:rsidP="00DA4528">
            <w:r w:rsidRPr="00BB4FFE">
              <w:t>2. How has the CAP been implemented differently?​  </w:t>
            </w:r>
          </w:p>
        </w:tc>
        <w:tc>
          <w:tcPr>
            <w:tcW w:w="3363" w:type="dxa"/>
          </w:tcPr>
          <w:p w14:paraId="58123742" w14:textId="3365A030"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Decision-making processes -   </w:t>
            </w:r>
          </w:p>
          <w:p w14:paraId="4DDEB272"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Location and focus of investment  </w:t>
            </w:r>
          </w:p>
          <w:p w14:paraId="7370A696" w14:textId="33EBFB61"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 xml:space="preserve">Alignment of funding- </w:t>
            </w:r>
          </w:p>
          <w:p w14:paraId="43B3CD44" w14:textId="059C3747" w:rsidR="000804AA" w:rsidRPr="00BB4FFE" w:rsidRDefault="000804AA" w:rsidP="003343AE">
            <w:pPr>
              <w:pStyle w:val="ListParagraph"/>
            </w:pPr>
            <w:r w:rsidRPr="002D7276">
              <w:rPr>
                <w:lang w:val="en-US"/>
              </w:rPr>
              <w:t>Alignment to advice of the ALG/YRT/community </w:t>
            </w:r>
            <w:r w:rsidRPr="00BB4FFE">
              <w:t> </w:t>
            </w:r>
          </w:p>
        </w:tc>
        <w:tc>
          <w:tcPr>
            <w:tcW w:w="4071" w:type="dxa"/>
          </w:tcPr>
          <w:p w14:paraId="6D896B16" w14:textId="77777777" w:rsidR="000804AA" w:rsidRPr="00BB4FFE" w:rsidRDefault="000804AA" w:rsidP="00DA4528">
            <w:r w:rsidRPr="00BB4FFE">
              <w:rPr>
                <w:lang w:val="en-US"/>
              </w:rPr>
              <w:t>All stakeholder views – all levels of government and community stakeholder views.</w:t>
            </w:r>
            <w:r w:rsidRPr="00BB4FFE">
              <w:t> </w:t>
            </w:r>
          </w:p>
          <w:p w14:paraId="4BDE0B20" w14:textId="77777777" w:rsidR="000804AA" w:rsidRPr="00BB4FFE" w:rsidRDefault="000804AA" w:rsidP="00DA4528">
            <w:r w:rsidRPr="00BB4FFE">
              <w:rPr>
                <w:lang w:val="en-US"/>
              </w:rPr>
              <w:t>Success case studies.</w:t>
            </w:r>
            <w:r w:rsidRPr="00BB4FFE">
              <w:t> </w:t>
            </w:r>
          </w:p>
          <w:p w14:paraId="205DA644" w14:textId="77777777" w:rsidR="000804AA" w:rsidRPr="00BB4FFE" w:rsidRDefault="000804AA" w:rsidP="00DA4528">
            <w:r w:rsidRPr="00BB4FFE">
              <w:rPr>
                <w:lang w:val="en-US"/>
              </w:rPr>
              <w:t>Review of funding data.</w:t>
            </w:r>
            <w:r w:rsidRPr="00BB4FFE">
              <w:t> </w:t>
            </w:r>
          </w:p>
          <w:p w14:paraId="43C037CC" w14:textId="77777777" w:rsidR="000804AA" w:rsidRPr="00BB4FFE" w:rsidRDefault="000804AA" w:rsidP="00DA4528">
            <w:r w:rsidRPr="00BB4FFE">
              <w:rPr>
                <w:lang w:val="en-US"/>
              </w:rPr>
              <w:t>All documents reviewed.</w:t>
            </w:r>
            <w:r w:rsidRPr="00BB4FFE">
              <w:t> </w:t>
            </w:r>
          </w:p>
        </w:tc>
      </w:tr>
      <w:tr w:rsidR="007A3486" w:rsidRPr="00BB4FFE" w14:paraId="3EA666C8" w14:textId="77777777" w:rsidTr="007B7DC8">
        <w:trPr>
          <w:trHeight w:val="300"/>
        </w:trPr>
        <w:tc>
          <w:tcPr>
            <w:tcW w:w="2657" w:type="dxa"/>
            <w:vMerge w:val="restart"/>
          </w:tcPr>
          <w:p w14:paraId="11BAEECB" w14:textId="2D79C886" w:rsidR="000804AA" w:rsidRPr="00BB4FFE" w:rsidRDefault="000804AA" w:rsidP="00DA4528">
            <w:r w:rsidRPr="00BB4FFE">
              <w:rPr>
                <w:b/>
              </w:rPr>
              <w:t>Outcome:</w:t>
            </w:r>
            <w:r w:rsidRPr="00BB4FFE">
              <w:t xml:space="preserve"> identifying any early short-term outcomes so far in relation to </w:t>
            </w:r>
            <w:r w:rsidR="008666B6" w:rsidRPr="00EC6EA7">
              <w:t>‘doing things differently’</w:t>
            </w:r>
            <w:r w:rsidR="00513498">
              <w:t xml:space="preserve"> </w:t>
            </w:r>
            <w:r w:rsidRPr="00BB4FFE">
              <w:t>and positive life and community outcomes.  </w:t>
            </w:r>
          </w:p>
          <w:p w14:paraId="4B67A5B5" w14:textId="77777777" w:rsidR="000804AA" w:rsidRPr="00BB4FFE" w:rsidRDefault="000804AA" w:rsidP="00DA4528">
            <w:r w:rsidRPr="00BB4FFE">
              <w:t>  </w:t>
            </w:r>
          </w:p>
        </w:tc>
        <w:tc>
          <w:tcPr>
            <w:tcW w:w="3867" w:type="dxa"/>
          </w:tcPr>
          <w:p w14:paraId="624CE0ED" w14:textId="43E9040F" w:rsidR="000804AA" w:rsidRPr="00BB4FFE" w:rsidRDefault="000804AA" w:rsidP="00DA4528">
            <w:r w:rsidRPr="00BB4FFE">
              <w:t xml:space="preserve">3. What early short-term outcomes from the CAP are we seeing in terms of </w:t>
            </w:r>
            <w:r w:rsidR="008666B6" w:rsidRPr="00EC6EA7">
              <w:t>‘doing things differently’</w:t>
            </w:r>
            <w:r w:rsidRPr="00BB4FFE">
              <w:t>?​  </w:t>
            </w:r>
          </w:p>
        </w:tc>
        <w:tc>
          <w:tcPr>
            <w:tcW w:w="3363" w:type="dxa"/>
          </w:tcPr>
          <w:p w14:paraId="3A5DCB93"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Level and nature of changes made  </w:t>
            </w:r>
          </w:p>
          <w:p w14:paraId="3B579A53"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Priority Reforms  </w:t>
            </w:r>
          </w:p>
          <w:p w14:paraId="2AC8266A"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Leadership development  </w:t>
            </w:r>
          </w:p>
          <w:p w14:paraId="5B767631"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Focus on Alice Springs and remote communities  </w:t>
            </w:r>
          </w:p>
        </w:tc>
        <w:tc>
          <w:tcPr>
            <w:tcW w:w="4071" w:type="dxa"/>
          </w:tcPr>
          <w:p w14:paraId="25BD1792" w14:textId="77777777" w:rsidR="000804AA" w:rsidRPr="00BB4FFE" w:rsidRDefault="000804AA" w:rsidP="00DA4528">
            <w:r w:rsidRPr="00BB4FFE">
              <w:rPr>
                <w:lang w:val="en-US"/>
              </w:rPr>
              <w:t>All stakeholder views – all levels of government and community stakeholder views.</w:t>
            </w:r>
            <w:r w:rsidRPr="00BB4FFE">
              <w:t> </w:t>
            </w:r>
          </w:p>
          <w:p w14:paraId="623DF163" w14:textId="77777777" w:rsidR="000804AA" w:rsidRPr="00BB4FFE" w:rsidRDefault="000804AA" w:rsidP="00DA4528">
            <w:r w:rsidRPr="00BB4FFE">
              <w:rPr>
                <w:lang w:val="en-US"/>
              </w:rPr>
              <w:t>Success case studies.</w:t>
            </w:r>
            <w:r w:rsidRPr="00BB4FFE">
              <w:t> </w:t>
            </w:r>
          </w:p>
          <w:p w14:paraId="7D624963" w14:textId="77777777" w:rsidR="000804AA" w:rsidRPr="00BB4FFE" w:rsidRDefault="000804AA" w:rsidP="00DA4528">
            <w:r w:rsidRPr="00BB4FFE">
              <w:rPr>
                <w:lang w:val="en-US"/>
              </w:rPr>
              <w:t>Review of available outcome data.</w:t>
            </w:r>
            <w:r w:rsidRPr="00BB4FFE">
              <w:t> </w:t>
            </w:r>
          </w:p>
        </w:tc>
      </w:tr>
      <w:tr w:rsidR="007A3486" w:rsidRPr="00BB4FFE" w14:paraId="19D5A0FD" w14:textId="77777777" w:rsidTr="007B7DC8">
        <w:trPr>
          <w:trHeight w:val="300"/>
        </w:trPr>
        <w:tc>
          <w:tcPr>
            <w:tcW w:w="2657" w:type="dxa"/>
            <w:vMerge/>
          </w:tcPr>
          <w:p w14:paraId="10C1DE40" w14:textId="77777777" w:rsidR="000804AA" w:rsidRPr="00BB4FFE" w:rsidRDefault="000804AA" w:rsidP="00DA4528"/>
        </w:tc>
        <w:tc>
          <w:tcPr>
            <w:tcW w:w="3867" w:type="dxa"/>
          </w:tcPr>
          <w:p w14:paraId="7877FDAF" w14:textId="77777777" w:rsidR="000804AA" w:rsidRPr="00BB4FFE" w:rsidRDefault="000804AA" w:rsidP="00DA4528">
            <w:r w:rsidRPr="00BB4FFE">
              <w:t>4. What early short-term outcomes from the CAP are we seeing in terms of positive life and community outcomes?​  </w:t>
            </w:r>
          </w:p>
        </w:tc>
        <w:tc>
          <w:tcPr>
            <w:tcW w:w="3363" w:type="dxa"/>
          </w:tcPr>
          <w:p w14:paraId="2E4C2ADF"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Remote community progress  </w:t>
            </w:r>
          </w:p>
          <w:p w14:paraId="3B157013"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Alice Springs progress   </w:t>
            </w:r>
          </w:p>
        </w:tc>
        <w:tc>
          <w:tcPr>
            <w:tcW w:w="4071" w:type="dxa"/>
          </w:tcPr>
          <w:p w14:paraId="680E7144" w14:textId="77777777" w:rsidR="000804AA" w:rsidRPr="00BB4FFE" w:rsidRDefault="000804AA" w:rsidP="00DA4528">
            <w:r w:rsidRPr="00BB4FFE">
              <w:rPr>
                <w:lang w:val="en-US"/>
              </w:rPr>
              <w:t>All stakeholder views – all levels of government and community stakeholder views.</w:t>
            </w:r>
            <w:r w:rsidRPr="00BB4FFE">
              <w:t> </w:t>
            </w:r>
          </w:p>
          <w:p w14:paraId="0D1C2495" w14:textId="77777777" w:rsidR="000804AA" w:rsidRPr="00BB4FFE" w:rsidRDefault="000804AA" w:rsidP="00DA4528">
            <w:r w:rsidRPr="00BB4FFE">
              <w:rPr>
                <w:lang w:val="en-US"/>
              </w:rPr>
              <w:t>Success case studies.</w:t>
            </w:r>
            <w:r w:rsidRPr="00BB4FFE">
              <w:t> </w:t>
            </w:r>
          </w:p>
          <w:p w14:paraId="0BB42AAB" w14:textId="77777777" w:rsidR="000804AA" w:rsidRPr="00BB4FFE" w:rsidRDefault="000804AA" w:rsidP="00DA4528">
            <w:r w:rsidRPr="00BB4FFE">
              <w:rPr>
                <w:lang w:val="en-US"/>
              </w:rPr>
              <w:t>Review of available outcome data.</w:t>
            </w:r>
            <w:r w:rsidRPr="00BB4FFE">
              <w:t> </w:t>
            </w:r>
          </w:p>
        </w:tc>
      </w:tr>
      <w:tr w:rsidR="007A3486" w:rsidRPr="00BB4FFE" w14:paraId="180FA0A6" w14:textId="77777777" w:rsidTr="007B7DC8">
        <w:trPr>
          <w:trHeight w:val="300"/>
        </w:trPr>
        <w:tc>
          <w:tcPr>
            <w:tcW w:w="2657" w:type="dxa"/>
          </w:tcPr>
          <w:p w14:paraId="338DCC99" w14:textId="77777777" w:rsidR="000804AA" w:rsidRPr="00BB4FFE" w:rsidRDefault="000804AA" w:rsidP="00DA4528">
            <w:r w:rsidRPr="00BB4FFE">
              <w:rPr>
                <w:b/>
              </w:rPr>
              <w:lastRenderedPageBreak/>
              <w:t>Future:</w:t>
            </w:r>
            <w:r w:rsidRPr="00BB4FFE">
              <w:t xml:space="preserve"> identifying lessons learnt that can inform future implementation of the CAP.  </w:t>
            </w:r>
          </w:p>
        </w:tc>
        <w:tc>
          <w:tcPr>
            <w:tcW w:w="3867" w:type="dxa"/>
          </w:tcPr>
          <w:p w14:paraId="61EED662" w14:textId="77777777" w:rsidR="000804AA" w:rsidRPr="00BB4FFE" w:rsidRDefault="000804AA" w:rsidP="00DA4528">
            <w:r w:rsidRPr="00BB4FFE">
              <w:t>5. What are the lessons learnt from the CAP process so far?​  </w:t>
            </w:r>
          </w:p>
        </w:tc>
        <w:tc>
          <w:tcPr>
            <w:tcW w:w="3363" w:type="dxa"/>
          </w:tcPr>
          <w:p w14:paraId="22A34E69"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Enablers  </w:t>
            </w:r>
          </w:p>
          <w:p w14:paraId="6E03DFB1"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Barriers  </w:t>
            </w:r>
          </w:p>
          <w:p w14:paraId="25A9896E" w14:textId="77777777" w:rsidR="000804AA" w:rsidRPr="002D7276" w:rsidRDefault="000804AA" w:rsidP="003343AE">
            <w:pPr>
              <w:pStyle w:val="ListParagraph"/>
              <w:rPr>
                <w:rFonts w:eastAsia="Times New Roman" w:cs="Helvetica"/>
                <w:color w:val="212121"/>
                <w:lang w:val="en-US"/>
                <w14:textFill>
                  <w14:solidFill>
                    <w14:srgbClr w14:val="212121">
                      <w14:lumMod w14:val="75000"/>
                      <w14:lumOff w14:val="25000"/>
                    </w14:srgbClr>
                  </w14:solidFill>
                </w14:textFill>
              </w:rPr>
            </w:pPr>
            <w:r w:rsidRPr="002D7276">
              <w:rPr>
                <w:lang w:val="en-US"/>
              </w:rPr>
              <w:t>Future areas of focus (for implementation)  </w:t>
            </w:r>
          </w:p>
        </w:tc>
        <w:tc>
          <w:tcPr>
            <w:tcW w:w="4071" w:type="dxa"/>
          </w:tcPr>
          <w:p w14:paraId="63F062EA" w14:textId="77777777" w:rsidR="000804AA" w:rsidRPr="00BB4FFE" w:rsidRDefault="000804AA" w:rsidP="00DA4528">
            <w:r w:rsidRPr="00BB4FFE">
              <w:rPr>
                <w:lang w:val="en-US"/>
              </w:rPr>
              <w:t>All stakeholder views – all levels of government and community stakeholder views.</w:t>
            </w:r>
            <w:r w:rsidRPr="00BB4FFE">
              <w:t xml:space="preserve">  </w:t>
            </w:r>
          </w:p>
        </w:tc>
      </w:tr>
    </w:tbl>
    <w:p w14:paraId="39D623B6" w14:textId="77777777" w:rsidR="00BB4FFE" w:rsidRDefault="00BB4FFE" w:rsidP="00DA4528">
      <w:pPr>
        <w:sectPr w:rsidR="00BB4FFE" w:rsidSect="00BB4FFE">
          <w:pgSz w:w="16840" w:h="11900" w:orient="landscape"/>
          <w:pgMar w:top="1077" w:right="1440" w:bottom="1077" w:left="1440" w:header="709" w:footer="709" w:gutter="0"/>
          <w:cols w:space="720"/>
          <w:titlePg/>
          <w:docGrid w:linePitch="272"/>
        </w:sectPr>
      </w:pPr>
    </w:p>
    <w:p w14:paraId="2A92BA87" w14:textId="77777777" w:rsidR="0067603B" w:rsidRPr="00EC6311" w:rsidRDefault="0067603B" w:rsidP="00DA4528">
      <w:pPr>
        <w:rPr>
          <w:color w:val="404040"/>
          <w:sz w:val="18"/>
          <w:szCs w:val="18"/>
        </w:rPr>
      </w:pPr>
      <w:r w:rsidRPr="00E26FE6">
        <w:lastRenderedPageBreak/>
        <w:t> </w:t>
      </w:r>
    </w:p>
    <w:p w14:paraId="45D25ACB" w14:textId="0D86F9FB" w:rsidR="00800010" w:rsidRPr="00B47304" w:rsidRDefault="00A508CD" w:rsidP="00DA4528">
      <w:pPr>
        <w:pStyle w:val="Heading1"/>
      </w:pPr>
      <w:bookmarkStart w:id="47" w:name="_Toc205475110"/>
      <w:r w:rsidRPr="00B47304">
        <w:t xml:space="preserve">Appendix </w:t>
      </w:r>
      <w:r w:rsidR="002265EB">
        <w:t>D</w:t>
      </w:r>
      <w:r w:rsidRPr="00B47304">
        <w:t xml:space="preserve">: </w:t>
      </w:r>
      <w:r w:rsidR="002265EB">
        <w:t>G</w:t>
      </w:r>
      <w:r w:rsidR="00800010" w:rsidRPr="00B47304">
        <w:t>overnment stakeholder</w:t>
      </w:r>
      <w:r w:rsidR="002265EB">
        <w:t xml:space="preserve"> interview guide</w:t>
      </w:r>
      <w:bookmarkEnd w:id="47"/>
    </w:p>
    <w:p w14:paraId="2A50F900" w14:textId="77777777" w:rsidR="00800010" w:rsidRPr="002265EB" w:rsidRDefault="00800010" w:rsidP="002265EB">
      <w:pPr>
        <w:pStyle w:val="Heading5"/>
      </w:pPr>
      <w:r w:rsidRPr="002265EB">
        <w:t>Introductory questions  </w:t>
      </w:r>
    </w:p>
    <w:p w14:paraId="1F2E8303" w14:textId="1B76A8A5" w:rsidR="00800010" w:rsidRPr="00D56EF0" w:rsidRDefault="00800010" w:rsidP="00DA4528">
      <w:r w:rsidRPr="00D56EF0">
        <w:t xml:space="preserve">Please state your name, role and organisation and how you have been involved in the Central Australia </w:t>
      </w:r>
      <w:proofErr w:type="gramStart"/>
      <w:r w:rsidRPr="00D56EF0">
        <w:t>Plan </w:t>
      </w:r>
      <w:r w:rsidR="002265EB">
        <w:t>.</w:t>
      </w:r>
      <w:proofErr w:type="gramEnd"/>
    </w:p>
    <w:p w14:paraId="5664D77D" w14:textId="77777777" w:rsidR="00800010" w:rsidRPr="00EC6311" w:rsidRDefault="00800010" w:rsidP="002265EB">
      <w:pPr>
        <w:pStyle w:val="Heading5"/>
      </w:pPr>
      <w:r w:rsidRPr="00D56EF0">
        <w:t>Current state of implementation of the CAP (KEQ1)  </w:t>
      </w:r>
    </w:p>
    <w:p w14:paraId="75ABC899" w14:textId="77777777" w:rsidR="00800010" w:rsidRPr="001109B9" w:rsidRDefault="00800010" w:rsidP="004C6984">
      <w:pPr>
        <w:pStyle w:val="ListParagraph"/>
        <w:numPr>
          <w:ilvl w:val="0"/>
          <w:numId w:val="19"/>
        </w:numPr>
      </w:pPr>
      <w:r w:rsidRPr="001109B9">
        <w:rPr>
          <w:lang w:val="en-GB"/>
        </w:rPr>
        <w:t>How is the CAP implementation process going from your perspective?  </w:t>
      </w:r>
      <w:r w:rsidRPr="001109B9">
        <w:t> </w:t>
      </w:r>
    </w:p>
    <w:p w14:paraId="5A3B8EE4" w14:textId="77777777" w:rsidR="00800010" w:rsidRPr="00EC6311" w:rsidRDefault="00800010" w:rsidP="00DA4528">
      <w:r w:rsidRPr="007B5A63">
        <w:rPr>
          <w:lang w:val="en-GB"/>
        </w:rPr>
        <w:t>Prompts (how is the CAP going in terms of:) </w:t>
      </w:r>
      <w:r w:rsidRPr="007B5A63">
        <w:t>  </w:t>
      </w:r>
    </w:p>
    <w:p w14:paraId="39E59DAA" w14:textId="77777777" w:rsidR="00800010" w:rsidRPr="001109B9" w:rsidRDefault="00800010" w:rsidP="004C6984">
      <w:pPr>
        <w:pStyle w:val="ListParagraph"/>
        <w:numPr>
          <w:ilvl w:val="0"/>
          <w:numId w:val="19"/>
        </w:numPr>
        <w:rPr>
          <w:rFonts w:eastAsia="Times New Roman"/>
        </w:rPr>
      </w:pPr>
      <w:r w:rsidRPr="001109B9">
        <w:rPr>
          <w:lang w:val="en-GB"/>
        </w:rPr>
        <w:t>How decisions are made</w:t>
      </w:r>
      <w:r w:rsidRPr="001109B9">
        <w:rPr>
          <w:rFonts w:eastAsia="Times New Roman"/>
        </w:rPr>
        <w:t>  </w:t>
      </w:r>
    </w:p>
    <w:p w14:paraId="38DE5E9F" w14:textId="77777777" w:rsidR="00800010" w:rsidRPr="001109B9" w:rsidRDefault="00800010" w:rsidP="004C6984">
      <w:pPr>
        <w:pStyle w:val="ListParagraph"/>
        <w:numPr>
          <w:ilvl w:val="0"/>
          <w:numId w:val="19"/>
        </w:numPr>
        <w:rPr>
          <w:rFonts w:eastAsia="Times New Roman"/>
        </w:rPr>
      </w:pPr>
      <w:r w:rsidRPr="001109B9">
        <w:rPr>
          <w:lang w:val="en-GB"/>
        </w:rPr>
        <w:t>The role that governance mechanisms play in impl</w:t>
      </w:r>
      <w:r w:rsidRPr="001109B9">
        <w:rPr>
          <w:rFonts w:eastAsia="Times New Roman"/>
          <w:lang w:val="en-GB"/>
        </w:rPr>
        <w:t>ementation</w:t>
      </w:r>
      <w:r w:rsidRPr="001109B9">
        <w:rPr>
          <w:rFonts w:eastAsia="Times New Roman"/>
        </w:rPr>
        <w:t>  </w:t>
      </w:r>
    </w:p>
    <w:p w14:paraId="45E0C7C3" w14:textId="77777777" w:rsidR="00800010" w:rsidRPr="001109B9" w:rsidRDefault="00800010" w:rsidP="004C6984">
      <w:pPr>
        <w:pStyle w:val="ListParagraph"/>
        <w:numPr>
          <w:ilvl w:val="0"/>
          <w:numId w:val="19"/>
        </w:numPr>
      </w:pPr>
      <w:r w:rsidRPr="001109B9">
        <w:rPr>
          <w:lang w:val="en-GB"/>
        </w:rPr>
        <w:t>Accountability and communication of decisions</w:t>
      </w:r>
      <w:r w:rsidRPr="001109B9">
        <w:t>  </w:t>
      </w:r>
    </w:p>
    <w:p w14:paraId="5B5C610D" w14:textId="77777777" w:rsidR="00800010" w:rsidRPr="001109B9" w:rsidRDefault="00800010" w:rsidP="004C6984">
      <w:pPr>
        <w:pStyle w:val="ListParagraph"/>
        <w:numPr>
          <w:ilvl w:val="0"/>
          <w:numId w:val="19"/>
        </w:numPr>
        <w:rPr>
          <w:rFonts w:eastAsia="Times New Roman"/>
        </w:rPr>
      </w:pPr>
      <w:r w:rsidRPr="001109B9">
        <w:rPr>
          <w:lang w:val="en-GB"/>
        </w:rPr>
        <w:t>Clarity of roles and responsibilities</w:t>
      </w:r>
      <w:r w:rsidRPr="001109B9">
        <w:rPr>
          <w:rFonts w:eastAsia="Times New Roman"/>
        </w:rPr>
        <w:t>  </w:t>
      </w:r>
    </w:p>
    <w:p w14:paraId="02040811" w14:textId="77777777" w:rsidR="00800010" w:rsidRPr="00EC6311" w:rsidRDefault="00800010" w:rsidP="002265EB">
      <w:pPr>
        <w:pStyle w:val="Heading5"/>
      </w:pPr>
      <w:r w:rsidRPr="00D56EF0">
        <w:rPr>
          <w:lang w:val="en-GB"/>
        </w:rPr>
        <w:t>Implementing the CAP differently (KEQ2)</w:t>
      </w:r>
      <w:r w:rsidRPr="00D56EF0">
        <w:t> </w:t>
      </w:r>
    </w:p>
    <w:p w14:paraId="6773BE5C" w14:textId="67718E0D" w:rsidR="00800010" w:rsidRPr="002265EB" w:rsidRDefault="00800010" w:rsidP="004C6984">
      <w:pPr>
        <w:pStyle w:val="ListParagraph"/>
        <w:numPr>
          <w:ilvl w:val="0"/>
          <w:numId w:val="19"/>
        </w:numPr>
        <w:rPr>
          <w:rFonts w:eastAsia="Times New Roman"/>
        </w:rPr>
      </w:pPr>
      <w:r w:rsidRPr="001109B9">
        <w:t>Has being involved in the CAP implementation had any benefits f</w:t>
      </w:r>
      <w:r w:rsidRPr="002265EB">
        <w:rPr>
          <w:rFonts w:eastAsia="Times New Roman"/>
        </w:rPr>
        <w:t>or your role/your agency/your government? Conversely, has it presented any challenges? </w:t>
      </w:r>
      <w:r w:rsidRPr="001109B9">
        <w:t>Have you observed any benefits or challenges in your agency/role that have arisen with the implementation of the CAP? </w:t>
      </w:r>
    </w:p>
    <w:p w14:paraId="5E5AB22D" w14:textId="77777777" w:rsidR="00800010" w:rsidRPr="00EC6311" w:rsidRDefault="00800010" w:rsidP="00DA4528">
      <w:r w:rsidRPr="007B5A63">
        <w:t>Prompts:   </w:t>
      </w:r>
    </w:p>
    <w:p w14:paraId="5872519F" w14:textId="77777777" w:rsidR="00800010" w:rsidRPr="001109B9" w:rsidRDefault="00800010" w:rsidP="004C6984">
      <w:pPr>
        <w:pStyle w:val="ListParagraph"/>
        <w:numPr>
          <w:ilvl w:val="0"/>
          <w:numId w:val="41"/>
        </w:numPr>
      </w:pPr>
      <w:r w:rsidRPr="001109B9">
        <w:t>Prioritising investment - How did you prioritise investment?  </w:t>
      </w:r>
    </w:p>
    <w:p w14:paraId="34B22278" w14:textId="1436A7A0" w:rsidR="00800010" w:rsidRPr="002265EB" w:rsidRDefault="00800010" w:rsidP="004C6984">
      <w:pPr>
        <w:pStyle w:val="ListParagraph"/>
        <w:numPr>
          <w:ilvl w:val="0"/>
          <w:numId w:val="41"/>
        </w:numPr>
        <w:rPr>
          <w:rFonts w:eastAsia="Times New Roman"/>
        </w:rPr>
      </w:pPr>
      <w:r w:rsidRPr="001109B9">
        <w:t xml:space="preserve">Focusing on </w:t>
      </w:r>
      <w:r w:rsidR="00FA13E6">
        <w:t>National Agreement</w:t>
      </w:r>
      <w:r w:rsidRPr="001109B9">
        <w:t xml:space="preserve"> (including Priority Reforms) </w:t>
      </w:r>
    </w:p>
    <w:p w14:paraId="30E12A0A" w14:textId="77777777" w:rsidR="00800010" w:rsidRPr="002265EB" w:rsidRDefault="00800010" w:rsidP="004C6984">
      <w:pPr>
        <w:pStyle w:val="ListParagraph"/>
        <w:numPr>
          <w:ilvl w:val="0"/>
          <w:numId w:val="41"/>
        </w:numPr>
        <w:rPr>
          <w:rFonts w:eastAsia="Times New Roman"/>
        </w:rPr>
      </w:pPr>
      <w:r w:rsidRPr="001109B9">
        <w:t>Focusing resources and effort </w:t>
      </w:r>
    </w:p>
    <w:p w14:paraId="4916904F" w14:textId="77777777" w:rsidR="00800010" w:rsidRPr="002265EB" w:rsidRDefault="00800010" w:rsidP="004C6984">
      <w:pPr>
        <w:pStyle w:val="ListParagraph"/>
        <w:numPr>
          <w:ilvl w:val="0"/>
          <w:numId w:val="41"/>
        </w:numPr>
        <w:rPr>
          <w:rFonts w:eastAsia="Times New Roman"/>
        </w:rPr>
      </w:pPr>
      <w:r w:rsidRPr="001109B9">
        <w:t>Coordination  </w:t>
      </w:r>
    </w:p>
    <w:p w14:paraId="16A8522C" w14:textId="36951AA3" w:rsidR="00800010" w:rsidRPr="002265EB" w:rsidRDefault="00800010" w:rsidP="004C6984">
      <w:pPr>
        <w:pStyle w:val="ListParagraph"/>
        <w:numPr>
          <w:ilvl w:val="0"/>
          <w:numId w:val="41"/>
        </w:numPr>
        <w:rPr>
          <w:rFonts w:eastAsia="Times New Roman"/>
        </w:rPr>
      </w:pPr>
      <w:r w:rsidRPr="002265EB">
        <w:rPr>
          <w:lang w:val="en-GB"/>
        </w:rPr>
        <w:t xml:space="preserve">What are the biggest changes you have implemented or witnessed in </w:t>
      </w:r>
      <w:r w:rsidRPr="002265EB">
        <w:rPr>
          <w:rFonts w:eastAsia="Times New Roman"/>
          <w:lang w:val="en-GB"/>
        </w:rPr>
        <w:t>your role/your agency/your government? </w:t>
      </w:r>
      <w:r w:rsidRPr="002265EB">
        <w:rPr>
          <w:rFonts w:eastAsia="Times New Roman"/>
        </w:rPr>
        <w:t> </w:t>
      </w:r>
    </w:p>
    <w:p w14:paraId="52651EC1" w14:textId="521051DF" w:rsidR="00800010" w:rsidRPr="002265EB" w:rsidRDefault="00800010" w:rsidP="004C6984">
      <w:pPr>
        <w:pStyle w:val="ListParagraph"/>
        <w:numPr>
          <w:ilvl w:val="0"/>
          <w:numId w:val="41"/>
        </w:numPr>
        <w:rPr>
          <w:rFonts w:eastAsia="Times New Roman"/>
        </w:rPr>
      </w:pPr>
      <w:r w:rsidRPr="001109B9">
        <w:t xml:space="preserve">What support, if any, has your government/agency provided to ACCOs that have received funding under the CAP? </w:t>
      </w:r>
    </w:p>
    <w:p w14:paraId="0C59A882" w14:textId="77777777" w:rsidR="00800010" w:rsidRPr="00EC6311" w:rsidRDefault="00800010" w:rsidP="002265EB">
      <w:pPr>
        <w:pStyle w:val="Heading5"/>
      </w:pPr>
      <w:r w:rsidRPr="007B5A63">
        <w:t>Early outcome changes (KEQ3)  </w:t>
      </w:r>
    </w:p>
    <w:p w14:paraId="66A24742" w14:textId="2ACC6E83" w:rsidR="00800010" w:rsidRPr="001109B9" w:rsidRDefault="00800010" w:rsidP="004C6984">
      <w:pPr>
        <w:pStyle w:val="ListParagraph"/>
        <w:numPr>
          <w:ilvl w:val="0"/>
          <w:numId w:val="19"/>
        </w:numPr>
      </w:pPr>
      <w:r w:rsidRPr="001109B9">
        <w:t>When it comes to implementing the CAP, what does ‘doing things differently’ mean to you? </w:t>
      </w:r>
    </w:p>
    <w:p w14:paraId="7A94AC7A" w14:textId="77777777" w:rsidR="00800010" w:rsidRPr="001109B9" w:rsidRDefault="00800010" w:rsidP="004C6984">
      <w:pPr>
        <w:pStyle w:val="ListParagraph"/>
        <w:numPr>
          <w:ilvl w:val="0"/>
          <w:numId w:val="19"/>
        </w:numPr>
      </w:pPr>
      <w:r w:rsidRPr="001109B9">
        <w:rPr>
          <w:lang w:val="en-GB"/>
        </w:rPr>
        <w:t xml:space="preserve">Are you starting to see any </w:t>
      </w:r>
      <w:r w:rsidRPr="001109B9">
        <w:t>change in the areas of the Priority Reforms in Alice Springs and remote communities?  </w:t>
      </w:r>
    </w:p>
    <w:p w14:paraId="34A9CE0A" w14:textId="04704D0D" w:rsidR="00800010" w:rsidRPr="00EC6311" w:rsidRDefault="00800010" w:rsidP="00DA4528">
      <w:r w:rsidRPr="007B5A63">
        <w:t xml:space="preserve">Prompts </w:t>
      </w:r>
      <w:r w:rsidR="007B5A63">
        <w:t>– c</w:t>
      </w:r>
      <w:r w:rsidRPr="007B5A63">
        <w:t xml:space="preserve">hanges in terms </w:t>
      </w:r>
      <w:r w:rsidR="00696FF5" w:rsidRPr="007B5A63">
        <w:t>of:</w:t>
      </w:r>
      <w:r w:rsidRPr="007B5A63">
        <w:t> </w:t>
      </w:r>
    </w:p>
    <w:p w14:paraId="715229ED" w14:textId="77777777" w:rsidR="00800010" w:rsidRPr="001109B9" w:rsidRDefault="00800010" w:rsidP="004C6984">
      <w:pPr>
        <w:pStyle w:val="ListParagraph"/>
        <w:numPr>
          <w:ilvl w:val="0"/>
          <w:numId w:val="16"/>
        </w:numPr>
        <w:rPr>
          <w:rFonts w:eastAsia="Times New Roman"/>
        </w:rPr>
      </w:pPr>
      <w:r w:rsidRPr="001109B9">
        <w:t>Formal partnership and shared decision making </w:t>
      </w:r>
    </w:p>
    <w:p w14:paraId="781F5032" w14:textId="77777777" w:rsidR="00800010" w:rsidRPr="001109B9" w:rsidRDefault="00800010" w:rsidP="004C6984">
      <w:pPr>
        <w:pStyle w:val="ListParagraph"/>
        <w:numPr>
          <w:ilvl w:val="0"/>
          <w:numId w:val="16"/>
        </w:numPr>
      </w:pPr>
      <w:r w:rsidRPr="001109B9">
        <w:t>Building the community-controlled sector </w:t>
      </w:r>
    </w:p>
    <w:p w14:paraId="64548BF7" w14:textId="77777777" w:rsidR="00800010" w:rsidRPr="001109B9" w:rsidRDefault="00800010" w:rsidP="004C6984">
      <w:pPr>
        <w:pStyle w:val="ListParagraph"/>
        <w:numPr>
          <w:ilvl w:val="0"/>
          <w:numId w:val="16"/>
        </w:numPr>
        <w:rPr>
          <w:rFonts w:eastAsia="Times New Roman"/>
        </w:rPr>
      </w:pPr>
      <w:r w:rsidRPr="001109B9">
        <w:t>Transforming government organisations </w:t>
      </w:r>
    </w:p>
    <w:p w14:paraId="4EAB5E0C" w14:textId="07ABC856" w:rsidR="00800010" w:rsidRPr="001109B9" w:rsidRDefault="00800010" w:rsidP="004C6984">
      <w:pPr>
        <w:pStyle w:val="ListParagraph"/>
        <w:numPr>
          <w:ilvl w:val="0"/>
          <w:numId w:val="16"/>
        </w:numPr>
        <w:rPr>
          <w:rFonts w:eastAsia="Times New Roman"/>
        </w:rPr>
      </w:pPr>
      <w:r w:rsidRPr="001109B9">
        <w:t>Shared access to data and information at a regional level. </w:t>
      </w:r>
    </w:p>
    <w:p w14:paraId="3740E11B" w14:textId="3689CF66" w:rsidR="007475C7" w:rsidRPr="00EC6311" w:rsidRDefault="007475C7" w:rsidP="002265EB">
      <w:pPr>
        <w:pStyle w:val="Heading5"/>
        <w:rPr>
          <w:rFonts w:eastAsia="SimSun"/>
        </w:rPr>
      </w:pPr>
      <w:r w:rsidRPr="007475C7">
        <w:t>Early outcome changes (KEQ</w:t>
      </w:r>
      <w:r>
        <w:t>4</w:t>
      </w:r>
      <w:r w:rsidRPr="007475C7">
        <w:t>)  </w:t>
      </w:r>
    </w:p>
    <w:p w14:paraId="1F43D6D7" w14:textId="3B575A6E" w:rsidR="00800010" w:rsidRPr="001109B9" w:rsidRDefault="00800010" w:rsidP="004C6984">
      <w:pPr>
        <w:pStyle w:val="ListParagraph"/>
        <w:numPr>
          <w:ilvl w:val="0"/>
          <w:numId w:val="19"/>
        </w:numPr>
      </w:pPr>
      <w:r w:rsidRPr="002265EB">
        <w:rPr>
          <w:lang w:val="en-GB"/>
        </w:rPr>
        <w:t xml:space="preserve">Have you started to see any indications of positive changes in the Alice springs community </w:t>
      </w:r>
      <w:proofErr w:type="gramStart"/>
      <w:r w:rsidRPr="002265EB">
        <w:rPr>
          <w:lang w:val="en-GB"/>
        </w:rPr>
        <w:t>as a result of</w:t>
      </w:r>
      <w:proofErr w:type="gramEnd"/>
      <w:r w:rsidRPr="002265EB">
        <w:rPr>
          <w:lang w:val="en-GB"/>
        </w:rPr>
        <w:t xml:space="preserve"> CAP? </w:t>
      </w:r>
      <w:r w:rsidRPr="001109B9">
        <w:t> </w:t>
      </w:r>
    </w:p>
    <w:p w14:paraId="0895BFD7" w14:textId="4F6656B4" w:rsidR="00800010" w:rsidRPr="00EC6311" w:rsidRDefault="00800010" w:rsidP="00DA4528">
      <w:r w:rsidRPr="007B5A63">
        <w:t xml:space="preserve">Prompts </w:t>
      </w:r>
      <w:r w:rsidR="007B5A63" w:rsidRPr="007B5A63">
        <w:t xml:space="preserve">– </w:t>
      </w:r>
      <w:r w:rsidRPr="007B5A63">
        <w:t>for example: </w:t>
      </w:r>
    </w:p>
    <w:p w14:paraId="73ED4463" w14:textId="77777777" w:rsidR="00800010" w:rsidRPr="007E03DB" w:rsidRDefault="00800010" w:rsidP="004C6984">
      <w:pPr>
        <w:pStyle w:val="ListParagraph"/>
        <w:numPr>
          <w:ilvl w:val="0"/>
          <w:numId w:val="42"/>
        </w:numPr>
        <w:rPr>
          <w:rFonts w:eastAsia="Times New Roman"/>
        </w:rPr>
      </w:pPr>
      <w:r w:rsidRPr="007E03DB">
        <w:t>community self-determination </w:t>
      </w:r>
    </w:p>
    <w:p w14:paraId="70658D63" w14:textId="77777777" w:rsidR="00800010" w:rsidRPr="007E03DB" w:rsidRDefault="00800010" w:rsidP="004C6984">
      <w:pPr>
        <w:pStyle w:val="ListParagraph"/>
        <w:numPr>
          <w:ilvl w:val="0"/>
          <w:numId w:val="42"/>
        </w:numPr>
        <w:rPr>
          <w:rFonts w:eastAsia="Times New Roman"/>
        </w:rPr>
      </w:pPr>
      <w:r w:rsidRPr="007E03DB">
        <w:t>community safety </w:t>
      </w:r>
    </w:p>
    <w:p w14:paraId="02EDFFBC" w14:textId="77777777" w:rsidR="00800010" w:rsidRPr="007E03DB" w:rsidRDefault="00800010" w:rsidP="004C6984">
      <w:pPr>
        <w:pStyle w:val="ListParagraph"/>
        <w:numPr>
          <w:ilvl w:val="0"/>
          <w:numId w:val="42"/>
        </w:numPr>
        <w:rPr>
          <w:rFonts w:eastAsia="Times New Roman"/>
        </w:rPr>
      </w:pPr>
      <w:r w:rsidRPr="007E03DB">
        <w:t>relevant closing the gap targets in remote communities </w:t>
      </w:r>
    </w:p>
    <w:p w14:paraId="4F5FDF08" w14:textId="76E9FB7D" w:rsidR="00800010" w:rsidRPr="007E03DB" w:rsidRDefault="00800010" w:rsidP="004C6984">
      <w:pPr>
        <w:pStyle w:val="ListParagraph"/>
        <w:numPr>
          <w:ilvl w:val="0"/>
          <w:numId w:val="42"/>
        </w:numPr>
        <w:rPr>
          <w:rFonts w:eastAsia="Times New Roman"/>
        </w:rPr>
      </w:pPr>
      <w:r w:rsidRPr="007E03DB">
        <w:rPr>
          <w:lang w:val="en-GB"/>
        </w:rPr>
        <w:t xml:space="preserve">Have you started to see any indications of negative changes in the Alice springs community </w:t>
      </w:r>
      <w:proofErr w:type="gramStart"/>
      <w:r w:rsidRPr="007E03DB">
        <w:rPr>
          <w:lang w:val="en-GB"/>
        </w:rPr>
        <w:t>as a result of</w:t>
      </w:r>
      <w:proofErr w:type="gramEnd"/>
      <w:r w:rsidRPr="007E03DB">
        <w:rPr>
          <w:lang w:val="en-GB"/>
        </w:rPr>
        <w:t xml:space="preserve"> CAP? </w:t>
      </w:r>
      <w:r w:rsidRPr="007E03DB">
        <w:rPr>
          <w:rFonts w:eastAsia="Times New Roman"/>
        </w:rPr>
        <w:t> </w:t>
      </w:r>
    </w:p>
    <w:p w14:paraId="2BFC167E" w14:textId="77777777" w:rsidR="00800010" w:rsidRPr="007E03DB" w:rsidRDefault="00800010" w:rsidP="004C6984">
      <w:pPr>
        <w:pStyle w:val="ListParagraph"/>
        <w:numPr>
          <w:ilvl w:val="0"/>
          <w:numId w:val="19"/>
        </w:numPr>
        <w:rPr>
          <w:rFonts w:eastAsia="Times New Roman"/>
        </w:rPr>
      </w:pPr>
      <w:r w:rsidRPr="007E03DB">
        <w:rPr>
          <w:lang w:val="en-GB"/>
        </w:rPr>
        <w:t xml:space="preserve">Have you started to see any indications of positive changes in the remote communities </w:t>
      </w:r>
      <w:proofErr w:type="gramStart"/>
      <w:r w:rsidRPr="007E03DB">
        <w:rPr>
          <w:lang w:val="en-GB"/>
        </w:rPr>
        <w:t>as a result of</w:t>
      </w:r>
      <w:proofErr w:type="gramEnd"/>
      <w:r w:rsidRPr="007E03DB">
        <w:rPr>
          <w:lang w:val="en-GB"/>
        </w:rPr>
        <w:t xml:space="preserve"> CAP? </w:t>
      </w:r>
      <w:r w:rsidRPr="007E03DB">
        <w:rPr>
          <w:rFonts w:eastAsia="Times New Roman"/>
        </w:rPr>
        <w:t> </w:t>
      </w:r>
    </w:p>
    <w:p w14:paraId="00F7986C" w14:textId="77777777" w:rsidR="00800010" w:rsidRPr="00EC6311" w:rsidRDefault="00800010" w:rsidP="00DA4528">
      <w:r w:rsidRPr="007475C7">
        <w:t>Prompts (for example): </w:t>
      </w:r>
    </w:p>
    <w:p w14:paraId="359F2700" w14:textId="77777777" w:rsidR="00800010" w:rsidRPr="007E03DB" w:rsidRDefault="00800010" w:rsidP="004C6984">
      <w:pPr>
        <w:pStyle w:val="ListParagraph"/>
        <w:numPr>
          <w:ilvl w:val="0"/>
          <w:numId w:val="17"/>
        </w:numPr>
        <w:rPr>
          <w:rFonts w:eastAsia="Times New Roman"/>
        </w:rPr>
      </w:pPr>
      <w:r w:rsidRPr="007E03DB">
        <w:lastRenderedPageBreak/>
        <w:t>community self determination </w:t>
      </w:r>
    </w:p>
    <w:p w14:paraId="35A7F495" w14:textId="77777777" w:rsidR="00800010" w:rsidRPr="007E03DB" w:rsidRDefault="00800010" w:rsidP="004C6984">
      <w:pPr>
        <w:pStyle w:val="ListParagraph"/>
        <w:numPr>
          <w:ilvl w:val="0"/>
          <w:numId w:val="17"/>
        </w:numPr>
        <w:rPr>
          <w:rFonts w:eastAsia="Times New Roman"/>
        </w:rPr>
      </w:pPr>
      <w:r w:rsidRPr="007E03DB">
        <w:t>community safety </w:t>
      </w:r>
    </w:p>
    <w:p w14:paraId="075EC54F" w14:textId="77777777" w:rsidR="00800010" w:rsidRPr="007E03DB" w:rsidRDefault="00800010" w:rsidP="004C6984">
      <w:pPr>
        <w:pStyle w:val="ListParagraph"/>
        <w:numPr>
          <w:ilvl w:val="0"/>
          <w:numId w:val="17"/>
        </w:numPr>
        <w:rPr>
          <w:rFonts w:eastAsia="Times New Roman"/>
        </w:rPr>
      </w:pPr>
      <w:r w:rsidRPr="007E03DB">
        <w:t>relevant closing the gap targets in remote communities </w:t>
      </w:r>
    </w:p>
    <w:p w14:paraId="53D79912" w14:textId="314B3B5F" w:rsidR="00800010" w:rsidRPr="007E03DB" w:rsidRDefault="00800010" w:rsidP="004C6984">
      <w:pPr>
        <w:pStyle w:val="ListParagraph"/>
        <w:numPr>
          <w:ilvl w:val="0"/>
          <w:numId w:val="17"/>
        </w:numPr>
      </w:pPr>
      <w:r w:rsidRPr="007E03DB">
        <w:rPr>
          <w:lang w:val="en-GB"/>
        </w:rPr>
        <w:t xml:space="preserve">Have you started to see any indications of negative changes in the remote communities </w:t>
      </w:r>
      <w:proofErr w:type="gramStart"/>
      <w:r w:rsidRPr="007E03DB">
        <w:rPr>
          <w:lang w:val="en-GB"/>
        </w:rPr>
        <w:t>as a result of</w:t>
      </w:r>
      <w:proofErr w:type="gramEnd"/>
      <w:r w:rsidRPr="007E03DB">
        <w:rPr>
          <w:lang w:val="en-GB"/>
        </w:rPr>
        <w:t xml:space="preserve"> CAP? </w:t>
      </w:r>
      <w:r w:rsidRPr="007E03DB">
        <w:t> </w:t>
      </w:r>
    </w:p>
    <w:p w14:paraId="1118232E" w14:textId="77777777" w:rsidR="00800010" w:rsidRPr="00EC6311" w:rsidRDefault="00800010" w:rsidP="002265EB">
      <w:pPr>
        <w:pStyle w:val="Heading5"/>
      </w:pPr>
      <w:r w:rsidRPr="007475C7">
        <w:rPr>
          <w:lang w:val="en-GB"/>
        </w:rPr>
        <w:t>Enablers, Barriers and future focus (KEQ5)</w:t>
      </w:r>
      <w:r w:rsidRPr="007475C7">
        <w:t> </w:t>
      </w:r>
    </w:p>
    <w:p w14:paraId="660A54CE" w14:textId="77777777" w:rsidR="00800010" w:rsidRPr="007E03DB" w:rsidRDefault="00800010" w:rsidP="004C6984">
      <w:pPr>
        <w:pStyle w:val="ListParagraph"/>
        <w:numPr>
          <w:ilvl w:val="0"/>
          <w:numId w:val="19"/>
        </w:numPr>
      </w:pPr>
      <w:r w:rsidRPr="007E03DB">
        <w:rPr>
          <w:lang w:val="en-GB"/>
        </w:rPr>
        <w:t>What do you think has helped decision making and implementation for the CAP? What has made it more difficult? </w:t>
      </w:r>
      <w:r w:rsidRPr="007E03DB">
        <w:t> </w:t>
      </w:r>
    </w:p>
    <w:p w14:paraId="35644C69" w14:textId="77777777" w:rsidR="00800010" w:rsidRPr="007E03DB" w:rsidRDefault="00800010" w:rsidP="004C6984">
      <w:pPr>
        <w:pStyle w:val="ListParagraph"/>
        <w:numPr>
          <w:ilvl w:val="0"/>
          <w:numId w:val="19"/>
        </w:numPr>
        <w:rPr>
          <w:rFonts w:eastAsia="Times New Roman"/>
        </w:rPr>
      </w:pPr>
      <w:r w:rsidRPr="007E03DB">
        <w:rPr>
          <w:lang w:val="en-GB"/>
        </w:rPr>
        <w:t>What has helped and/or hindered achievement of early outcomes of the CAP?</w:t>
      </w:r>
      <w:r w:rsidRPr="007E03DB">
        <w:rPr>
          <w:rFonts w:eastAsia="Times New Roman"/>
        </w:rPr>
        <w:t> </w:t>
      </w:r>
    </w:p>
    <w:p w14:paraId="63D42F5C" w14:textId="77777777" w:rsidR="00800010" w:rsidRPr="007E03DB" w:rsidRDefault="00800010" w:rsidP="004C6984">
      <w:pPr>
        <w:pStyle w:val="ListParagraph"/>
        <w:numPr>
          <w:ilvl w:val="0"/>
          <w:numId w:val="19"/>
        </w:numPr>
        <w:rPr>
          <w:rFonts w:eastAsia="Times New Roman"/>
        </w:rPr>
      </w:pPr>
      <w:r w:rsidRPr="007E03DB">
        <w:rPr>
          <w:lang w:val="en-GB"/>
        </w:rPr>
        <w:t>What should be areas of focus in the next phase of the CAP? </w:t>
      </w:r>
      <w:r w:rsidRPr="007E03DB">
        <w:rPr>
          <w:rFonts w:eastAsia="Times New Roman"/>
        </w:rPr>
        <w:t> </w:t>
      </w:r>
    </w:p>
    <w:p w14:paraId="5E29C6BE" w14:textId="77777777" w:rsidR="00800010" w:rsidRPr="007E03DB" w:rsidRDefault="00800010" w:rsidP="004C6984">
      <w:pPr>
        <w:pStyle w:val="ListParagraph"/>
        <w:numPr>
          <w:ilvl w:val="0"/>
          <w:numId w:val="19"/>
        </w:numPr>
        <w:rPr>
          <w:rFonts w:eastAsia="Times New Roman"/>
        </w:rPr>
      </w:pPr>
      <w:r w:rsidRPr="007E03DB">
        <w:t>Based on what you have been involved in/witnessed, is there anything you would recommend be done differently to optimise implementation of the CAP? </w:t>
      </w:r>
    </w:p>
    <w:p w14:paraId="03BA5D90" w14:textId="77777777" w:rsidR="00800010" w:rsidRPr="007E03DB" w:rsidRDefault="00800010" w:rsidP="004C6984">
      <w:pPr>
        <w:pStyle w:val="ListParagraph"/>
        <w:numPr>
          <w:ilvl w:val="0"/>
          <w:numId w:val="19"/>
        </w:numPr>
        <w:rPr>
          <w:rFonts w:eastAsia="Times New Roman"/>
        </w:rPr>
      </w:pPr>
      <w:r w:rsidRPr="007E03DB">
        <w:rPr>
          <w:lang w:val="en-GB"/>
        </w:rPr>
        <w:t>Is there anything else you want to add? </w:t>
      </w:r>
      <w:r w:rsidRPr="007E03DB">
        <w:rPr>
          <w:rFonts w:eastAsia="Times New Roman"/>
        </w:rPr>
        <w:t> </w:t>
      </w:r>
    </w:p>
    <w:p w14:paraId="6C3909AC" w14:textId="3E1E6065" w:rsidR="003349B9" w:rsidRDefault="003349B9" w:rsidP="00DA4528">
      <w:r>
        <w:br w:type="page"/>
      </w:r>
    </w:p>
    <w:p w14:paraId="0D055FBE" w14:textId="029CB93B" w:rsidR="00FA6355" w:rsidRPr="002265EB" w:rsidRDefault="10253C14" w:rsidP="002265EB">
      <w:pPr>
        <w:pStyle w:val="Heading1"/>
      </w:pPr>
      <w:bookmarkStart w:id="48" w:name="_Toc205475111"/>
      <w:r>
        <w:lastRenderedPageBreak/>
        <w:t xml:space="preserve">Appendix </w:t>
      </w:r>
      <w:r w:rsidR="002265EB">
        <w:t>E</w:t>
      </w:r>
      <w:r>
        <w:t>: YRT and ALG interview guide</w:t>
      </w:r>
      <w:bookmarkEnd w:id="48"/>
    </w:p>
    <w:p w14:paraId="264B1AEF" w14:textId="77777777" w:rsidR="00FA6355" w:rsidRPr="00FA6355" w:rsidRDefault="00FA6355" w:rsidP="00DA4528">
      <w:pPr>
        <w:rPr>
          <w:rFonts w:ascii="Segoe UI" w:eastAsia="Times New Roman" w:hAnsi="Segoe UI" w:cs="Segoe UI"/>
          <w:sz w:val="18"/>
          <w:szCs w:val="18"/>
        </w:rPr>
      </w:pPr>
      <w:r w:rsidRPr="00FA6355">
        <w:rPr>
          <w:rFonts w:eastAsia="Times New Roman" w:cs="Segoe UI"/>
        </w:rPr>
        <w:t>Please state your name, role and/or organisation and how you have been involved in the Central Australia Plan. Is your community in Alice or remote?  </w:t>
      </w:r>
    </w:p>
    <w:p w14:paraId="2A5506F0" w14:textId="0680B797" w:rsidR="006F105B" w:rsidRDefault="00FA6355" w:rsidP="004C6984">
      <w:pPr>
        <w:pStyle w:val="ListParagraph"/>
        <w:numPr>
          <w:ilvl w:val="0"/>
          <w:numId w:val="43"/>
        </w:numPr>
      </w:pPr>
      <w:r w:rsidRPr="006F105B">
        <w:t>What is the point / purpose of the CAP? Can you tell me a bit about how it works? </w:t>
      </w:r>
    </w:p>
    <w:p w14:paraId="1AF7DCF0" w14:textId="77777777" w:rsidR="00FA6355" w:rsidRPr="006F105B" w:rsidRDefault="00FA6355" w:rsidP="002265EB">
      <w:r w:rsidRPr="006F105B">
        <w:t>Prompts: </w:t>
      </w:r>
    </w:p>
    <w:p w14:paraId="31E39C0F" w14:textId="77777777" w:rsidR="006F105B" w:rsidRDefault="00FA6355" w:rsidP="004C6984">
      <w:pPr>
        <w:pStyle w:val="ListParagraph"/>
        <w:numPr>
          <w:ilvl w:val="0"/>
          <w:numId w:val="44"/>
        </w:numPr>
      </w:pPr>
      <w:r w:rsidRPr="006F105B">
        <w:t>How do you think it's going? </w:t>
      </w:r>
    </w:p>
    <w:p w14:paraId="03E6C01F" w14:textId="77777777" w:rsidR="006F105B" w:rsidRDefault="00FA6355" w:rsidP="004C6984">
      <w:pPr>
        <w:pStyle w:val="ListParagraph"/>
        <w:numPr>
          <w:ilvl w:val="0"/>
          <w:numId w:val="44"/>
        </w:numPr>
      </w:pPr>
      <w:r w:rsidRPr="006F105B">
        <w:t>Do you feel the role of the ALG/YRT is clear? Is the role of the other people in CAP clear? Do you know who’s responsible for what? (what the ALG/YRT are responsible for and what the government are responsible for) (roles and responsibilities) </w:t>
      </w:r>
    </w:p>
    <w:p w14:paraId="4665227A" w14:textId="77777777" w:rsidR="006F105B" w:rsidRDefault="00FA6355" w:rsidP="004C6984">
      <w:pPr>
        <w:pStyle w:val="ListParagraph"/>
        <w:numPr>
          <w:ilvl w:val="0"/>
          <w:numId w:val="44"/>
        </w:numPr>
      </w:pPr>
      <w:r w:rsidRPr="006F105B">
        <w:t>Who is making the decisions? (decision making structures/processes) </w:t>
      </w:r>
    </w:p>
    <w:p w14:paraId="30E88B85" w14:textId="77777777" w:rsidR="006F105B" w:rsidRDefault="00FA6355" w:rsidP="004C6984">
      <w:pPr>
        <w:pStyle w:val="ListParagraph"/>
        <w:numPr>
          <w:ilvl w:val="0"/>
          <w:numId w:val="44"/>
        </w:numPr>
      </w:pPr>
      <w:r w:rsidRPr="006F105B">
        <w:t>Are you being told what decisions are made and who made them and how the projects are going?  (communication) </w:t>
      </w:r>
    </w:p>
    <w:p w14:paraId="719B54A2" w14:textId="00793219" w:rsidR="006F105B" w:rsidRDefault="00FA6355" w:rsidP="004C6984">
      <w:pPr>
        <w:pStyle w:val="ListParagraph"/>
        <w:numPr>
          <w:ilvl w:val="0"/>
          <w:numId w:val="44"/>
        </w:numPr>
      </w:pPr>
      <w:r w:rsidRPr="002D7276">
        <w:rPr>
          <w:lang w:val="en-GB"/>
        </w:rPr>
        <w:t>Support being given to ACCOs and ACCHOs (is there enough tangible and financial support going to organisations (they might now know this)</w:t>
      </w:r>
      <w:r w:rsidRPr="006F105B">
        <w:t> </w:t>
      </w:r>
    </w:p>
    <w:p w14:paraId="4F283F09" w14:textId="77777777" w:rsidR="002265EB" w:rsidRPr="00FE4C91" w:rsidRDefault="002265EB" w:rsidP="00647D62">
      <w:pPr>
        <w:ind w:left="720"/>
      </w:pPr>
    </w:p>
    <w:p w14:paraId="519EE9F8" w14:textId="2A57D3FE" w:rsidR="00FA6355" w:rsidRPr="006F105B" w:rsidRDefault="00FA6355" w:rsidP="004C6984">
      <w:pPr>
        <w:pStyle w:val="ListParagraph"/>
        <w:numPr>
          <w:ilvl w:val="0"/>
          <w:numId w:val="43"/>
        </w:numPr>
      </w:pPr>
      <w:r w:rsidRPr="006F105B">
        <w:t xml:space="preserve">What does </w:t>
      </w:r>
      <w:r w:rsidR="008666B6" w:rsidRPr="00EC6EA7">
        <w:t>‘doing things differently’</w:t>
      </w:r>
      <w:r w:rsidR="008666B6">
        <w:t xml:space="preserve"> </w:t>
      </w:r>
      <w:r w:rsidRPr="006F105B">
        <w:t>mean to you?  Are you starting to see things being done differently in Government because of the CAP or the ALG? </w:t>
      </w:r>
    </w:p>
    <w:p w14:paraId="5882A1D0" w14:textId="77777777" w:rsidR="00FA6355" w:rsidRPr="00FA6355" w:rsidRDefault="00FA6355" w:rsidP="00DA4528">
      <w:pPr>
        <w:rPr>
          <w:rFonts w:ascii="Segoe UI" w:eastAsia="Times New Roman" w:hAnsi="Segoe UI" w:cs="Segoe UI"/>
          <w:sz w:val="18"/>
          <w:szCs w:val="18"/>
        </w:rPr>
      </w:pPr>
      <w:r w:rsidRPr="00FA6355">
        <w:t>Prompts:</w:t>
      </w:r>
      <w:r w:rsidRPr="00FA6355">
        <w:rPr>
          <w:rFonts w:eastAsia="Times New Roman" w:cs="Segoe UI"/>
        </w:rPr>
        <w:t>  </w:t>
      </w:r>
    </w:p>
    <w:p w14:paraId="268696C9" w14:textId="77777777" w:rsidR="006F105B" w:rsidRDefault="00FA6355" w:rsidP="004C6984">
      <w:pPr>
        <w:pStyle w:val="ListParagraph"/>
        <w:numPr>
          <w:ilvl w:val="0"/>
          <w:numId w:val="45"/>
        </w:numPr>
      </w:pPr>
      <w:r w:rsidRPr="006F105B">
        <w:t>What role does the ALG/</w:t>
      </w:r>
      <w:proofErr w:type="gramStart"/>
      <w:r w:rsidRPr="006F105B">
        <w:t>YRT</w:t>
      </w:r>
      <w:proofErr w:type="gramEnd"/>
      <w:r w:rsidRPr="006F105B">
        <w:t xml:space="preserve"> and your communities play in making things happen in the CAP?  </w:t>
      </w:r>
    </w:p>
    <w:p w14:paraId="145357EB" w14:textId="77777777" w:rsidR="006F105B" w:rsidRDefault="00FA6355" w:rsidP="004C6984">
      <w:pPr>
        <w:pStyle w:val="ListParagraph"/>
        <w:numPr>
          <w:ilvl w:val="0"/>
          <w:numId w:val="45"/>
        </w:numPr>
      </w:pPr>
      <w:r w:rsidRPr="006F105B">
        <w:t>Are the government listening to you and the needs of your communities? Is that different to before CAP? </w:t>
      </w:r>
    </w:p>
    <w:p w14:paraId="2D764740" w14:textId="3DF9F274" w:rsidR="006F105B" w:rsidRDefault="00FA6355" w:rsidP="004C6984">
      <w:pPr>
        <w:pStyle w:val="ListParagraph"/>
        <w:numPr>
          <w:ilvl w:val="0"/>
          <w:numId w:val="45"/>
        </w:numPr>
      </w:pPr>
      <w:r w:rsidRPr="006F105B">
        <w:t>Is the funding going to where it needs to because of CAP? </w:t>
      </w:r>
    </w:p>
    <w:p w14:paraId="4B8071F8" w14:textId="77777777" w:rsidR="002265EB" w:rsidRPr="00FE4C91" w:rsidRDefault="002265EB" w:rsidP="00647D62">
      <w:pPr>
        <w:ind w:left="720"/>
      </w:pPr>
    </w:p>
    <w:p w14:paraId="65E10A27" w14:textId="77777777" w:rsidR="00FA6355" w:rsidRPr="006F105B" w:rsidRDefault="00FA6355" w:rsidP="004C6984">
      <w:pPr>
        <w:pStyle w:val="ListParagraph"/>
        <w:numPr>
          <w:ilvl w:val="0"/>
          <w:numId w:val="43"/>
        </w:numPr>
      </w:pPr>
      <w:r w:rsidRPr="006F105B">
        <w:t>Has being part of the CAP or ALG/YRT made a difference (good or bad) for you or Aboriginal organisations in your community since the start (change in the areas of the Priority Reforms in Alice springs and remote communities?)? </w:t>
      </w:r>
    </w:p>
    <w:p w14:paraId="054F68FE" w14:textId="77777777" w:rsidR="00FA6355" w:rsidRPr="00FA6355" w:rsidRDefault="00FA6355" w:rsidP="00DA4528">
      <w:pPr>
        <w:rPr>
          <w:rFonts w:ascii="Segoe UI" w:eastAsia="Times New Roman" w:hAnsi="Segoe UI" w:cs="Segoe UI"/>
          <w:sz w:val="18"/>
          <w:szCs w:val="18"/>
        </w:rPr>
      </w:pPr>
      <w:r w:rsidRPr="00FA6355">
        <w:t>Prompts: </w:t>
      </w:r>
      <w:r w:rsidRPr="00FA6355">
        <w:rPr>
          <w:rFonts w:eastAsia="Times New Roman" w:cs="Segoe UI"/>
        </w:rPr>
        <w:t> </w:t>
      </w:r>
    </w:p>
    <w:p w14:paraId="527B7E30" w14:textId="77777777" w:rsidR="006F105B" w:rsidRPr="006F105B" w:rsidRDefault="00FA6355" w:rsidP="004C6984">
      <w:pPr>
        <w:pStyle w:val="ListParagraph"/>
        <w:numPr>
          <w:ilvl w:val="0"/>
          <w:numId w:val="46"/>
        </w:numPr>
      </w:pPr>
      <w:r w:rsidRPr="006F105B">
        <w:t>Are people working together well in the CAP? </w:t>
      </w:r>
    </w:p>
    <w:p w14:paraId="66A4CDD4" w14:textId="77777777" w:rsidR="006F105B" w:rsidRPr="006F105B" w:rsidRDefault="00FA6355" w:rsidP="004C6984">
      <w:pPr>
        <w:pStyle w:val="ListParagraph"/>
        <w:numPr>
          <w:ilvl w:val="0"/>
          <w:numId w:val="46"/>
        </w:numPr>
      </w:pPr>
      <w:r w:rsidRPr="006F105B">
        <w:t>Has CAP changed the way that Government works with Aboriginal people?  </w:t>
      </w:r>
    </w:p>
    <w:p w14:paraId="5B79286A" w14:textId="77777777" w:rsidR="006F105B" w:rsidRPr="006F105B" w:rsidRDefault="00FA6355" w:rsidP="004C6984">
      <w:pPr>
        <w:pStyle w:val="ListParagraph"/>
        <w:numPr>
          <w:ilvl w:val="0"/>
          <w:numId w:val="46"/>
        </w:numPr>
      </w:pPr>
      <w:r w:rsidRPr="006F105B">
        <w:t>Has the CAP or the ALG/YRT made things harder in any way? </w:t>
      </w:r>
    </w:p>
    <w:p w14:paraId="521041A6" w14:textId="77777777" w:rsidR="006F105B" w:rsidRPr="006F105B" w:rsidRDefault="00FA6355" w:rsidP="004C6984">
      <w:pPr>
        <w:pStyle w:val="ListParagraph"/>
        <w:numPr>
          <w:ilvl w:val="0"/>
          <w:numId w:val="46"/>
        </w:numPr>
      </w:pPr>
      <w:r w:rsidRPr="006F105B">
        <w:t>Are you starting to see changes in Aboriginal organisations?   </w:t>
      </w:r>
    </w:p>
    <w:p w14:paraId="54B360A9" w14:textId="77777777" w:rsidR="006F105B" w:rsidRPr="006F105B" w:rsidRDefault="00FA6355" w:rsidP="004C6984">
      <w:pPr>
        <w:pStyle w:val="ListParagraph"/>
        <w:numPr>
          <w:ilvl w:val="0"/>
          <w:numId w:val="46"/>
        </w:numPr>
      </w:pPr>
      <w:r w:rsidRPr="006F105B">
        <w:t>Shared access to data and information at a regional level. </w:t>
      </w:r>
    </w:p>
    <w:p w14:paraId="259795B5" w14:textId="389A4C1A" w:rsidR="006F105B" w:rsidRDefault="00FA6355" w:rsidP="004C6984">
      <w:pPr>
        <w:pStyle w:val="ListParagraph"/>
        <w:numPr>
          <w:ilvl w:val="0"/>
          <w:numId w:val="46"/>
        </w:numPr>
      </w:pPr>
      <w:r w:rsidRPr="006F105B">
        <w:t>Leadership in the community?  </w:t>
      </w:r>
    </w:p>
    <w:p w14:paraId="54A8C043" w14:textId="77777777" w:rsidR="002265EB" w:rsidRDefault="002265EB" w:rsidP="00647D62">
      <w:pPr>
        <w:ind w:left="720"/>
      </w:pPr>
    </w:p>
    <w:p w14:paraId="082EC9FF" w14:textId="4A028BB6" w:rsidR="006F105B" w:rsidRPr="006F105B" w:rsidRDefault="00FA6355" w:rsidP="004C6984">
      <w:pPr>
        <w:pStyle w:val="ListParagraph"/>
        <w:numPr>
          <w:ilvl w:val="0"/>
          <w:numId w:val="43"/>
        </w:numPr>
      </w:pPr>
      <w:r w:rsidRPr="006F105B">
        <w:t>Have you heard or seen any changes (good or bad) in your community since the start of CAP?</w:t>
      </w:r>
      <w:r w:rsidR="006F105B" w:rsidRPr="006F105B">
        <w:t xml:space="preserve"> </w:t>
      </w:r>
    </w:p>
    <w:p w14:paraId="4DA92457" w14:textId="5E3BD7D6" w:rsidR="006F105B" w:rsidRPr="006F105B" w:rsidRDefault="006F105B" w:rsidP="002265EB">
      <w:r>
        <w:t>Prompts:</w:t>
      </w:r>
    </w:p>
    <w:p w14:paraId="07FD3B91" w14:textId="77777777" w:rsidR="006F105B" w:rsidRDefault="00FA6355" w:rsidP="004C6984">
      <w:pPr>
        <w:pStyle w:val="ListParagraph"/>
        <w:numPr>
          <w:ilvl w:val="0"/>
          <w:numId w:val="47"/>
        </w:numPr>
      </w:pPr>
      <w:r w:rsidRPr="006F105B">
        <w:t>Have you seen or heard of any changes in Alice Springs or remote communities because of the CAP or the ALG/YRT? </w:t>
      </w:r>
    </w:p>
    <w:p w14:paraId="18E2DCA1" w14:textId="77777777" w:rsidR="006F105B" w:rsidRDefault="00FA6355" w:rsidP="004C6984">
      <w:pPr>
        <w:pStyle w:val="ListParagraph"/>
        <w:numPr>
          <w:ilvl w:val="0"/>
          <w:numId w:val="47"/>
        </w:numPr>
      </w:pPr>
      <w:r w:rsidRPr="006F105B">
        <w:t>Do you think the community and young people are having more say in what happens because of the ALG/YRT or the CAP? </w:t>
      </w:r>
    </w:p>
    <w:p w14:paraId="5628519B" w14:textId="2897EDF2" w:rsidR="006F105B" w:rsidRDefault="00FA6355" w:rsidP="004C6984">
      <w:pPr>
        <w:pStyle w:val="ListParagraph"/>
        <w:numPr>
          <w:ilvl w:val="0"/>
          <w:numId w:val="47"/>
        </w:numPr>
      </w:pPr>
      <w:r w:rsidRPr="002D7276">
        <w:rPr>
          <w:lang w:val="en-GB"/>
        </w:rPr>
        <w:t>Any changes to safety?</w:t>
      </w:r>
      <w:r w:rsidRPr="006F105B">
        <w:t> </w:t>
      </w:r>
    </w:p>
    <w:p w14:paraId="259274DC" w14:textId="77777777" w:rsidR="002265EB" w:rsidRDefault="002265EB" w:rsidP="00647D62">
      <w:pPr>
        <w:ind w:left="720"/>
      </w:pPr>
    </w:p>
    <w:p w14:paraId="1370D3F2" w14:textId="77777777" w:rsidR="00FA6355" w:rsidRPr="006F105B" w:rsidRDefault="00FA6355" w:rsidP="004C6984">
      <w:pPr>
        <w:pStyle w:val="ListParagraph"/>
        <w:numPr>
          <w:ilvl w:val="0"/>
          <w:numId w:val="43"/>
        </w:numPr>
      </w:pPr>
      <w:r w:rsidRPr="006F105B">
        <w:t>What has helped or made it hard to put the CAP into action? </w:t>
      </w:r>
    </w:p>
    <w:p w14:paraId="6A7FA8F4" w14:textId="77777777" w:rsidR="00FA6355" w:rsidRPr="00FA6355" w:rsidRDefault="00FA6355" w:rsidP="00DA4528">
      <w:pPr>
        <w:rPr>
          <w:rFonts w:ascii="Segoe UI" w:eastAsia="Times New Roman" w:hAnsi="Segoe UI" w:cs="Segoe UI"/>
          <w:sz w:val="18"/>
          <w:szCs w:val="18"/>
        </w:rPr>
      </w:pPr>
      <w:r w:rsidRPr="00FA6355">
        <w:t>Prompts:</w:t>
      </w:r>
      <w:r w:rsidRPr="00FA6355">
        <w:rPr>
          <w:rFonts w:eastAsia="Times New Roman" w:cs="Segoe UI"/>
        </w:rPr>
        <w:t> </w:t>
      </w:r>
    </w:p>
    <w:p w14:paraId="3E8181C4" w14:textId="77777777" w:rsidR="006F105B" w:rsidRDefault="00FA6355" w:rsidP="004C6984">
      <w:pPr>
        <w:pStyle w:val="ListParagraph"/>
        <w:numPr>
          <w:ilvl w:val="0"/>
          <w:numId w:val="48"/>
        </w:numPr>
      </w:pPr>
      <w:r w:rsidRPr="006F105B">
        <w:t>What has helped things go well? </w:t>
      </w:r>
    </w:p>
    <w:p w14:paraId="6109E00E" w14:textId="5DDEF065" w:rsidR="006F105B" w:rsidRDefault="00FA6355" w:rsidP="004C6984">
      <w:pPr>
        <w:pStyle w:val="ListParagraph"/>
        <w:numPr>
          <w:ilvl w:val="0"/>
          <w:numId w:val="48"/>
        </w:numPr>
      </w:pPr>
      <w:r w:rsidRPr="006F105B">
        <w:lastRenderedPageBreak/>
        <w:t>What’s been getting in the way? </w:t>
      </w:r>
    </w:p>
    <w:p w14:paraId="71AD0012" w14:textId="77777777" w:rsidR="002265EB" w:rsidRPr="00FE4C91" w:rsidRDefault="002265EB" w:rsidP="00647D62">
      <w:pPr>
        <w:ind w:left="720"/>
      </w:pPr>
    </w:p>
    <w:p w14:paraId="7055795D" w14:textId="293C0A97" w:rsidR="00FA6355" w:rsidRPr="006F105B" w:rsidRDefault="00FA6355" w:rsidP="004C6984">
      <w:pPr>
        <w:pStyle w:val="ListParagraph"/>
        <w:numPr>
          <w:ilvl w:val="0"/>
          <w:numId w:val="43"/>
        </w:numPr>
      </w:pPr>
      <w:r w:rsidRPr="006F105B">
        <w:t>What should be done differently or focused on next? </w:t>
      </w:r>
    </w:p>
    <w:p w14:paraId="1A1DE165" w14:textId="77777777" w:rsidR="00FA6355" w:rsidRPr="00FA6355" w:rsidRDefault="00FA6355" w:rsidP="00DA4528">
      <w:pPr>
        <w:rPr>
          <w:rFonts w:ascii="Segoe UI" w:eastAsia="Times New Roman" w:hAnsi="Segoe UI" w:cs="Segoe UI"/>
          <w:sz w:val="18"/>
          <w:szCs w:val="18"/>
        </w:rPr>
      </w:pPr>
      <w:r w:rsidRPr="00FA6355">
        <w:t>Prompts:</w:t>
      </w:r>
      <w:r w:rsidRPr="00FA6355">
        <w:rPr>
          <w:rFonts w:eastAsia="Times New Roman" w:cs="Segoe UI"/>
        </w:rPr>
        <w:t> </w:t>
      </w:r>
    </w:p>
    <w:p w14:paraId="075C95DE" w14:textId="77777777" w:rsidR="006F105B" w:rsidRDefault="00FA6355" w:rsidP="004C6984">
      <w:pPr>
        <w:pStyle w:val="ListParagraph"/>
        <w:numPr>
          <w:ilvl w:val="0"/>
          <w:numId w:val="50"/>
        </w:numPr>
      </w:pPr>
      <w:r w:rsidRPr="006F105B">
        <w:t>What do you think should happen next? </w:t>
      </w:r>
    </w:p>
    <w:p w14:paraId="05EE25A4" w14:textId="77777777" w:rsidR="006F105B" w:rsidRDefault="00FA6355" w:rsidP="004C6984">
      <w:pPr>
        <w:pStyle w:val="ListParagraph"/>
        <w:numPr>
          <w:ilvl w:val="0"/>
          <w:numId w:val="49"/>
        </w:numPr>
      </w:pPr>
      <w:r w:rsidRPr="006F105B">
        <w:t>Is there anything you'd change about how things are going? </w:t>
      </w:r>
    </w:p>
    <w:p w14:paraId="1C26BCB4" w14:textId="77777777" w:rsidR="006F105B" w:rsidRDefault="00FA6355" w:rsidP="004C6984">
      <w:pPr>
        <w:pStyle w:val="ListParagraph"/>
        <w:numPr>
          <w:ilvl w:val="0"/>
          <w:numId w:val="49"/>
        </w:numPr>
      </w:pPr>
      <w:r w:rsidRPr="006F105B">
        <w:t>What do you think would make the CAP or the ALG/YRT work better? </w:t>
      </w:r>
    </w:p>
    <w:p w14:paraId="29648633" w14:textId="78C9B836" w:rsidR="555AF530" w:rsidRPr="006F105B" w:rsidRDefault="00FA6355" w:rsidP="004C6984">
      <w:pPr>
        <w:pStyle w:val="ListParagraph"/>
        <w:numPr>
          <w:ilvl w:val="0"/>
          <w:numId w:val="49"/>
        </w:numPr>
      </w:pPr>
      <w:r w:rsidRPr="006F105B">
        <w:t>Is there anything else you want to say? </w:t>
      </w:r>
    </w:p>
    <w:p w14:paraId="4817AF56" w14:textId="58ADC93F" w:rsidR="555AF530" w:rsidRDefault="555AF530" w:rsidP="00DA4528"/>
    <w:p w14:paraId="77CEB1A7" w14:textId="77777777" w:rsidR="001D4B2F" w:rsidRDefault="001D4B2F">
      <w:pPr>
        <w:keepLines w:val="0"/>
        <w:widowControl/>
        <w:spacing w:before="0" w:after="0"/>
        <w:rPr>
          <w:b/>
          <w:color w:val="009999"/>
          <w:sz w:val="32"/>
          <w:szCs w:val="28"/>
        </w:rPr>
      </w:pPr>
      <w:r>
        <w:br w:type="page"/>
      </w:r>
    </w:p>
    <w:p w14:paraId="0752190E" w14:textId="23CE2545" w:rsidR="00556B78" w:rsidRPr="00FD2601" w:rsidRDefault="00FA6355" w:rsidP="00DA4528">
      <w:pPr>
        <w:pStyle w:val="Heading1"/>
      </w:pPr>
      <w:bookmarkStart w:id="49" w:name="_Toc205475112"/>
      <w:r>
        <w:lastRenderedPageBreak/>
        <w:t xml:space="preserve">Appendix </w:t>
      </w:r>
      <w:r w:rsidR="002265EB">
        <w:t>F:</w:t>
      </w:r>
      <w:r>
        <w:t xml:space="preserve"> Case study interview guide</w:t>
      </w:r>
      <w:bookmarkEnd w:id="49"/>
      <w:r>
        <w:t xml:space="preserve"> </w:t>
      </w:r>
    </w:p>
    <w:p w14:paraId="2D786442" w14:textId="77777777" w:rsidR="0098230E" w:rsidRDefault="0098230E" w:rsidP="00DA4528">
      <w:pPr>
        <w:sectPr w:rsidR="0098230E" w:rsidSect="00556B78">
          <w:pgSz w:w="11906" w:h="16838"/>
          <w:pgMar w:top="1440" w:right="1440" w:bottom="1440" w:left="1440" w:header="708" w:footer="708" w:gutter="0"/>
          <w:cols w:space="708"/>
          <w:docGrid w:linePitch="360"/>
        </w:sectPr>
      </w:pPr>
    </w:p>
    <w:p w14:paraId="7397D173" w14:textId="77777777" w:rsidR="00556B78" w:rsidRPr="0098230E" w:rsidRDefault="00556B78" w:rsidP="002265EB">
      <w:pPr>
        <w:pStyle w:val="Heading5"/>
      </w:pPr>
      <w:r w:rsidRPr="0098230E">
        <w:t>Introductory questions  </w:t>
      </w:r>
    </w:p>
    <w:p w14:paraId="36E90885" w14:textId="19E96EE6" w:rsidR="00556B78" w:rsidRPr="0098230E" w:rsidRDefault="00556B78" w:rsidP="00DA4528">
      <w:r w:rsidRPr="0098230E">
        <w:t xml:space="preserve">Please state your name, role and organisation and how you have been involved in the Central Australia </w:t>
      </w:r>
      <w:r w:rsidR="00696FF5" w:rsidRPr="0098230E">
        <w:t>Plan</w:t>
      </w:r>
      <w:r w:rsidR="00696FF5">
        <w:t xml:space="preserve"> </w:t>
      </w:r>
      <w:r w:rsidR="00696FF5" w:rsidRPr="0098230E">
        <w:t>(</w:t>
      </w:r>
      <w:r w:rsidRPr="0098230E">
        <w:t>including how much funding your organisation has received, and which department administered the funding to your organisation) </w:t>
      </w:r>
    </w:p>
    <w:p w14:paraId="24F8A7B1" w14:textId="77777777" w:rsidR="00556B78" w:rsidRPr="0098230E" w:rsidRDefault="00556B78" w:rsidP="002265EB">
      <w:pPr>
        <w:pStyle w:val="Heading5"/>
      </w:pPr>
      <w:r w:rsidRPr="0098230E">
        <w:t>Background questions</w:t>
      </w:r>
    </w:p>
    <w:p w14:paraId="7245EED0" w14:textId="0890DA41" w:rsidR="00556B78" w:rsidRPr="0098230E" w:rsidRDefault="00556B78" w:rsidP="004C6984">
      <w:pPr>
        <w:pStyle w:val="ListParagraph"/>
        <w:numPr>
          <w:ilvl w:val="0"/>
          <w:numId w:val="51"/>
        </w:numPr>
      </w:pPr>
      <w:r w:rsidRPr="0098230E">
        <w:t xml:space="preserve">Can you please describe the program that your organisation received CAP funding to deliver and its aim? </w:t>
      </w:r>
    </w:p>
    <w:p w14:paraId="74F08577" w14:textId="6864C924" w:rsidR="00556B78" w:rsidRPr="0098230E" w:rsidRDefault="00556B78" w:rsidP="004C6984">
      <w:pPr>
        <w:pStyle w:val="ListParagraph"/>
        <w:numPr>
          <w:ilvl w:val="0"/>
          <w:numId w:val="51"/>
        </w:numPr>
      </w:pPr>
      <w:r w:rsidRPr="0098230E">
        <w:t xml:space="preserve">Does your organisation receive other funding from other sources to deliver programs or services? </w:t>
      </w:r>
    </w:p>
    <w:p w14:paraId="0B3788FE" w14:textId="77777777" w:rsidR="00657583" w:rsidRPr="00657583" w:rsidRDefault="00556B78" w:rsidP="002265EB">
      <w:pPr>
        <w:pStyle w:val="Heading5"/>
      </w:pPr>
      <w:r w:rsidRPr="00657583">
        <w:t xml:space="preserve">Process </w:t>
      </w:r>
      <w:r w:rsidR="0098230E" w:rsidRPr="00657583">
        <w:t xml:space="preserve">question </w:t>
      </w:r>
    </w:p>
    <w:p w14:paraId="35D516E4" w14:textId="13C3CEAC" w:rsidR="0098230E" w:rsidRPr="0098230E" w:rsidRDefault="0098230E" w:rsidP="004C6984">
      <w:pPr>
        <w:pStyle w:val="ListParagraph"/>
        <w:numPr>
          <w:ilvl w:val="0"/>
          <w:numId w:val="51"/>
        </w:numPr>
      </w:pPr>
      <w:r w:rsidRPr="0098230E">
        <w:t>Can you please describe the process of receiving the CAP funding and implementing the project?  Was it different to other times you have received funding for projects from Government?</w:t>
      </w:r>
    </w:p>
    <w:p w14:paraId="4ADBFED8" w14:textId="77777777" w:rsidR="0098230E" w:rsidRPr="00E10293" w:rsidRDefault="0098230E" w:rsidP="002265EB">
      <w:pPr>
        <w:pStyle w:val="Heading5"/>
      </w:pPr>
      <w:r w:rsidRPr="00E10293">
        <w:t xml:space="preserve">Outcome questions </w:t>
      </w:r>
    </w:p>
    <w:p w14:paraId="74CC9263" w14:textId="77777777" w:rsidR="0098230E" w:rsidRPr="0098230E" w:rsidRDefault="0098230E" w:rsidP="004C6984">
      <w:pPr>
        <w:pStyle w:val="ListParagraph"/>
        <w:numPr>
          <w:ilvl w:val="0"/>
          <w:numId w:val="51"/>
        </w:numPr>
      </w:pPr>
      <w:r w:rsidRPr="0098230E">
        <w:t>What is/was the project aiming to achieve? What does success look like? </w:t>
      </w:r>
    </w:p>
    <w:p w14:paraId="6718CBB6" w14:textId="77777777" w:rsidR="0098230E" w:rsidRPr="0098230E" w:rsidRDefault="0098230E" w:rsidP="004C6984">
      <w:pPr>
        <w:pStyle w:val="ListParagraph"/>
        <w:numPr>
          <w:ilvl w:val="0"/>
          <w:numId w:val="51"/>
        </w:numPr>
      </w:pPr>
      <w:r w:rsidRPr="0098230E">
        <w:t>What early signs of success (if any) are you seeing? </w:t>
      </w:r>
    </w:p>
    <w:p w14:paraId="3D4BE699" w14:textId="77777777" w:rsidR="0098230E" w:rsidRPr="0098230E" w:rsidRDefault="0098230E" w:rsidP="004C6984">
      <w:pPr>
        <w:pStyle w:val="ListParagraph"/>
        <w:numPr>
          <w:ilvl w:val="0"/>
          <w:numId w:val="51"/>
        </w:numPr>
      </w:pPr>
      <w:r w:rsidRPr="0098230E">
        <w:t>What were some of the key challenges you were facing before this success? (or that prevented success) </w:t>
      </w:r>
    </w:p>
    <w:p w14:paraId="23DA617D" w14:textId="77777777" w:rsidR="0098230E" w:rsidRPr="0098230E" w:rsidRDefault="0098230E" w:rsidP="004C6984">
      <w:pPr>
        <w:pStyle w:val="ListParagraph"/>
        <w:numPr>
          <w:ilvl w:val="0"/>
          <w:numId w:val="51"/>
        </w:numPr>
      </w:pPr>
      <w:r w:rsidRPr="0098230E">
        <w:t xml:space="preserve">What were some of the key actions taken to produce this success/implement this program? </w:t>
      </w:r>
    </w:p>
    <w:p w14:paraId="0BDAAD17" w14:textId="77777777" w:rsidR="0098230E" w:rsidRPr="00FD2601" w:rsidRDefault="0098230E" w:rsidP="00DA4528">
      <w:r w:rsidRPr="00FD2601">
        <w:t>Prompts</w:t>
      </w:r>
    </w:p>
    <w:p w14:paraId="5F2EF311" w14:textId="77777777" w:rsidR="0098230E" w:rsidRPr="0098230E" w:rsidRDefault="0098230E" w:rsidP="004C6984">
      <w:pPr>
        <w:pStyle w:val="ListParagraph"/>
        <w:numPr>
          <w:ilvl w:val="0"/>
          <w:numId w:val="52"/>
        </w:numPr>
      </w:pPr>
      <w:r w:rsidRPr="0098230E">
        <w:t xml:space="preserve">Who were the key stakeholders involved? </w:t>
      </w:r>
    </w:p>
    <w:p w14:paraId="272FB75B" w14:textId="77777777" w:rsidR="0098230E" w:rsidRPr="0098230E" w:rsidRDefault="0098230E" w:rsidP="004C6984">
      <w:pPr>
        <w:pStyle w:val="ListParagraph"/>
        <w:numPr>
          <w:ilvl w:val="0"/>
          <w:numId w:val="52"/>
        </w:numPr>
      </w:pPr>
      <w:r w:rsidRPr="0098230E">
        <w:t>What resources were required? </w:t>
      </w:r>
    </w:p>
    <w:p w14:paraId="2703C18E" w14:textId="6646E210" w:rsidR="00556B78" w:rsidRPr="0098230E" w:rsidRDefault="0098230E" w:rsidP="004C6984">
      <w:pPr>
        <w:pStyle w:val="ListParagraph"/>
        <w:numPr>
          <w:ilvl w:val="0"/>
          <w:numId w:val="52"/>
        </w:numPr>
        <w:sectPr w:rsidR="00556B78" w:rsidRPr="0098230E" w:rsidSect="0098230E">
          <w:type w:val="continuous"/>
          <w:pgSz w:w="11906" w:h="16838"/>
          <w:pgMar w:top="1440" w:right="1440" w:bottom="1440" w:left="1440" w:header="708" w:footer="708" w:gutter="0"/>
          <w:cols w:space="708"/>
          <w:docGrid w:linePitch="360"/>
        </w:sectPr>
      </w:pPr>
      <w:r w:rsidRPr="0098230E">
        <w:t>How could the process for receiving CAP funding and implementing projects under the CAP initiative be improved?</w:t>
      </w:r>
    </w:p>
    <w:p w14:paraId="06C71471" w14:textId="1BAA5E0E" w:rsidR="003349B9" w:rsidRDefault="003349B9" w:rsidP="00DA4528">
      <w:pPr>
        <w:pStyle w:val="Heading1"/>
      </w:pPr>
      <w:bookmarkStart w:id="50" w:name="_Toc205475113"/>
      <w:r>
        <w:lastRenderedPageBreak/>
        <w:t xml:space="preserve">Appendix </w:t>
      </w:r>
      <w:r w:rsidR="002265EB">
        <w:t>G</w:t>
      </w:r>
      <w:r>
        <w:t xml:space="preserve">: </w:t>
      </w:r>
      <w:r w:rsidR="002265EB">
        <w:t>Financial information tables</w:t>
      </w:r>
      <w:bookmarkEnd w:id="50"/>
    </w:p>
    <w:p w14:paraId="434EC4CC" w14:textId="244AD6D9" w:rsidR="00EA1EB1" w:rsidRDefault="00EA1EB1" w:rsidP="002265EB">
      <w:pPr>
        <w:pStyle w:val="Heading6"/>
      </w:pPr>
      <w:r>
        <w:t>Table</w:t>
      </w:r>
      <w:r w:rsidR="00B17D9B">
        <w:t xml:space="preserve"> </w:t>
      </w:r>
      <w:r>
        <w:fldChar w:fldCharType="begin"/>
      </w:r>
      <w:r>
        <w:instrText>SEQ Table \* ARABIC</w:instrText>
      </w:r>
      <w:r>
        <w:fldChar w:fldCharType="separate"/>
      </w:r>
      <w:r w:rsidR="00C762CE">
        <w:rPr>
          <w:noProof/>
        </w:rPr>
        <w:t>2</w:t>
      </w:r>
      <w:r>
        <w:fldChar w:fldCharType="end"/>
      </w:r>
      <w:r>
        <w:t xml:space="preserve">. </w:t>
      </w:r>
      <w:r w:rsidRPr="555AF530">
        <w:t xml:space="preserve">CAP funding </w:t>
      </w:r>
      <w:r w:rsidR="007B2DBB" w:rsidRPr="007B2DBB">
        <w:t>committed through a financial arrangement with a provider</w:t>
      </w:r>
      <w:r w:rsidR="00BD4826">
        <w:t xml:space="preserve"> and paid</w:t>
      </w:r>
      <w:r w:rsidR="00410534">
        <w:rPr>
          <w:b/>
          <w:color w:val="404040" w:themeColor="text1" w:themeTint="BF"/>
        </w:rPr>
        <w:t xml:space="preserve"> </w:t>
      </w:r>
      <w:r>
        <w:t xml:space="preserve">to specific projects in either Alice Springs or remote locations in Central Australia </w:t>
      </w:r>
      <w:r w:rsidR="00FE1AC0">
        <w:t>as</w:t>
      </w:r>
      <w:r w:rsidR="00FE1AC0" w:rsidRPr="555AF530">
        <w:t xml:space="preserve"> </w:t>
      </w:r>
      <w:proofErr w:type="gramStart"/>
      <w:r>
        <w:t>at</w:t>
      </w:r>
      <w:proofErr w:type="gramEnd"/>
      <w:r>
        <w:t xml:space="preserve"> 30 April 2025</w:t>
      </w:r>
      <w:r w:rsidR="00EF77FF">
        <w:t xml:space="preserve">. Note that this table includes both departmental and </w:t>
      </w:r>
      <w:r w:rsidR="0078349F">
        <w:t>project related funding</w:t>
      </w:r>
      <w:r w:rsidR="001A33F1">
        <w:t xml:space="preserve"> (</w:t>
      </w:r>
      <w:r w:rsidR="00242BBB">
        <w:t>$19 million of the 'other' location funding is departmental</w:t>
      </w:r>
      <w:r w:rsidR="004A5003">
        <w:t xml:space="preserve">. </w:t>
      </w:r>
    </w:p>
    <w:tbl>
      <w:tblPr>
        <w:tblW w:w="3699" w:type="pct"/>
        <w:tblLook w:val="04A0" w:firstRow="1" w:lastRow="0" w:firstColumn="1" w:lastColumn="0" w:noHBand="0" w:noVBand="1"/>
      </w:tblPr>
      <w:tblGrid>
        <w:gridCol w:w="2410"/>
        <w:gridCol w:w="2127"/>
        <w:gridCol w:w="2669"/>
      </w:tblGrid>
      <w:tr w:rsidR="0090369A" w:rsidRPr="0090369A" w14:paraId="66EE776A" w14:textId="77777777" w:rsidTr="00D714B0">
        <w:trPr>
          <w:trHeight w:val="320"/>
        </w:trPr>
        <w:tc>
          <w:tcPr>
            <w:tcW w:w="1672" w:type="pct"/>
            <w:tcBorders>
              <w:top w:val="single" w:sz="4" w:space="0" w:color="auto"/>
              <w:bottom w:val="single" w:sz="4" w:space="0" w:color="auto"/>
            </w:tcBorders>
            <w:noWrap/>
            <w:hideMark/>
          </w:tcPr>
          <w:p w14:paraId="6569B60D" w14:textId="61D3A83F" w:rsidR="00306D94" w:rsidRPr="00270BD9" w:rsidRDefault="00306D94" w:rsidP="0090369A">
            <w:pPr>
              <w:pStyle w:val="BodyText1"/>
              <w:rPr>
                <w:b/>
                <w:bCs/>
                <w:sz w:val="16"/>
                <w:szCs w:val="16"/>
              </w:rPr>
            </w:pPr>
            <w:r w:rsidRPr="00270BD9">
              <w:rPr>
                <w:b/>
                <w:bCs/>
                <w:sz w:val="16"/>
                <w:szCs w:val="16"/>
              </w:rPr>
              <w:t xml:space="preserve">Location </w:t>
            </w:r>
          </w:p>
        </w:tc>
        <w:tc>
          <w:tcPr>
            <w:tcW w:w="1476" w:type="pct"/>
            <w:tcBorders>
              <w:top w:val="single" w:sz="4" w:space="0" w:color="auto"/>
              <w:bottom w:val="single" w:sz="4" w:space="0" w:color="auto"/>
            </w:tcBorders>
            <w:noWrap/>
            <w:hideMark/>
          </w:tcPr>
          <w:p w14:paraId="237A10A1" w14:textId="0FEA599F" w:rsidR="00306D94" w:rsidRPr="00270BD9" w:rsidRDefault="00306D94" w:rsidP="0090369A">
            <w:pPr>
              <w:pStyle w:val="BodyText1"/>
              <w:rPr>
                <w:b/>
                <w:bCs/>
                <w:sz w:val="16"/>
                <w:szCs w:val="16"/>
              </w:rPr>
            </w:pPr>
            <w:r w:rsidRPr="00270BD9">
              <w:rPr>
                <w:b/>
                <w:bCs/>
                <w:sz w:val="16"/>
                <w:szCs w:val="16"/>
              </w:rPr>
              <w:t>CAP Committed</w:t>
            </w:r>
          </w:p>
        </w:tc>
        <w:tc>
          <w:tcPr>
            <w:tcW w:w="1852" w:type="pct"/>
            <w:tcBorders>
              <w:top w:val="single" w:sz="4" w:space="0" w:color="auto"/>
              <w:bottom w:val="single" w:sz="4" w:space="0" w:color="auto"/>
            </w:tcBorders>
            <w:noWrap/>
            <w:hideMark/>
          </w:tcPr>
          <w:p w14:paraId="1CDCA64A" w14:textId="79514CD6" w:rsidR="00306D94" w:rsidRPr="00270BD9" w:rsidRDefault="00306D94" w:rsidP="0090369A">
            <w:pPr>
              <w:pStyle w:val="BodyText1"/>
              <w:rPr>
                <w:b/>
                <w:bCs/>
                <w:sz w:val="16"/>
                <w:szCs w:val="16"/>
              </w:rPr>
            </w:pPr>
            <w:r w:rsidRPr="00270BD9">
              <w:rPr>
                <w:b/>
                <w:bCs/>
                <w:sz w:val="16"/>
                <w:szCs w:val="16"/>
              </w:rPr>
              <w:t>Funding Paid</w:t>
            </w:r>
            <w:r w:rsidRPr="00270BD9">
              <w:rPr>
                <w:b/>
                <w:bCs/>
                <w:sz w:val="16"/>
                <w:szCs w:val="16"/>
                <w:vertAlign w:val="superscript"/>
              </w:rPr>
              <w:t>1</w:t>
            </w:r>
            <w:r w:rsidRPr="00270BD9">
              <w:rPr>
                <w:b/>
                <w:bCs/>
                <w:sz w:val="16"/>
                <w:szCs w:val="16"/>
              </w:rPr>
              <w:t xml:space="preserve"> </w:t>
            </w:r>
          </w:p>
        </w:tc>
      </w:tr>
      <w:tr w:rsidR="00306D94" w:rsidRPr="00306D94" w14:paraId="7008CA48" w14:textId="77777777" w:rsidTr="00D714B0">
        <w:trPr>
          <w:trHeight w:val="320"/>
        </w:trPr>
        <w:tc>
          <w:tcPr>
            <w:tcW w:w="1672" w:type="pct"/>
            <w:tcBorders>
              <w:top w:val="single" w:sz="4" w:space="0" w:color="auto"/>
            </w:tcBorders>
            <w:noWrap/>
            <w:hideMark/>
          </w:tcPr>
          <w:p w14:paraId="65681DB5" w14:textId="77777777" w:rsidR="00306D94" w:rsidRPr="00270BD9" w:rsidRDefault="00306D94" w:rsidP="0090369A">
            <w:pPr>
              <w:pStyle w:val="BodyText1"/>
              <w:rPr>
                <w:sz w:val="16"/>
                <w:szCs w:val="16"/>
              </w:rPr>
            </w:pPr>
            <w:r w:rsidRPr="00270BD9">
              <w:rPr>
                <w:sz w:val="16"/>
                <w:szCs w:val="16"/>
              </w:rPr>
              <w:t>Alice Springs</w:t>
            </w:r>
          </w:p>
        </w:tc>
        <w:tc>
          <w:tcPr>
            <w:tcW w:w="1476" w:type="pct"/>
            <w:tcBorders>
              <w:top w:val="single" w:sz="4" w:space="0" w:color="auto"/>
            </w:tcBorders>
            <w:noWrap/>
            <w:hideMark/>
          </w:tcPr>
          <w:p w14:paraId="6648A0C9" w14:textId="77777777" w:rsidR="00306D94" w:rsidRPr="00270BD9" w:rsidRDefault="00306D94" w:rsidP="0090369A">
            <w:pPr>
              <w:pStyle w:val="BodyText1"/>
              <w:rPr>
                <w:sz w:val="16"/>
                <w:szCs w:val="16"/>
              </w:rPr>
            </w:pPr>
            <w:r w:rsidRPr="00270BD9">
              <w:rPr>
                <w:sz w:val="16"/>
                <w:szCs w:val="16"/>
              </w:rPr>
              <w:t>$69,379,803</w:t>
            </w:r>
          </w:p>
        </w:tc>
        <w:tc>
          <w:tcPr>
            <w:tcW w:w="1852" w:type="pct"/>
            <w:tcBorders>
              <w:top w:val="single" w:sz="4" w:space="0" w:color="auto"/>
            </w:tcBorders>
            <w:noWrap/>
            <w:hideMark/>
          </w:tcPr>
          <w:p w14:paraId="0B4D3EC7" w14:textId="77777777" w:rsidR="00306D94" w:rsidRPr="00270BD9" w:rsidRDefault="00306D94" w:rsidP="0090369A">
            <w:pPr>
              <w:pStyle w:val="BodyText1"/>
              <w:rPr>
                <w:sz w:val="16"/>
                <w:szCs w:val="16"/>
              </w:rPr>
            </w:pPr>
            <w:r w:rsidRPr="00270BD9">
              <w:rPr>
                <w:sz w:val="16"/>
                <w:szCs w:val="16"/>
              </w:rPr>
              <w:t>$46,096,496</w:t>
            </w:r>
          </w:p>
        </w:tc>
      </w:tr>
      <w:tr w:rsidR="00306D94" w:rsidRPr="00306D94" w14:paraId="4D58D9A5" w14:textId="77777777" w:rsidTr="00D714B0">
        <w:trPr>
          <w:trHeight w:val="320"/>
        </w:trPr>
        <w:tc>
          <w:tcPr>
            <w:tcW w:w="1672" w:type="pct"/>
            <w:noWrap/>
            <w:hideMark/>
          </w:tcPr>
          <w:p w14:paraId="069B3C7D" w14:textId="77777777" w:rsidR="00306D94" w:rsidRPr="00270BD9" w:rsidRDefault="00306D94" w:rsidP="0090369A">
            <w:pPr>
              <w:pStyle w:val="BodyText1"/>
              <w:rPr>
                <w:sz w:val="16"/>
                <w:szCs w:val="16"/>
              </w:rPr>
            </w:pPr>
            <w:r w:rsidRPr="00270BD9">
              <w:rPr>
                <w:sz w:val="16"/>
                <w:szCs w:val="16"/>
              </w:rPr>
              <w:t>Remote</w:t>
            </w:r>
          </w:p>
        </w:tc>
        <w:tc>
          <w:tcPr>
            <w:tcW w:w="1476" w:type="pct"/>
            <w:noWrap/>
            <w:hideMark/>
          </w:tcPr>
          <w:p w14:paraId="0C6C40A9" w14:textId="2D7206B9" w:rsidR="00306D94" w:rsidRPr="00270BD9" w:rsidRDefault="00306D94" w:rsidP="0090369A">
            <w:pPr>
              <w:pStyle w:val="BodyText1"/>
              <w:rPr>
                <w:sz w:val="16"/>
                <w:szCs w:val="16"/>
              </w:rPr>
            </w:pPr>
            <w:r w:rsidRPr="00270BD9">
              <w:rPr>
                <w:sz w:val="16"/>
                <w:szCs w:val="16"/>
              </w:rPr>
              <w:t>$95,839,138</w:t>
            </w:r>
          </w:p>
        </w:tc>
        <w:tc>
          <w:tcPr>
            <w:tcW w:w="1852" w:type="pct"/>
            <w:noWrap/>
            <w:hideMark/>
          </w:tcPr>
          <w:p w14:paraId="2FF93E2E" w14:textId="77777777" w:rsidR="00306D94" w:rsidRPr="00270BD9" w:rsidRDefault="00306D94" w:rsidP="0090369A">
            <w:pPr>
              <w:pStyle w:val="BodyText1"/>
              <w:rPr>
                <w:sz w:val="16"/>
                <w:szCs w:val="16"/>
              </w:rPr>
            </w:pPr>
            <w:r w:rsidRPr="00270BD9">
              <w:rPr>
                <w:sz w:val="16"/>
                <w:szCs w:val="16"/>
              </w:rPr>
              <w:t>$22,874,530</w:t>
            </w:r>
          </w:p>
        </w:tc>
      </w:tr>
      <w:tr w:rsidR="0029627C" w:rsidRPr="00306D94" w14:paraId="5DF6D20A" w14:textId="77777777" w:rsidTr="00D714B0">
        <w:trPr>
          <w:trHeight w:val="320"/>
        </w:trPr>
        <w:tc>
          <w:tcPr>
            <w:tcW w:w="1672" w:type="pct"/>
            <w:noWrap/>
            <w:hideMark/>
          </w:tcPr>
          <w:p w14:paraId="3C58FB8E" w14:textId="77777777" w:rsidR="0029627C" w:rsidRPr="00270BD9" w:rsidRDefault="0029627C" w:rsidP="0090369A">
            <w:pPr>
              <w:pStyle w:val="BodyText1"/>
              <w:rPr>
                <w:sz w:val="16"/>
                <w:szCs w:val="16"/>
              </w:rPr>
            </w:pPr>
            <w:r w:rsidRPr="00270BD9">
              <w:rPr>
                <w:sz w:val="16"/>
                <w:szCs w:val="16"/>
              </w:rPr>
              <w:t>Other</w:t>
            </w:r>
          </w:p>
        </w:tc>
        <w:tc>
          <w:tcPr>
            <w:tcW w:w="1476" w:type="pct"/>
            <w:noWrap/>
            <w:hideMark/>
          </w:tcPr>
          <w:p w14:paraId="3CB7433D" w14:textId="77777777" w:rsidR="0029627C" w:rsidRPr="00270BD9" w:rsidRDefault="0029627C" w:rsidP="0090369A">
            <w:pPr>
              <w:pStyle w:val="BodyText1"/>
              <w:rPr>
                <w:sz w:val="16"/>
                <w:szCs w:val="16"/>
              </w:rPr>
            </w:pPr>
            <w:r w:rsidRPr="00270BD9">
              <w:rPr>
                <w:sz w:val="16"/>
                <w:szCs w:val="16"/>
              </w:rPr>
              <w:t>$24,807,316</w:t>
            </w:r>
          </w:p>
        </w:tc>
        <w:tc>
          <w:tcPr>
            <w:tcW w:w="1852" w:type="pct"/>
            <w:noWrap/>
            <w:hideMark/>
          </w:tcPr>
          <w:p w14:paraId="5D9B4E08" w14:textId="77777777" w:rsidR="0029627C" w:rsidRPr="00270BD9" w:rsidRDefault="0029627C" w:rsidP="0090369A">
            <w:pPr>
              <w:pStyle w:val="BodyText1"/>
              <w:rPr>
                <w:sz w:val="16"/>
                <w:szCs w:val="16"/>
              </w:rPr>
            </w:pPr>
            <w:r w:rsidRPr="00270BD9">
              <w:rPr>
                <w:sz w:val="16"/>
                <w:szCs w:val="16"/>
              </w:rPr>
              <w:t>$15,783,316</w:t>
            </w:r>
          </w:p>
        </w:tc>
      </w:tr>
      <w:tr w:rsidR="00306D94" w:rsidRPr="00306D94" w14:paraId="59A7739E" w14:textId="77777777" w:rsidTr="00D714B0">
        <w:trPr>
          <w:trHeight w:val="320"/>
        </w:trPr>
        <w:tc>
          <w:tcPr>
            <w:tcW w:w="1672" w:type="pct"/>
            <w:tcBorders>
              <w:bottom w:val="single" w:sz="4" w:space="0" w:color="auto"/>
            </w:tcBorders>
            <w:noWrap/>
            <w:hideMark/>
          </w:tcPr>
          <w:p w14:paraId="64A27E6F" w14:textId="668D14F2" w:rsidR="00306D94" w:rsidRPr="00270BD9" w:rsidRDefault="0029627C" w:rsidP="0090369A">
            <w:pPr>
              <w:pStyle w:val="BodyText1"/>
              <w:rPr>
                <w:sz w:val="16"/>
                <w:szCs w:val="16"/>
              </w:rPr>
            </w:pPr>
            <w:r w:rsidRPr="00270BD9">
              <w:rPr>
                <w:sz w:val="16"/>
                <w:szCs w:val="16"/>
              </w:rPr>
              <w:t>Location n</w:t>
            </w:r>
            <w:r w:rsidR="00131250" w:rsidRPr="00270BD9">
              <w:rPr>
                <w:sz w:val="16"/>
                <w:szCs w:val="16"/>
              </w:rPr>
              <w:t xml:space="preserve">ot yet decided </w:t>
            </w:r>
          </w:p>
        </w:tc>
        <w:tc>
          <w:tcPr>
            <w:tcW w:w="1476" w:type="pct"/>
            <w:tcBorders>
              <w:bottom w:val="single" w:sz="4" w:space="0" w:color="auto"/>
            </w:tcBorders>
            <w:noWrap/>
            <w:hideMark/>
          </w:tcPr>
          <w:p w14:paraId="48D94CF4" w14:textId="77777777" w:rsidR="00306D94" w:rsidRPr="00270BD9" w:rsidRDefault="00306D94" w:rsidP="0090369A">
            <w:pPr>
              <w:pStyle w:val="BodyText1"/>
              <w:rPr>
                <w:sz w:val="16"/>
                <w:szCs w:val="16"/>
              </w:rPr>
            </w:pPr>
            <w:r w:rsidRPr="00270BD9">
              <w:rPr>
                <w:sz w:val="16"/>
                <w:szCs w:val="16"/>
              </w:rPr>
              <w:t>$63,612,430</w:t>
            </w:r>
          </w:p>
        </w:tc>
        <w:tc>
          <w:tcPr>
            <w:tcW w:w="1852" w:type="pct"/>
            <w:tcBorders>
              <w:bottom w:val="single" w:sz="4" w:space="0" w:color="auto"/>
            </w:tcBorders>
            <w:noWrap/>
            <w:hideMark/>
          </w:tcPr>
          <w:p w14:paraId="536A044E" w14:textId="77777777" w:rsidR="00306D94" w:rsidRPr="00270BD9" w:rsidRDefault="00306D94" w:rsidP="0090369A">
            <w:pPr>
              <w:pStyle w:val="BodyText1"/>
              <w:rPr>
                <w:sz w:val="16"/>
                <w:szCs w:val="16"/>
              </w:rPr>
            </w:pPr>
            <w:r w:rsidRPr="00270BD9">
              <w:rPr>
                <w:sz w:val="16"/>
                <w:szCs w:val="16"/>
              </w:rPr>
              <w:t>$0</w:t>
            </w:r>
          </w:p>
        </w:tc>
      </w:tr>
      <w:tr w:rsidR="00A92124" w:rsidRPr="0090369A" w14:paraId="237C1540" w14:textId="77777777" w:rsidTr="00D714B0">
        <w:trPr>
          <w:trHeight w:val="320"/>
        </w:trPr>
        <w:tc>
          <w:tcPr>
            <w:tcW w:w="1672" w:type="pct"/>
            <w:tcBorders>
              <w:top w:val="single" w:sz="4" w:space="0" w:color="auto"/>
              <w:bottom w:val="single" w:sz="4" w:space="0" w:color="auto"/>
            </w:tcBorders>
            <w:noWrap/>
            <w:hideMark/>
          </w:tcPr>
          <w:p w14:paraId="3C6D97A5" w14:textId="77777777" w:rsidR="00306D94" w:rsidRPr="00270BD9" w:rsidRDefault="00306D94" w:rsidP="0090369A">
            <w:pPr>
              <w:pStyle w:val="BodyText1"/>
              <w:rPr>
                <w:b/>
                <w:bCs/>
                <w:sz w:val="16"/>
                <w:szCs w:val="16"/>
              </w:rPr>
            </w:pPr>
            <w:r w:rsidRPr="00270BD9">
              <w:rPr>
                <w:b/>
                <w:bCs/>
                <w:sz w:val="16"/>
                <w:szCs w:val="16"/>
              </w:rPr>
              <w:t>Grand Total</w:t>
            </w:r>
          </w:p>
        </w:tc>
        <w:tc>
          <w:tcPr>
            <w:tcW w:w="1476" w:type="pct"/>
            <w:tcBorders>
              <w:top w:val="single" w:sz="4" w:space="0" w:color="auto"/>
              <w:bottom w:val="single" w:sz="4" w:space="0" w:color="auto"/>
            </w:tcBorders>
            <w:noWrap/>
            <w:hideMark/>
          </w:tcPr>
          <w:p w14:paraId="535F5CF2" w14:textId="77777777" w:rsidR="00306D94" w:rsidRPr="00270BD9" w:rsidRDefault="00306D94" w:rsidP="0090369A">
            <w:pPr>
              <w:pStyle w:val="BodyText1"/>
              <w:rPr>
                <w:b/>
                <w:bCs/>
                <w:sz w:val="16"/>
                <w:szCs w:val="16"/>
              </w:rPr>
            </w:pPr>
            <w:r w:rsidRPr="00270BD9">
              <w:rPr>
                <w:b/>
                <w:bCs/>
                <w:sz w:val="16"/>
                <w:szCs w:val="16"/>
              </w:rPr>
              <w:t>$253,638,687</w:t>
            </w:r>
          </w:p>
        </w:tc>
        <w:tc>
          <w:tcPr>
            <w:tcW w:w="1852" w:type="pct"/>
            <w:tcBorders>
              <w:top w:val="single" w:sz="4" w:space="0" w:color="auto"/>
              <w:bottom w:val="single" w:sz="4" w:space="0" w:color="auto"/>
            </w:tcBorders>
            <w:noWrap/>
            <w:hideMark/>
          </w:tcPr>
          <w:p w14:paraId="0C7D9F1C" w14:textId="2AB4DF84" w:rsidR="00306D94" w:rsidRPr="00270BD9" w:rsidRDefault="00131250" w:rsidP="0090369A">
            <w:pPr>
              <w:pStyle w:val="BodyText1"/>
              <w:rPr>
                <w:rFonts w:cstheme="minorBidi"/>
                <w:b/>
                <w:bCs/>
                <w:sz w:val="16"/>
                <w:szCs w:val="16"/>
              </w:rPr>
            </w:pPr>
            <w:r w:rsidRPr="00270BD9">
              <w:rPr>
                <w:b/>
                <w:bCs/>
                <w:sz w:val="16"/>
                <w:szCs w:val="16"/>
              </w:rPr>
              <w:t>$84,754,342</w:t>
            </w:r>
          </w:p>
        </w:tc>
      </w:tr>
    </w:tbl>
    <w:p w14:paraId="6E409CE4" w14:textId="79C5CC01" w:rsidR="00004149" w:rsidRPr="002265EB" w:rsidRDefault="00306D94" w:rsidP="002265EB">
      <w:pPr>
        <w:rPr>
          <w:color w:val="242852" w:themeColor="text2"/>
          <w:sz w:val="18"/>
          <w:szCs w:val="18"/>
        </w:rPr>
      </w:pPr>
      <w:r w:rsidRPr="00D56F2F">
        <w:rPr>
          <w:color w:val="242852" w:themeColor="text2"/>
          <w:sz w:val="18"/>
          <w:szCs w:val="18"/>
          <w:vertAlign w:val="superscript"/>
        </w:rPr>
        <w:t>1</w:t>
      </w:r>
      <w:r w:rsidRPr="00D56F2F">
        <w:rPr>
          <w:color w:val="242852" w:themeColor="text2"/>
          <w:sz w:val="18"/>
          <w:szCs w:val="18"/>
        </w:rPr>
        <w:t xml:space="preserve">Funding paid </w:t>
      </w:r>
      <w:proofErr w:type="gramStart"/>
      <w:r w:rsidRPr="00D56F2F">
        <w:rPr>
          <w:color w:val="242852" w:themeColor="text2"/>
          <w:sz w:val="18"/>
          <w:szCs w:val="18"/>
        </w:rPr>
        <w:t>at</w:t>
      </w:r>
      <w:proofErr w:type="gramEnd"/>
      <w:r w:rsidRPr="00D56F2F">
        <w:rPr>
          <w:color w:val="242852" w:themeColor="text2"/>
          <w:sz w:val="18"/>
          <w:szCs w:val="18"/>
        </w:rPr>
        <w:t xml:space="preserve"> 30 April 2025.</w:t>
      </w:r>
    </w:p>
    <w:p w14:paraId="5011C7B1" w14:textId="2F4E293A" w:rsidR="008D4391" w:rsidRDefault="008D4391" w:rsidP="002265EB">
      <w:pPr>
        <w:pStyle w:val="Heading6"/>
      </w:pPr>
      <w:r>
        <w:t xml:space="preserve">Table </w:t>
      </w:r>
      <w:r>
        <w:fldChar w:fldCharType="begin"/>
      </w:r>
      <w:r>
        <w:instrText>SEQ Table \* ARABIC</w:instrText>
      </w:r>
      <w:r>
        <w:fldChar w:fldCharType="separate"/>
      </w:r>
      <w:r w:rsidR="00C762CE">
        <w:rPr>
          <w:noProof/>
        </w:rPr>
        <w:t>3</w:t>
      </w:r>
      <w:r>
        <w:fldChar w:fldCharType="end"/>
      </w:r>
      <w:r>
        <w:t xml:space="preserve">. CAP funding allocation, </w:t>
      </w:r>
      <w:r w:rsidR="00A43249">
        <w:t xml:space="preserve">funding </w:t>
      </w:r>
      <w:r w:rsidR="00A43249" w:rsidRPr="007B2DBB">
        <w:t xml:space="preserve">committed through </w:t>
      </w:r>
      <w:r w:rsidR="00A43249">
        <w:t xml:space="preserve">a </w:t>
      </w:r>
      <w:r w:rsidR="00A43249" w:rsidRPr="007B2DBB">
        <w:t xml:space="preserve">financial arrangement with </w:t>
      </w:r>
      <w:r w:rsidR="00A43249">
        <w:t xml:space="preserve">a </w:t>
      </w:r>
      <w:r w:rsidR="00A43249" w:rsidRPr="007B2DBB">
        <w:t>provider</w:t>
      </w:r>
      <w:r w:rsidR="00A43249">
        <w:t>,</w:t>
      </w:r>
      <w:r w:rsidR="00A43249" w:rsidRPr="007B2DBB">
        <w:t xml:space="preserve"> </w:t>
      </w:r>
      <w:r>
        <w:t xml:space="preserve">and </w:t>
      </w:r>
      <w:r w:rsidR="00A43249">
        <w:t>funding</w:t>
      </w:r>
      <w:r>
        <w:t xml:space="preserve"> paid </w:t>
      </w:r>
      <w:proofErr w:type="gramStart"/>
      <w:r>
        <w:t>at</w:t>
      </w:r>
      <w:proofErr w:type="gramEnd"/>
      <w:r>
        <w:t xml:space="preserve"> 30 April 2025</w:t>
      </w:r>
      <w:r w:rsidR="002F1E39">
        <w:t xml:space="preserve"> by priority stream</w:t>
      </w:r>
      <w:r>
        <w:t xml:space="preserve">. Shows key funding agency </w:t>
      </w:r>
      <w:r w:rsidR="002F1E39">
        <w:t xml:space="preserve">for each priority stream. </w:t>
      </w:r>
    </w:p>
    <w:tbl>
      <w:tblPr>
        <w:tblW w:w="9781" w:type="dxa"/>
        <w:tblBorders>
          <w:top w:val="single" w:sz="4" w:space="0" w:color="auto"/>
          <w:bottom w:val="single" w:sz="4" w:space="0" w:color="auto"/>
        </w:tblBorders>
        <w:tblLayout w:type="fixed"/>
        <w:tblLook w:val="04A0" w:firstRow="1" w:lastRow="0" w:firstColumn="1" w:lastColumn="0" w:noHBand="0" w:noVBand="1"/>
      </w:tblPr>
      <w:tblGrid>
        <w:gridCol w:w="3686"/>
        <w:gridCol w:w="1523"/>
        <w:gridCol w:w="1524"/>
        <w:gridCol w:w="1524"/>
        <w:gridCol w:w="1524"/>
      </w:tblGrid>
      <w:tr w:rsidR="0043100D" w:rsidRPr="0097048C" w14:paraId="2C8FC17F" w14:textId="77777777" w:rsidTr="002265EB">
        <w:trPr>
          <w:trHeight w:val="320"/>
          <w:tblHeader/>
        </w:trPr>
        <w:tc>
          <w:tcPr>
            <w:tcW w:w="3686" w:type="dxa"/>
            <w:tcBorders>
              <w:top w:val="single" w:sz="4" w:space="0" w:color="auto"/>
              <w:bottom w:val="single" w:sz="4" w:space="0" w:color="000000" w:themeColor="text1"/>
            </w:tcBorders>
            <w:noWrap/>
            <w:vAlign w:val="bottom"/>
            <w:hideMark/>
          </w:tcPr>
          <w:p w14:paraId="0EB253FD" w14:textId="1462735F" w:rsidR="0043100D" w:rsidRPr="00270BD9" w:rsidRDefault="0043100D" w:rsidP="00EB2B71">
            <w:pPr>
              <w:pStyle w:val="BodyText1"/>
              <w:rPr>
                <w:b/>
                <w:bCs/>
                <w:sz w:val="16"/>
                <w:szCs w:val="16"/>
              </w:rPr>
            </w:pPr>
          </w:p>
        </w:tc>
        <w:tc>
          <w:tcPr>
            <w:tcW w:w="1523" w:type="dxa"/>
            <w:tcBorders>
              <w:top w:val="single" w:sz="4" w:space="0" w:color="auto"/>
              <w:bottom w:val="single" w:sz="4" w:space="0" w:color="000000" w:themeColor="text1"/>
            </w:tcBorders>
            <w:noWrap/>
            <w:vAlign w:val="bottom"/>
            <w:hideMark/>
          </w:tcPr>
          <w:p w14:paraId="1DA100F1" w14:textId="3E412610" w:rsidR="0043100D" w:rsidRPr="00270BD9" w:rsidRDefault="60B4930E" w:rsidP="00EB2B71">
            <w:pPr>
              <w:pStyle w:val="BodyText1"/>
              <w:rPr>
                <w:b/>
                <w:bCs/>
                <w:sz w:val="16"/>
                <w:szCs w:val="16"/>
              </w:rPr>
            </w:pPr>
            <w:r w:rsidRPr="00270BD9">
              <w:rPr>
                <w:b/>
                <w:bCs/>
                <w:sz w:val="16"/>
                <w:szCs w:val="16"/>
              </w:rPr>
              <w:t>Funding Allocated</w:t>
            </w:r>
          </w:p>
        </w:tc>
        <w:tc>
          <w:tcPr>
            <w:tcW w:w="1524" w:type="dxa"/>
            <w:tcBorders>
              <w:top w:val="single" w:sz="4" w:space="0" w:color="auto"/>
              <w:bottom w:val="single" w:sz="4" w:space="0" w:color="000000" w:themeColor="text1"/>
            </w:tcBorders>
            <w:noWrap/>
            <w:vAlign w:val="bottom"/>
            <w:hideMark/>
          </w:tcPr>
          <w:p w14:paraId="44ADE016" w14:textId="27E1450E" w:rsidR="0043100D" w:rsidRPr="00270BD9" w:rsidRDefault="0043100D" w:rsidP="00EB2B71">
            <w:pPr>
              <w:pStyle w:val="BodyText1"/>
              <w:rPr>
                <w:b/>
                <w:bCs/>
                <w:sz w:val="16"/>
                <w:szCs w:val="16"/>
              </w:rPr>
            </w:pPr>
            <w:r w:rsidRPr="00270BD9">
              <w:rPr>
                <w:b/>
                <w:bCs/>
                <w:sz w:val="16"/>
                <w:szCs w:val="16"/>
              </w:rPr>
              <w:t>Funding Committed</w:t>
            </w:r>
          </w:p>
        </w:tc>
        <w:tc>
          <w:tcPr>
            <w:tcW w:w="1524" w:type="dxa"/>
            <w:tcBorders>
              <w:top w:val="single" w:sz="4" w:space="0" w:color="auto"/>
              <w:bottom w:val="single" w:sz="4" w:space="0" w:color="000000" w:themeColor="text1"/>
            </w:tcBorders>
            <w:noWrap/>
            <w:vAlign w:val="bottom"/>
            <w:hideMark/>
          </w:tcPr>
          <w:p w14:paraId="5D7A9138" w14:textId="230D5146" w:rsidR="0043100D" w:rsidRPr="00270BD9" w:rsidRDefault="0043100D" w:rsidP="00EB2B71">
            <w:pPr>
              <w:pStyle w:val="BodyText1"/>
              <w:rPr>
                <w:b/>
                <w:bCs/>
                <w:sz w:val="16"/>
                <w:szCs w:val="16"/>
              </w:rPr>
            </w:pPr>
            <w:r w:rsidRPr="00270BD9">
              <w:rPr>
                <w:b/>
                <w:bCs/>
                <w:sz w:val="16"/>
                <w:szCs w:val="16"/>
              </w:rPr>
              <w:t>Funding Paid</w:t>
            </w:r>
            <w:r w:rsidRPr="00270BD9">
              <w:rPr>
                <w:b/>
                <w:bCs/>
                <w:sz w:val="16"/>
                <w:szCs w:val="16"/>
                <w:vertAlign w:val="superscript"/>
              </w:rPr>
              <w:t>1</w:t>
            </w:r>
            <w:r w:rsidRPr="00270BD9">
              <w:rPr>
                <w:b/>
                <w:bCs/>
                <w:sz w:val="16"/>
                <w:szCs w:val="16"/>
              </w:rPr>
              <w:t xml:space="preserve"> </w:t>
            </w:r>
          </w:p>
        </w:tc>
        <w:tc>
          <w:tcPr>
            <w:tcW w:w="1524" w:type="dxa"/>
            <w:tcBorders>
              <w:top w:val="single" w:sz="4" w:space="0" w:color="auto"/>
              <w:bottom w:val="single" w:sz="4" w:space="0" w:color="000000" w:themeColor="text1"/>
            </w:tcBorders>
            <w:noWrap/>
            <w:vAlign w:val="bottom"/>
            <w:hideMark/>
          </w:tcPr>
          <w:p w14:paraId="4221FA65" w14:textId="3BAC2F21" w:rsidR="0043100D" w:rsidRPr="00270BD9" w:rsidRDefault="0043100D" w:rsidP="00EB2B71">
            <w:pPr>
              <w:pStyle w:val="BodyText1"/>
              <w:rPr>
                <w:b/>
                <w:bCs/>
                <w:sz w:val="16"/>
                <w:szCs w:val="16"/>
              </w:rPr>
            </w:pPr>
            <w:r w:rsidRPr="00270BD9">
              <w:rPr>
                <w:b/>
                <w:bCs/>
                <w:sz w:val="16"/>
                <w:szCs w:val="16"/>
              </w:rPr>
              <w:t xml:space="preserve">% committed funding that has been paid </w:t>
            </w:r>
          </w:p>
        </w:tc>
      </w:tr>
      <w:tr w:rsidR="0043100D" w:rsidRPr="002F1E39" w14:paraId="69D08E04" w14:textId="77777777" w:rsidTr="002265EB">
        <w:trPr>
          <w:trHeight w:val="320"/>
        </w:trPr>
        <w:tc>
          <w:tcPr>
            <w:tcW w:w="3686" w:type="dxa"/>
            <w:tcBorders>
              <w:top w:val="single" w:sz="4" w:space="0" w:color="000000" w:themeColor="text1"/>
            </w:tcBorders>
            <w:noWrap/>
            <w:vAlign w:val="bottom"/>
            <w:hideMark/>
          </w:tcPr>
          <w:p w14:paraId="21FEDF95" w14:textId="688887D9" w:rsidR="0043100D" w:rsidRPr="00270BD9" w:rsidRDefault="0043100D" w:rsidP="00EB2B71">
            <w:pPr>
              <w:pStyle w:val="BodyText1"/>
              <w:rPr>
                <w:b/>
                <w:bCs/>
                <w:sz w:val="16"/>
                <w:szCs w:val="16"/>
              </w:rPr>
            </w:pPr>
            <w:r w:rsidRPr="00270BD9">
              <w:rPr>
                <w:b/>
                <w:bCs/>
                <w:sz w:val="16"/>
                <w:szCs w:val="16"/>
              </w:rPr>
              <w:t>1 - Improved community safety</w:t>
            </w:r>
            <w:r w:rsidR="002265EB" w:rsidRPr="00270BD9">
              <w:rPr>
                <w:b/>
                <w:bCs/>
                <w:sz w:val="16"/>
                <w:szCs w:val="16"/>
              </w:rPr>
              <w:t xml:space="preserve"> &amp;</w:t>
            </w:r>
            <w:r w:rsidRPr="00270BD9">
              <w:rPr>
                <w:b/>
                <w:bCs/>
                <w:sz w:val="16"/>
                <w:szCs w:val="16"/>
              </w:rPr>
              <w:t xml:space="preserve"> cohesion</w:t>
            </w:r>
          </w:p>
        </w:tc>
        <w:tc>
          <w:tcPr>
            <w:tcW w:w="1523" w:type="dxa"/>
            <w:tcBorders>
              <w:top w:val="single" w:sz="4" w:space="0" w:color="000000" w:themeColor="text1"/>
            </w:tcBorders>
            <w:noWrap/>
            <w:vAlign w:val="bottom"/>
            <w:hideMark/>
          </w:tcPr>
          <w:p w14:paraId="6A9000F9" w14:textId="77777777" w:rsidR="0043100D" w:rsidRPr="00270BD9" w:rsidRDefault="0043100D" w:rsidP="00EB2B71">
            <w:pPr>
              <w:pStyle w:val="BodyText1"/>
              <w:rPr>
                <w:b/>
                <w:bCs/>
                <w:sz w:val="16"/>
                <w:szCs w:val="16"/>
              </w:rPr>
            </w:pPr>
            <w:r w:rsidRPr="00270BD9">
              <w:rPr>
                <w:b/>
                <w:bCs/>
                <w:sz w:val="16"/>
                <w:szCs w:val="16"/>
              </w:rPr>
              <w:t>$53,300,000</w:t>
            </w:r>
          </w:p>
        </w:tc>
        <w:tc>
          <w:tcPr>
            <w:tcW w:w="1524" w:type="dxa"/>
            <w:tcBorders>
              <w:top w:val="single" w:sz="4" w:space="0" w:color="000000" w:themeColor="text1"/>
            </w:tcBorders>
            <w:noWrap/>
            <w:vAlign w:val="bottom"/>
            <w:hideMark/>
          </w:tcPr>
          <w:p w14:paraId="31824186" w14:textId="77777777" w:rsidR="0043100D" w:rsidRPr="00270BD9" w:rsidRDefault="0043100D" w:rsidP="00EB2B71">
            <w:pPr>
              <w:pStyle w:val="BodyText1"/>
              <w:rPr>
                <w:b/>
                <w:bCs/>
                <w:sz w:val="16"/>
                <w:szCs w:val="16"/>
              </w:rPr>
            </w:pPr>
            <w:r w:rsidRPr="00270BD9">
              <w:rPr>
                <w:b/>
                <w:bCs/>
                <w:sz w:val="16"/>
                <w:szCs w:val="16"/>
              </w:rPr>
              <w:t>$14,063,022</w:t>
            </w:r>
          </w:p>
        </w:tc>
        <w:tc>
          <w:tcPr>
            <w:tcW w:w="1524" w:type="dxa"/>
            <w:tcBorders>
              <w:top w:val="single" w:sz="4" w:space="0" w:color="000000" w:themeColor="text1"/>
            </w:tcBorders>
            <w:noWrap/>
            <w:vAlign w:val="bottom"/>
            <w:hideMark/>
          </w:tcPr>
          <w:p w14:paraId="6D188F30" w14:textId="77777777" w:rsidR="0043100D" w:rsidRPr="00270BD9" w:rsidRDefault="0043100D" w:rsidP="00EB2B71">
            <w:pPr>
              <w:pStyle w:val="BodyText1"/>
              <w:rPr>
                <w:b/>
                <w:bCs/>
                <w:sz w:val="16"/>
                <w:szCs w:val="16"/>
              </w:rPr>
            </w:pPr>
            <w:r w:rsidRPr="00270BD9">
              <w:rPr>
                <w:b/>
                <w:bCs/>
                <w:sz w:val="16"/>
                <w:szCs w:val="16"/>
              </w:rPr>
              <w:t>$6,826,870</w:t>
            </w:r>
          </w:p>
        </w:tc>
        <w:tc>
          <w:tcPr>
            <w:tcW w:w="1524" w:type="dxa"/>
            <w:tcBorders>
              <w:top w:val="single" w:sz="4" w:space="0" w:color="000000" w:themeColor="text1"/>
            </w:tcBorders>
            <w:noWrap/>
            <w:vAlign w:val="bottom"/>
            <w:hideMark/>
          </w:tcPr>
          <w:p w14:paraId="623A18A6" w14:textId="77777777" w:rsidR="0043100D" w:rsidRPr="00270BD9" w:rsidRDefault="0043100D" w:rsidP="00EB2B71">
            <w:pPr>
              <w:pStyle w:val="BodyText1"/>
              <w:rPr>
                <w:b/>
                <w:bCs/>
                <w:sz w:val="16"/>
                <w:szCs w:val="16"/>
              </w:rPr>
            </w:pPr>
            <w:r w:rsidRPr="00270BD9">
              <w:rPr>
                <w:b/>
                <w:bCs/>
                <w:sz w:val="16"/>
                <w:szCs w:val="16"/>
              </w:rPr>
              <w:t>49%</w:t>
            </w:r>
          </w:p>
        </w:tc>
      </w:tr>
      <w:tr w:rsidR="0043100D" w:rsidRPr="0097048C" w14:paraId="69727C0F" w14:textId="77777777" w:rsidTr="002265EB">
        <w:trPr>
          <w:trHeight w:val="320"/>
        </w:trPr>
        <w:tc>
          <w:tcPr>
            <w:tcW w:w="3686" w:type="dxa"/>
            <w:noWrap/>
            <w:vAlign w:val="bottom"/>
            <w:hideMark/>
          </w:tcPr>
          <w:p w14:paraId="00E51702" w14:textId="77777777" w:rsidR="0043100D" w:rsidRPr="00270BD9" w:rsidRDefault="0043100D" w:rsidP="00EB2B71">
            <w:pPr>
              <w:pStyle w:val="BodyText1"/>
              <w:rPr>
                <w:sz w:val="16"/>
                <w:szCs w:val="16"/>
              </w:rPr>
            </w:pPr>
            <w:r w:rsidRPr="00270BD9">
              <w:rPr>
                <w:sz w:val="16"/>
                <w:szCs w:val="16"/>
              </w:rPr>
              <w:t>AGD</w:t>
            </w:r>
          </w:p>
        </w:tc>
        <w:tc>
          <w:tcPr>
            <w:tcW w:w="1523" w:type="dxa"/>
            <w:noWrap/>
            <w:vAlign w:val="bottom"/>
            <w:hideMark/>
          </w:tcPr>
          <w:p w14:paraId="5BCFE9C0" w14:textId="77777777" w:rsidR="0043100D" w:rsidRPr="00270BD9" w:rsidRDefault="0043100D" w:rsidP="00EB2B71">
            <w:pPr>
              <w:pStyle w:val="BodyText1"/>
              <w:rPr>
                <w:sz w:val="16"/>
                <w:szCs w:val="16"/>
              </w:rPr>
            </w:pPr>
            <w:r w:rsidRPr="00270BD9">
              <w:rPr>
                <w:sz w:val="16"/>
                <w:szCs w:val="16"/>
              </w:rPr>
              <w:t>$10,000,000</w:t>
            </w:r>
          </w:p>
        </w:tc>
        <w:tc>
          <w:tcPr>
            <w:tcW w:w="1524" w:type="dxa"/>
            <w:noWrap/>
            <w:vAlign w:val="bottom"/>
            <w:hideMark/>
          </w:tcPr>
          <w:p w14:paraId="524762B6" w14:textId="77777777" w:rsidR="0043100D" w:rsidRPr="00270BD9" w:rsidRDefault="0043100D" w:rsidP="00EB2B71">
            <w:pPr>
              <w:pStyle w:val="BodyText1"/>
              <w:rPr>
                <w:sz w:val="16"/>
                <w:szCs w:val="16"/>
              </w:rPr>
            </w:pPr>
            <w:r w:rsidRPr="00270BD9">
              <w:rPr>
                <w:sz w:val="16"/>
                <w:szCs w:val="16"/>
              </w:rPr>
              <w:t>$3,212,555</w:t>
            </w:r>
          </w:p>
        </w:tc>
        <w:tc>
          <w:tcPr>
            <w:tcW w:w="1524" w:type="dxa"/>
            <w:noWrap/>
            <w:vAlign w:val="bottom"/>
            <w:hideMark/>
          </w:tcPr>
          <w:p w14:paraId="17A2B28B" w14:textId="77777777" w:rsidR="0043100D" w:rsidRPr="00270BD9" w:rsidRDefault="0043100D" w:rsidP="00EB2B71">
            <w:pPr>
              <w:pStyle w:val="BodyText1"/>
              <w:rPr>
                <w:sz w:val="16"/>
                <w:szCs w:val="16"/>
              </w:rPr>
            </w:pPr>
            <w:r w:rsidRPr="00270BD9">
              <w:rPr>
                <w:sz w:val="16"/>
                <w:szCs w:val="16"/>
              </w:rPr>
              <w:t>$393,069</w:t>
            </w:r>
          </w:p>
        </w:tc>
        <w:tc>
          <w:tcPr>
            <w:tcW w:w="1524" w:type="dxa"/>
            <w:noWrap/>
            <w:vAlign w:val="bottom"/>
            <w:hideMark/>
          </w:tcPr>
          <w:p w14:paraId="57A82A7A" w14:textId="77777777" w:rsidR="0043100D" w:rsidRPr="00270BD9" w:rsidRDefault="0043100D" w:rsidP="00EB2B71">
            <w:pPr>
              <w:pStyle w:val="BodyText1"/>
              <w:rPr>
                <w:sz w:val="16"/>
                <w:szCs w:val="16"/>
              </w:rPr>
            </w:pPr>
            <w:r w:rsidRPr="00270BD9">
              <w:rPr>
                <w:sz w:val="16"/>
                <w:szCs w:val="16"/>
              </w:rPr>
              <w:t>12%</w:t>
            </w:r>
          </w:p>
        </w:tc>
      </w:tr>
      <w:tr w:rsidR="0043100D" w:rsidRPr="0097048C" w14:paraId="7B46661B" w14:textId="77777777" w:rsidTr="002265EB">
        <w:trPr>
          <w:trHeight w:val="320"/>
        </w:trPr>
        <w:tc>
          <w:tcPr>
            <w:tcW w:w="3686" w:type="dxa"/>
            <w:noWrap/>
            <w:vAlign w:val="bottom"/>
            <w:hideMark/>
          </w:tcPr>
          <w:p w14:paraId="680E414F" w14:textId="77777777" w:rsidR="0043100D" w:rsidRPr="00270BD9" w:rsidRDefault="0043100D" w:rsidP="00EB2B71">
            <w:pPr>
              <w:pStyle w:val="BodyText1"/>
              <w:rPr>
                <w:sz w:val="16"/>
                <w:szCs w:val="16"/>
              </w:rPr>
            </w:pPr>
            <w:r w:rsidRPr="00270BD9">
              <w:rPr>
                <w:sz w:val="16"/>
                <w:szCs w:val="16"/>
              </w:rPr>
              <w:t>NIAA</w:t>
            </w:r>
          </w:p>
        </w:tc>
        <w:tc>
          <w:tcPr>
            <w:tcW w:w="1523" w:type="dxa"/>
            <w:noWrap/>
            <w:vAlign w:val="bottom"/>
            <w:hideMark/>
          </w:tcPr>
          <w:p w14:paraId="598C2915" w14:textId="77777777" w:rsidR="0043100D" w:rsidRPr="00270BD9" w:rsidRDefault="0043100D" w:rsidP="00EB2B71">
            <w:pPr>
              <w:pStyle w:val="BodyText1"/>
              <w:rPr>
                <w:sz w:val="16"/>
                <w:szCs w:val="16"/>
              </w:rPr>
            </w:pPr>
            <w:r w:rsidRPr="00270BD9">
              <w:rPr>
                <w:sz w:val="16"/>
                <w:szCs w:val="16"/>
              </w:rPr>
              <w:t>$43,300,000</w:t>
            </w:r>
          </w:p>
        </w:tc>
        <w:tc>
          <w:tcPr>
            <w:tcW w:w="1524" w:type="dxa"/>
            <w:noWrap/>
            <w:vAlign w:val="bottom"/>
            <w:hideMark/>
          </w:tcPr>
          <w:p w14:paraId="7110F1E1" w14:textId="77777777" w:rsidR="0043100D" w:rsidRPr="00270BD9" w:rsidRDefault="0043100D" w:rsidP="00EB2B71">
            <w:pPr>
              <w:pStyle w:val="BodyText1"/>
              <w:rPr>
                <w:sz w:val="16"/>
                <w:szCs w:val="16"/>
              </w:rPr>
            </w:pPr>
            <w:r w:rsidRPr="00270BD9">
              <w:rPr>
                <w:sz w:val="16"/>
                <w:szCs w:val="16"/>
              </w:rPr>
              <w:t>$10,850,467</w:t>
            </w:r>
          </w:p>
        </w:tc>
        <w:tc>
          <w:tcPr>
            <w:tcW w:w="1524" w:type="dxa"/>
            <w:noWrap/>
            <w:vAlign w:val="bottom"/>
            <w:hideMark/>
          </w:tcPr>
          <w:p w14:paraId="321C2A1E" w14:textId="77777777" w:rsidR="0043100D" w:rsidRPr="00270BD9" w:rsidRDefault="0043100D" w:rsidP="00EB2B71">
            <w:pPr>
              <w:pStyle w:val="BodyText1"/>
              <w:rPr>
                <w:sz w:val="16"/>
                <w:szCs w:val="16"/>
              </w:rPr>
            </w:pPr>
            <w:r w:rsidRPr="00270BD9">
              <w:rPr>
                <w:sz w:val="16"/>
                <w:szCs w:val="16"/>
              </w:rPr>
              <w:t>$6,433,801</w:t>
            </w:r>
          </w:p>
        </w:tc>
        <w:tc>
          <w:tcPr>
            <w:tcW w:w="1524" w:type="dxa"/>
            <w:noWrap/>
            <w:vAlign w:val="bottom"/>
            <w:hideMark/>
          </w:tcPr>
          <w:p w14:paraId="7D889198" w14:textId="77777777" w:rsidR="0043100D" w:rsidRPr="00270BD9" w:rsidRDefault="0043100D" w:rsidP="00EB2B71">
            <w:pPr>
              <w:pStyle w:val="BodyText1"/>
              <w:rPr>
                <w:sz w:val="16"/>
                <w:szCs w:val="16"/>
              </w:rPr>
            </w:pPr>
            <w:r w:rsidRPr="00270BD9">
              <w:rPr>
                <w:sz w:val="16"/>
                <w:szCs w:val="16"/>
              </w:rPr>
              <w:t>59%</w:t>
            </w:r>
          </w:p>
        </w:tc>
      </w:tr>
      <w:tr w:rsidR="0043100D" w:rsidRPr="002F1E39" w14:paraId="7E594CDB" w14:textId="77777777" w:rsidTr="002265EB">
        <w:trPr>
          <w:trHeight w:val="320"/>
        </w:trPr>
        <w:tc>
          <w:tcPr>
            <w:tcW w:w="3686" w:type="dxa"/>
            <w:noWrap/>
            <w:vAlign w:val="bottom"/>
            <w:hideMark/>
          </w:tcPr>
          <w:p w14:paraId="56C81D9B" w14:textId="77777777" w:rsidR="0043100D" w:rsidRPr="00270BD9" w:rsidRDefault="0043100D" w:rsidP="00EB2B71">
            <w:pPr>
              <w:pStyle w:val="BodyText1"/>
              <w:rPr>
                <w:b/>
                <w:bCs/>
                <w:sz w:val="16"/>
                <w:szCs w:val="16"/>
              </w:rPr>
            </w:pPr>
            <w:r w:rsidRPr="00270BD9">
              <w:rPr>
                <w:b/>
                <w:bCs/>
                <w:sz w:val="16"/>
                <w:szCs w:val="16"/>
              </w:rPr>
              <w:t>2 - Job creation</w:t>
            </w:r>
          </w:p>
        </w:tc>
        <w:tc>
          <w:tcPr>
            <w:tcW w:w="1523" w:type="dxa"/>
            <w:noWrap/>
            <w:vAlign w:val="bottom"/>
            <w:hideMark/>
          </w:tcPr>
          <w:p w14:paraId="5898EADA" w14:textId="77777777" w:rsidR="0043100D" w:rsidRPr="00270BD9" w:rsidRDefault="0043100D" w:rsidP="00EB2B71">
            <w:pPr>
              <w:pStyle w:val="BodyText1"/>
              <w:rPr>
                <w:b/>
                <w:bCs/>
                <w:sz w:val="16"/>
                <w:szCs w:val="16"/>
              </w:rPr>
            </w:pPr>
            <w:r w:rsidRPr="00270BD9">
              <w:rPr>
                <w:b/>
                <w:bCs/>
                <w:sz w:val="16"/>
                <w:szCs w:val="16"/>
              </w:rPr>
              <w:t>$31,400,000</w:t>
            </w:r>
          </w:p>
        </w:tc>
        <w:tc>
          <w:tcPr>
            <w:tcW w:w="1524" w:type="dxa"/>
            <w:noWrap/>
            <w:vAlign w:val="bottom"/>
            <w:hideMark/>
          </w:tcPr>
          <w:p w14:paraId="7D768947" w14:textId="77777777" w:rsidR="0043100D" w:rsidRPr="00270BD9" w:rsidRDefault="0043100D" w:rsidP="00EB2B71">
            <w:pPr>
              <w:pStyle w:val="BodyText1"/>
              <w:rPr>
                <w:b/>
                <w:bCs/>
                <w:sz w:val="16"/>
                <w:szCs w:val="16"/>
              </w:rPr>
            </w:pPr>
            <w:r w:rsidRPr="00270BD9">
              <w:rPr>
                <w:b/>
                <w:bCs/>
                <w:sz w:val="16"/>
                <w:szCs w:val="16"/>
              </w:rPr>
              <w:t>$17,013,460</w:t>
            </w:r>
          </w:p>
        </w:tc>
        <w:tc>
          <w:tcPr>
            <w:tcW w:w="1524" w:type="dxa"/>
            <w:noWrap/>
            <w:vAlign w:val="bottom"/>
            <w:hideMark/>
          </w:tcPr>
          <w:p w14:paraId="477D7210" w14:textId="77777777" w:rsidR="0043100D" w:rsidRPr="00270BD9" w:rsidRDefault="0043100D" w:rsidP="00EB2B71">
            <w:pPr>
              <w:pStyle w:val="BodyText1"/>
              <w:rPr>
                <w:b/>
                <w:bCs/>
                <w:sz w:val="16"/>
                <w:szCs w:val="16"/>
              </w:rPr>
            </w:pPr>
            <w:r w:rsidRPr="00270BD9">
              <w:rPr>
                <w:b/>
                <w:bCs/>
                <w:sz w:val="16"/>
                <w:szCs w:val="16"/>
              </w:rPr>
              <w:t>$4,542,227</w:t>
            </w:r>
          </w:p>
        </w:tc>
        <w:tc>
          <w:tcPr>
            <w:tcW w:w="1524" w:type="dxa"/>
            <w:noWrap/>
            <w:vAlign w:val="bottom"/>
            <w:hideMark/>
          </w:tcPr>
          <w:p w14:paraId="328DA0A9" w14:textId="77777777" w:rsidR="0043100D" w:rsidRPr="00270BD9" w:rsidRDefault="0043100D" w:rsidP="00EB2B71">
            <w:pPr>
              <w:pStyle w:val="BodyText1"/>
              <w:rPr>
                <w:b/>
                <w:bCs/>
                <w:sz w:val="16"/>
                <w:szCs w:val="16"/>
              </w:rPr>
            </w:pPr>
            <w:r w:rsidRPr="00270BD9">
              <w:rPr>
                <w:b/>
                <w:bCs/>
                <w:sz w:val="16"/>
                <w:szCs w:val="16"/>
              </w:rPr>
              <w:t>27%</w:t>
            </w:r>
          </w:p>
        </w:tc>
      </w:tr>
      <w:tr w:rsidR="0043100D" w:rsidRPr="0097048C" w14:paraId="3F775382" w14:textId="77777777" w:rsidTr="002265EB">
        <w:trPr>
          <w:trHeight w:val="320"/>
        </w:trPr>
        <w:tc>
          <w:tcPr>
            <w:tcW w:w="3686" w:type="dxa"/>
            <w:noWrap/>
            <w:vAlign w:val="bottom"/>
            <w:hideMark/>
          </w:tcPr>
          <w:p w14:paraId="42E6691E" w14:textId="77777777" w:rsidR="0043100D" w:rsidRPr="00270BD9" w:rsidRDefault="0043100D" w:rsidP="00EB2B71">
            <w:pPr>
              <w:pStyle w:val="BodyText1"/>
              <w:rPr>
                <w:sz w:val="16"/>
                <w:szCs w:val="16"/>
              </w:rPr>
            </w:pPr>
            <w:r w:rsidRPr="00270BD9">
              <w:rPr>
                <w:sz w:val="16"/>
                <w:szCs w:val="16"/>
              </w:rPr>
              <w:t>DEWR</w:t>
            </w:r>
          </w:p>
        </w:tc>
        <w:tc>
          <w:tcPr>
            <w:tcW w:w="1523" w:type="dxa"/>
            <w:noWrap/>
            <w:vAlign w:val="bottom"/>
            <w:hideMark/>
          </w:tcPr>
          <w:p w14:paraId="7A3BECA0" w14:textId="77777777" w:rsidR="0043100D" w:rsidRPr="00270BD9" w:rsidRDefault="0043100D" w:rsidP="00EB2B71">
            <w:pPr>
              <w:pStyle w:val="BodyText1"/>
              <w:rPr>
                <w:sz w:val="16"/>
                <w:szCs w:val="16"/>
              </w:rPr>
            </w:pPr>
            <w:r w:rsidRPr="00270BD9">
              <w:rPr>
                <w:sz w:val="16"/>
                <w:szCs w:val="16"/>
              </w:rPr>
              <w:t>$30,200,000</w:t>
            </w:r>
          </w:p>
        </w:tc>
        <w:tc>
          <w:tcPr>
            <w:tcW w:w="1524" w:type="dxa"/>
            <w:noWrap/>
            <w:vAlign w:val="bottom"/>
            <w:hideMark/>
          </w:tcPr>
          <w:p w14:paraId="67F1B5BA" w14:textId="77777777" w:rsidR="0043100D" w:rsidRPr="00270BD9" w:rsidRDefault="0043100D" w:rsidP="00EB2B71">
            <w:pPr>
              <w:pStyle w:val="BodyText1"/>
              <w:rPr>
                <w:sz w:val="16"/>
                <w:szCs w:val="16"/>
              </w:rPr>
            </w:pPr>
            <w:r w:rsidRPr="00270BD9">
              <w:rPr>
                <w:sz w:val="16"/>
                <w:szCs w:val="16"/>
              </w:rPr>
              <w:t>$12,690,000</w:t>
            </w:r>
          </w:p>
        </w:tc>
        <w:tc>
          <w:tcPr>
            <w:tcW w:w="1524" w:type="dxa"/>
            <w:noWrap/>
            <w:vAlign w:val="bottom"/>
            <w:hideMark/>
          </w:tcPr>
          <w:p w14:paraId="3ED5874C" w14:textId="77777777" w:rsidR="0043100D" w:rsidRPr="00270BD9" w:rsidRDefault="0043100D" w:rsidP="00EB2B71">
            <w:pPr>
              <w:pStyle w:val="BodyText1"/>
              <w:rPr>
                <w:sz w:val="16"/>
                <w:szCs w:val="16"/>
              </w:rPr>
            </w:pPr>
            <w:r w:rsidRPr="00270BD9">
              <w:rPr>
                <w:sz w:val="16"/>
                <w:szCs w:val="16"/>
              </w:rPr>
              <w:t>$2,666,000</w:t>
            </w:r>
          </w:p>
        </w:tc>
        <w:tc>
          <w:tcPr>
            <w:tcW w:w="1524" w:type="dxa"/>
            <w:noWrap/>
            <w:vAlign w:val="bottom"/>
            <w:hideMark/>
          </w:tcPr>
          <w:p w14:paraId="20B44993" w14:textId="77777777" w:rsidR="0043100D" w:rsidRPr="00270BD9" w:rsidRDefault="0043100D" w:rsidP="00EB2B71">
            <w:pPr>
              <w:pStyle w:val="BodyText1"/>
              <w:rPr>
                <w:sz w:val="16"/>
                <w:szCs w:val="16"/>
              </w:rPr>
            </w:pPr>
            <w:r w:rsidRPr="00270BD9">
              <w:rPr>
                <w:sz w:val="16"/>
                <w:szCs w:val="16"/>
              </w:rPr>
              <w:t>21%</w:t>
            </w:r>
          </w:p>
        </w:tc>
      </w:tr>
      <w:tr w:rsidR="0043100D" w:rsidRPr="0097048C" w14:paraId="26F9D3B8" w14:textId="77777777" w:rsidTr="002265EB">
        <w:trPr>
          <w:trHeight w:val="320"/>
        </w:trPr>
        <w:tc>
          <w:tcPr>
            <w:tcW w:w="3686" w:type="dxa"/>
            <w:noWrap/>
            <w:vAlign w:val="bottom"/>
            <w:hideMark/>
          </w:tcPr>
          <w:p w14:paraId="5FCB8A86" w14:textId="77777777" w:rsidR="0043100D" w:rsidRPr="00270BD9" w:rsidRDefault="0043100D" w:rsidP="00EB2B71">
            <w:pPr>
              <w:pStyle w:val="BodyText1"/>
              <w:rPr>
                <w:sz w:val="16"/>
                <w:szCs w:val="16"/>
              </w:rPr>
            </w:pPr>
            <w:r w:rsidRPr="00270BD9">
              <w:rPr>
                <w:sz w:val="16"/>
                <w:szCs w:val="16"/>
              </w:rPr>
              <w:t>NIAA</w:t>
            </w:r>
          </w:p>
        </w:tc>
        <w:tc>
          <w:tcPr>
            <w:tcW w:w="1523" w:type="dxa"/>
            <w:noWrap/>
            <w:vAlign w:val="bottom"/>
            <w:hideMark/>
          </w:tcPr>
          <w:p w14:paraId="4FF6581E" w14:textId="77777777" w:rsidR="0043100D" w:rsidRPr="00270BD9" w:rsidRDefault="0043100D" w:rsidP="00EB2B71">
            <w:pPr>
              <w:pStyle w:val="BodyText1"/>
              <w:rPr>
                <w:sz w:val="16"/>
                <w:szCs w:val="16"/>
              </w:rPr>
            </w:pPr>
            <w:r w:rsidRPr="00270BD9">
              <w:rPr>
                <w:sz w:val="16"/>
                <w:szCs w:val="16"/>
              </w:rPr>
              <w:t>$1,200,000</w:t>
            </w:r>
          </w:p>
        </w:tc>
        <w:tc>
          <w:tcPr>
            <w:tcW w:w="1524" w:type="dxa"/>
            <w:noWrap/>
            <w:vAlign w:val="bottom"/>
            <w:hideMark/>
          </w:tcPr>
          <w:p w14:paraId="389F6711" w14:textId="77777777" w:rsidR="0043100D" w:rsidRPr="00270BD9" w:rsidRDefault="0043100D" w:rsidP="00EB2B71">
            <w:pPr>
              <w:pStyle w:val="BodyText1"/>
              <w:rPr>
                <w:sz w:val="16"/>
                <w:szCs w:val="16"/>
              </w:rPr>
            </w:pPr>
            <w:r w:rsidRPr="00270BD9">
              <w:rPr>
                <w:sz w:val="16"/>
                <w:szCs w:val="16"/>
              </w:rPr>
              <w:t>$4,323,460</w:t>
            </w:r>
          </w:p>
        </w:tc>
        <w:tc>
          <w:tcPr>
            <w:tcW w:w="1524" w:type="dxa"/>
            <w:noWrap/>
            <w:vAlign w:val="bottom"/>
            <w:hideMark/>
          </w:tcPr>
          <w:p w14:paraId="5641CDCB" w14:textId="77777777" w:rsidR="0043100D" w:rsidRPr="00270BD9" w:rsidRDefault="0043100D" w:rsidP="00EB2B71">
            <w:pPr>
              <w:pStyle w:val="BodyText1"/>
              <w:rPr>
                <w:sz w:val="16"/>
                <w:szCs w:val="16"/>
              </w:rPr>
            </w:pPr>
            <w:r w:rsidRPr="00270BD9">
              <w:rPr>
                <w:sz w:val="16"/>
                <w:szCs w:val="16"/>
              </w:rPr>
              <w:t>$1,876,227</w:t>
            </w:r>
          </w:p>
        </w:tc>
        <w:tc>
          <w:tcPr>
            <w:tcW w:w="1524" w:type="dxa"/>
            <w:noWrap/>
            <w:vAlign w:val="bottom"/>
            <w:hideMark/>
          </w:tcPr>
          <w:p w14:paraId="3580BDB0" w14:textId="77777777" w:rsidR="0043100D" w:rsidRPr="00270BD9" w:rsidRDefault="0043100D" w:rsidP="00EB2B71">
            <w:pPr>
              <w:pStyle w:val="BodyText1"/>
              <w:rPr>
                <w:sz w:val="16"/>
                <w:szCs w:val="16"/>
              </w:rPr>
            </w:pPr>
            <w:r w:rsidRPr="00270BD9">
              <w:rPr>
                <w:sz w:val="16"/>
                <w:szCs w:val="16"/>
              </w:rPr>
              <w:t>43%</w:t>
            </w:r>
          </w:p>
        </w:tc>
      </w:tr>
      <w:tr w:rsidR="0043100D" w:rsidRPr="002F1E39" w14:paraId="6E2F2547" w14:textId="77777777" w:rsidTr="002265EB">
        <w:trPr>
          <w:trHeight w:val="320"/>
        </w:trPr>
        <w:tc>
          <w:tcPr>
            <w:tcW w:w="3686" w:type="dxa"/>
            <w:noWrap/>
            <w:vAlign w:val="bottom"/>
            <w:hideMark/>
          </w:tcPr>
          <w:p w14:paraId="593BF7F5" w14:textId="77777777" w:rsidR="0043100D" w:rsidRPr="00270BD9" w:rsidRDefault="0043100D" w:rsidP="00EB2B71">
            <w:pPr>
              <w:pStyle w:val="BodyText1"/>
              <w:rPr>
                <w:b/>
                <w:bCs/>
                <w:sz w:val="16"/>
                <w:szCs w:val="16"/>
              </w:rPr>
            </w:pPr>
            <w:r w:rsidRPr="00270BD9">
              <w:rPr>
                <w:b/>
                <w:bCs/>
                <w:sz w:val="16"/>
                <w:szCs w:val="16"/>
              </w:rPr>
              <w:t>3 - Better services</w:t>
            </w:r>
          </w:p>
        </w:tc>
        <w:tc>
          <w:tcPr>
            <w:tcW w:w="1523" w:type="dxa"/>
            <w:noWrap/>
            <w:vAlign w:val="bottom"/>
            <w:hideMark/>
          </w:tcPr>
          <w:p w14:paraId="795428BA" w14:textId="77777777" w:rsidR="0043100D" w:rsidRPr="00270BD9" w:rsidRDefault="0043100D" w:rsidP="00EB2B71">
            <w:pPr>
              <w:pStyle w:val="BodyText1"/>
              <w:rPr>
                <w:b/>
                <w:bCs/>
                <w:sz w:val="16"/>
                <w:szCs w:val="16"/>
              </w:rPr>
            </w:pPr>
            <w:r w:rsidRPr="00270BD9">
              <w:rPr>
                <w:b/>
                <w:bCs/>
                <w:sz w:val="16"/>
                <w:szCs w:val="16"/>
              </w:rPr>
              <w:t>$60,300,000</w:t>
            </w:r>
          </w:p>
        </w:tc>
        <w:tc>
          <w:tcPr>
            <w:tcW w:w="1524" w:type="dxa"/>
            <w:noWrap/>
            <w:vAlign w:val="bottom"/>
            <w:hideMark/>
          </w:tcPr>
          <w:p w14:paraId="2CAB6B12" w14:textId="77777777" w:rsidR="0043100D" w:rsidRPr="00270BD9" w:rsidRDefault="0043100D" w:rsidP="00EB2B71">
            <w:pPr>
              <w:pStyle w:val="BodyText1"/>
              <w:rPr>
                <w:b/>
                <w:bCs/>
                <w:sz w:val="16"/>
                <w:szCs w:val="16"/>
              </w:rPr>
            </w:pPr>
            <w:r w:rsidRPr="00270BD9">
              <w:rPr>
                <w:b/>
                <w:bCs/>
                <w:sz w:val="16"/>
                <w:szCs w:val="16"/>
              </w:rPr>
              <w:t>$40,512,088</w:t>
            </w:r>
          </w:p>
        </w:tc>
        <w:tc>
          <w:tcPr>
            <w:tcW w:w="1524" w:type="dxa"/>
            <w:noWrap/>
            <w:vAlign w:val="bottom"/>
            <w:hideMark/>
          </w:tcPr>
          <w:p w14:paraId="473762FC" w14:textId="77777777" w:rsidR="0043100D" w:rsidRPr="00270BD9" w:rsidRDefault="0043100D" w:rsidP="00EB2B71">
            <w:pPr>
              <w:pStyle w:val="BodyText1"/>
              <w:rPr>
                <w:b/>
                <w:bCs/>
                <w:sz w:val="16"/>
                <w:szCs w:val="16"/>
              </w:rPr>
            </w:pPr>
            <w:r w:rsidRPr="00270BD9">
              <w:rPr>
                <w:b/>
                <w:bCs/>
                <w:sz w:val="16"/>
                <w:szCs w:val="16"/>
              </w:rPr>
              <w:t>$5,847,398</w:t>
            </w:r>
          </w:p>
        </w:tc>
        <w:tc>
          <w:tcPr>
            <w:tcW w:w="1524" w:type="dxa"/>
            <w:noWrap/>
            <w:vAlign w:val="bottom"/>
            <w:hideMark/>
          </w:tcPr>
          <w:p w14:paraId="32DD4865" w14:textId="77777777" w:rsidR="0043100D" w:rsidRPr="00270BD9" w:rsidRDefault="0043100D" w:rsidP="00EB2B71">
            <w:pPr>
              <w:pStyle w:val="BodyText1"/>
              <w:rPr>
                <w:b/>
                <w:bCs/>
                <w:sz w:val="16"/>
                <w:szCs w:val="16"/>
              </w:rPr>
            </w:pPr>
            <w:r w:rsidRPr="00270BD9">
              <w:rPr>
                <w:b/>
                <w:bCs/>
                <w:sz w:val="16"/>
                <w:szCs w:val="16"/>
              </w:rPr>
              <w:t>14%</w:t>
            </w:r>
          </w:p>
        </w:tc>
      </w:tr>
      <w:tr w:rsidR="0043100D" w:rsidRPr="0097048C" w14:paraId="58F74FAF" w14:textId="77777777" w:rsidTr="002265EB">
        <w:trPr>
          <w:trHeight w:val="320"/>
        </w:trPr>
        <w:tc>
          <w:tcPr>
            <w:tcW w:w="3686" w:type="dxa"/>
            <w:noWrap/>
            <w:vAlign w:val="bottom"/>
            <w:hideMark/>
          </w:tcPr>
          <w:p w14:paraId="21B605C9" w14:textId="6A44FF18" w:rsidR="0043100D" w:rsidRPr="00270BD9" w:rsidRDefault="0043100D" w:rsidP="00EB2B71">
            <w:pPr>
              <w:pStyle w:val="BodyText1"/>
              <w:rPr>
                <w:sz w:val="16"/>
                <w:szCs w:val="16"/>
              </w:rPr>
            </w:pPr>
            <w:r w:rsidRPr="00270BD9">
              <w:rPr>
                <w:sz w:val="16"/>
                <w:szCs w:val="16"/>
              </w:rPr>
              <w:t>DITRDCSA</w:t>
            </w:r>
          </w:p>
        </w:tc>
        <w:tc>
          <w:tcPr>
            <w:tcW w:w="1523" w:type="dxa"/>
            <w:noWrap/>
            <w:vAlign w:val="bottom"/>
            <w:hideMark/>
          </w:tcPr>
          <w:p w14:paraId="6EB65448" w14:textId="77777777" w:rsidR="0043100D" w:rsidRPr="00270BD9" w:rsidRDefault="0043100D" w:rsidP="00EB2B71">
            <w:pPr>
              <w:pStyle w:val="BodyText1"/>
              <w:rPr>
                <w:sz w:val="16"/>
                <w:szCs w:val="16"/>
              </w:rPr>
            </w:pPr>
            <w:r w:rsidRPr="00270BD9">
              <w:rPr>
                <w:sz w:val="16"/>
                <w:szCs w:val="16"/>
              </w:rPr>
              <w:t>$60,000,000</w:t>
            </w:r>
          </w:p>
        </w:tc>
        <w:tc>
          <w:tcPr>
            <w:tcW w:w="1524" w:type="dxa"/>
            <w:noWrap/>
            <w:vAlign w:val="bottom"/>
            <w:hideMark/>
          </w:tcPr>
          <w:p w14:paraId="63CC436B" w14:textId="77777777" w:rsidR="0043100D" w:rsidRPr="00270BD9" w:rsidRDefault="0043100D" w:rsidP="00EB2B71">
            <w:pPr>
              <w:pStyle w:val="BodyText1"/>
              <w:rPr>
                <w:sz w:val="16"/>
                <w:szCs w:val="16"/>
              </w:rPr>
            </w:pPr>
            <w:r w:rsidRPr="00270BD9">
              <w:rPr>
                <w:sz w:val="16"/>
                <w:szCs w:val="16"/>
              </w:rPr>
              <w:t>$39,927,365</w:t>
            </w:r>
          </w:p>
        </w:tc>
        <w:tc>
          <w:tcPr>
            <w:tcW w:w="1524" w:type="dxa"/>
            <w:noWrap/>
            <w:vAlign w:val="bottom"/>
            <w:hideMark/>
          </w:tcPr>
          <w:p w14:paraId="2E43440D" w14:textId="77777777" w:rsidR="0043100D" w:rsidRPr="00270BD9" w:rsidRDefault="0043100D" w:rsidP="00EB2B71">
            <w:pPr>
              <w:pStyle w:val="BodyText1"/>
              <w:rPr>
                <w:sz w:val="16"/>
                <w:szCs w:val="16"/>
              </w:rPr>
            </w:pPr>
            <w:r w:rsidRPr="00270BD9">
              <w:rPr>
                <w:sz w:val="16"/>
                <w:szCs w:val="16"/>
              </w:rPr>
              <w:t>$5,262,675</w:t>
            </w:r>
          </w:p>
        </w:tc>
        <w:tc>
          <w:tcPr>
            <w:tcW w:w="1524" w:type="dxa"/>
            <w:noWrap/>
            <w:vAlign w:val="bottom"/>
            <w:hideMark/>
          </w:tcPr>
          <w:p w14:paraId="65967AF1" w14:textId="77777777" w:rsidR="0043100D" w:rsidRPr="00270BD9" w:rsidRDefault="0043100D" w:rsidP="00EB2B71">
            <w:pPr>
              <w:pStyle w:val="BodyText1"/>
              <w:rPr>
                <w:sz w:val="16"/>
                <w:szCs w:val="16"/>
              </w:rPr>
            </w:pPr>
            <w:r w:rsidRPr="00270BD9">
              <w:rPr>
                <w:sz w:val="16"/>
                <w:szCs w:val="16"/>
              </w:rPr>
              <w:t>13%</w:t>
            </w:r>
          </w:p>
        </w:tc>
      </w:tr>
      <w:tr w:rsidR="0043100D" w:rsidRPr="0097048C" w14:paraId="4D03CC26" w14:textId="77777777" w:rsidTr="002265EB">
        <w:trPr>
          <w:trHeight w:val="320"/>
        </w:trPr>
        <w:tc>
          <w:tcPr>
            <w:tcW w:w="3686" w:type="dxa"/>
            <w:noWrap/>
            <w:vAlign w:val="bottom"/>
            <w:hideMark/>
          </w:tcPr>
          <w:p w14:paraId="22B8C824" w14:textId="77777777" w:rsidR="0043100D" w:rsidRPr="00270BD9" w:rsidRDefault="0043100D" w:rsidP="00EB2B71">
            <w:pPr>
              <w:pStyle w:val="BodyText1"/>
              <w:rPr>
                <w:sz w:val="16"/>
                <w:szCs w:val="16"/>
              </w:rPr>
            </w:pPr>
            <w:r w:rsidRPr="00270BD9">
              <w:rPr>
                <w:sz w:val="16"/>
                <w:szCs w:val="16"/>
              </w:rPr>
              <w:t>DSS</w:t>
            </w:r>
          </w:p>
        </w:tc>
        <w:tc>
          <w:tcPr>
            <w:tcW w:w="1523" w:type="dxa"/>
            <w:noWrap/>
            <w:vAlign w:val="bottom"/>
            <w:hideMark/>
          </w:tcPr>
          <w:p w14:paraId="06CE1B97" w14:textId="77777777" w:rsidR="0043100D" w:rsidRPr="00270BD9" w:rsidRDefault="0043100D" w:rsidP="00EB2B71">
            <w:pPr>
              <w:pStyle w:val="BodyText1"/>
              <w:rPr>
                <w:sz w:val="16"/>
                <w:szCs w:val="16"/>
              </w:rPr>
            </w:pPr>
            <w:r w:rsidRPr="00270BD9">
              <w:rPr>
                <w:sz w:val="16"/>
                <w:szCs w:val="16"/>
              </w:rPr>
              <w:t>$300,000</w:t>
            </w:r>
          </w:p>
        </w:tc>
        <w:tc>
          <w:tcPr>
            <w:tcW w:w="1524" w:type="dxa"/>
            <w:noWrap/>
            <w:vAlign w:val="bottom"/>
            <w:hideMark/>
          </w:tcPr>
          <w:p w14:paraId="2C052056" w14:textId="77777777" w:rsidR="0043100D" w:rsidRPr="00270BD9" w:rsidRDefault="0043100D" w:rsidP="00EB2B71">
            <w:pPr>
              <w:pStyle w:val="BodyText1"/>
              <w:rPr>
                <w:sz w:val="16"/>
                <w:szCs w:val="16"/>
              </w:rPr>
            </w:pPr>
            <w:r w:rsidRPr="00270BD9">
              <w:rPr>
                <w:sz w:val="16"/>
                <w:szCs w:val="16"/>
              </w:rPr>
              <w:t>$584,723</w:t>
            </w:r>
          </w:p>
        </w:tc>
        <w:tc>
          <w:tcPr>
            <w:tcW w:w="1524" w:type="dxa"/>
            <w:noWrap/>
            <w:vAlign w:val="bottom"/>
            <w:hideMark/>
          </w:tcPr>
          <w:p w14:paraId="5BB64AB9" w14:textId="77777777" w:rsidR="0043100D" w:rsidRPr="00270BD9" w:rsidRDefault="0043100D" w:rsidP="00EB2B71">
            <w:pPr>
              <w:pStyle w:val="BodyText1"/>
              <w:rPr>
                <w:sz w:val="16"/>
                <w:szCs w:val="16"/>
              </w:rPr>
            </w:pPr>
            <w:r w:rsidRPr="00270BD9">
              <w:rPr>
                <w:sz w:val="16"/>
                <w:szCs w:val="16"/>
              </w:rPr>
              <w:t>$584,723</w:t>
            </w:r>
          </w:p>
        </w:tc>
        <w:tc>
          <w:tcPr>
            <w:tcW w:w="1524" w:type="dxa"/>
            <w:noWrap/>
            <w:vAlign w:val="bottom"/>
            <w:hideMark/>
          </w:tcPr>
          <w:p w14:paraId="7B5D7FFB" w14:textId="77777777" w:rsidR="0043100D" w:rsidRPr="00270BD9" w:rsidRDefault="0043100D" w:rsidP="00EB2B71">
            <w:pPr>
              <w:pStyle w:val="BodyText1"/>
              <w:rPr>
                <w:sz w:val="16"/>
                <w:szCs w:val="16"/>
              </w:rPr>
            </w:pPr>
            <w:r w:rsidRPr="00270BD9">
              <w:rPr>
                <w:sz w:val="16"/>
                <w:szCs w:val="16"/>
              </w:rPr>
              <w:t>100%</w:t>
            </w:r>
          </w:p>
        </w:tc>
      </w:tr>
      <w:tr w:rsidR="0043100D" w:rsidRPr="002F1E39" w14:paraId="6A73CBA3" w14:textId="77777777" w:rsidTr="002265EB">
        <w:trPr>
          <w:trHeight w:val="320"/>
        </w:trPr>
        <w:tc>
          <w:tcPr>
            <w:tcW w:w="3686" w:type="dxa"/>
            <w:noWrap/>
            <w:vAlign w:val="bottom"/>
            <w:hideMark/>
          </w:tcPr>
          <w:p w14:paraId="25BBB356" w14:textId="77777777" w:rsidR="0043100D" w:rsidRPr="00270BD9" w:rsidRDefault="0043100D" w:rsidP="00EB2B71">
            <w:pPr>
              <w:pStyle w:val="BodyText1"/>
              <w:rPr>
                <w:b/>
                <w:bCs/>
                <w:sz w:val="16"/>
                <w:szCs w:val="16"/>
              </w:rPr>
            </w:pPr>
            <w:r w:rsidRPr="00270BD9">
              <w:rPr>
                <w:b/>
                <w:bCs/>
                <w:sz w:val="16"/>
                <w:szCs w:val="16"/>
              </w:rPr>
              <w:t>4 - Preventing and addressing the issues caused by FASD</w:t>
            </w:r>
          </w:p>
        </w:tc>
        <w:tc>
          <w:tcPr>
            <w:tcW w:w="1523" w:type="dxa"/>
            <w:noWrap/>
            <w:vAlign w:val="bottom"/>
            <w:hideMark/>
          </w:tcPr>
          <w:p w14:paraId="00F3855F" w14:textId="77777777" w:rsidR="0043100D" w:rsidRPr="00270BD9" w:rsidRDefault="0043100D" w:rsidP="00EB2B71">
            <w:pPr>
              <w:pStyle w:val="BodyText1"/>
              <w:rPr>
                <w:b/>
                <w:bCs/>
                <w:sz w:val="16"/>
                <w:szCs w:val="16"/>
              </w:rPr>
            </w:pPr>
            <w:r w:rsidRPr="00270BD9">
              <w:rPr>
                <w:b/>
                <w:bCs/>
                <w:sz w:val="16"/>
                <w:szCs w:val="16"/>
              </w:rPr>
              <w:t>$23,400,000</w:t>
            </w:r>
          </w:p>
        </w:tc>
        <w:tc>
          <w:tcPr>
            <w:tcW w:w="1524" w:type="dxa"/>
            <w:noWrap/>
            <w:vAlign w:val="bottom"/>
            <w:hideMark/>
          </w:tcPr>
          <w:p w14:paraId="19504975" w14:textId="77777777" w:rsidR="0043100D" w:rsidRPr="00270BD9" w:rsidRDefault="0043100D" w:rsidP="00EB2B71">
            <w:pPr>
              <w:pStyle w:val="BodyText1"/>
              <w:rPr>
                <w:b/>
                <w:bCs/>
                <w:sz w:val="16"/>
                <w:szCs w:val="16"/>
              </w:rPr>
            </w:pPr>
            <w:r w:rsidRPr="00270BD9">
              <w:rPr>
                <w:b/>
                <w:bCs/>
                <w:sz w:val="16"/>
                <w:szCs w:val="16"/>
              </w:rPr>
              <w:t>$23,400,000</w:t>
            </w:r>
          </w:p>
        </w:tc>
        <w:tc>
          <w:tcPr>
            <w:tcW w:w="1524" w:type="dxa"/>
            <w:noWrap/>
            <w:vAlign w:val="bottom"/>
            <w:hideMark/>
          </w:tcPr>
          <w:p w14:paraId="381ECCF8" w14:textId="77777777" w:rsidR="0043100D" w:rsidRPr="00270BD9" w:rsidRDefault="0043100D" w:rsidP="00EB2B71">
            <w:pPr>
              <w:pStyle w:val="BodyText1"/>
              <w:rPr>
                <w:b/>
                <w:bCs/>
                <w:sz w:val="16"/>
                <w:szCs w:val="16"/>
              </w:rPr>
            </w:pPr>
            <w:r w:rsidRPr="00270BD9">
              <w:rPr>
                <w:b/>
                <w:bCs/>
                <w:sz w:val="16"/>
                <w:szCs w:val="16"/>
              </w:rPr>
              <w:t>$17,200,000</w:t>
            </w:r>
          </w:p>
        </w:tc>
        <w:tc>
          <w:tcPr>
            <w:tcW w:w="1524" w:type="dxa"/>
            <w:noWrap/>
            <w:vAlign w:val="bottom"/>
            <w:hideMark/>
          </w:tcPr>
          <w:p w14:paraId="10AA25AB" w14:textId="77777777" w:rsidR="0043100D" w:rsidRPr="00270BD9" w:rsidRDefault="0043100D" w:rsidP="00EB2B71">
            <w:pPr>
              <w:pStyle w:val="BodyText1"/>
              <w:rPr>
                <w:b/>
                <w:bCs/>
                <w:sz w:val="16"/>
                <w:szCs w:val="16"/>
              </w:rPr>
            </w:pPr>
            <w:r w:rsidRPr="00270BD9">
              <w:rPr>
                <w:b/>
                <w:bCs/>
                <w:sz w:val="16"/>
                <w:szCs w:val="16"/>
              </w:rPr>
              <w:t>74%</w:t>
            </w:r>
          </w:p>
        </w:tc>
      </w:tr>
      <w:tr w:rsidR="0043100D" w:rsidRPr="0097048C" w14:paraId="32FCDB19" w14:textId="77777777" w:rsidTr="002265EB">
        <w:trPr>
          <w:trHeight w:val="320"/>
        </w:trPr>
        <w:tc>
          <w:tcPr>
            <w:tcW w:w="3686" w:type="dxa"/>
            <w:noWrap/>
            <w:vAlign w:val="bottom"/>
            <w:hideMark/>
          </w:tcPr>
          <w:p w14:paraId="77582718" w14:textId="73FB3E51" w:rsidR="0043100D" w:rsidRPr="00270BD9" w:rsidRDefault="0043100D" w:rsidP="00EB2B71">
            <w:pPr>
              <w:pStyle w:val="BodyText1"/>
              <w:rPr>
                <w:sz w:val="16"/>
                <w:szCs w:val="16"/>
              </w:rPr>
            </w:pPr>
            <w:r w:rsidRPr="00270BD9">
              <w:rPr>
                <w:sz w:val="16"/>
                <w:szCs w:val="16"/>
              </w:rPr>
              <w:t>DHDA</w:t>
            </w:r>
          </w:p>
        </w:tc>
        <w:tc>
          <w:tcPr>
            <w:tcW w:w="1523" w:type="dxa"/>
            <w:noWrap/>
            <w:vAlign w:val="bottom"/>
            <w:hideMark/>
          </w:tcPr>
          <w:p w14:paraId="48280DB9" w14:textId="77777777" w:rsidR="0043100D" w:rsidRPr="00270BD9" w:rsidRDefault="0043100D" w:rsidP="00EB2B71">
            <w:pPr>
              <w:pStyle w:val="BodyText1"/>
              <w:rPr>
                <w:sz w:val="16"/>
                <w:szCs w:val="16"/>
              </w:rPr>
            </w:pPr>
            <w:r w:rsidRPr="00270BD9">
              <w:rPr>
                <w:sz w:val="16"/>
                <w:szCs w:val="16"/>
              </w:rPr>
              <w:t>$23,400,000</w:t>
            </w:r>
          </w:p>
        </w:tc>
        <w:tc>
          <w:tcPr>
            <w:tcW w:w="1524" w:type="dxa"/>
            <w:noWrap/>
            <w:vAlign w:val="bottom"/>
            <w:hideMark/>
          </w:tcPr>
          <w:p w14:paraId="43A3532A" w14:textId="77777777" w:rsidR="0043100D" w:rsidRPr="00270BD9" w:rsidRDefault="0043100D" w:rsidP="00EB2B71">
            <w:pPr>
              <w:pStyle w:val="BodyText1"/>
              <w:rPr>
                <w:sz w:val="16"/>
                <w:szCs w:val="16"/>
              </w:rPr>
            </w:pPr>
            <w:r w:rsidRPr="00270BD9">
              <w:rPr>
                <w:sz w:val="16"/>
                <w:szCs w:val="16"/>
              </w:rPr>
              <w:t>$23,400,000</w:t>
            </w:r>
          </w:p>
        </w:tc>
        <w:tc>
          <w:tcPr>
            <w:tcW w:w="1524" w:type="dxa"/>
            <w:noWrap/>
            <w:vAlign w:val="bottom"/>
            <w:hideMark/>
          </w:tcPr>
          <w:p w14:paraId="6BBA4DBE" w14:textId="77777777" w:rsidR="0043100D" w:rsidRPr="00270BD9" w:rsidRDefault="0043100D" w:rsidP="00EB2B71">
            <w:pPr>
              <w:pStyle w:val="BodyText1"/>
              <w:rPr>
                <w:sz w:val="16"/>
                <w:szCs w:val="16"/>
              </w:rPr>
            </w:pPr>
            <w:r w:rsidRPr="00270BD9">
              <w:rPr>
                <w:sz w:val="16"/>
                <w:szCs w:val="16"/>
              </w:rPr>
              <w:t>$17,200,000</w:t>
            </w:r>
          </w:p>
        </w:tc>
        <w:tc>
          <w:tcPr>
            <w:tcW w:w="1524" w:type="dxa"/>
            <w:noWrap/>
            <w:vAlign w:val="bottom"/>
            <w:hideMark/>
          </w:tcPr>
          <w:p w14:paraId="654569E8" w14:textId="77777777" w:rsidR="0043100D" w:rsidRPr="00270BD9" w:rsidRDefault="0043100D" w:rsidP="00EB2B71">
            <w:pPr>
              <w:pStyle w:val="BodyText1"/>
              <w:rPr>
                <w:sz w:val="16"/>
                <w:szCs w:val="16"/>
              </w:rPr>
            </w:pPr>
            <w:r w:rsidRPr="00270BD9">
              <w:rPr>
                <w:sz w:val="16"/>
                <w:szCs w:val="16"/>
              </w:rPr>
              <w:t>74%</w:t>
            </w:r>
          </w:p>
        </w:tc>
      </w:tr>
      <w:tr w:rsidR="0043100D" w:rsidRPr="002F1E39" w14:paraId="02336590" w14:textId="77777777" w:rsidTr="002265EB">
        <w:trPr>
          <w:trHeight w:val="320"/>
        </w:trPr>
        <w:tc>
          <w:tcPr>
            <w:tcW w:w="3686" w:type="dxa"/>
            <w:noWrap/>
            <w:vAlign w:val="bottom"/>
            <w:hideMark/>
          </w:tcPr>
          <w:p w14:paraId="296E248D" w14:textId="77777777" w:rsidR="0043100D" w:rsidRPr="00270BD9" w:rsidRDefault="0043100D" w:rsidP="00EB2B71">
            <w:pPr>
              <w:pStyle w:val="BodyText1"/>
              <w:rPr>
                <w:b/>
                <w:bCs/>
                <w:sz w:val="16"/>
                <w:szCs w:val="16"/>
              </w:rPr>
            </w:pPr>
            <w:r w:rsidRPr="00270BD9">
              <w:rPr>
                <w:b/>
                <w:bCs/>
                <w:sz w:val="16"/>
                <w:szCs w:val="16"/>
              </w:rPr>
              <w:t>5 - Investing in families</w:t>
            </w:r>
          </w:p>
        </w:tc>
        <w:tc>
          <w:tcPr>
            <w:tcW w:w="1523" w:type="dxa"/>
            <w:noWrap/>
            <w:vAlign w:val="bottom"/>
            <w:hideMark/>
          </w:tcPr>
          <w:p w14:paraId="337E8418" w14:textId="77777777" w:rsidR="0043100D" w:rsidRPr="00270BD9" w:rsidRDefault="0043100D" w:rsidP="00EB2B71">
            <w:pPr>
              <w:pStyle w:val="BodyText1"/>
              <w:rPr>
                <w:b/>
                <w:bCs/>
                <w:sz w:val="16"/>
                <w:szCs w:val="16"/>
              </w:rPr>
            </w:pPr>
            <w:r w:rsidRPr="00270BD9">
              <w:rPr>
                <w:b/>
                <w:bCs/>
                <w:sz w:val="16"/>
                <w:szCs w:val="16"/>
              </w:rPr>
              <w:t>$33,900,000</w:t>
            </w:r>
          </w:p>
        </w:tc>
        <w:tc>
          <w:tcPr>
            <w:tcW w:w="1524" w:type="dxa"/>
            <w:noWrap/>
            <w:vAlign w:val="bottom"/>
            <w:hideMark/>
          </w:tcPr>
          <w:p w14:paraId="179E4A17" w14:textId="77777777" w:rsidR="0043100D" w:rsidRPr="00270BD9" w:rsidRDefault="0043100D" w:rsidP="00EB2B71">
            <w:pPr>
              <w:pStyle w:val="BodyText1"/>
              <w:rPr>
                <w:b/>
                <w:bCs/>
                <w:sz w:val="16"/>
                <w:szCs w:val="16"/>
              </w:rPr>
            </w:pPr>
            <w:r w:rsidRPr="00270BD9">
              <w:rPr>
                <w:b/>
                <w:bCs/>
                <w:sz w:val="16"/>
                <w:szCs w:val="16"/>
              </w:rPr>
              <w:t>$13,523,316</w:t>
            </w:r>
          </w:p>
        </w:tc>
        <w:tc>
          <w:tcPr>
            <w:tcW w:w="1524" w:type="dxa"/>
            <w:noWrap/>
            <w:vAlign w:val="bottom"/>
            <w:hideMark/>
          </w:tcPr>
          <w:p w14:paraId="2E8D0A45" w14:textId="77777777" w:rsidR="0043100D" w:rsidRPr="00270BD9" w:rsidRDefault="0043100D" w:rsidP="00EB2B71">
            <w:pPr>
              <w:pStyle w:val="BodyText1"/>
              <w:rPr>
                <w:b/>
                <w:bCs/>
                <w:sz w:val="16"/>
                <w:szCs w:val="16"/>
              </w:rPr>
            </w:pPr>
            <w:r w:rsidRPr="00270BD9">
              <w:rPr>
                <w:b/>
                <w:bCs/>
                <w:sz w:val="16"/>
                <w:szCs w:val="16"/>
              </w:rPr>
              <w:t>$7,095,126</w:t>
            </w:r>
          </w:p>
        </w:tc>
        <w:tc>
          <w:tcPr>
            <w:tcW w:w="1524" w:type="dxa"/>
            <w:noWrap/>
            <w:vAlign w:val="bottom"/>
            <w:hideMark/>
          </w:tcPr>
          <w:p w14:paraId="73CFB3D8" w14:textId="77777777" w:rsidR="0043100D" w:rsidRPr="00270BD9" w:rsidRDefault="0043100D" w:rsidP="00EB2B71">
            <w:pPr>
              <w:pStyle w:val="BodyText1"/>
              <w:rPr>
                <w:b/>
                <w:bCs/>
                <w:sz w:val="16"/>
                <w:szCs w:val="16"/>
              </w:rPr>
            </w:pPr>
            <w:r w:rsidRPr="00270BD9">
              <w:rPr>
                <w:b/>
                <w:bCs/>
                <w:sz w:val="16"/>
                <w:szCs w:val="16"/>
              </w:rPr>
              <w:t>52%</w:t>
            </w:r>
          </w:p>
        </w:tc>
      </w:tr>
      <w:tr w:rsidR="0043100D" w:rsidRPr="0097048C" w14:paraId="6D156B0A" w14:textId="77777777" w:rsidTr="002265EB">
        <w:trPr>
          <w:trHeight w:val="320"/>
        </w:trPr>
        <w:tc>
          <w:tcPr>
            <w:tcW w:w="3686" w:type="dxa"/>
            <w:noWrap/>
            <w:vAlign w:val="bottom"/>
            <w:hideMark/>
          </w:tcPr>
          <w:p w14:paraId="08CBF964" w14:textId="77777777" w:rsidR="0043100D" w:rsidRPr="00270BD9" w:rsidRDefault="0043100D" w:rsidP="00EB2B71">
            <w:pPr>
              <w:pStyle w:val="BodyText1"/>
              <w:rPr>
                <w:sz w:val="16"/>
                <w:szCs w:val="16"/>
              </w:rPr>
            </w:pPr>
            <w:r w:rsidRPr="00270BD9">
              <w:rPr>
                <w:sz w:val="16"/>
                <w:szCs w:val="16"/>
              </w:rPr>
              <w:t>DSS</w:t>
            </w:r>
          </w:p>
        </w:tc>
        <w:tc>
          <w:tcPr>
            <w:tcW w:w="1523" w:type="dxa"/>
            <w:noWrap/>
            <w:vAlign w:val="bottom"/>
            <w:hideMark/>
          </w:tcPr>
          <w:p w14:paraId="57916B98" w14:textId="77777777" w:rsidR="0043100D" w:rsidRPr="00270BD9" w:rsidRDefault="0043100D" w:rsidP="00EB2B71">
            <w:pPr>
              <w:pStyle w:val="BodyText1"/>
              <w:rPr>
                <w:sz w:val="16"/>
                <w:szCs w:val="16"/>
              </w:rPr>
            </w:pPr>
            <w:r w:rsidRPr="00270BD9">
              <w:rPr>
                <w:sz w:val="16"/>
                <w:szCs w:val="16"/>
              </w:rPr>
              <w:t>$30,000,000</w:t>
            </w:r>
          </w:p>
        </w:tc>
        <w:tc>
          <w:tcPr>
            <w:tcW w:w="1524" w:type="dxa"/>
            <w:noWrap/>
            <w:vAlign w:val="bottom"/>
            <w:hideMark/>
          </w:tcPr>
          <w:p w14:paraId="00D9857F" w14:textId="77777777" w:rsidR="0043100D" w:rsidRPr="00270BD9" w:rsidRDefault="0043100D" w:rsidP="00EB2B71">
            <w:pPr>
              <w:pStyle w:val="BodyText1"/>
              <w:rPr>
                <w:sz w:val="16"/>
                <w:szCs w:val="16"/>
              </w:rPr>
            </w:pPr>
            <w:r w:rsidRPr="00270BD9">
              <w:rPr>
                <w:sz w:val="16"/>
                <w:szCs w:val="16"/>
              </w:rPr>
              <w:t>$10,106,000</w:t>
            </w:r>
          </w:p>
        </w:tc>
        <w:tc>
          <w:tcPr>
            <w:tcW w:w="1524" w:type="dxa"/>
            <w:noWrap/>
            <w:vAlign w:val="bottom"/>
            <w:hideMark/>
          </w:tcPr>
          <w:p w14:paraId="33E2F7C9" w14:textId="77777777" w:rsidR="0043100D" w:rsidRPr="00270BD9" w:rsidRDefault="0043100D" w:rsidP="00EB2B71">
            <w:pPr>
              <w:pStyle w:val="BodyText1"/>
              <w:rPr>
                <w:sz w:val="16"/>
                <w:szCs w:val="16"/>
              </w:rPr>
            </w:pPr>
            <w:r w:rsidRPr="00270BD9">
              <w:rPr>
                <w:sz w:val="16"/>
                <w:szCs w:val="16"/>
              </w:rPr>
              <w:t>$4,877,810</w:t>
            </w:r>
          </w:p>
        </w:tc>
        <w:tc>
          <w:tcPr>
            <w:tcW w:w="1524" w:type="dxa"/>
            <w:noWrap/>
            <w:vAlign w:val="bottom"/>
            <w:hideMark/>
          </w:tcPr>
          <w:p w14:paraId="254898AA" w14:textId="77777777" w:rsidR="0043100D" w:rsidRPr="00270BD9" w:rsidRDefault="0043100D" w:rsidP="00EB2B71">
            <w:pPr>
              <w:pStyle w:val="BodyText1"/>
              <w:rPr>
                <w:sz w:val="16"/>
                <w:szCs w:val="16"/>
              </w:rPr>
            </w:pPr>
            <w:r w:rsidRPr="00270BD9">
              <w:rPr>
                <w:sz w:val="16"/>
                <w:szCs w:val="16"/>
              </w:rPr>
              <w:t>48%</w:t>
            </w:r>
          </w:p>
        </w:tc>
      </w:tr>
      <w:tr w:rsidR="0043100D" w:rsidRPr="0097048C" w14:paraId="3E60FA52" w14:textId="77777777" w:rsidTr="002265EB">
        <w:trPr>
          <w:trHeight w:val="320"/>
        </w:trPr>
        <w:tc>
          <w:tcPr>
            <w:tcW w:w="3686" w:type="dxa"/>
            <w:noWrap/>
            <w:vAlign w:val="bottom"/>
            <w:hideMark/>
          </w:tcPr>
          <w:p w14:paraId="69B84672" w14:textId="77777777" w:rsidR="0043100D" w:rsidRPr="00270BD9" w:rsidRDefault="0043100D" w:rsidP="00EB2B71">
            <w:pPr>
              <w:pStyle w:val="BodyText1"/>
              <w:rPr>
                <w:sz w:val="16"/>
                <w:szCs w:val="16"/>
              </w:rPr>
            </w:pPr>
            <w:r w:rsidRPr="00270BD9">
              <w:rPr>
                <w:sz w:val="16"/>
                <w:szCs w:val="16"/>
              </w:rPr>
              <w:t>NIAA</w:t>
            </w:r>
          </w:p>
        </w:tc>
        <w:tc>
          <w:tcPr>
            <w:tcW w:w="1523" w:type="dxa"/>
            <w:noWrap/>
            <w:vAlign w:val="bottom"/>
            <w:hideMark/>
          </w:tcPr>
          <w:p w14:paraId="2EBECD6C" w14:textId="77777777" w:rsidR="0043100D" w:rsidRPr="00270BD9" w:rsidRDefault="0043100D" w:rsidP="00EB2B71">
            <w:pPr>
              <w:pStyle w:val="BodyText1"/>
              <w:rPr>
                <w:sz w:val="16"/>
                <w:szCs w:val="16"/>
              </w:rPr>
            </w:pPr>
            <w:r w:rsidRPr="00270BD9">
              <w:rPr>
                <w:sz w:val="16"/>
                <w:szCs w:val="16"/>
              </w:rPr>
              <w:t>$3,900,000</w:t>
            </w:r>
          </w:p>
        </w:tc>
        <w:tc>
          <w:tcPr>
            <w:tcW w:w="1524" w:type="dxa"/>
            <w:noWrap/>
            <w:vAlign w:val="bottom"/>
            <w:hideMark/>
          </w:tcPr>
          <w:p w14:paraId="68DB80B9" w14:textId="77777777" w:rsidR="0043100D" w:rsidRPr="00270BD9" w:rsidRDefault="0043100D" w:rsidP="00EB2B71">
            <w:pPr>
              <w:pStyle w:val="BodyText1"/>
              <w:rPr>
                <w:sz w:val="16"/>
                <w:szCs w:val="16"/>
              </w:rPr>
            </w:pPr>
            <w:r w:rsidRPr="00270BD9">
              <w:rPr>
                <w:sz w:val="16"/>
                <w:szCs w:val="16"/>
              </w:rPr>
              <w:t>$3,417,316</w:t>
            </w:r>
          </w:p>
        </w:tc>
        <w:tc>
          <w:tcPr>
            <w:tcW w:w="1524" w:type="dxa"/>
            <w:noWrap/>
            <w:vAlign w:val="bottom"/>
            <w:hideMark/>
          </w:tcPr>
          <w:p w14:paraId="47E626E7" w14:textId="77777777" w:rsidR="0043100D" w:rsidRPr="00270BD9" w:rsidRDefault="0043100D" w:rsidP="00EB2B71">
            <w:pPr>
              <w:pStyle w:val="BodyText1"/>
              <w:rPr>
                <w:sz w:val="16"/>
                <w:szCs w:val="16"/>
              </w:rPr>
            </w:pPr>
            <w:r w:rsidRPr="00270BD9">
              <w:rPr>
                <w:sz w:val="16"/>
                <w:szCs w:val="16"/>
              </w:rPr>
              <w:t>$2,217,316</w:t>
            </w:r>
          </w:p>
        </w:tc>
        <w:tc>
          <w:tcPr>
            <w:tcW w:w="1524" w:type="dxa"/>
            <w:noWrap/>
            <w:vAlign w:val="bottom"/>
            <w:hideMark/>
          </w:tcPr>
          <w:p w14:paraId="636F42C2" w14:textId="77777777" w:rsidR="0043100D" w:rsidRPr="00270BD9" w:rsidRDefault="0043100D" w:rsidP="00EB2B71">
            <w:pPr>
              <w:pStyle w:val="BodyText1"/>
              <w:rPr>
                <w:sz w:val="16"/>
                <w:szCs w:val="16"/>
              </w:rPr>
            </w:pPr>
            <w:r w:rsidRPr="00270BD9">
              <w:rPr>
                <w:sz w:val="16"/>
                <w:szCs w:val="16"/>
              </w:rPr>
              <w:t>65%</w:t>
            </w:r>
          </w:p>
        </w:tc>
      </w:tr>
      <w:tr w:rsidR="0043100D" w:rsidRPr="002F1E39" w14:paraId="49D24B64" w14:textId="77777777" w:rsidTr="002265EB">
        <w:trPr>
          <w:trHeight w:val="320"/>
        </w:trPr>
        <w:tc>
          <w:tcPr>
            <w:tcW w:w="3686" w:type="dxa"/>
            <w:noWrap/>
            <w:vAlign w:val="bottom"/>
            <w:hideMark/>
          </w:tcPr>
          <w:p w14:paraId="29700092" w14:textId="77777777" w:rsidR="0043100D" w:rsidRPr="00270BD9" w:rsidRDefault="0043100D" w:rsidP="00EB2B71">
            <w:pPr>
              <w:pStyle w:val="BodyText1"/>
              <w:rPr>
                <w:b/>
                <w:bCs/>
                <w:sz w:val="16"/>
                <w:szCs w:val="16"/>
              </w:rPr>
            </w:pPr>
            <w:r w:rsidRPr="00270BD9">
              <w:rPr>
                <w:b/>
                <w:bCs/>
                <w:sz w:val="16"/>
                <w:szCs w:val="16"/>
              </w:rPr>
              <w:t>6 - On Country learning</w:t>
            </w:r>
          </w:p>
        </w:tc>
        <w:tc>
          <w:tcPr>
            <w:tcW w:w="1523" w:type="dxa"/>
            <w:noWrap/>
            <w:vAlign w:val="bottom"/>
            <w:hideMark/>
          </w:tcPr>
          <w:p w14:paraId="535BA952" w14:textId="77777777" w:rsidR="0043100D" w:rsidRPr="00270BD9" w:rsidRDefault="0043100D" w:rsidP="00EB2B71">
            <w:pPr>
              <w:pStyle w:val="BodyText1"/>
              <w:rPr>
                <w:b/>
                <w:bCs/>
                <w:sz w:val="16"/>
                <w:szCs w:val="16"/>
              </w:rPr>
            </w:pPr>
            <w:r w:rsidRPr="00270BD9">
              <w:rPr>
                <w:b/>
                <w:bCs/>
                <w:sz w:val="16"/>
                <w:szCs w:val="16"/>
              </w:rPr>
              <w:t>$40,400,000</w:t>
            </w:r>
          </w:p>
        </w:tc>
        <w:tc>
          <w:tcPr>
            <w:tcW w:w="1524" w:type="dxa"/>
            <w:noWrap/>
            <w:vAlign w:val="bottom"/>
            <w:hideMark/>
          </w:tcPr>
          <w:p w14:paraId="7E7B8D58" w14:textId="77777777" w:rsidR="0043100D" w:rsidRPr="00270BD9" w:rsidRDefault="0043100D" w:rsidP="00EB2B71">
            <w:pPr>
              <w:pStyle w:val="BodyText1"/>
              <w:rPr>
                <w:b/>
                <w:bCs/>
                <w:sz w:val="16"/>
                <w:szCs w:val="16"/>
              </w:rPr>
            </w:pPr>
            <w:r w:rsidRPr="00270BD9">
              <w:rPr>
                <w:b/>
                <w:bCs/>
                <w:sz w:val="16"/>
                <w:szCs w:val="16"/>
              </w:rPr>
              <w:t>$40,372,721</w:t>
            </w:r>
          </w:p>
        </w:tc>
        <w:tc>
          <w:tcPr>
            <w:tcW w:w="1524" w:type="dxa"/>
            <w:noWrap/>
            <w:vAlign w:val="bottom"/>
            <w:hideMark/>
          </w:tcPr>
          <w:p w14:paraId="64EA7203" w14:textId="77777777" w:rsidR="0043100D" w:rsidRPr="00270BD9" w:rsidRDefault="0043100D" w:rsidP="00EB2B71">
            <w:pPr>
              <w:pStyle w:val="BodyText1"/>
              <w:rPr>
                <w:b/>
                <w:bCs/>
                <w:sz w:val="16"/>
                <w:szCs w:val="16"/>
              </w:rPr>
            </w:pPr>
            <w:r w:rsidRPr="00270BD9">
              <w:rPr>
                <w:b/>
                <w:bCs/>
                <w:sz w:val="16"/>
                <w:szCs w:val="16"/>
              </w:rPr>
              <w:t>$38,372,721</w:t>
            </w:r>
          </w:p>
        </w:tc>
        <w:tc>
          <w:tcPr>
            <w:tcW w:w="1524" w:type="dxa"/>
            <w:noWrap/>
            <w:vAlign w:val="bottom"/>
            <w:hideMark/>
          </w:tcPr>
          <w:p w14:paraId="1124BF79" w14:textId="77777777" w:rsidR="0043100D" w:rsidRPr="00270BD9" w:rsidRDefault="0043100D" w:rsidP="00EB2B71">
            <w:pPr>
              <w:pStyle w:val="BodyText1"/>
              <w:rPr>
                <w:b/>
                <w:bCs/>
                <w:sz w:val="16"/>
                <w:szCs w:val="16"/>
              </w:rPr>
            </w:pPr>
            <w:r w:rsidRPr="00270BD9">
              <w:rPr>
                <w:b/>
                <w:bCs/>
                <w:sz w:val="16"/>
                <w:szCs w:val="16"/>
              </w:rPr>
              <w:t>95%</w:t>
            </w:r>
          </w:p>
        </w:tc>
      </w:tr>
      <w:tr w:rsidR="0043100D" w:rsidRPr="0097048C" w14:paraId="7496F50E" w14:textId="77777777" w:rsidTr="002265EB">
        <w:trPr>
          <w:trHeight w:val="320"/>
        </w:trPr>
        <w:tc>
          <w:tcPr>
            <w:tcW w:w="3686" w:type="dxa"/>
            <w:noWrap/>
            <w:vAlign w:val="bottom"/>
            <w:hideMark/>
          </w:tcPr>
          <w:p w14:paraId="23A30B47" w14:textId="77777777" w:rsidR="0043100D" w:rsidRPr="00270BD9" w:rsidRDefault="0043100D" w:rsidP="00EB2B71">
            <w:pPr>
              <w:pStyle w:val="BodyText1"/>
              <w:rPr>
                <w:sz w:val="16"/>
                <w:szCs w:val="16"/>
              </w:rPr>
            </w:pPr>
            <w:r w:rsidRPr="00270BD9">
              <w:rPr>
                <w:sz w:val="16"/>
                <w:szCs w:val="16"/>
              </w:rPr>
              <w:t>DoE</w:t>
            </w:r>
          </w:p>
        </w:tc>
        <w:tc>
          <w:tcPr>
            <w:tcW w:w="1523" w:type="dxa"/>
            <w:noWrap/>
            <w:vAlign w:val="bottom"/>
            <w:hideMark/>
          </w:tcPr>
          <w:p w14:paraId="7D475111" w14:textId="77777777" w:rsidR="0043100D" w:rsidRPr="00270BD9" w:rsidRDefault="0043100D" w:rsidP="00EB2B71">
            <w:pPr>
              <w:pStyle w:val="BodyText1"/>
              <w:rPr>
                <w:sz w:val="16"/>
                <w:szCs w:val="16"/>
              </w:rPr>
            </w:pPr>
            <w:r w:rsidRPr="00270BD9">
              <w:rPr>
                <w:sz w:val="16"/>
                <w:szCs w:val="16"/>
              </w:rPr>
              <w:t>$40,400,000</w:t>
            </w:r>
          </w:p>
        </w:tc>
        <w:tc>
          <w:tcPr>
            <w:tcW w:w="1524" w:type="dxa"/>
            <w:noWrap/>
            <w:vAlign w:val="bottom"/>
            <w:hideMark/>
          </w:tcPr>
          <w:p w14:paraId="33FDE2AD" w14:textId="77777777" w:rsidR="0043100D" w:rsidRPr="00270BD9" w:rsidRDefault="0043100D" w:rsidP="00EB2B71">
            <w:pPr>
              <w:pStyle w:val="BodyText1"/>
              <w:rPr>
                <w:sz w:val="16"/>
                <w:szCs w:val="16"/>
              </w:rPr>
            </w:pPr>
            <w:r w:rsidRPr="00270BD9">
              <w:rPr>
                <w:sz w:val="16"/>
                <w:szCs w:val="16"/>
              </w:rPr>
              <w:t>$40,372,721</w:t>
            </w:r>
          </w:p>
        </w:tc>
        <w:tc>
          <w:tcPr>
            <w:tcW w:w="1524" w:type="dxa"/>
            <w:noWrap/>
            <w:vAlign w:val="bottom"/>
            <w:hideMark/>
          </w:tcPr>
          <w:p w14:paraId="2DEDD719" w14:textId="77777777" w:rsidR="0043100D" w:rsidRPr="00270BD9" w:rsidRDefault="0043100D" w:rsidP="00EB2B71">
            <w:pPr>
              <w:pStyle w:val="BodyText1"/>
              <w:rPr>
                <w:sz w:val="16"/>
                <w:szCs w:val="16"/>
              </w:rPr>
            </w:pPr>
            <w:r w:rsidRPr="00270BD9">
              <w:rPr>
                <w:sz w:val="16"/>
                <w:szCs w:val="16"/>
              </w:rPr>
              <w:t>$38,372,721</w:t>
            </w:r>
          </w:p>
        </w:tc>
        <w:tc>
          <w:tcPr>
            <w:tcW w:w="1524" w:type="dxa"/>
            <w:noWrap/>
            <w:vAlign w:val="bottom"/>
            <w:hideMark/>
          </w:tcPr>
          <w:p w14:paraId="1861A22A" w14:textId="77777777" w:rsidR="0043100D" w:rsidRPr="00270BD9" w:rsidRDefault="0043100D" w:rsidP="00EB2B71">
            <w:pPr>
              <w:pStyle w:val="BodyText1"/>
              <w:rPr>
                <w:sz w:val="16"/>
                <w:szCs w:val="16"/>
              </w:rPr>
            </w:pPr>
            <w:r w:rsidRPr="00270BD9">
              <w:rPr>
                <w:sz w:val="16"/>
                <w:szCs w:val="16"/>
              </w:rPr>
              <w:t>95%</w:t>
            </w:r>
          </w:p>
        </w:tc>
      </w:tr>
      <w:tr w:rsidR="0043100D" w:rsidRPr="0097048C" w14:paraId="0037F8C8" w14:textId="77777777" w:rsidTr="002265EB">
        <w:trPr>
          <w:trHeight w:val="320"/>
        </w:trPr>
        <w:tc>
          <w:tcPr>
            <w:tcW w:w="3686" w:type="dxa"/>
            <w:tcBorders>
              <w:bottom w:val="single" w:sz="4" w:space="0" w:color="auto"/>
            </w:tcBorders>
            <w:noWrap/>
            <w:vAlign w:val="bottom"/>
            <w:hideMark/>
          </w:tcPr>
          <w:p w14:paraId="1E4F023E" w14:textId="77777777" w:rsidR="0043100D" w:rsidRPr="00270BD9" w:rsidRDefault="0043100D" w:rsidP="00EB2B71">
            <w:pPr>
              <w:pStyle w:val="BodyText1"/>
              <w:rPr>
                <w:sz w:val="16"/>
                <w:szCs w:val="16"/>
              </w:rPr>
            </w:pPr>
            <w:r w:rsidRPr="00270BD9">
              <w:rPr>
                <w:sz w:val="16"/>
                <w:szCs w:val="16"/>
              </w:rPr>
              <w:t>NIAA</w:t>
            </w:r>
          </w:p>
        </w:tc>
        <w:tc>
          <w:tcPr>
            <w:tcW w:w="1523" w:type="dxa"/>
            <w:tcBorders>
              <w:bottom w:val="single" w:sz="4" w:space="0" w:color="auto"/>
            </w:tcBorders>
            <w:noWrap/>
            <w:vAlign w:val="bottom"/>
            <w:hideMark/>
          </w:tcPr>
          <w:p w14:paraId="53AE1044" w14:textId="77777777" w:rsidR="0043100D" w:rsidRPr="00270BD9" w:rsidRDefault="0043100D" w:rsidP="00EB2B71">
            <w:pPr>
              <w:pStyle w:val="BodyText1"/>
              <w:rPr>
                <w:sz w:val="16"/>
                <w:szCs w:val="16"/>
              </w:rPr>
            </w:pPr>
            <w:r w:rsidRPr="00270BD9">
              <w:rPr>
                <w:sz w:val="16"/>
                <w:szCs w:val="16"/>
              </w:rPr>
              <w:t>$7,500,000</w:t>
            </w:r>
          </w:p>
        </w:tc>
        <w:tc>
          <w:tcPr>
            <w:tcW w:w="1524" w:type="dxa"/>
            <w:tcBorders>
              <w:bottom w:val="single" w:sz="4" w:space="0" w:color="auto"/>
            </w:tcBorders>
            <w:noWrap/>
            <w:vAlign w:val="bottom"/>
            <w:hideMark/>
          </w:tcPr>
          <w:p w14:paraId="57B2EC73" w14:textId="77777777" w:rsidR="0043100D" w:rsidRPr="00270BD9" w:rsidRDefault="0043100D" w:rsidP="00EB2B71">
            <w:pPr>
              <w:pStyle w:val="BodyText1"/>
              <w:rPr>
                <w:sz w:val="16"/>
                <w:szCs w:val="16"/>
              </w:rPr>
            </w:pPr>
            <w:r w:rsidRPr="00270BD9">
              <w:rPr>
                <w:sz w:val="16"/>
                <w:szCs w:val="16"/>
              </w:rPr>
              <w:t>$7,500,000</w:t>
            </w:r>
          </w:p>
        </w:tc>
        <w:tc>
          <w:tcPr>
            <w:tcW w:w="1524" w:type="dxa"/>
            <w:tcBorders>
              <w:bottom w:val="single" w:sz="4" w:space="0" w:color="auto"/>
            </w:tcBorders>
            <w:noWrap/>
            <w:vAlign w:val="bottom"/>
            <w:hideMark/>
          </w:tcPr>
          <w:p w14:paraId="0625D943" w14:textId="77777777" w:rsidR="0043100D" w:rsidRPr="00270BD9" w:rsidRDefault="0043100D" w:rsidP="00EB2B71">
            <w:pPr>
              <w:pStyle w:val="BodyText1"/>
              <w:rPr>
                <w:sz w:val="16"/>
                <w:szCs w:val="16"/>
              </w:rPr>
            </w:pPr>
            <w:r w:rsidRPr="00270BD9">
              <w:rPr>
                <w:sz w:val="16"/>
                <w:szCs w:val="16"/>
              </w:rPr>
              <w:t>$7,500,000</w:t>
            </w:r>
          </w:p>
        </w:tc>
        <w:tc>
          <w:tcPr>
            <w:tcW w:w="1524" w:type="dxa"/>
            <w:tcBorders>
              <w:bottom w:val="single" w:sz="4" w:space="0" w:color="auto"/>
            </w:tcBorders>
            <w:noWrap/>
            <w:vAlign w:val="bottom"/>
            <w:hideMark/>
          </w:tcPr>
          <w:p w14:paraId="750C9EE0" w14:textId="77777777" w:rsidR="0043100D" w:rsidRPr="00270BD9" w:rsidRDefault="0043100D" w:rsidP="00EB2B71">
            <w:pPr>
              <w:pStyle w:val="BodyText1"/>
              <w:rPr>
                <w:sz w:val="16"/>
                <w:szCs w:val="16"/>
              </w:rPr>
            </w:pPr>
            <w:r w:rsidRPr="00270BD9">
              <w:rPr>
                <w:sz w:val="16"/>
                <w:szCs w:val="16"/>
              </w:rPr>
              <w:t>100%</w:t>
            </w:r>
          </w:p>
        </w:tc>
      </w:tr>
      <w:tr w:rsidR="0043100D" w:rsidRPr="00FD5BAC" w14:paraId="7F96F49B" w14:textId="77777777" w:rsidTr="002265EB">
        <w:trPr>
          <w:trHeight w:val="320"/>
        </w:trPr>
        <w:tc>
          <w:tcPr>
            <w:tcW w:w="3686" w:type="dxa"/>
            <w:tcBorders>
              <w:top w:val="single" w:sz="4" w:space="0" w:color="auto"/>
              <w:bottom w:val="single" w:sz="4" w:space="0" w:color="auto"/>
            </w:tcBorders>
            <w:noWrap/>
            <w:vAlign w:val="bottom"/>
            <w:hideMark/>
          </w:tcPr>
          <w:p w14:paraId="6626903A" w14:textId="77777777" w:rsidR="0043100D" w:rsidRPr="00270BD9" w:rsidRDefault="0043100D" w:rsidP="00EB2B71">
            <w:pPr>
              <w:pStyle w:val="BodyText1"/>
              <w:rPr>
                <w:b/>
                <w:bCs/>
                <w:sz w:val="16"/>
                <w:szCs w:val="16"/>
              </w:rPr>
            </w:pPr>
            <w:r w:rsidRPr="00270BD9">
              <w:rPr>
                <w:b/>
                <w:bCs/>
                <w:sz w:val="16"/>
                <w:szCs w:val="16"/>
              </w:rPr>
              <w:t>Grand Total</w:t>
            </w:r>
          </w:p>
        </w:tc>
        <w:tc>
          <w:tcPr>
            <w:tcW w:w="1523" w:type="dxa"/>
            <w:tcBorders>
              <w:top w:val="single" w:sz="4" w:space="0" w:color="auto"/>
              <w:bottom w:val="single" w:sz="4" w:space="0" w:color="auto"/>
            </w:tcBorders>
            <w:noWrap/>
            <w:vAlign w:val="bottom"/>
            <w:hideMark/>
          </w:tcPr>
          <w:p w14:paraId="424C6059" w14:textId="77777777" w:rsidR="0043100D" w:rsidRPr="00270BD9" w:rsidRDefault="0043100D" w:rsidP="00EB2B71">
            <w:pPr>
              <w:pStyle w:val="BodyText1"/>
              <w:rPr>
                <w:b/>
                <w:bCs/>
                <w:sz w:val="16"/>
                <w:szCs w:val="16"/>
              </w:rPr>
            </w:pPr>
            <w:r w:rsidRPr="00270BD9">
              <w:rPr>
                <w:b/>
                <w:bCs/>
                <w:sz w:val="16"/>
                <w:szCs w:val="16"/>
              </w:rPr>
              <w:t>$250,200,000</w:t>
            </w:r>
          </w:p>
        </w:tc>
        <w:tc>
          <w:tcPr>
            <w:tcW w:w="1524" w:type="dxa"/>
            <w:tcBorders>
              <w:top w:val="single" w:sz="4" w:space="0" w:color="auto"/>
              <w:bottom w:val="single" w:sz="4" w:space="0" w:color="auto"/>
            </w:tcBorders>
            <w:noWrap/>
            <w:vAlign w:val="bottom"/>
            <w:hideMark/>
          </w:tcPr>
          <w:p w14:paraId="07191F03" w14:textId="77777777" w:rsidR="0043100D" w:rsidRPr="00270BD9" w:rsidRDefault="0043100D" w:rsidP="00EB2B71">
            <w:pPr>
              <w:pStyle w:val="BodyText1"/>
              <w:rPr>
                <w:b/>
                <w:bCs/>
                <w:sz w:val="16"/>
                <w:szCs w:val="16"/>
              </w:rPr>
            </w:pPr>
            <w:r w:rsidRPr="00270BD9">
              <w:rPr>
                <w:b/>
                <w:bCs/>
                <w:sz w:val="16"/>
                <w:szCs w:val="16"/>
              </w:rPr>
              <w:t>$156,384,607</w:t>
            </w:r>
          </w:p>
        </w:tc>
        <w:tc>
          <w:tcPr>
            <w:tcW w:w="1524" w:type="dxa"/>
            <w:tcBorders>
              <w:top w:val="single" w:sz="4" w:space="0" w:color="auto"/>
              <w:bottom w:val="single" w:sz="4" w:space="0" w:color="auto"/>
            </w:tcBorders>
            <w:noWrap/>
            <w:vAlign w:val="bottom"/>
            <w:hideMark/>
          </w:tcPr>
          <w:p w14:paraId="69C7600C" w14:textId="77777777" w:rsidR="0043100D" w:rsidRPr="00270BD9" w:rsidRDefault="0043100D" w:rsidP="00EB2B71">
            <w:pPr>
              <w:pStyle w:val="BodyText1"/>
              <w:rPr>
                <w:b/>
                <w:bCs/>
                <w:sz w:val="16"/>
                <w:szCs w:val="16"/>
              </w:rPr>
            </w:pPr>
            <w:r w:rsidRPr="00270BD9">
              <w:rPr>
                <w:b/>
                <w:bCs/>
                <w:sz w:val="16"/>
                <w:szCs w:val="16"/>
              </w:rPr>
              <w:t>$87,384,342</w:t>
            </w:r>
          </w:p>
        </w:tc>
        <w:tc>
          <w:tcPr>
            <w:tcW w:w="1524" w:type="dxa"/>
            <w:tcBorders>
              <w:top w:val="single" w:sz="4" w:space="0" w:color="auto"/>
              <w:bottom w:val="single" w:sz="4" w:space="0" w:color="auto"/>
            </w:tcBorders>
            <w:noWrap/>
            <w:vAlign w:val="bottom"/>
            <w:hideMark/>
          </w:tcPr>
          <w:p w14:paraId="20BCA1C6" w14:textId="77777777" w:rsidR="0043100D" w:rsidRPr="00270BD9" w:rsidRDefault="0043100D" w:rsidP="00EB2B71">
            <w:pPr>
              <w:pStyle w:val="BodyText1"/>
              <w:rPr>
                <w:b/>
                <w:bCs/>
                <w:sz w:val="16"/>
                <w:szCs w:val="16"/>
              </w:rPr>
            </w:pPr>
            <w:r w:rsidRPr="00270BD9">
              <w:rPr>
                <w:b/>
                <w:bCs/>
                <w:sz w:val="16"/>
                <w:szCs w:val="16"/>
              </w:rPr>
              <w:t>56%</w:t>
            </w:r>
          </w:p>
        </w:tc>
      </w:tr>
    </w:tbl>
    <w:p w14:paraId="5D074E2E" w14:textId="481854F5" w:rsidR="00054ED6" w:rsidRPr="002265EB" w:rsidRDefault="00FD5BAC" w:rsidP="00DA4528">
      <w:pPr>
        <w:rPr>
          <w:sz w:val="18"/>
          <w:szCs w:val="18"/>
        </w:rPr>
      </w:pPr>
      <w:r w:rsidRPr="00D56F2F">
        <w:rPr>
          <w:sz w:val="18"/>
          <w:szCs w:val="18"/>
          <w:vertAlign w:val="superscript"/>
        </w:rPr>
        <w:t>1</w:t>
      </w:r>
      <w:r w:rsidRPr="00D56F2F">
        <w:rPr>
          <w:sz w:val="18"/>
          <w:szCs w:val="18"/>
        </w:rPr>
        <w:t xml:space="preserve">Paid </w:t>
      </w:r>
      <w:proofErr w:type="gramStart"/>
      <w:r w:rsidRPr="00D56F2F">
        <w:rPr>
          <w:sz w:val="18"/>
          <w:szCs w:val="18"/>
        </w:rPr>
        <w:t>at</w:t>
      </w:r>
      <w:proofErr w:type="gramEnd"/>
      <w:r w:rsidRPr="00D56F2F">
        <w:rPr>
          <w:sz w:val="18"/>
          <w:szCs w:val="18"/>
        </w:rPr>
        <w:t xml:space="preserve"> 30 April 2025</w:t>
      </w:r>
    </w:p>
    <w:p w14:paraId="768E4403" w14:textId="00FD0695" w:rsidR="00021D38" w:rsidRDefault="00021D38" w:rsidP="002265EB">
      <w:pPr>
        <w:pStyle w:val="Heading6"/>
      </w:pPr>
      <w:r>
        <w:lastRenderedPageBreak/>
        <w:t xml:space="preserve">Table </w:t>
      </w:r>
      <w:r>
        <w:fldChar w:fldCharType="begin"/>
      </w:r>
      <w:r>
        <w:instrText>SEQ Table \* ARABIC</w:instrText>
      </w:r>
      <w:r>
        <w:fldChar w:fldCharType="separate"/>
      </w:r>
      <w:r w:rsidR="00C762CE">
        <w:rPr>
          <w:noProof/>
        </w:rPr>
        <w:t>4</w:t>
      </w:r>
      <w:r>
        <w:fldChar w:fldCharType="end"/>
      </w:r>
      <w:r>
        <w:t xml:space="preserve">. </w:t>
      </w:r>
      <w:r w:rsidRPr="00F273C4">
        <w:t>CAP funding linked to ALG advice</w:t>
      </w:r>
      <w:r>
        <w:t xml:space="preserve"> </w:t>
      </w:r>
      <w:bookmarkStart w:id="51" w:name="_Int_Nbjw7iNQ"/>
      <w:proofErr w:type="gramStart"/>
      <w:r>
        <w:t>at</w:t>
      </w:r>
      <w:bookmarkEnd w:id="51"/>
      <w:proofErr w:type="gramEnd"/>
      <w:r>
        <w:t xml:space="preserve"> 30 April 2025 </w:t>
      </w:r>
      <w:r w:rsidRPr="3562EEFD">
        <w:rPr>
          <w:rStyle w:val="FootnoteReference"/>
          <w:b/>
          <w:color w:val="404040" w:themeColor="text1" w:themeTint="BF"/>
        </w:rPr>
        <w:footnoteReference w:id="73"/>
      </w:r>
    </w:p>
    <w:tbl>
      <w:tblPr>
        <w:tblW w:w="5000" w:type="pct"/>
        <w:tblLayout w:type="fixed"/>
        <w:tblLook w:val="04A0" w:firstRow="1" w:lastRow="0" w:firstColumn="1" w:lastColumn="0" w:noHBand="0" w:noVBand="1"/>
      </w:tblPr>
      <w:tblGrid>
        <w:gridCol w:w="4820"/>
        <w:gridCol w:w="1640"/>
        <w:gridCol w:w="1640"/>
        <w:gridCol w:w="1640"/>
      </w:tblGrid>
      <w:tr w:rsidR="0056761E" w:rsidRPr="001856A1" w14:paraId="53589273" w14:textId="1A3E13B4" w:rsidTr="002265EB">
        <w:trPr>
          <w:trHeight w:val="320"/>
        </w:trPr>
        <w:tc>
          <w:tcPr>
            <w:tcW w:w="2474" w:type="pct"/>
            <w:tcBorders>
              <w:top w:val="single" w:sz="4" w:space="0" w:color="auto"/>
              <w:left w:val="nil"/>
              <w:bottom w:val="single" w:sz="4" w:space="0" w:color="auto"/>
              <w:right w:val="nil"/>
            </w:tcBorders>
            <w:noWrap/>
            <w:vAlign w:val="bottom"/>
            <w:hideMark/>
          </w:tcPr>
          <w:p w14:paraId="4E9BAD11" w14:textId="30C38057" w:rsidR="0056761E" w:rsidRPr="00270BD9" w:rsidRDefault="0056761E" w:rsidP="00021D38">
            <w:pPr>
              <w:pStyle w:val="BodyText1"/>
              <w:rPr>
                <w:b/>
                <w:bCs/>
                <w:sz w:val="16"/>
                <w:szCs w:val="16"/>
              </w:rPr>
            </w:pPr>
            <w:r w:rsidRPr="00270BD9">
              <w:rPr>
                <w:b/>
                <w:bCs/>
                <w:sz w:val="16"/>
                <w:szCs w:val="16"/>
              </w:rPr>
              <w:t>ALG input to decision making</w:t>
            </w:r>
          </w:p>
        </w:tc>
        <w:tc>
          <w:tcPr>
            <w:tcW w:w="842" w:type="pct"/>
            <w:tcBorders>
              <w:top w:val="single" w:sz="4" w:space="0" w:color="auto"/>
              <w:left w:val="nil"/>
              <w:bottom w:val="single" w:sz="4" w:space="0" w:color="auto"/>
              <w:right w:val="nil"/>
            </w:tcBorders>
            <w:noWrap/>
            <w:vAlign w:val="bottom"/>
            <w:hideMark/>
          </w:tcPr>
          <w:p w14:paraId="6EF37081" w14:textId="525AE531" w:rsidR="0056761E" w:rsidRPr="00270BD9" w:rsidRDefault="0056761E" w:rsidP="00021D38">
            <w:pPr>
              <w:pStyle w:val="BodyText1"/>
              <w:rPr>
                <w:b/>
                <w:bCs/>
                <w:sz w:val="16"/>
                <w:szCs w:val="16"/>
              </w:rPr>
            </w:pPr>
            <w:r w:rsidRPr="00270BD9">
              <w:rPr>
                <w:b/>
                <w:bCs/>
                <w:sz w:val="16"/>
                <w:szCs w:val="16"/>
              </w:rPr>
              <w:t xml:space="preserve">Funding </w:t>
            </w:r>
            <w:r w:rsidR="004546D6" w:rsidRPr="00270BD9">
              <w:rPr>
                <w:b/>
                <w:bCs/>
                <w:sz w:val="16"/>
                <w:szCs w:val="16"/>
              </w:rPr>
              <w:t>allocated</w:t>
            </w:r>
          </w:p>
        </w:tc>
        <w:tc>
          <w:tcPr>
            <w:tcW w:w="842" w:type="pct"/>
            <w:tcBorders>
              <w:top w:val="single" w:sz="4" w:space="0" w:color="auto"/>
              <w:left w:val="nil"/>
              <w:bottom w:val="single" w:sz="4" w:space="0" w:color="auto"/>
              <w:right w:val="nil"/>
            </w:tcBorders>
            <w:noWrap/>
            <w:vAlign w:val="bottom"/>
            <w:hideMark/>
          </w:tcPr>
          <w:p w14:paraId="247C65C2" w14:textId="2DDF0288" w:rsidR="0056761E" w:rsidRPr="00270BD9" w:rsidRDefault="0056761E" w:rsidP="00021D38">
            <w:pPr>
              <w:pStyle w:val="BodyText1"/>
              <w:rPr>
                <w:b/>
                <w:bCs/>
                <w:sz w:val="16"/>
                <w:szCs w:val="16"/>
              </w:rPr>
            </w:pPr>
            <w:r w:rsidRPr="00270BD9">
              <w:rPr>
                <w:b/>
                <w:bCs/>
                <w:sz w:val="16"/>
                <w:szCs w:val="16"/>
              </w:rPr>
              <w:t xml:space="preserve">% total </w:t>
            </w:r>
            <w:r w:rsidR="004546D6" w:rsidRPr="00270BD9">
              <w:rPr>
                <w:b/>
                <w:bCs/>
                <w:sz w:val="16"/>
                <w:szCs w:val="16"/>
              </w:rPr>
              <w:t>allocated</w:t>
            </w:r>
            <w:r w:rsidRPr="00270BD9">
              <w:rPr>
                <w:b/>
                <w:bCs/>
                <w:sz w:val="16"/>
                <w:szCs w:val="16"/>
              </w:rPr>
              <w:t xml:space="preserve"> </w:t>
            </w:r>
          </w:p>
        </w:tc>
        <w:tc>
          <w:tcPr>
            <w:tcW w:w="842" w:type="pct"/>
            <w:tcBorders>
              <w:top w:val="single" w:sz="4" w:space="0" w:color="auto"/>
              <w:left w:val="nil"/>
              <w:bottom w:val="single" w:sz="4" w:space="0" w:color="auto"/>
              <w:right w:val="nil"/>
            </w:tcBorders>
            <w:vAlign w:val="bottom"/>
          </w:tcPr>
          <w:p w14:paraId="55399AAF" w14:textId="2720CC80" w:rsidR="0056761E" w:rsidRPr="00270BD9" w:rsidRDefault="0056761E" w:rsidP="00021D38">
            <w:pPr>
              <w:pStyle w:val="BodyText1"/>
              <w:rPr>
                <w:b/>
                <w:bCs/>
                <w:sz w:val="16"/>
                <w:szCs w:val="16"/>
              </w:rPr>
            </w:pPr>
            <w:r w:rsidRPr="00270BD9">
              <w:rPr>
                <w:b/>
                <w:bCs/>
                <w:sz w:val="16"/>
                <w:szCs w:val="16"/>
              </w:rPr>
              <w:t>Funding paid</w:t>
            </w:r>
            <w:r w:rsidR="00021D38" w:rsidRPr="00270BD9">
              <w:rPr>
                <w:b/>
                <w:bCs/>
                <w:sz w:val="16"/>
                <w:szCs w:val="16"/>
                <w:vertAlign w:val="superscript"/>
              </w:rPr>
              <w:t>1</w:t>
            </w:r>
            <w:r w:rsidRPr="00270BD9">
              <w:rPr>
                <w:b/>
                <w:bCs/>
                <w:sz w:val="16"/>
                <w:szCs w:val="16"/>
              </w:rPr>
              <w:t xml:space="preserve"> </w:t>
            </w:r>
          </w:p>
        </w:tc>
      </w:tr>
      <w:tr w:rsidR="0056761E" w:rsidRPr="001856A1" w14:paraId="26630213" w14:textId="36FAD17B" w:rsidTr="0045276B">
        <w:trPr>
          <w:trHeight w:val="320"/>
        </w:trPr>
        <w:tc>
          <w:tcPr>
            <w:tcW w:w="2474" w:type="pct"/>
            <w:tcBorders>
              <w:top w:val="single" w:sz="4" w:space="0" w:color="auto"/>
              <w:left w:val="nil"/>
              <w:bottom w:val="nil"/>
              <w:right w:val="nil"/>
            </w:tcBorders>
            <w:noWrap/>
            <w:vAlign w:val="bottom"/>
            <w:hideMark/>
          </w:tcPr>
          <w:p w14:paraId="07F730DB" w14:textId="6161061E" w:rsidR="0056761E" w:rsidRPr="00270BD9" w:rsidRDefault="0056761E" w:rsidP="00021D38">
            <w:pPr>
              <w:pStyle w:val="BodyText1"/>
              <w:rPr>
                <w:rFonts w:eastAsia="Times New Roman" w:cs="Times New Roman"/>
                <w:sz w:val="16"/>
                <w:szCs w:val="16"/>
              </w:rPr>
            </w:pPr>
            <w:r w:rsidRPr="00270BD9">
              <w:rPr>
                <w:sz w:val="16"/>
                <w:szCs w:val="16"/>
              </w:rPr>
              <w:t>Category 1: ALG did not provide advice on any parameter of this funding.</w:t>
            </w:r>
          </w:p>
        </w:tc>
        <w:tc>
          <w:tcPr>
            <w:tcW w:w="842" w:type="pct"/>
            <w:tcBorders>
              <w:top w:val="single" w:sz="4" w:space="0" w:color="auto"/>
              <w:left w:val="nil"/>
              <w:bottom w:val="nil"/>
              <w:right w:val="nil"/>
            </w:tcBorders>
            <w:noWrap/>
            <w:vAlign w:val="center"/>
            <w:hideMark/>
          </w:tcPr>
          <w:p w14:paraId="7C7E5852" w14:textId="77777777" w:rsidR="0056761E" w:rsidRPr="00270BD9" w:rsidRDefault="0056761E" w:rsidP="0045276B">
            <w:pPr>
              <w:pStyle w:val="BodyText1"/>
              <w:rPr>
                <w:sz w:val="16"/>
                <w:szCs w:val="16"/>
              </w:rPr>
            </w:pPr>
            <w:r w:rsidRPr="00270BD9">
              <w:rPr>
                <w:color w:val="000000"/>
                <w:sz w:val="16"/>
                <w:szCs w:val="16"/>
              </w:rPr>
              <w:t>$87,137,221</w:t>
            </w:r>
          </w:p>
        </w:tc>
        <w:tc>
          <w:tcPr>
            <w:tcW w:w="842" w:type="pct"/>
            <w:tcBorders>
              <w:top w:val="single" w:sz="4" w:space="0" w:color="auto"/>
              <w:left w:val="nil"/>
              <w:bottom w:val="nil"/>
              <w:right w:val="nil"/>
            </w:tcBorders>
            <w:noWrap/>
            <w:vAlign w:val="center"/>
            <w:hideMark/>
          </w:tcPr>
          <w:p w14:paraId="5FA05ED5" w14:textId="6F291FD0" w:rsidR="0056761E" w:rsidRPr="00270BD9" w:rsidRDefault="00AD10AA" w:rsidP="0045276B">
            <w:pPr>
              <w:pStyle w:val="BodyText1"/>
              <w:rPr>
                <w:rFonts w:eastAsia="Times New Roman" w:cs="Times New Roman"/>
                <w:sz w:val="16"/>
                <w:szCs w:val="16"/>
              </w:rPr>
            </w:pPr>
            <w:r w:rsidRPr="00270BD9">
              <w:rPr>
                <w:rFonts w:ascii="Aptos Narrow" w:hAnsi="Aptos Narrow"/>
                <w:color w:val="000000"/>
                <w:sz w:val="16"/>
                <w:szCs w:val="16"/>
              </w:rPr>
              <w:t>34</w:t>
            </w:r>
            <w:r w:rsidR="0056761E" w:rsidRPr="00270BD9">
              <w:rPr>
                <w:rFonts w:ascii="Aptos Narrow" w:hAnsi="Aptos Narrow"/>
                <w:color w:val="000000"/>
                <w:sz w:val="16"/>
                <w:szCs w:val="16"/>
              </w:rPr>
              <w:t>%</w:t>
            </w:r>
          </w:p>
        </w:tc>
        <w:tc>
          <w:tcPr>
            <w:tcW w:w="842" w:type="pct"/>
            <w:tcBorders>
              <w:top w:val="single" w:sz="4" w:space="0" w:color="auto"/>
              <w:left w:val="nil"/>
              <w:bottom w:val="nil"/>
              <w:right w:val="nil"/>
            </w:tcBorders>
            <w:vAlign w:val="center"/>
          </w:tcPr>
          <w:p w14:paraId="539A8CD4" w14:textId="104724BA" w:rsidR="0056761E" w:rsidRPr="00270BD9" w:rsidRDefault="0056761E" w:rsidP="0045276B">
            <w:pPr>
              <w:pStyle w:val="BodyText1"/>
              <w:rPr>
                <w:sz w:val="16"/>
                <w:szCs w:val="16"/>
              </w:rPr>
            </w:pPr>
            <w:r w:rsidRPr="00270BD9">
              <w:rPr>
                <w:sz w:val="16"/>
                <w:szCs w:val="16"/>
              </w:rPr>
              <w:t>$70,573,221</w:t>
            </w:r>
          </w:p>
        </w:tc>
      </w:tr>
      <w:tr w:rsidR="0056761E" w:rsidRPr="001856A1" w14:paraId="0B9D16C1" w14:textId="2AA57CEA" w:rsidTr="0045276B">
        <w:trPr>
          <w:trHeight w:val="320"/>
        </w:trPr>
        <w:tc>
          <w:tcPr>
            <w:tcW w:w="2474" w:type="pct"/>
            <w:tcBorders>
              <w:top w:val="nil"/>
              <w:left w:val="nil"/>
              <w:bottom w:val="nil"/>
              <w:right w:val="nil"/>
            </w:tcBorders>
            <w:noWrap/>
            <w:vAlign w:val="bottom"/>
            <w:hideMark/>
          </w:tcPr>
          <w:p w14:paraId="3F534D92" w14:textId="0270C259" w:rsidR="0056761E" w:rsidRPr="00270BD9" w:rsidRDefault="0056761E" w:rsidP="00021D38">
            <w:pPr>
              <w:pStyle w:val="BodyText1"/>
              <w:rPr>
                <w:rFonts w:eastAsia="Times New Roman" w:cs="Times New Roman"/>
                <w:sz w:val="16"/>
                <w:szCs w:val="16"/>
              </w:rPr>
            </w:pPr>
            <w:r w:rsidRPr="00270BD9">
              <w:rPr>
                <w:sz w:val="16"/>
                <w:szCs w:val="16"/>
              </w:rPr>
              <w:t>Category 2: ALG discussion influenced implementation and/or design</w:t>
            </w:r>
          </w:p>
        </w:tc>
        <w:tc>
          <w:tcPr>
            <w:tcW w:w="842" w:type="pct"/>
            <w:tcBorders>
              <w:top w:val="nil"/>
              <w:left w:val="nil"/>
              <w:bottom w:val="nil"/>
              <w:right w:val="nil"/>
            </w:tcBorders>
            <w:noWrap/>
            <w:vAlign w:val="center"/>
            <w:hideMark/>
          </w:tcPr>
          <w:p w14:paraId="6C5A7708" w14:textId="7B3581F3" w:rsidR="0056761E" w:rsidRPr="00270BD9" w:rsidRDefault="006B055F" w:rsidP="0045276B">
            <w:pPr>
              <w:pStyle w:val="BodyText1"/>
              <w:rPr>
                <w:sz w:val="16"/>
                <w:szCs w:val="16"/>
              </w:rPr>
            </w:pPr>
            <w:r w:rsidRPr="00270BD9">
              <w:rPr>
                <w:color w:val="000000"/>
                <w:sz w:val="16"/>
                <w:szCs w:val="16"/>
              </w:rPr>
              <w:t>$20,780,561</w:t>
            </w:r>
          </w:p>
        </w:tc>
        <w:tc>
          <w:tcPr>
            <w:tcW w:w="842" w:type="pct"/>
            <w:tcBorders>
              <w:top w:val="nil"/>
              <w:left w:val="nil"/>
              <w:bottom w:val="nil"/>
              <w:right w:val="nil"/>
            </w:tcBorders>
            <w:noWrap/>
            <w:vAlign w:val="center"/>
            <w:hideMark/>
          </w:tcPr>
          <w:p w14:paraId="30B0D9B7" w14:textId="4912716C" w:rsidR="0056761E" w:rsidRPr="00270BD9" w:rsidRDefault="00AD10AA" w:rsidP="0045276B">
            <w:pPr>
              <w:pStyle w:val="BodyText1"/>
              <w:rPr>
                <w:rFonts w:eastAsia="Times New Roman" w:cs="Times New Roman"/>
                <w:sz w:val="16"/>
                <w:szCs w:val="16"/>
              </w:rPr>
            </w:pPr>
            <w:r w:rsidRPr="00270BD9">
              <w:rPr>
                <w:rFonts w:ascii="Aptos Narrow" w:hAnsi="Aptos Narrow"/>
                <w:color w:val="000000"/>
                <w:sz w:val="16"/>
                <w:szCs w:val="16"/>
              </w:rPr>
              <w:t>8</w:t>
            </w:r>
            <w:r w:rsidR="0056761E" w:rsidRPr="00270BD9">
              <w:rPr>
                <w:rFonts w:ascii="Aptos Narrow" w:hAnsi="Aptos Narrow"/>
                <w:color w:val="000000"/>
                <w:sz w:val="16"/>
                <w:szCs w:val="16"/>
              </w:rPr>
              <w:t>%</w:t>
            </w:r>
          </w:p>
        </w:tc>
        <w:tc>
          <w:tcPr>
            <w:tcW w:w="842" w:type="pct"/>
            <w:tcBorders>
              <w:top w:val="nil"/>
              <w:left w:val="nil"/>
              <w:bottom w:val="nil"/>
              <w:right w:val="nil"/>
            </w:tcBorders>
            <w:vAlign w:val="center"/>
          </w:tcPr>
          <w:p w14:paraId="027C0C80" w14:textId="1458B00A" w:rsidR="0056761E" w:rsidRPr="00270BD9" w:rsidRDefault="0056761E" w:rsidP="0045276B">
            <w:pPr>
              <w:pStyle w:val="BodyText1"/>
              <w:rPr>
                <w:sz w:val="16"/>
                <w:szCs w:val="16"/>
              </w:rPr>
            </w:pPr>
            <w:r w:rsidRPr="00270BD9">
              <w:rPr>
                <w:sz w:val="16"/>
                <w:szCs w:val="16"/>
              </w:rPr>
              <w:t>$4,544,409</w:t>
            </w:r>
          </w:p>
        </w:tc>
      </w:tr>
      <w:tr w:rsidR="0056761E" w:rsidRPr="001856A1" w14:paraId="31859053" w14:textId="3085322C" w:rsidTr="0045276B">
        <w:trPr>
          <w:trHeight w:val="320"/>
        </w:trPr>
        <w:tc>
          <w:tcPr>
            <w:tcW w:w="2474" w:type="pct"/>
            <w:tcBorders>
              <w:top w:val="nil"/>
              <w:left w:val="nil"/>
              <w:bottom w:val="nil"/>
              <w:right w:val="nil"/>
            </w:tcBorders>
            <w:noWrap/>
            <w:vAlign w:val="bottom"/>
            <w:hideMark/>
          </w:tcPr>
          <w:p w14:paraId="247E925A" w14:textId="6DB81C2A" w:rsidR="0056761E" w:rsidRPr="00270BD9" w:rsidRDefault="0056761E" w:rsidP="00021D38">
            <w:pPr>
              <w:pStyle w:val="BodyText1"/>
              <w:rPr>
                <w:rFonts w:eastAsia="Times New Roman" w:cs="Times New Roman"/>
                <w:sz w:val="16"/>
                <w:szCs w:val="16"/>
              </w:rPr>
            </w:pPr>
            <w:r w:rsidRPr="00270BD9">
              <w:rPr>
                <w:sz w:val="16"/>
                <w:szCs w:val="16"/>
              </w:rPr>
              <w:t>Category 3: ALG provided advice on a parameter related to implementation or policy advice. NOT funding allocation or commitments</w:t>
            </w:r>
          </w:p>
        </w:tc>
        <w:tc>
          <w:tcPr>
            <w:tcW w:w="842" w:type="pct"/>
            <w:tcBorders>
              <w:top w:val="nil"/>
              <w:left w:val="nil"/>
              <w:bottom w:val="nil"/>
              <w:right w:val="nil"/>
            </w:tcBorders>
            <w:noWrap/>
            <w:vAlign w:val="center"/>
            <w:hideMark/>
          </w:tcPr>
          <w:p w14:paraId="00824923" w14:textId="4D2DD584" w:rsidR="0056761E" w:rsidRPr="00270BD9" w:rsidRDefault="006B055F" w:rsidP="0045276B">
            <w:pPr>
              <w:pStyle w:val="BodyText1"/>
              <w:rPr>
                <w:sz w:val="16"/>
                <w:szCs w:val="16"/>
              </w:rPr>
            </w:pPr>
            <w:r w:rsidRPr="00270BD9">
              <w:rPr>
                <w:color w:val="000000"/>
                <w:sz w:val="16"/>
                <w:szCs w:val="16"/>
              </w:rPr>
              <w:t>$54,323,460</w:t>
            </w:r>
          </w:p>
        </w:tc>
        <w:tc>
          <w:tcPr>
            <w:tcW w:w="842" w:type="pct"/>
            <w:tcBorders>
              <w:top w:val="nil"/>
              <w:left w:val="nil"/>
              <w:bottom w:val="nil"/>
              <w:right w:val="nil"/>
            </w:tcBorders>
            <w:noWrap/>
            <w:vAlign w:val="center"/>
            <w:hideMark/>
          </w:tcPr>
          <w:p w14:paraId="2A0589D6" w14:textId="11BF72B9" w:rsidR="0056761E" w:rsidRPr="00270BD9" w:rsidRDefault="00AD10AA" w:rsidP="0045276B">
            <w:pPr>
              <w:pStyle w:val="BodyText1"/>
              <w:rPr>
                <w:rFonts w:eastAsia="Times New Roman" w:cs="Times New Roman"/>
                <w:sz w:val="16"/>
                <w:szCs w:val="16"/>
              </w:rPr>
            </w:pPr>
            <w:r w:rsidRPr="00270BD9">
              <w:rPr>
                <w:rFonts w:ascii="Aptos Narrow" w:hAnsi="Aptos Narrow"/>
                <w:color w:val="000000"/>
                <w:sz w:val="16"/>
                <w:szCs w:val="16"/>
              </w:rPr>
              <w:t>21</w:t>
            </w:r>
            <w:r w:rsidR="0056761E" w:rsidRPr="00270BD9">
              <w:rPr>
                <w:rFonts w:ascii="Aptos Narrow" w:hAnsi="Aptos Narrow"/>
                <w:color w:val="000000"/>
                <w:sz w:val="16"/>
                <w:szCs w:val="16"/>
              </w:rPr>
              <w:t>%</w:t>
            </w:r>
          </w:p>
        </w:tc>
        <w:tc>
          <w:tcPr>
            <w:tcW w:w="842" w:type="pct"/>
            <w:tcBorders>
              <w:top w:val="nil"/>
              <w:left w:val="nil"/>
              <w:bottom w:val="nil"/>
              <w:right w:val="nil"/>
            </w:tcBorders>
            <w:vAlign w:val="center"/>
          </w:tcPr>
          <w:p w14:paraId="29D5D9E0" w14:textId="29663984" w:rsidR="0056761E" w:rsidRPr="00270BD9" w:rsidRDefault="0056761E" w:rsidP="0045276B">
            <w:pPr>
              <w:pStyle w:val="BodyText1"/>
              <w:rPr>
                <w:sz w:val="16"/>
                <w:szCs w:val="16"/>
              </w:rPr>
            </w:pPr>
            <w:r w:rsidRPr="00270BD9">
              <w:rPr>
                <w:sz w:val="16"/>
                <w:szCs w:val="16"/>
              </w:rPr>
              <w:t>$4,508,902</w:t>
            </w:r>
          </w:p>
        </w:tc>
      </w:tr>
      <w:tr w:rsidR="0056761E" w:rsidRPr="001856A1" w14:paraId="55B8ED8C" w14:textId="2999EA2B" w:rsidTr="0045276B">
        <w:trPr>
          <w:trHeight w:val="320"/>
        </w:trPr>
        <w:tc>
          <w:tcPr>
            <w:tcW w:w="2474" w:type="pct"/>
            <w:tcBorders>
              <w:top w:val="nil"/>
              <w:left w:val="nil"/>
              <w:bottom w:val="single" w:sz="4" w:space="0" w:color="auto"/>
              <w:right w:val="nil"/>
            </w:tcBorders>
            <w:noWrap/>
            <w:vAlign w:val="bottom"/>
            <w:hideMark/>
          </w:tcPr>
          <w:p w14:paraId="6BFE9D79" w14:textId="56EEE6FD" w:rsidR="0056761E" w:rsidRPr="00270BD9" w:rsidRDefault="0056761E" w:rsidP="00021D38">
            <w:pPr>
              <w:pStyle w:val="BodyText1"/>
              <w:rPr>
                <w:rFonts w:eastAsia="Times New Roman" w:cs="Times New Roman"/>
                <w:sz w:val="16"/>
                <w:szCs w:val="16"/>
              </w:rPr>
            </w:pPr>
            <w:r w:rsidRPr="00270BD9">
              <w:rPr>
                <w:sz w:val="16"/>
                <w:szCs w:val="16"/>
              </w:rPr>
              <w:t>Category 4: ALG advice shaped funding allocation by Government and implementation through design / location other advice</w:t>
            </w:r>
          </w:p>
        </w:tc>
        <w:tc>
          <w:tcPr>
            <w:tcW w:w="842" w:type="pct"/>
            <w:tcBorders>
              <w:top w:val="nil"/>
              <w:left w:val="nil"/>
              <w:bottom w:val="single" w:sz="4" w:space="0" w:color="auto"/>
              <w:right w:val="nil"/>
            </w:tcBorders>
            <w:noWrap/>
            <w:vAlign w:val="center"/>
            <w:hideMark/>
          </w:tcPr>
          <w:p w14:paraId="0829CF0F" w14:textId="2B50B314" w:rsidR="0056761E" w:rsidRPr="00270BD9" w:rsidRDefault="0056761E" w:rsidP="0045276B">
            <w:pPr>
              <w:pStyle w:val="BodyText1"/>
              <w:rPr>
                <w:sz w:val="16"/>
                <w:szCs w:val="16"/>
              </w:rPr>
            </w:pPr>
            <w:r w:rsidRPr="00270BD9">
              <w:rPr>
                <w:color w:val="000000"/>
                <w:sz w:val="16"/>
                <w:szCs w:val="16"/>
              </w:rPr>
              <w:t>$</w:t>
            </w:r>
            <w:r w:rsidR="006B055F" w:rsidRPr="00270BD9">
              <w:rPr>
                <w:color w:val="000000"/>
                <w:sz w:val="16"/>
                <w:szCs w:val="16"/>
              </w:rPr>
              <w:t>84,610</w:t>
            </w:r>
            <w:r w:rsidRPr="00270BD9">
              <w:rPr>
                <w:color w:val="000000"/>
                <w:sz w:val="16"/>
                <w:szCs w:val="16"/>
              </w:rPr>
              <w:t>,000</w:t>
            </w:r>
          </w:p>
        </w:tc>
        <w:tc>
          <w:tcPr>
            <w:tcW w:w="842" w:type="pct"/>
            <w:tcBorders>
              <w:top w:val="nil"/>
              <w:left w:val="nil"/>
              <w:bottom w:val="single" w:sz="4" w:space="0" w:color="auto"/>
              <w:right w:val="nil"/>
            </w:tcBorders>
            <w:noWrap/>
            <w:vAlign w:val="center"/>
            <w:hideMark/>
          </w:tcPr>
          <w:p w14:paraId="5EB80C33" w14:textId="4C64743D" w:rsidR="0056761E" w:rsidRPr="00270BD9" w:rsidRDefault="00AD10AA" w:rsidP="0045276B">
            <w:pPr>
              <w:pStyle w:val="BodyText1"/>
              <w:rPr>
                <w:rFonts w:eastAsia="Times New Roman" w:cs="Times New Roman"/>
                <w:sz w:val="16"/>
                <w:szCs w:val="16"/>
              </w:rPr>
            </w:pPr>
            <w:r w:rsidRPr="00270BD9">
              <w:rPr>
                <w:rFonts w:ascii="Aptos Narrow" w:hAnsi="Aptos Narrow"/>
                <w:color w:val="000000"/>
                <w:sz w:val="16"/>
                <w:szCs w:val="16"/>
              </w:rPr>
              <w:t>33</w:t>
            </w:r>
            <w:r w:rsidR="0056761E" w:rsidRPr="00270BD9">
              <w:rPr>
                <w:rFonts w:ascii="Aptos Narrow" w:hAnsi="Aptos Narrow"/>
                <w:color w:val="000000"/>
                <w:sz w:val="16"/>
                <w:szCs w:val="16"/>
              </w:rPr>
              <w:t>%</w:t>
            </w:r>
          </w:p>
        </w:tc>
        <w:tc>
          <w:tcPr>
            <w:tcW w:w="842" w:type="pct"/>
            <w:tcBorders>
              <w:top w:val="nil"/>
              <w:left w:val="nil"/>
              <w:bottom w:val="single" w:sz="4" w:space="0" w:color="auto"/>
              <w:right w:val="nil"/>
            </w:tcBorders>
            <w:vAlign w:val="center"/>
          </w:tcPr>
          <w:p w14:paraId="0DFCA883" w14:textId="51B9342D" w:rsidR="0056761E" w:rsidRPr="00270BD9" w:rsidRDefault="0056761E" w:rsidP="0045276B">
            <w:pPr>
              <w:pStyle w:val="BodyText1"/>
              <w:rPr>
                <w:sz w:val="16"/>
                <w:szCs w:val="16"/>
              </w:rPr>
            </w:pPr>
            <w:r w:rsidRPr="00270BD9">
              <w:rPr>
                <w:sz w:val="16"/>
                <w:szCs w:val="16"/>
              </w:rPr>
              <w:t>$5,127,810</w:t>
            </w:r>
          </w:p>
        </w:tc>
      </w:tr>
      <w:tr w:rsidR="00A6763B" w:rsidRPr="001856A1" w14:paraId="176BC009" w14:textId="77777777" w:rsidTr="0045276B">
        <w:trPr>
          <w:trHeight w:val="320"/>
        </w:trPr>
        <w:tc>
          <w:tcPr>
            <w:tcW w:w="2474" w:type="pct"/>
            <w:tcBorders>
              <w:top w:val="single" w:sz="4" w:space="0" w:color="auto"/>
              <w:left w:val="nil"/>
              <w:bottom w:val="single" w:sz="4" w:space="0" w:color="auto"/>
              <w:right w:val="nil"/>
            </w:tcBorders>
            <w:noWrap/>
            <w:vAlign w:val="bottom"/>
          </w:tcPr>
          <w:p w14:paraId="7F10F54E" w14:textId="75AE042E" w:rsidR="00A6763B" w:rsidRPr="00270BD9" w:rsidRDefault="006B055F" w:rsidP="00021D38">
            <w:pPr>
              <w:pStyle w:val="BodyText1"/>
              <w:rPr>
                <w:sz w:val="16"/>
                <w:szCs w:val="16"/>
              </w:rPr>
            </w:pPr>
            <w:r w:rsidRPr="00270BD9">
              <w:rPr>
                <w:sz w:val="16"/>
                <w:szCs w:val="16"/>
              </w:rPr>
              <w:t>T</w:t>
            </w:r>
            <w:r w:rsidR="001856A1" w:rsidRPr="00270BD9">
              <w:rPr>
                <w:sz w:val="16"/>
                <w:szCs w:val="16"/>
              </w:rPr>
              <w:t xml:space="preserve">o </w:t>
            </w:r>
            <w:r w:rsidRPr="00270BD9">
              <w:rPr>
                <w:sz w:val="16"/>
                <w:szCs w:val="16"/>
              </w:rPr>
              <w:t>B</w:t>
            </w:r>
            <w:r w:rsidR="001856A1" w:rsidRPr="00270BD9">
              <w:rPr>
                <w:sz w:val="16"/>
                <w:szCs w:val="16"/>
              </w:rPr>
              <w:t xml:space="preserve">e </w:t>
            </w:r>
            <w:r w:rsidRPr="00270BD9">
              <w:rPr>
                <w:sz w:val="16"/>
                <w:szCs w:val="16"/>
              </w:rPr>
              <w:t>D</w:t>
            </w:r>
            <w:r w:rsidR="001856A1" w:rsidRPr="00270BD9">
              <w:rPr>
                <w:sz w:val="16"/>
                <w:szCs w:val="16"/>
              </w:rPr>
              <w:t>etermined</w:t>
            </w:r>
          </w:p>
        </w:tc>
        <w:tc>
          <w:tcPr>
            <w:tcW w:w="842" w:type="pct"/>
            <w:tcBorders>
              <w:top w:val="single" w:sz="4" w:space="0" w:color="auto"/>
              <w:left w:val="nil"/>
              <w:bottom w:val="single" w:sz="4" w:space="0" w:color="auto"/>
              <w:right w:val="nil"/>
            </w:tcBorders>
            <w:noWrap/>
            <w:vAlign w:val="center"/>
          </w:tcPr>
          <w:p w14:paraId="489FAA6B" w14:textId="20200A48" w:rsidR="00A6763B" w:rsidRPr="00270BD9" w:rsidRDefault="006B055F" w:rsidP="0045276B">
            <w:pPr>
              <w:keepLines w:val="0"/>
              <w:widowControl/>
              <w:spacing w:before="0" w:after="0"/>
              <w:rPr>
                <w:rFonts w:eastAsia="Times New Roman"/>
                <w:color w:val="000000"/>
                <w:sz w:val="16"/>
                <w:szCs w:val="16"/>
              </w:rPr>
            </w:pPr>
            <w:r w:rsidRPr="00270BD9">
              <w:rPr>
                <w:color w:val="000000"/>
                <w:sz w:val="16"/>
                <w:szCs w:val="16"/>
              </w:rPr>
              <w:t>$6,787,445</w:t>
            </w:r>
          </w:p>
        </w:tc>
        <w:tc>
          <w:tcPr>
            <w:tcW w:w="842" w:type="pct"/>
            <w:tcBorders>
              <w:top w:val="single" w:sz="4" w:space="0" w:color="auto"/>
              <w:left w:val="nil"/>
              <w:bottom w:val="single" w:sz="4" w:space="0" w:color="auto"/>
              <w:right w:val="nil"/>
            </w:tcBorders>
            <w:noWrap/>
            <w:vAlign w:val="center"/>
          </w:tcPr>
          <w:p w14:paraId="3059B918" w14:textId="7FA9F3A0" w:rsidR="00A6763B" w:rsidRPr="00270BD9" w:rsidRDefault="00AD10AA" w:rsidP="0045276B">
            <w:pPr>
              <w:pStyle w:val="BodyText1"/>
              <w:rPr>
                <w:b/>
                <w:bCs/>
                <w:sz w:val="16"/>
                <w:szCs w:val="16"/>
              </w:rPr>
            </w:pPr>
            <w:r w:rsidRPr="00270BD9">
              <w:rPr>
                <w:b/>
                <w:bCs/>
                <w:sz w:val="16"/>
                <w:szCs w:val="16"/>
              </w:rPr>
              <w:t>3%</w:t>
            </w:r>
          </w:p>
        </w:tc>
        <w:tc>
          <w:tcPr>
            <w:tcW w:w="842" w:type="pct"/>
            <w:tcBorders>
              <w:top w:val="single" w:sz="4" w:space="0" w:color="auto"/>
              <w:left w:val="nil"/>
              <w:bottom w:val="single" w:sz="4" w:space="0" w:color="auto"/>
              <w:right w:val="nil"/>
            </w:tcBorders>
            <w:vAlign w:val="center"/>
          </w:tcPr>
          <w:p w14:paraId="7D1E889C" w14:textId="77777777" w:rsidR="00A6763B" w:rsidRPr="00270BD9" w:rsidRDefault="00A6763B" w:rsidP="0045276B">
            <w:pPr>
              <w:pStyle w:val="BodyText1"/>
              <w:rPr>
                <w:b/>
                <w:bCs/>
                <w:sz w:val="16"/>
                <w:szCs w:val="16"/>
              </w:rPr>
            </w:pPr>
          </w:p>
        </w:tc>
      </w:tr>
      <w:tr w:rsidR="0056761E" w:rsidRPr="001856A1" w14:paraId="7C1B8127" w14:textId="0B0B1F15" w:rsidTr="0045276B">
        <w:trPr>
          <w:trHeight w:val="320"/>
        </w:trPr>
        <w:tc>
          <w:tcPr>
            <w:tcW w:w="2474" w:type="pct"/>
            <w:tcBorders>
              <w:top w:val="single" w:sz="4" w:space="0" w:color="auto"/>
              <w:left w:val="nil"/>
              <w:bottom w:val="single" w:sz="4" w:space="0" w:color="auto"/>
              <w:right w:val="nil"/>
            </w:tcBorders>
            <w:noWrap/>
            <w:vAlign w:val="bottom"/>
            <w:hideMark/>
          </w:tcPr>
          <w:p w14:paraId="791F35C8" w14:textId="77777777" w:rsidR="0056761E" w:rsidRPr="00270BD9" w:rsidRDefault="0056761E" w:rsidP="00021D38">
            <w:pPr>
              <w:pStyle w:val="BodyText1"/>
              <w:rPr>
                <w:b/>
                <w:bCs/>
                <w:sz w:val="16"/>
                <w:szCs w:val="16"/>
              </w:rPr>
            </w:pPr>
            <w:r w:rsidRPr="00270BD9">
              <w:rPr>
                <w:b/>
                <w:bCs/>
                <w:sz w:val="16"/>
                <w:szCs w:val="16"/>
              </w:rPr>
              <w:t>Grand Total</w:t>
            </w:r>
          </w:p>
        </w:tc>
        <w:tc>
          <w:tcPr>
            <w:tcW w:w="842" w:type="pct"/>
            <w:tcBorders>
              <w:top w:val="single" w:sz="4" w:space="0" w:color="auto"/>
              <w:left w:val="nil"/>
              <w:bottom w:val="single" w:sz="4" w:space="0" w:color="auto"/>
              <w:right w:val="nil"/>
            </w:tcBorders>
            <w:noWrap/>
            <w:vAlign w:val="center"/>
            <w:hideMark/>
          </w:tcPr>
          <w:p w14:paraId="34AECE29" w14:textId="0D33F615" w:rsidR="0056761E" w:rsidRPr="00270BD9" w:rsidRDefault="000D2D36" w:rsidP="0045276B">
            <w:pPr>
              <w:keepLines w:val="0"/>
              <w:widowControl/>
              <w:spacing w:before="0" w:after="0"/>
              <w:rPr>
                <w:rFonts w:eastAsia="Times New Roman"/>
                <w:b/>
                <w:color w:val="000000"/>
                <w:sz w:val="16"/>
                <w:szCs w:val="16"/>
              </w:rPr>
            </w:pPr>
            <w:r w:rsidRPr="00270BD9">
              <w:rPr>
                <w:b/>
                <w:color w:val="000000"/>
                <w:sz w:val="16"/>
                <w:szCs w:val="16"/>
              </w:rPr>
              <w:t>$253,638,687</w:t>
            </w:r>
          </w:p>
        </w:tc>
        <w:tc>
          <w:tcPr>
            <w:tcW w:w="842" w:type="pct"/>
            <w:tcBorders>
              <w:top w:val="single" w:sz="4" w:space="0" w:color="auto"/>
              <w:left w:val="nil"/>
              <w:bottom w:val="single" w:sz="4" w:space="0" w:color="auto"/>
              <w:right w:val="nil"/>
            </w:tcBorders>
            <w:noWrap/>
            <w:vAlign w:val="center"/>
            <w:hideMark/>
          </w:tcPr>
          <w:p w14:paraId="5BEBB214" w14:textId="79038085" w:rsidR="0056761E" w:rsidRPr="00270BD9" w:rsidRDefault="0056761E" w:rsidP="0045276B">
            <w:pPr>
              <w:pStyle w:val="BodyText1"/>
              <w:rPr>
                <w:b/>
                <w:bCs/>
                <w:sz w:val="16"/>
                <w:szCs w:val="16"/>
              </w:rPr>
            </w:pPr>
            <w:r w:rsidRPr="00270BD9">
              <w:rPr>
                <w:b/>
                <w:bCs/>
                <w:sz w:val="16"/>
                <w:szCs w:val="16"/>
              </w:rPr>
              <w:t>100%</w:t>
            </w:r>
          </w:p>
        </w:tc>
        <w:tc>
          <w:tcPr>
            <w:tcW w:w="842" w:type="pct"/>
            <w:tcBorders>
              <w:top w:val="single" w:sz="4" w:space="0" w:color="auto"/>
              <w:left w:val="nil"/>
              <w:bottom w:val="single" w:sz="4" w:space="0" w:color="auto"/>
              <w:right w:val="nil"/>
            </w:tcBorders>
            <w:vAlign w:val="center"/>
          </w:tcPr>
          <w:p w14:paraId="49854733" w14:textId="2627462B" w:rsidR="0056761E" w:rsidRPr="00270BD9" w:rsidRDefault="0056761E" w:rsidP="0045276B">
            <w:pPr>
              <w:pStyle w:val="BodyText1"/>
              <w:rPr>
                <w:b/>
                <w:bCs/>
                <w:sz w:val="16"/>
                <w:szCs w:val="16"/>
              </w:rPr>
            </w:pPr>
            <w:r w:rsidRPr="00270BD9">
              <w:rPr>
                <w:b/>
                <w:sz w:val="16"/>
                <w:szCs w:val="16"/>
              </w:rPr>
              <w:t>$</w:t>
            </w:r>
            <w:r w:rsidR="004C2758" w:rsidRPr="00270BD9">
              <w:rPr>
                <w:b/>
                <w:sz w:val="16"/>
                <w:szCs w:val="16"/>
              </w:rPr>
              <w:t>84,754</w:t>
            </w:r>
            <w:r w:rsidRPr="00270BD9">
              <w:rPr>
                <w:b/>
                <w:sz w:val="16"/>
                <w:szCs w:val="16"/>
              </w:rPr>
              <w:t>,342</w:t>
            </w:r>
          </w:p>
        </w:tc>
      </w:tr>
    </w:tbl>
    <w:p w14:paraId="10E2F6B3" w14:textId="69889A48" w:rsidR="00E36F15" w:rsidRPr="00D56F2F" w:rsidRDefault="00021D38" w:rsidP="00DA4528">
      <w:pPr>
        <w:rPr>
          <w:sz w:val="18"/>
          <w:szCs w:val="18"/>
        </w:rPr>
      </w:pPr>
      <w:r w:rsidRPr="00D56F2F">
        <w:rPr>
          <w:sz w:val="18"/>
          <w:szCs w:val="18"/>
          <w:vertAlign w:val="superscript"/>
        </w:rPr>
        <w:t xml:space="preserve">1 </w:t>
      </w:r>
      <w:r w:rsidRPr="00D56F2F">
        <w:rPr>
          <w:sz w:val="18"/>
          <w:szCs w:val="18"/>
        </w:rPr>
        <w:t>A</w:t>
      </w:r>
      <w:r w:rsidR="00EE2EB7" w:rsidRPr="00D56F2F">
        <w:rPr>
          <w:sz w:val="18"/>
          <w:szCs w:val="18"/>
        </w:rPr>
        <w:t xml:space="preserve">s </w:t>
      </w:r>
      <w:proofErr w:type="gramStart"/>
      <w:r w:rsidR="00EE2EB7" w:rsidRPr="00D56F2F">
        <w:rPr>
          <w:sz w:val="18"/>
          <w:szCs w:val="18"/>
        </w:rPr>
        <w:t>a</w:t>
      </w:r>
      <w:r w:rsidRPr="00D56F2F">
        <w:rPr>
          <w:sz w:val="18"/>
          <w:szCs w:val="18"/>
        </w:rPr>
        <w:t>t</w:t>
      </w:r>
      <w:proofErr w:type="gramEnd"/>
      <w:r w:rsidRPr="00D56F2F">
        <w:rPr>
          <w:sz w:val="18"/>
          <w:szCs w:val="18"/>
        </w:rPr>
        <w:t xml:space="preserve"> 30 </w:t>
      </w:r>
      <w:proofErr w:type="gramStart"/>
      <w:r w:rsidRPr="00D56F2F">
        <w:rPr>
          <w:sz w:val="18"/>
          <w:szCs w:val="18"/>
        </w:rPr>
        <w:t>April,</w:t>
      </w:r>
      <w:proofErr w:type="gramEnd"/>
      <w:r w:rsidRPr="00D56F2F">
        <w:rPr>
          <w:sz w:val="18"/>
          <w:szCs w:val="18"/>
        </w:rPr>
        <w:t xml:space="preserve"> 2025. </w:t>
      </w:r>
    </w:p>
    <w:p w14:paraId="36075444" w14:textId="77777777" w:rsidR="002265EB" w:rsidRDefault="002265EB">
      <w:pPr>
        <w:keepLines w:val="0"/>
        <w:widowControl/>
        <w:spacing w:before="0" w:after="0"/>
        <w:rPr>
          <w:rFonts w:eastAsiaTheme="minorHAnsi" w:cs="Segoe UI"/>
          <w:bCs/>
          <w:color w:val="009999"/>
        </w:rPr>
      </w:pPr>
      <w:r>
        <w:br w:type="page"/>
      </w:r>
    </w:p>
    <w:p w14:paraId="2CF171EF" w14:textId="45BF6F77" w:rsidR="00E41D26" w:rsidRDefault="00E41D26" w:rsidP="002265EB">
      <w:pPr>
        <w:pStyle w:val="Heading6"/>
      </w:pPr>
      <w:r>
        <w:lastRenderedPageBreak/>
        <w:t xml:space="preserve">Table </w:t>
      </w:r>
      <w:r>
        <w:fldChar w:fldCharType="begin"/>
      </w:r>
      <w:r>
        <w:instrText>SEQ Table \* ARABIC</w:instrText>
      </w:r>
      <w:r>
        <w:fldChar w:fldCharType="separate"/>
      </w:r>
      <w:r w:rsidR="00C762CE">
        <w:rPr>
          <w:noProof/>
        </w:rPr>
        <w:t>5</w:t>
      </w:r>
      <w:r>
        <w:fldChar w:fldCharType="end"/>
      </w:r>
      <w:r>
        <w:t xml:space="preserve">. </w:t>
      </w:r>
      <w:r w:rsidRPr="00417EA6">
        <w:t xml:space="preserve">CAP funding </w:t>
      </w:r>
      <w:r w:rsidR="00C50635" w:rsidRPr="007B2DBB">
        <w:t xml:space="preserve">committed through </w:t>
      </w:r>
      <w:r w:rsidR="00C50635">
        <w:t xml:space="preserve">a </w:t>
      </w:r>
      <w:r w:rsidR="00C50635" w:rsidRPr="007B2DBB">
        <w:t xml:space="preserve">financial arrangement with </w:t>
      </w:r>
      <w:r w:rsidR="00C50635">
        <w:t xml:space="preserve">a </w:t>
      </w:r>
      <w:r w:rsidR="00C50635" w:rsidRPr="007B2DBB">
        <w:t>provider</w:t>
      </w:r>
      <w:r w:rsidRPr="00417EA6">
        <w:t xml:space="preserve"> and paid by alignment with Closing the Gap Outcome areas </w:t>
      </w:r>
      <w:bookmarkStart w:id="52" w:name="_Int_D7l3aFYs"/>
      <w:proofErr w:type="gramStart"/>
      <w:r w:rsidRPr="00417EA6">
        <w:t>at</w:t>
      </w:r>
      <w:bookmarkEnd w:id="52"/>
      <w:proofErr w:type="gramEnd"/>
      <w:r w:rsidRPr="00417EA6">
        <w:t xml:space="preserve"> 30 </w:t>
      </w:r>
      <w:proofErr w:type="gramStart"/>
      <w:r w:rsidRPr="00417EA6">
        <w:t>April,</w:t>
      </w:r>
      <w:proofErr w:type="gramEnd"/>
      <w:r w:rsidRPr="00417EA6">
        <w:t xml:space="preserve"> 2025.</w:t>
      </w:r>
    </w:p>
    <w:tbl>
      <w:tblPr>
        <w:tblW w:w="7450" w:type="dxa"/>
        <w:tblBorders>
          <w:top w:val="single" w:sz="4" w:space="0" w:color="auto"/>
          <w:bottom w:val="single" w:sz="4" w:space="0" w:color="auto"/>
        </w:tblBorders>
        <w:tblLook w:val="04A0" w:firstRow="1" w:lastRow="0" w:firstColumn="1" w:lastColumn="0" w:noHBand="0" w:noVBand="1"/>
      </w:tblPr>
      <w:tblGrid>
        <w:gridCol w:w="2250"/>
        <w:gridCol w:w="2500"/>
        <w:gridCol w:w="2700"/>
      </w:tblGrid>
      <w:tr w:rsidR="001D120F" w:rsidRPr="00021D38" w14:paraId="00E83DCB" w14:textId="77777777" w:rsidTr="00142822">
        <w:trPr>
          <w:trHeight w:val="320"/>
          <w:tblHeader/>
        </w:trPr>
        <w:tc>
          <w:tcPr>
            <w:tcW w:w="2250" w:type="dxa"/>
            <w:tcBorders>
              <w:top w:val="single" w:sz="4" w:space="0" w:color="auto"/>
              <w:bottom w:val="single" w:sz="4" w:space="0" w:color="auto"/>
            </w:tcBorders>
            <w:noWrap/>
            <w:hideMark/>
          </w:tcPr>
          <w:p w14:paraId="4A1B29B3" w14:textId="67E94784" w:rsidR="001D120F" w:rsidRPr="00270BD9" w:rsidRDefault="000055BA" w:rsidP="00021D38">
            <w:pPr>
              <w:pStyle w:val="BodyText1"/>
              <w:rPr>
                <w:b/>
                <w:bCs/>
                <w:sz w:val="16"/>
                <w:szCs w:val="16"/>
              </w:rPr>
            </w:pPr>
            <w:r w:rsidRPr="00270BD9">
              <w:rPr>
                <w:b/>
                <w:bCs/>
                <w:sz w:val="16"/>
                <w:szCs w:val="16"/>
              </w:rPr>
              <w:t xml:space="preserve">National Agreement </w:t>
            </w:r>
            <w:r w:rsidR="005F3BCD" w:rsidRPr="00270BD9">
              <w:rPr>
                <w:b/>
                <w:bCs/>
                <w:sz w:val="16"/>
                <w:szCs w:val="16"/>
              </w:rPr>
              <w:t>Outcome area</w:t>
            </w:r>
          </w:p>
        </w:tc>
        <w:tc>
          <w:tcPr>
            <w:tcW w:w="2500" w:type="dxa"/>
            <w:tcBorders>
              <w:top w:val="single" w:sz="4" w:space="0" w:color="auto"/>
              <w:bottom w:val="single" w:sz="4" w:space="0" w:color="auto"/>
            </w:tcBorders>
            <w:noWrap/>
            <w:hideMark/>
          </w:tcPr>
          <w:p w14:paraId="6C9C652F" w14:textId="56C38E7D" w:rsidR="001D120F" w:rsidRPr="00270BD9" w:rsidRDefault="00021D38" w:rsidP="00021D38">
            <w:pPr>
              <w:pStyle w:val="BodyText1"/>
              <w:rPr>
                <w:b/>
                <w:bCs/>
                <w:sz w:val="16"/>
                <w:szCs w:val="16"/>
              </w:rPr>
            </w:pPr>
            <w:r w:rsidRPr="00270BD9">
              <w:rPr>
                <w:b/>
                <w:bCs/>
                <w:sz w:val="16"/>
                <w:szCs w:val="16"/>
              </w:rPr>
              <w:t>Funding committed to specific projects</w:t>
            </w:r>
          </w:p>
        </w:tc>
        <w:tc>
          <w:tcPr>
            <w:tcW w:w="2700" w:type="dxa"/>
            <w:tcBorders>
              <w:top w:val="single" w:sz="4" w:space="0" w:color="auto"/>
              <w:bottom w:val="single" w:sz="4" w:space="0" w:color="auto"/>
            </w:tcBorders>
            <w:noWrap/>
            <w:hideMark/>
          </w:tcPr>
          <w:p w14:paraId="46E2ABDE" w14:textId="273E2C4D" w:rsidR="001D120F" w:rsidRPr="00270BD9" w:rsidRDefault="001D120F" w:rsidP="00021D38">
            <w:pPr>
              <w:pStyle w:val="BodyText1"/>
              <w:rPr>
                <w:b/>
                <w:bCs/>
                <w:sz w:val="16"/>
                <w:szCs w:val="16"/>
              </w:rPr>
            </w:pPr>
            <w:r w:rsidRPr="00270BD9">
              <w:rPr>
                <w:b/>
                <w:bCs/>
                <w:sz w:val="16"/>
                <w:szCs w:val="16"/>
              </w:rPr>
              <w:t xml:space="preserve">Funding Paid </w:t>
            </w:r>
          </w:p>
        </w:tc>
      </w:tr>
      <w:tr w:rsidR="001D120F" w:rsidRPr="001D120F" w14:paraId="67568917" w14:textId="77777777" w:rsidTr="00142822">
        <w:trPr>
          <w:trHeight w:val="320"/>
          <w:tblHeader/>
        </w:trPr>
        <w:tc>
          <w:tcPr>
            <w:tcW w:w="2250" w:type="dxa"/>
            <w:tcBorders>
              <w:top w:val="single" w:sz="4" w:space="0" w:color="auto"/>
            </w:tcBorders>
            <w:noWrap/>
            <w:hideMark/>
          </w:tcPr>
          <w:p w14:paraId="68973590" w14:textId="77777777" w:rsidR="001D120F" w:rsidRPr="00270BD9" w:rsidRDefault="001D120F" w:rsidP="00021D38">
            <w:pPr>
              <w:pStyle w:val="BodyText1"/>
              <w:rPr>
                <w:sz w:val="16"/>
                <w:szCs w:val="16"/>
              </w:rPr>
            </w:pPr>
            <w:r w:rsidRPr="00270BD9">
              <w:rPr>
                <w:sz w:val="16"/>
                <w:szCs w:val="16"/>
              </w:rPr>
              <w:t>Outcome 1</w:t>
            </w:r>
          </w:p>
        </w:tc>
        <w:tc>
          <w:tcPr>
            <w:tcW w:w="2500" w:type="dxa"/>
            <w:tcBorders>
              <w:top w:val="single" w:sz="4" w:space="0" w:color="auto"/>
            </w:tcBorders>
            <w:noWrap/>
            <w:hideMark/>
          </w:tcPr>
          <w:p w14:paraId="1106F671" w14:textId="77777777" w:rsidR="001D120F" w:rsidRPr="00270BD9" w:rsidRDefault="001D120F" w:rsidP="00021D38">
            <w:pPr>
              <w:pStyle w:val="BodyText1"/>
              <w:rPr>
                <w:sz w:val="16"/>
                <w:szCs w:val="16"/>
              </w:rPr>
            </w:pPr>
            <w:r w:rsidRPr="00270BD9">
              <w:rPr>
                <w:sz w:val="16"/>
                <w:szCs w:val="16"/>
              </w:rPr>
              <w:t>$23,400,000</w:t>
            </w:r>
          </w:p>
        </w:tc>
        <w:tc>
          <w:tcPr>
            <w:tcW w:w="2700" w:type="dxa"/>
            <w:tcBorders>
              <w:top w:val="single" w:sz="4" w:space="0" w:color="auto"/>
            </w:tcBorders>
            <w:noWrap/>
            <w:hideMark/>
          </w:tcPr>
          <w:p w14:paraId="532902A0" w14:textId="77777777" w:rsidR="001D120F" w:rsidRPr="00270BD9" w:rsidRDefault="001D120F" w:rsidP="00021D38">
            <w:pPr>
              <w:pStyle w:val="BodyText1"/>
              <w:rPr>
                <w:sz w:val="16"/>
                <w:szCs w:val="16"/>
              </w:rPr>
            </w:pPr>
            <w:r w:rsidRPr="00270BD9">
              <w:rPr>
                <w:sz w:val="16"/>
                <w:szCs w:val="16"/>
              </w:rPr>
              <w:t>$17,200,000</w:t>
            </w:r>
          </w:p>
        </w:tc>
      </w:tr>
      <w:tr w:rsidR="001D120F" w:rsidRPr="001D120F" w14:paraId="6BADCB53" w14:textId="77777777" w:rsidTr="00142822">
        <w:trPr>
          <w:trHeight w:val="320"/>
          <w:tblHeader/>
        </w:trPr>
        <w:tc>
          <w:tcPr>
            <w:tcW w:w="2250" w:type="dxa"/>
            <w:noWrap/>
            <w:hideMark/>
          </w:tcPr>
          <w:p w14:paraId="7DD636CE" w14:textId="77777777" w:rsidR="001D120F" w:rsidRPr="00270BD9" w:rsidRDefault="001D120F" w:rsidP="00021D38">
            <w:pPr>
              <w:pStyle w:val="BodyText1"/>
              <w:rPr>
                <w:sz w:val="16"/>
                <w:szCs w:val="16"/>
              </w:rPr>
            </w:pPr>
            <w:r w:rsidRPr="00270BD9">
              <w:rPr>
                <w:sz w:val="16"/>
                <w:szCs w:val="16"/>
              </w:rPr>
              <w:t>Outcome 13</w:t>
            </w:r>
          </w:p>
        </w:tc>
        <w:tc>
          <w:tcPr>
            <w:tcW w:w="2500" w:type="dxa"/>
            <w:noWrap/>
            <w:hideMark/>
          </w:tcPr>
          <w:p w14:paraId="04A5E75F" w14:textId="77777777" w:rsidR="001D120F" w:rsidRPr="00270BD9" w:rsidRDefault="001D120F" w:rsidP="00021D38">
            <w:pPr>
              <w:pStyle w:val="BodyText1"/>
              <w:rPr>
                <w:sz w:val="16"/>
                <w:szCs w:val="16"/>
              </w:rPr>
            </w:pPr>
            <w:r w:rsidRPr="00270BD9">
              <w:rPr>
                <w:sz w:val="16"/>
                <w:szCs w:val="16"/>
              </w:rPr>
              <w:t>$10,106,000</w:t>
            </w:r>
          </w:p>
        </w:tc>
        <w:tc>
          <w:tcPr>
            <w:tcW w:w="2700" w:type="dxa"/>
            <w:noWrap/>
            <w:hideMark/>
          </w:tcPr>
          <w:p w14:paraId="6BA9C9C0" w14:textId="77777777" w:rsidR="001D120F" w:rsidRPr="00270BD9" w:rsidRDefault="001D120F" w:rsidP="00021D38">
            <w:pPr>
              <w:pStyle w:val="BodyText1"/>
              <w:rPr>
                <w:sz w:val="16"/>
                <w:szCs w:val="16"/>
              </w:rPr>
            </w:pPr>
            <w:r w:rsidRPr="00270BD9">
              <w:rPr>
                <w:sz w:val="16"/>
                <w:szCs w:val="16"/>
              </w:rPr>
              <w:t>$4,877,810</w:t>
            </w:r>
          </w:p>
        </w:tc>
      </w:tr>
      <w:tr w:rsidR="001D120F" w:rsidRPr="001D120F" w14:paraId="33819216" w14:textId="77777777" w:rsidTr="00142822">
        <w:trPr>
          <w:trHeight w:val="320"/>
          <w:tblHeader/>
        </w:trPr>
        <w:tc>
          <w:tcPr>
            <w:tcW w:w="2250" w:type="dxa"/>
            <w:noWrap/>
            <w:hideMark/>
          </w:tcPr>
          <w:p w14:paraId="055E23AB" w14:textId="77777777" w:rsidR="001D120F" w:rsidRPr="00270BD9" w:rsidRDefault="001D120F" w:rsidP="00021D38">
            <w:pPr>
              <w:pStyle w:val="BodyText1"/>
              <w:rPr>
                <w:sz w:val="16"/>
                <w:szCs w:val="16"/>
              </w:rPr>
            </w:pPr>
            <w:r w:rsidRPr="00270BD9">
              <w:rPr>
                <w:sz w:val="16"/>
                <w:szCs w:val="16"/>
              </w:rPr>
              <w:t>Outcome 17</w:t>
            </w:r>
          </w:p>
        </w:tc>
        <w:tc>
          <w:tcPr>
            <w:tcW w:w="2500" w:type="dxa"/>
            <w:noWrap/>
            <w:hideMark/>
          </w:tcPr>
          <w:p w14:paraId="3DC9CAA3" w14:textId="77777777" w:rsidR="001D120F" w:rsidRPr="00270BD9" w:rsidRDefault="001D120F" w:rsidP="00021D38">
            <w:pPr>
              <w:pStyle w:val="BodyText1"/>
              <w:rPr>
                <w:sz w:val="16"/>
                <w:szCs w:val="16"/>
              </w:rPr>
            </w:pPr>
            <w:r w:rsidRPr="00270BD9">
              <w:rPr>
                <w:sz w:val="16"/>
                <w:szCs w:val="16"/>
              </w:rPr>
              <w:t>$7,078,738</w:t>
            </w:r>
          </w:p>
        </w:tc>
        <w:tc>
          <w:tcPr>
            <w:tcW w:w="2700" w:type="dxa"/>
            <w:noWrap/>
            <w:hideMark/>
          </w:tcPr>
          <w:p w14:paraId="016FA7B6" w14:textId="77777777" w:rsidR="001D120F" w:rsidRPr="00270BD9" w:rsidRDefault="001D120F" w:rsidP="00021D38">
            <w:pPr>
              <w:pStyle w:val="BodyText1"/>
              <w:rPr>
                <w:sz w:val="16"/>
                <w:szCs w:val="16"/>
              </w:rPr>
            </w:pPr>
            <w:r w:rsidRPr="00270BD9">
              <w:rPr>
                <w:sz w:val="16"/>
                <w:szCs w:val="16"/>
              </w:rPr>
              <w:t>$584,723</w:t>
            </w:r>
          </w:p>
        </w:tc>
      </w:tr>
      <w:tr w:rsidR="001D120F" w:rsidRPr="001D120F" w14:paraId="1BBE8D07" w14:textId="77777777" w:rsidTr="00142822">
        <w:trPr>
          <w:trHeight w:val="320"/>
          <w:tblHeader/>
        </w:trPr>
        <w:tc>
          <w:tcPr>
            <w:tcW w:w="2250" w:type="dxa"/>
            <w:noWrap/>
            <w:hideMark/>
          </w:tcPr>
          <w:p w14:paraId="0CCE2CD7" w14:textId="77777777" w:rsidR="001D120F" w:rsidRPr="00270BD9" w:rsidRDefault="001D120F" w:rsidP="00021D38">
            <w:pPr>
              <w:pStyle w:val="BodyText1"/>
              <w:rPr>
                <w:sz w:val="16"/>
                <w:szCs w:val="16"/>
              </w:rPr>
            </w:pPr>
            <w:r w:rsidRPr="00270BD9">
              <w:rPr>
                <w:sz w:val="16"/>
                <w:szCs w:val="16"/>
              </w:rPr>
              <w:t>Outcome 9</w:t>
            </w:r>
          </w:p>
        </w:tc>
        <w:tc>
          <w:tcPr>
            <w:tcW w:w="2500" w:type="dxa"/>
            <w:noWrap/>
            <w:hideMark/>
          </w:tcPr>
          <w:p w14:paraId="2F6D88E8" w14:textId="77777777" w:rsidR="001D120F" w:rsidRPr="00270BD9" w:rsidRDefault="001D120F" w:rsidP="00021D38">
            <w:pPr>
              <w:pStyle w:val="BodyText1"/>
              <w:rPr>
                <w:sz w:val="16"/>
                <w:szCs w:val="16"/>
              </w:rPr>
            </w:pPr>
            <w:r w:rsidRPr="00270BD9">
              <w:rPr>
                <w:sz w:val="16"/>
                <w:szCs w:val="16"/>
              </w:rPr>
              <w:t>$33,433,350</w:t>
            </w:r>
          </w:p>
        </w:tc>
        <w:tc>
          <w:tcPr>
            <w:tcW w:w="2700" w:type="dxa"/>
            <w:noWrap/>
            <w:hideMark/>
          </w:tcPr>
          <w:p w14:paraId="1829EEE5" w14:textId="77777777" w:rsidR="001D120F" w:rsidRPr="00270BD9" w:rsidRDefault="001D120F" w:rsidP="00021D38">
            <w:pPr>
              <w:pStyle w:val="BodyText1"/>
              <w:rPr>
                <w:sz w:val="16"/>
                <w:szCs w:val="16"/>
              </w:rPr>
            </w:pPr>
            <w:r w:rsidRPr="00270BD9">
              <w:rPr>
                <w:sz w:val="16"/>
                <w:szCs w:val="16"/>
              </w:rPr>
              <w:t>$2,632,675</w:t>
            </w:r>
          </w:p>
        </w:tc>
      </w:tr>
      <w:tr w:rsidR="001D120F" w:rsidRPr="001D120F" w14:paraId="6ECAD8DC" w14:textId="77777777" w:rsidTr="00142822">
        <w:trPr>
          <w:trHeight w:val="320"/>
          <w:tblHeader/>
        </w:trPr>
        <w:tc>
          <w:tcPr>
            <w:tcW w:w="2250" w:type="dxa"/>
            <w:noWrap/>
            <w:hideMark/>
          </w:tcPr>
          <w:p w14:paraId="7835041B" w14:textId="77777777" w:rsidR="001D120F" w:rsidRPr="00270BD9" w:rsidRDefault="001D120F" w:rsidP="00021D38">
            <w:pPr>
              <w:pStyle w:val="BodyText1"/>
              <w:rPr>
                <w:sz w:val="16"/>
                <w:szCs w:val="16"/>
              </w:rPr>
            </w:pPr>
            <w:r w:rsidRPr="00270BD9">
              <w:rPr>
                <w:sz w:val="16"/>
                <w:szCs w:val="16"/>
              </w:rPr>
              <w:t>Outcomes 10 &amp; 11</w:t>
            </w:r>
          </w:p>
        </w:tc>
        <w:tc>
          <w:tcPr>
            <w:tcW w:w="2500" w:type="dxa"/>
            <w:noWrap/>
            <w:hideMark/>
          </w:tcPr>
          <w:p w14:paraId="74FF5EB4" w14:textId="77777777" w:rsidR="001D120F" w:rsidRPr="00270BD9" w:rsidRDefault="001D120F" w:rsidP="00021D38">
            <w:pPr>
              <w:pStyle w:val="BodyText1"/>
              <w:rPr>
                <w:sz w:val="16"/>
                <w:szCs w:val="16"/>
              </w:rPr>
            </w:pPr>
            <w:r w:rsidRPr="00270BD9">
              <w:rPr>
                <w:sz w:val="16"/>
                <w:szCs w:val="16"/>
              </w:rPr>
              <w:t>$7,518,146</w:t>
            </w:r>
          </w:p>
        </w:tc>
        <w:tc>
          <w:tcPr>
            <w:tcW w:w="2700" w:type="dxa"/>
            <w:noWrap/>
            <w:hideMark/>
          </w:tcPr>
          <w:p w14:paraId="03E12165" w14:textId="77777777" w:rsidR="001D120F" w:rsidRPr="00270BD9" w:rsidRDefault="001D120F" w:rsidP="00021D38">
            <w:pPr>
              <w:pStyle w:val="BodyText1"/>
              <w:rPr>
                <w:sz w:val="16"/>
                <w:szCs w:val="16"/>
              </w:rPr>
            </w:pPr>
            <w:r w:rsidRPr="00270BD9">
              <w:rPr>
                <w:sz w:val="16"/>
                <w:szCs w:val="16"/>
              </w:rPr>
              <w:t>$2,691,994</w:t>
            </w:r>
          </w:p>
        </w:tc>
      </w:tr>
      <w:tr w:rsidR="001D120F" w:rsidRPr="001D120F" w14:paraId="500101C6" w14:textId="77777777" w:rsidTr="00142822">
        <w:trPr>
          <w:trHeight w:val="320"/>
          <w:tblHeader/>
        </w:trPr>
        <w:tc>
          <w:tcPr>
            <w:tcW w:w="2250" w:type="dxa"/>
            <w:noWrap/>
            <w:hideMark/>
          </w:tcPr>
          <w:p w14:paraId="76EE6076" w14:textId="77777777" w:rsidR="001D120F" w:rsidRPr="00270BD9" w:rsidRDefault="001D120F" w:rsidP="00021D38">
            <w:pPr>
              <w:pStyle w:val="BodyText1"/>
              <w:rPr>
                <w:sz w:val="16"/>
                <w:szCs w:val="16"/>
              </w:rPr>
            </w:pPr>
            <w:r w:rsidRPr="00270BD9">
              <w:rPr>
                <w:sz w:val="16"/>
                <w:szCs w:val="16"/>
              </w:rPr>
              <w:t>Outcomes 5, 6 and 7</w:t>
            </w:r>
          </w:p>
        </w:tc>
        <w:tc>
          <w:tcPr>
            <w:tcW w:w="2500" w:type="dxa"/>
            <w:noWrap/>
            <w:hideMark/>
          </w:tcPr>
          <w:p w14:paraId="2983D1B8" w14:textId="77777777" w:rsidR="001D120F" w:rsidRPr="00270BD9" w:rsidRDefault="001D120F" w:rsidP="00021D38">
            <w:pPr>
              <w:pStyle w:val="BodyText1"/>
              <w:rPr>
                <w:sz w:val="16"/>
                <w:szCs w:val="16"/>
              </w:rPr>
            </w:pPr>
            <w:r w:rsidRPr="00270BD9">
              <w:rPr>
                <w:sz w:val="16"/>
                <w:szCs w:val="16"/>
              </w:rPr>
              <w:t>$40,372,721</w:t>
            </w:r>
          </w:p>
        </w:tc>
        <w:tc>
          <w:tcPr>
            <w:tcW w:w="2700" w:type="dxa"/>
            <w:noWrap/>
            <w:hideMark/>
          </w:tcPr>
          <w:p w14:paraId="41114E98" w14:textId="77777777" w:rsidR="001D120F" w:rsidRPr="00270BD9" w:rsidRDefault="001D120F" w:rsidP="00021D38">
            <w:pPr>
              <w:pStyle w:val="BodyText1"/>
              <w:rPr>
                <w:sz w:val="16"/>
                <w:szCs w:val="16"/>
              </w:rPr>
            </w:pPr>
            <w:r w:rsidRPr="00270BD9">
              <w:rPr>
                <w:sz w:val="16"/>
                <w:szCs w:val="16"/>
              </w:rPr>
              <w:t>$38,372,721</w:t>
            </w:r>
          </w:p>
        </w:tc>
      </w:tr>
      <w:tr w:rsidR="001D120F" w:rsidRPr="001D120F" w14:paraId="5409AECC" w14:textId="77777777" w:rsidTr="00142822">
        <w:trPr>
          <w:trHeight w:val="320"/>
          <w:tblHeader/>
        </w:trPr>
        <w:tc>
          <w:tcPr>
            <w:tcW w:w="2250" w:type="dxa"/>
            <w:noWrap/>
            <w:hideMark/>
          </w:tcPr>
          <w:p w14:paraId="51ADD9A0" w14:textId="77777777" w:rsidR="001D120F" w:rsidRPr="00270BD9" w:rsidRDefault="001D120F" w:rsidP="00021D38">
            <w:pPr>
              <w:pStyle w:val="BodyText1"/>
              <w:rPr>
                <w:sz w:val="16"/>
                <w:szCs w:val="16"/>
              </w:rPr>
            </w:pPr>
            <w:r w:rsidRPr="00270BD9">
              <w:rPr>
                <w:sz w:val="16"/>
                <w:szCs w:val="16"/>
              </w:rPr>
              <w:t>Outcomes 6, 7</w:t>
            </w:r>
          </w:p>
        </w:tc>
        <w:tc>
          <w:tcPr>
            <w:tcW w:w="2500" w:type="dxa"/>
            <w:noWrap/>
            <w:hideMark/>
          </w:tcPr>
          <w:p w14:paraId="59BD58B6" w14:textId="77777777" w:rsidR="001D120F" w:rsidRPr="00270BD9" w:rsidRDefault="001D120F" w:rsidP="00021D38">
            <w:pPr>
              <w:pStyle w:val="BodyText1"/>
              <w:rPr>
                <w:sz w:val="16"/>
                <w:szCs w:val="16"/>
              </w:rPr>
            </w:pPr>
            <w:r w:rsidRPr="00270BD9">
              <w:rPr>
                <w:sz w:val="16"/>
                <w:szCs w:val="16"/>
              </w:rPr>
              <w:t>$12,690,000</w:t>
            </w:r>
          </w:p>
        </w:tc>
        <w:tc>
          <w:tcPr>
            <w:tcW w:w="2700" w:type="dxa"/>
            <w:noWrap/>
            <w:hideMark/>
          </w:tcPr>
          <w:p w14:paraId="50011183" w14:textId="77777777" w:rsidR="001D120F" w:rsidRPr="00270BD9" w:rsidRDefault="001D120F" w:rsidP="00021D38">
            <w:pPr>
              <w:pStyle w:val="BodyText1"/>
              <w:rPr>
                <w:sz w:val="16"/>
                <w:szCs w:val="16"/>
              </w:rPr>
            </w:pPr>
            <w:r w:rsidRPr="00270BD9">
              <w:rPr>
                <w:sz w:val="16"/>
                <w:szCs w:val="16"/>
              </w:rPr>
              <w:t>$2,666,000</w:t>
            </w:r>
          </w:p>
        </w:tc>
      </w:tr>
      <w:tr w:rsidR="001D120F" w:rsidRPr="001D120F" w14:paraId="40A7A81E" w14:textId="77777777" w:rsidTr="00142822">
        <w:trPr>
          <w:trHeight w:val="320"/>
          <w:tblHeader/>
        </w:trPr>
        <w:tc>
          <w:tcPr>
            <w:tcW w:w="2250" w:type="dxa"/>
            <w:noWrap/>
            <w:hideMark/>
          </w:tcPr>
          <w:p w14:paraId="1283AAA5" w14:textId="4D271A2D" w:rsidR="001D120F" w:rsidRPr="00270BD9" w:rsidRDefault="001D120F" w:rsidP="00021D38">
            <w:pPr>
              <w:pStyle w:val="BodyText1"/>
              <w:rPr>
                <w:sz w:val="16"/>
                <w:szCs w:val="16"/>
              </w:rPr>
            </w:pPr>
            <w:r w:rsidRPr="00270BD9">
              <w:rPr>
                <w:sz w:val="16"/>
                <w:szCs w:val="16"/>
              </w:rPr>
              <w:t xml:space="preserve">Outcomes 6, </w:t>
            </w:r>
            <w:r w:rsidR="00761C0C" w:rsidRPr="00270BD9">
              <w:rPr>
                <w:sz w:val="16"/>
                <w:szCs w:val="16"/>
              </w:rPr>
              <w:t>7,</w:t>
            </w:r>
            <w:r w:rsidRPr="00270BD9">
              <w:rPr>
                <w:sz w:val="16"/>
                <w:szCs w:val="16"/>
              </w:rPr>
              <w:t xml:space="preserve"> 8</w:t>
            </w:r>
          </w:p>
        </w:tc>
        <w:tc>
          <w:tcPr>
            <w:tcW w:w="2500" w:type="dxa"/>
            <w:noWrap/>
            <w:hideMark/>
          </w:tcPr>
          <w:p w14:paraId="672294DD" w14:textId="77777777" w:rsidR="001D120F" w:rsidRPr="00270BD9" w:rsidRDefault="001D120F" w:rsidP="00021D38">
            <w:pPr>
              <w:pStyle w:val="BodyText1"/>
              <w:rPr>
                <w:sz w:val="16"/>
                <w:szCs w:val="16"/>
              </w:rPr>
            </w:pPr>
            <w:r w:rsidRPr="00270BD9">
              <w:rPr>
                <w:sz w:val="16"/>
                <w:szCs w:val="16"/>
              </w:rPr>
              <w:t>$4,323,460</w:t>
            </w:r>
          </w:p>
        </w:tc>
        <w:tc>
          <w:tcPr>
            <w:tcW w:w="2700" w:type="dxa"/>
            <w:noWrap/>
            <w:hideMark/>
          </w:tcPr>
          <w:p w14:paraId="34B5E1E4" w14:textId="77777777" w:rsidR="001D120F" w:rsidRPr="00270BD9" w:rsidRDefault="001D120F" w:rsidP="00021D38">
            <w:pPr>
              <w:pStyle w:val="BodyText1"/>
              <w:rPr>
                <w:sz w:val="16"/>
                <w:szCs w:val="16"/>
              </w:rPr>
            </w:pPr>
            <w:r w:rsidRPr="00270BD9">
              <w:rPr>
                <w:sz w:val="16"/>
                <w:szCs w:val="16"/>
              </w:rPr>
              <w:t>$1,876,227</w:t>
            </w:r>
          </w:p>
        </w:tc>
      </w:tr>
      <w:tr w:rsidR="001D120F" w:rsidRPr="001D120F" w14:paraId="07E6B538" w14:textId="77777777" w:rsidTr="00142822">
        <w:trPr>
          <w:trHeight w:val="320"/>
          <w:tblHeader/>
        </w:trPr>
        <w:tc>
          <w:tcPr>
            <w:tcW w:w="2250" w:type="dxa"/>
            <w:noWrap/>
            <w:hideMark/>
          </w:tcPr>
          <w:p w14:paraId="091C0265" w14:textId="77777777" w:rsidR="00414694" w:rsidRPr="00270BD9" w:rsidRDefault="00414694" w:rsidP="00021D38">
            <w:pPr>
              <w:pStyle w:val="BodyText1"/>
              <w:rPr>
                <w:sz w:val="16"/>
                <w:szCs w:val="16"/>
              </w:rPr>
            </w:pPr>
            <w:r w:rsidRPr="00270BD9">
              <w:rPr>
                <w:sz w:val="16"/>
                <w:szCs w:val="16"/>
              </w:rPr>
              <w:t>Outcomes 6,7,11,12, 15</w:t>
            </w:r>
          </w:p>
        </w:tc>
        <w:tc>
          <w:tcPr>
            <w:tcW w:w="2500" w:type="dxa"/>
            <w:noWrap/>
            <w:hideMark/>
          </w:tcPr>
          <w:p w14:paraId="680BC6CB" w14:textId="77777777" w:rsidR="001D120F" w:rsidRPr="00270BD9" w:rsidRDefault="001D120F" w:rsidP="00021D38">
            <w:pPr>
              <w:pStyle w:val="BodyText1"/>
              <w:rPr>
                <w:sz w:val="16"/>
                <w:szCs w:val="16"/>
              </w:rPr>
            </w:pPr>
            <w:r w:rsidRPr="00270BD9">
              <w:rPr>
                <w:sz w:val="16"/>
                <w:szCs w:val="16"/>
              </w:rPr>
              <w:t>$1,888,836</w:t>
            </w:r>
          </w:p>
        </w:tc>
        <w:tc>
          <w:tcPr>
            <w:tcW w:w="2700" w:type="dxa"/>
            <w:noWrap/>
            <w:hideMark/>
          </w:tcPr>
          <w:p w14:paraId="26D6577A" w14:textId="77777777" w:rsidR="001D120F" w:rsidRPr="00270BD9" w:rsidRDefault="001D120F" w:rsidP="00021D38">
            <w:pPr>
              <w:pStyle w:val="BodyText1"/>
              <w:rPr>
                <w:sz w:val="16"/>
                <w:szCs w:val="16"/>
              </w:rPr>
            </w:pPr>
            <w:r w:rsidRPr="00270BD9">
              <w:rPr>
                <w:sz w:val="16"/>
                <w:szCs w:val="16"/>
              </w:rPr>
              <w:t>$1,888,836</w:t>
            </w:r>
          </w:p>
        </w:tc>
      </w:tr>
      <w:tr w:rsidR="001D120F" w:rsidRPr="001D120F" w14:paraId="66C240E0" w14:textId="77777777" w:rsidTr="00142822">
        <w:trPr>
          <w:trHeight w:val="320"/>
          <w:tblHeader/>
        </w:trPr>
        <w:tc>
          <w:tcPr>
            <w:tcW w:w="2250" w:type="dxa"/>
            <w:noWrap/>
            <w:hideMark/>
          </w:tcPr>
          <w:p w14:paraId="38C2ED47" w14:textId="77777777" w:rsidR="001D120F" w:rsidRPr="00270BD9" w:rsidRDefault="001D120F" w:rsidP="00021D38">
            <w:pPr>
              <w:pStyle w:val="BodyText1"/>
              <w:rPr>
                <w:sz w:val="16"/>
                <w:szCs w:val="16"/>
              </w:rPr>
            </w:pPr>
            <w:r w:rsidRPr="00270BD9">
              <w:rPr>
                <w:sz w:val="16"/>
                <w:szCs w:val="16"/>
              </w:rPr>
              <w:t xml:space="preserve">Outcomes 7, 11, 13 </w:t>
            </w:r>
          </w:p>
        </w:tc>
        <w:tc>
          <w:tcPr>
            <w:tcW w:w="2500" w:type="dxa"/>
            <w:noWrap/>
            <w:hideMark/>
          </w:tcPr>
          <w:p w14:paraId="3CD70F0F" w14:textId="77777777" w:rsidR="001D120F" w:rsidRPr="00270BD9" w:rsidRDefault="001D120F" w:rsidP="00021D38">
            <w:pPr>
              <w:pStyle w:val="BodyText1"/>
              <w:rPr>
                <w:sz w:val="16"/>
                <w:szCs w:val="16"/>
              </w:rPr>
            </w:pPr>
            <w:r w:rsidRPr="00270BD9">
              <w:rPr>
                <w:sz w:val="16"/>
                <w:szCs w:val="16"/>
              </w:rPr>
              <w:t>$710,000</w:t>
            </w:r>
          </w:p>
        </w:tc>
        <w:tc>
          <w:tcPr>
            <w:tcW w:w="2700" w:type="dxa"/>
            <w:noWrap/>
            <w:hideMark/>
          </w:tcPr>
          <w:p w14:paraId="21697BE2" w14:textId="77777777" w:rsidR="001D120F" w:rsidRPr="00270BD9" w:rsidRDefault="001D120F" w:rsidP="00021D38">
            <w:pPr>
              <w:pStyle w:val="BodyText1"/>
              <w:rPr>
                <w:sz w:val="16"/>
                <w:szCs w:val="16"/>
              </w:rPr>
            </w:pPr>
            <w:r w:rsidRPr="00270BD9">
              <w:rPr>
                <w:sz w:val="16"/>
                <w:szCs w:val="16"/>
              </w:rPr>
              <w:t>$250,000</w:t>
            </w:r>
          </w:p>
        </w:tc>
      </w:tr>
      <w:tr w:rsidR="001D120F" w:rsidRPr="001D120F" w14:paraId="727A9750" w14:textId="77777777" w:rsidTr="00142822">
        <w:trPr>
          <w:trHeight w:val="320"/>
          <w:tblHeader/>
        </w:trPr>
        <w:tc>
          <w:tcPr>
            <w:tcW w:w="2250" w:type="dxa"/>
            <w:noWrap/>
            <w:hideMark/>
          </w:tcPr>
          <w:p w14:paraId="453FBEEC" w14:textId="77777777" w:rsidR="001D120F" w:rsidRPr="00270BD9" w:rsidRDefault="001D120F" w:rsidP="00021D38">
            <w:pPr>
              <w:pStyle w:val="BodyText1"/>
              <w:rPr>
                <w:sz w:val="16"/>
                <w:szCs w:val="16"/>
              </w:rPr>
            </w:pPr>
            <w:r w:rsidRPr="00270BD9">
              <w:rPr>
                <w:sz w:val="16"/>
                <w:szCs w:val="16"/>
              </w:rPr>
              <w:t>Outcomes 7, 11, 13, 17</w:t>
            </w:r>
          </w:p>
        </w:tc>
        <w:tc>
          <w:tcPr>
            <w:tcW w:w="2500" w:type="dxa"/>
            <w:noWrap/>
            <w:hideMark/>
          </w:tcPr>
          <w:p w14:paraId="03E9F102" w14:textId="77777777" w:rsidR="001D120F" w:rsidRPr="00270BD9" w:rsidRDefault="001D120F" w:rsidP="00021D38">
            <w:pPr>
              <w:pStyle w:val="BodyText1"/>
              <w:rPr>
                <w:sz w:val="16"/>
                <w:szCs w:val="16"/>
              </w:rPr>
            </w:pPr>
            <w:r w:rsidRPr="00270BD9">
              <w:rPr>
                <w:sz w:val="16"/>
                <w:szCs w:val="16"/>
              </w:rPr>
              <w:t>$3,417,316</w:t>
            </w:r>
          </w:p>
        </w:tc>
        <w:tc>
          <w:tcPr>
            <w:tcW w:w="2700" w:type="dxa"/>
            <w:noWrap/>
            <w:hideMark/>
          </w:tcPr>
          <w:p w14:paraId="40CF79A5" w14:textId="77777777" w:rsidR="001D120F" w:rsidRPr="00270BD9" w:rsidRDefault="001D120F" w:rsidP="00021D38">
            <w:pPr>
              <w:pStyle w:val="BodyText1"/>
              <w:rPr>
                <w:sz w:val="16"/>
                <w:szCs w:val="16"/>
              </w:rPr>
            </w:pPr>
            <w:r w:rsidRPr="00270BD9">
              <w:rPr>
                <w:sz w:val="16"/>
                <w:szCs w:val="16"/>
              </w:rPr>
              <w:t>$2,217,316</w:t>
            </w:r>
          </w:p>
        </w:tc>
      </w:tr>
      <w:tr w:rsidR="001D120F" w:rsidRPr="001D120F" w14:paraId="72AE2A02" w14:textId="77777777" w:rsidTr="00142822">
        <w:trPr>
          <w:trHeight w:val="320"/>
          <w:tblHeader/>
        </w:trPr>
        <w:tc>
          <w:tcPr>
            <w:tcW w:w="2250" w:type="dxa"/>
            <w:noWrap/>
            <w:hideMark/>
          </w:tcPr>
          <w:p w14:paraId="464F46D1" w14:textId="77777777" w:rsidR="00414694" w:rsidRPr="00270BD9" w:rsidRDefault="00414694" w:rsidP="00021D38">
            <w:pPr>
              <w:pStyle w:val="BodyText1"/>
              <w:rPr>
                <w:sz w:val="16"/>
                <w:szCs w:val="16"/>
              </w:rPr>
            </w:pPr>
            <w:r w:rsidRPr="00270BD9">
              <w:rPr>
                <w:sz w:val="16"/>
                <w:szCs w:val="16"/>
              </w:rPr>
              <w:t>Outcomes 7, 13, 14, 15</w:t>
            </w:r>
          </w:p>
        </w:tc>
        <w:tc>
          <w:tcPr>
            <w:tcW w:w="2500" w:type="dxa"/>
            <w:noWrap/>
            <w:hideMark/>
          </w:tcPr>
          <w:p w14:paraId="6A1AEED7" w14:textId="77777777" w:rsidR="001D120F" w:rsidRPr="00270BD9" w:rsidRDefault="001D120F" w:rsidP="00021D38">
            <w:pPr>
              <w:pStyle w:val="BodyText1"/>
              <w:rPr>
                <w:sz w:val="16"/>
                <w:szCs w:val="16"/>
              </w:rPr>
            </w:pPr>
            <w:r w:rsidRPr="00270BD9">
              <w:rPr>
                <w:sz w:val="16"/>
                <w:szCs w:val="16"/>
              </w:rPr>
              <w:t>$3,546,040</w:t>
            </w:r>
          </w:p>
        </w:tc>
        <w:tc>
          <w:tcPr>
            <w:tcW w:w="2700" w:type="dxa"/>
            <w:noWrap/>
            <w:hideMark/>
          </w:tcPr>
          <w:p w14:paraId="2649A791" w14:textId="77777777" w:rsidR="001D120F" w:rsidRPr="00270BD9" w:rsidRDefault="001D120F" w:rsidP="00021D38">
            <w:pPr>
              <w:pStyle w:val="BodyText1"/>
              <w:rPr>
                <w:sz w:val="16"/>
                <w:szCs w:val="16"/>
              </w:rPr>
            </w:pPr>
            <w:r w:rsidRPr="00270BD9">
              <w:rPr>
                <w:sz w:val="16"/>
                <w:szCs w:val="16"/>
              </w:rPr>
              <w:t>$1,996,040</w:t>
            </w:r>
          </w:p>
        </w:tc>
      </w:tr>
      <w:tr w:rsidR="001D120F" w:rsidRPr="001D120F" w14:paraId="2C63E72D" w14:textId="77777777" w:rsidTr="00142822">
        <w:trPr>
          <w:trHeight w:val="320"/>
          <w:tblHeader/>
        </w:trPr>
        <w:tc>
          <w:tcPr>
            <w:tcW w:w="2250" w:type="dxa"/>
            <w:noWrap/>
            <w:hideMark/>
          </w:tcPr>
          <w:p w14:paraId="1E8E81BE" w14:textId="77777777" w:rsidR="001D120F" w:rsidRPr="00270BD9" w:rsidRDefault="001D120F" w:rsidP="00021D38">
            <w:pPr>
              <w:pStyle w:val="BodyText1"/>
              <w:rPr>
                <w:sz w:val="16"/>
                <w:szCs w:val="16"/>
              </w:rPr>
            </w:pPr>
            <w:r w:rsidRPr="00270BD9">
              <w:rPr>
                <w:sz w:val="16"/>
                <w:szCs w:val="16"/>
              </w:rPr>
              <w:t xml:space="preserve">Outcomes 7, 8, 17 </w:t>
            </w:r>
          </w:p>
        </w:tc>
        <w:tc>
          <w:tcPr>
            <w:tcW w:w="2500" w:type="dxa"/>
            <w:noWrap/>
            <w:hideMark/>
          </w:tcPr>
          <w:p w14:paraId="6E993C73" w14:textId="77777777" w:rsidR="001D120F" w:rsidRPr="00270BD9" w:rsidRDefault="001D120F" w:rsidP="00021D38">
            <w:pPr>
              <w:pStyle w:val="BodyText1"/>
              <w:rPr>
                <w:sz w:val="16"/>
                <w:szCs w:val="16"/>
              </w:rPr>
            </w:pPr>
            <w:r w:rsidRPr="00270BD9">
              <w:rPr>
                <w:sz w:val="16"/>
                <w:szCs w:val="16"/>
              </w:rPr>
              <w:t>$400,000</w:t>
            </w:r>
          </w:p>
        </w:tc>
        <w:tc>
          <w:tcPr>
            <w:tcW w:w="2700" w:type="dxa"/>
            <w:noWrap/>
            <w:hideMark/>
          </w:tcPr>
          <w:p w14:paraId="07B10044" w14:textId="77777777" w:rsidR="001D120F" w:rsidRPr="00270BD9" w:rsidRDefault="001D120F" w:rsidP="00021D38">
            <w:pPr>
              <w:pStyle w:val="BodyText1"/>
              <w:rPr>
                <w:sz w:val="16"/>
                <w:szCs w:val="16"/>
              </w:rPr>
            </w:pPr>
            <w:r w:rsidRPr="00270BD9">
              <w:rPr>
                <w:sz w:val="16"/>
                <w:szCs w:val="16"/>
              </w:rPr>
              <w:t>$0</w:t>
            </w:r>
          </w:p>
        </w:tc>
      </w:tr>
      <w:tr w:rsidR="001D120F" w:rsidRPr="001D120F" w14:paraId="1A2096CA" w14:textId="77777777" w:rsidTr="00142822">
        <w:trPr>
          <w:trHeight w:val="320"/>
          <w:tblHeader/>
        </w:trPr>
        <w:tc>
          <w:tcPr>
            <w:tcW w:w="2250" w:type="dxa"/>
            <w:tcBorders>
              <w:bottom w:val="single" w:sz="4" w:space="0" w:color="auto"/>
            </w:tcBorders>
            <w:noWrap/>
            <w:hideMark/>
          </w:tcPr>
          <w:p w14:paraId="0FA88537" w14:textId="46BAF6B0" w:rsidR="001D120F" w:rsidRPr="00270BD9" w:rsidRDefault="00145FD3" w:rsidP="00021D38">
            <w:pPr>
              <w:pStyle w:val="BodyText1"/>
              <w:rPr>
                <w:sz w:val="16"/>
                <w:szCs w:val="16"/>
              </w:rPr>
            </w:pPr>
            <w:r w:rsidRPr="00270BD9">
              <w:rPr>
                <w:sz w:val="16"/>
                <w:szCs w:val="16"/>
              </w:rPr>
              <w:t xml:space="preserve">NIAA CAP Governance </w:t>
            </w:r>
          </w:p>
        </w:tc>
        <w:tc>
          <w:tcPr>
            <w:tcW w:w="2500" w:type="dxa"/>
            <w:tcBorders>
              <w:bottom w:val="single" w:sz="4" w:space="0" w:color="auto"/>
            </w:tcBorders>
            <w:noWrap/>
            <w:hideMark/>
          </w:tcPr>
          <w:p w14:paraId="0491C104" w14:textId="77777777" w:rsidR="001D120F" w:rsidRPr="00270BD9" w:rsidRDefault="001D120F" w:rsidP="00021D38">
            <w:pPr>
              <w:pStyle w:val="BodyText1"/>
              <w:rPr>
                <w:sz w:val="16"/>
                <w:szCs w:val="16"/>
              </w:rPr>
            </w:pPr>
            <w:r w:rsidRPr="00270BD9">
              <w:rPr>
                <w:sz w:val="16"/>
                <w:szCs w:val="16"/>
              </w:rPr>
              <w:t>$7,500,000</w:t>
            </w:r>
          </w:p>
        </w:tc>
        <w:tc>
          <w:tcPr>
            <w:tcW w:w="2700" w:type="dxa"/>
            <w:tcBorders>
              <w:bottom w:val="single" w:sz="4" w:space="0" w:color="auto"/>
            </w:tcBorders>
            <w:noWrap/>
            <w:hideMark/>
          </w:tcPr>
          <w:p w14:paraId="66A66FEC" w14:textId="77777777" w:rsidR="001D120F" w:rsidRPr="00270BD9" w:rsidRDefault="001D120F" w:rsidP="00021D38">
            <w:pPr>
              <w:pStyle w:val="BodyText1"/>
              <w:rPr>
                <w:sz w:val="16"/>
                <w:szCs w:val="16"/>
              </w:rPr>
            </w:pPr>
            <w:r w:rsidRPr="00270BD9">
              <w:rPr>
                <w:sz w:val="16"/>
                <w:szCs w:val="16"/>
              </w:rPr>
              <w:t>$7,500,000</w:t>
            </w:r>
          </w:p>
        </w:tc>
      </w:tr>
      <w:tr w:rsidR="001D120F" w:rsidRPr="00021D38" w14:paraId="2A2D59C7" w14:textId="77777777" w:rsidTr="00142822">
        <w:trPr>
          <w:trHeight w:val="320"/>
          <w:tblHeader/>
        </w:trPr>
        <w:tc>
          <w:tcPr>
            <w:tcW w:w="2250" w:type="dxa"/>
            <w:tcBorders>
              <w:top w:val="single" w:sz="4" w:space="0" w:color="auto"/>
              <w:bottom w:val="single" w:sz="4" w:space="0" w:color="auto"/>
            </w:tcBorders>
            <w:noWrap/>
            <w:hideMark/>
          </w:tcPr>
          <w:p w14:paraId="6F4585FE" w14:textId="77777777" w:rsidR="001D120F" w:rsidRPr="00270BD9" w:rsidRDefault="001D120F" w:rsidP="00021D38">
            <w:pPr>
              <w:pStyle w:val="BodyText1"/>
              <w:rPr>
                <w:b/>
                <w:bCs/>
                <w:sz w:val="16"/>
                <w:szCs w:val="16"/>
              </w:rPr>
            </w:pPr>
            <w:r w:rsidRPr="00270BD9">
              <w:rPr>
                <w:b/>
                <w:bCs/>
                <w:sz w:val="16"/>
                <w:szCs w:val="16"/>
              </w:rPr>
              <w:t>Grand Total</w:t>
            </w:r>
          </w:p>
        </w:tc>
        <w:tc>
          <w:tcPr>
            <w:tcW w:w="2500" w:type="dxa"/>
            <w:tcBorders>
              <w:top w:val="single" w:sz="4" w:space="0" w:color="auto"/>
              <w:bottom w:val="single" w:sz="4" w:space="0" w:color="auto"/>
            </w:tcBorders>
            <w:noWrap/>
            <w:hideMark/>
          </w:tcPr>
          <w:p w14:paraId="28EFB6DC" w14:textId="77777777" w:rsidR="001D120F" w:rsidRPr="00270BD9" w:rsidRDefault="001D120F" w:rsidP="00021D38">
            <w:pPr>
              <w:pStyle w:val="BodyText1"/>
              <w:rPr>
                <w:b/>
                <w:bCs/>
                <w:sz w:val="16"/>
                <w:szCs w:val="16"/>
              </w:rPr>
            </w:pPr>
            <w:r w:rsidRPr="00270BD9">
              <w:rPr>
                <w:b/>
                <w:bCs/>
                <w:sz w:val="16"/>
                <w:szCs w:val="16"/>
              </w:rPr>
              <w:t>$156,384,607</w:t>
            </w:r>
          </w:p>
        </w:tc>
        <w:tc>
          <w:tcPr>
            <w:tcW w:w="2700" w:type="dxa"/>
            <w:tcBorders>
              <w:top w:val="single" w:sz="4" w:space="0" w:color="auto"/>
              <w:bottom w:val="single" w:sz="4" w:space="0" w:color="auto"/>
            </w:tcBorders>
            <w:noWrap/>
            <w:hideMark/>
          </w:tcPr>
          <w:p w14:paraId="0F46CCD9" w14:textId="77777777" w:rsidR="001D120F" w:rsidRPr="00270BD9" w:rsidRDefault="001D120F" w:rsidP="00021D38">
            <w:pPr>
              <w:pStyle w:val="BodyText1"/>
              <w:rPr>
                <w:b/>
                <w:bCs/>
                <w:sz w:val="16"/>
                <w:szCs w:val="16"/>
              </w:rPr>
            </w:pPr>
            <w:r w:rsidRPr="00270BD9">
              <w:rPr>
                <w:b/>
                <w:bCs/>
                <w:sz w:val="16"/>
                <w:szCs w:val="16"/>
              </w:rPr>
              <w:t>$84,754,342</w:t>
            </w:r>
          </w:p>
        </w:tc>
      </w:tr>
    </w:tbl>
    <w:p w14:paraId="6F4C4AB4" w14:textId="77777777" w:rsidR="001D120F" w:rsidRPr="003E43F8" w:rsidRDefault="001D120F" w:rsidP="00DA4528"/>
    <w:p w14:paraId="1CD268A7" w14:textId="68E086B0" w:rsidR="00214064" w:rsidRDefault="00214064" w:rsidP="002265EB">
      <w:pPr>
        <w:pStyle w:val="Heading6"/>
      </w:pPr>
      <w:r>
        <w:t xml:space="preserve">Table </w:t>
      </w:r>
      <w:r>
        <w:fldChar w:fldCharType="begin"/>
      </w:r>
      <w:r>
        <w:instrText>SEQ Table \* ARABIC</w:instrText>
      </w:r>
      <w:r>
        <w:fldChar w:fldCharType="separate"/>
      </w:r>
      <w:r w:rsidR="00C762CE">
        <w:rPr>
          <w:noProof/>
        </w:rPr>
        <w:t>6</w:t>
      </w:r>
      <w:r>
        <w:fldChar w:fldCharType="end"/>
      </w:r>
      <w:r>
        <w:t xml:space="preserve">. CAP funding committed </w:t>
      </w:r>
      <w:r w:rsidR="00C50635" w:rsidRPr="00C50635">
        <w:t xml:space="preserve">through a financial arrangement with a provider </w:t>
      </w:r>
      <w:r>
        <w:t xml:space="preserve">to specific projects in remote clusters and paid </w:t>
      </w:r>
      <w:proofErr w:type="gramStart"/>
      <w:r>
        <w:t>at</w:t>
      </w:r>
      <w:proofErr w:type="gramEnd"/>
      <w:r>
        <w:t xml:space="preserve"> 30 April 30, 2025</w:t>
      </w:r>
    </w:p>
    <w:tbl>
      <w:tblPr>
        <w:tblW w:w="9526" w:type="dxa"/>
        <w:tblLook w:val="04A0" w:firstRow="1" w:lastRow="0" w:firstColumn="1" w:lastColumn="0" w:noHBand="0" w:noVBand="1"/>
      </w:tblPr>
      <w:tblGrid>
        <w:gridCol w:w="1966"/>
        <w:gridCol w:w="2500"/>
        <w:gridCol w:w="2500"/>
        <w:gridCol w:w="2560"/>
      </w:tblGrid>
      <w:tr w:rsidR="00214064" w:rsidRPr="00592546" w14:paraId="08D6ADBA" w14:textId="77777777" w:rsidTr="5711AC2B">
        <w:trPr>
          <w:trHeight w:val="320"/>
          <w:tblHeader/>
        </w:trPr>
        <w:tc>
          <w:tcPr>
            <w:tcW w:w="1966" w:type="dxa"/>
            <w:tcBorders>
              <w:top w:val="single" w:sz="4" w:space="0" w:color="auto"/>
              <w:bottom w:val="single" w:sz="4" w:space="0" w:color="auto"/>
            </w:tcBorders>
            <w:noWrap/>
            <w:hideMark/>
          </w:tcPr>
          <w:p w14:paraId="164B7E58" w14:textId="77777777" w:rsidR="00214064" w:rsidRPr="00270BD9" w:rsidRDefault="00214064" w:rsidP="00214064">
            <w:pPr>
              <w:pStyle w:val="BodyText1"/>
              <w:rPr>
                <w:b/>
                <w:bCs/>
                <w:sz w:val="16"/>
                <w:szCs w:val="16"/>
              </w:rPr>
            </w:pPr>
          </w:p>
        </w:tc>
        <w:tc>
          <w:tcPr>
            <w:tcW w:w="2500" w:type="dxa"/>
            <w:tcBorders>
              <w:top w:val="single" w:sz="4" w:space="0" w:color="auto"/>
              <w:bottom w:val="single" w:sz="4" w:space="0" w:color="auto"/>
            </w:tcBorders>
            <w:noWrap/>
            <w:hideMark/>
          </w:tcPr>
          <w:p w14:paraId="4DF4EB34" w14:textId="3A5DDD82" w:rsidR="00214064" w:rsidRPr="00270BD9" w:rsidRDefault="00214064" w:rsidP="00214064">
            <w:pPr>
              <w:pStyle w:val="BodyText1"/>
              <w:rPr>
                <w:b/>
                <w:bCs/>
                <w:sz w:val="16"/>
                <w:szCs w:val="16"/>
              </w:rPr>
            </w:pPr>
            <w:r w:rsidRPr="00270BD9">
              <w:rPr>
                <w:b/>
                <w:bCs/>
                <w:sz w:val="16"/>
                <w:szCs w:val="16"/>
              </w:rPr>
              <w:t>Funding committed to specific projects</w:t>
            </w:r>
          </w:p>
        </w:tc>
        <w:tc>
          <w:tcPr>
            <w:tcW w:w="2500" w:type="dxa"/>
            <w:tcBorders>
              <w:top w:val="single" w:sz="4" w:space="0" w:color="auto"/>
              <w:bottom w:val="single" w:sz="4" w:space="0" w:color="auto"/>
            </w:tcBorders>
            <w:noWrap/>
            <w:hideMark/>
          </w:tcPr>
          <w:p w14:paraId="47F012CA" w14:textId="420E080A" w:rsidR="00214064" w:rsidRPr="00270BD9" w:rsidRDefault="00214064" w:rsidP="00214064">
            <w:pPr>
              <w:pStyle w:val="BodyText1"/>
              <w:rPr>
                <w:b/>
                <w:bCs/>
                <w:sz w:val="16"/>
                <w:szCs w:val="16"/>
              </w:rPr>
            </w:pPr>
            <w:r w:rsidRPr="00270BD9">
              <w:rPr>
                <w:b/>
                <w:bCs/>
                <w:sz w:val="16"/>
                <w:szCs w:val="16"/>
              </w:rPr>
              <w:t xml:space="preserve"> % total remote committed </w:t>
            </w:r>
          </w:p>
        </w:tc>
        <w:tc>
          <w:tcPr>
            <w:tcW w:w="2560" w:type="dxa"/>
            <w:tcBorders>
              <w:top w:val="single" w:sz="4" w:space="0" w:color="auto"/>
              <w:bottom w:val="single" w:sz="4" w:space="0" w:color="auto"/>
            </w:tcBorders>
            <w:noWrap/>
            <w:hideMark/>
          </w:tcPr>
          <w:p w14:paraId="600DB49C" w14:textId="592F7EA0" w:rsidR="00214064" w:rsidRPr="00270BD9" w:rsidRDefault="00214064" w:rsidP="00214064">
            <w:pPr>
              <w:pStyle w:val="BodyText1"/>
              <w:rPr>
                <w:b/>
                <w:bCs/>
                <w:sz w:val="16"/>
                <w:szCs w:val="16"/>
              </w:rPr>
            </w:pPr>
            <w:r w:rsidRPr="00270BD9">
              <w:rPr>
                <w:b/>
                <w:bCs/>
                <w:sz w:val="16"/>
                <w:szCs w:val="16"/>
              </w:rPr>
              <w:t>Funding Paid</w:t>
            </w:r>
          </w:p>
        </w:tc>
      </w:tr>
      <w:tr w:rsidR="00214064" w:rsidRPr="00214064" w14:paraId="13B00ABF" w14:textId="77777777" w:rsidTr="5711AC2B">
        <w:trPr>
          <w:trHeight w:val="320"/>
        </w:trPr>
        <w:tc>
          <w:tcPr>
            <w:tcW w:w="1966" w:type="dxa"/>
            <w:tcBorders>
              <w:top w:val="single" w:sz="4" w:space="0" w:color="auto"/>
            </w:tcBorders>
            <w:noWrap/>
            <w:vAlign w:val="bottom"/>
            <w:hideMark/>
          </w:tcPr>
          <w:p w14:paraId="2ED35F03" w14:textId="77777777" w:rsidR="00214064" w:rsidRPr="00270BD9" w:rsidRDefault="00214064" w:rsidP="00592546">
            <w:pPr>
              <w:pStyle w:val="BodyText1"/>
              <w:rPr>
                <w:b/>
                <w:bCs/>
                <w:sz w:val="16"/>
                <w:szCs w:val="16"/>
              </w:rPr>
            </w:pPr>
            <w:r w:rsidRPr="00270BD9">
              <w:rPr>
                <w:b/>
                <w:bCs/>
                <w:sz w:val="16"/>
                <w:szCs w:val="16"/>
              </w:rPr>
              <w:t>Remote - total</w:t>
            </w:r>
          </w:p>
        </w:tc>
        <w:tc>
          <w:tcPr>
            <w:tcW w:w="2500" w:type="dxa"/>
            <w:tcBorders>
              <w:top w:val="single" w:sz="4" w:space="0" w:color="auto"/>
            </w:tcBorders>
            <w:noWrap/>
            <w:vAlign w:val="bottom"/>
            <w:hideMark/>
          </w:tcPr>
          <w:p w14:paraId="4CBD34A1" w14:textId="77777777" w:rsidR="00214064" w:rsidRPr="00270BD9" w:rsidRDefault="00214064" w:rsidP="00592546">
            <w:pPr>
              <w:pStyle w:val="BodyText1"/>
              <w:rPr>
                <w:b/>
                <w:bCs/>
                <w:sz w:val="16"/>
                <w:szCs w:val="16"/>
              </w:rPr>
            </w:pPr>
            <w:r w:rsidRPr="00270BD9">
              <w:rPr>
                <w:b/>
                <w:bCs/>
                <w:sz w:val="16"/>
                <w:szCs w:val="16"/>
              </w:rPr>
              <w:t>$61,762,488</w:t>
            </w:r>
          </w:p>
        </w:tc>
        <w:tc>
          <w:tcPr>
            <w:tcW w:w="2500" w:type="dxa"/>
            <w:tcBorders>
              <w:top w:val="single" w:sz="4" w:space="0" w:color="auto"/>
            </w:tcBorders>
            <w:noWrap/>
            <w:vAlign w:val="bottom"/>
            <w:hideMark/>
          </w:tcPr>
          <w:p w14:paraId="1198D62A" w14:textId="77777777" w:rsidR="00214064" w:rsidRPr="00270BD9" w:rsidRDefault="00214064" w:rsidP="00592546">
            <w:pPr>
              <w:pStyle w:val="BodyText1"/>
              <w:rPr>
                <w:b/>
                <w:bCs/>
                <w:sz w:val="16"/>
                <w:szCs w:val="16"/>
              </w:rPr>
            </w:pPr>
            <w:r w:rsidRPr="00270BD9">
              <w:rPr>
                <w:b/>
                <w:bCs/>
                <w:sz w:val="16"/>
                <w:szCs w:val="16"/>
              </w:rPr>
              <w:t> </w:t>
            </w:r>
          </w:p>
        </w:tc>
        <w:tc>
          <w:tcPr>
            <w:tcW w:w="2560" w:type="dxa"/>
            <w:tcBorders>
              <w:top w:val="single" w:sz="4" w:space="0" w:color="auto"/>
            </w:tcBorders>
            <w:noWrap/>
            <w:vAlign w:val="bottom"/>
            <w:hideMark/>
          </w:tcPr>
          <w:p w14:paraId="2F5CBC49" w14:textId="77777777" w:rsidR="00214064" w:rsidRPr="00270BD9" w:rsidRDefault="00214064" w:rsidP="00592546">
            <w:pPr>
              <w:pStyle w:val="BodyText1"/>
              <w:rPr>
                <w:b/>
                <w:bCs/>
                <w:sz w:val="16"/>
                <w:szCs w:val="16"/>
              </w:rPr>
            </w:pPr>
            <w:r w:rsidRPr="00270BD9">
              <w:rPr>
                <w:b/>
                <w:bCs/>
                <w:sz w:val="16"/>
                <w:szCs w:val="16"/>
              </w:rPr>
              <w:t>$22,874,530</w:t>
            </w:r>
          </w:p>
        </w:tc>
      </w:tr>
      <w:tr w:rsidR="00214064" w:rsidRPr="009350F0" w14:paraId="65033216" w14:textId="77777777" w:rsidTr="5711AC2B">
        <w:trPr>
          <w:trHeight w:val="320"/>
        </w:trPr>
        <w:tc>
          <w:tcPr>
            <w:tcW w:w="1966" w:type="dxa"/>
            <w:noWrap/>
            <w:vAlign w:val="bottom"/>
            <w:hideMark/>
          </w:tcPr>
          <w:p w14:paraId="63990D23" w14:textId="77777777" w:rsidR="00214064" w:rsidRPr="00270BD9" w:rsidRDefault="00214064" w:rsidP="00592546">
            <w:pPr>
              <w:pStyle w:val="BodyText1"/>
              <w:rPr>
                <w:sz w:val="16"/>
                <w:szCs w:val="16"/>
              </w:rPr>
            </w:pPr>
            <w:proofErr w:type="spellStart"/>
            <w:r w:rsidRPr="00270BD9">
              <w:rPr>
                <w:sz w:val="16"/>
                <w:szCs w:val="16"/>
              </w:rPr>
              <w:t>Anmatjere</w:t>
            </w:r>
            <w:proofErr w:type="spellEnd"/>
          </w:p>
        </w:tc>
        <w:tc>
          <w:tcPr>
            <w:tcW w:w="2500" w:type="dxa"/>
            <w:noWrap/>
            <w:vAlign w:val="bottom"/>
            <w:hideMark/>
          </w:tcPr>
          <w:p w14:paraId="22332D9E" w14:textId="77777777" w:rsidR="00214064" w:rsidRPr="00270BD9" w:rsidRDefault="00214064" w:rsidP="00592546">
            <w:pPr>
              <w:pStyle w:val="BodyText1"/>
              <w:rPr>
                <w:sz w:val="16"/>
                <w:szCs w:val="16"/>
              </w:rPr>
            </w:pPr>
            <w:r w:rsidRPr="00270BD9">
              <w:rPr>
                <w:sz w:val="16"/>
                <w:szCs w:val="16"/>
              </w:rPr>
              <w:t>$15,498,109</w:t>
            </w:r>
          </w:p>
        </w:tc>
        <w:tc>
          <w:tcPr>
            <w:tcW w:w="2500" w:type="dxa"/>
            <w:noWrap/>
            <w:vAlign w:val="bottom"/>
            <w:hideMark/>
          </w:tcPr>
          <w:p w14:paraId="2069C12F" w14:textId="77777777" w:rsidR="00214064" w:rsidRPr="00270BD9" w:rsidRDefault="00214064" w:rsidP="00592546">
            <w:pPr>
              <w:pStyle w:val="BodyText1"/>
              <w:rPr>
                <w:sz w:val="16"/>
                <w:szCs w:val="16"/>
              </w:rPr>
            </w:pPr>
            <w:r w:rsidRPr="00270BD9">
              <w:rPr>
                <w:sz w:val="16"/>
                <w:szCs w:val="16"/>
              </w:rPr>
              <w:t>25%</w:t>
            </w:r>
          </w:p>
        </w:tc>
        <w:tc>
          <w:tcPr>
            <w:tcW w:w="2560" w:type="dxa"/>
            <w:noWrap/>
            <w:vAlign w:val="bottom"/>
            <w:hideMark/>
          </w:tcPr>
          <w:p w14:paraId="1424DB71" w14:textId="77777777" w:rsidR="00214064" w:rsidRPr="00270BD9" w:rsidRDefault="00214064" w:rsidP="00592546">
            <w:pPr>
              <w:pStyle w:val="BodyText1"/>
              <w:rPr>
                <w:sz w:val="16"/>
                <w:szCs w:val="16"/>
              </w:rPr>
            </w:pPr>
            <w:r w:rsidRPr="00270BD9">
              <w:rPr>
                <w:sz w:val="16"/>
                <w:szCs w:val="16"/>
              </w:rPr>
              <w:t>$3,962,611</w:t>
            </w:r>
          </w:p>
        </w:tc>
      </w:tr>
      <w:tr w:rsidR="00214064" w:rsidRPr="009350F0" w14:paraId="192498DC" w14:textId="77777777" w:rsidTr="5711AC2B">
        <w:trPr>
          <w:trHeight w:val="320"/>
        </w:trPr>
        <w:tc>
          <w:tcPr>
            <w:tcW w:w="1966" w:type="dxa"/>
            <w:noWrap/>
            <w:vAlign w:val="bottom"/>
            <w:hideMark/>
          </w:tcPr>
          <w:p w14:paraId="46A568BF" w14:textId="77777777" w:rsidR="00214064" w:rsidRPr="00270BD9" w:rsidRDefault="00214064" w:rsidP="00592546">
            <w:pPr>
              <w:pStyle w:val="BodyText1"/>
              <w:rPr>
                <w:sz w:val="16"/>
                <w:szCs w:val="16"/>
              </w:rPr>
            </w:pPr>
            <w:proofErr w:type="spellStart"/>
            <w:r w:rsidRPr="00270BD9">
              <w:rPr>
                <w:sz w:val="16"/>
                <w:szCs w:val="16"/>
              </w:rPr>
              <w:t>Iyarrka</w:t>
            </w:r>
            <w:proofErr w:type="spellEnd"/>
          </w:p>
        </w:tc>
        <w:tc>
          <w:tcPr>
            <w:tcW w:w="2500" w:type="dxa"/>
            <w:noWrap/>
            <w:vAlign w:val="bottom"/>
            <w:hideMark/>
          </w:tcPr>
          <w:p w14:paraId="66169320" w14:textId="77777777" w:rsidR="00214064" w:rsidRPr="00270BD9" w:rsidRDefault="00214064" w:rsidP="00592546">
            <w:pPr>
              <w:pStyle w:val="BodyText1"/>
              <w:rPr>
                <w:sz w:val="16"/>
                <w:szCs w:val="16"/>
              </w:rPr>
            </w:pPr>
            <w:r w:rsidRPr="00270BD9">
              <w:rPr>
                <w:sz w:val="16"/>
                <w:szCs w:val="16"/>
              </w:rPr>
              <w:t>$2,704,137</w:t>
            </w:r>
          </w:p>
        </w:tc>
        <w:tc>
          <w:tcPr>
            <w:tcW w:w="2500" w:type="dxa"/>
            <w:noWrap/>
            <w:vAlign w:val="bottom"/>
            <w:hideMark/>
          </w:tcPr>
          <w:p w14:paraId="0B1710E3" w14:textId="77777777" w:rsidR="00214064" w:rsidRPr="00270BD9" w:rsidRDefault="00214064" w:rsidP="00592546">
            <w:pPr>
              <w:pStyle w:val="BodyText1"/>
              <w:rPr>
                <w:sz w:val="16"/>
                <w:szCs w:val="16"/>
              </w:rPr>
            </w:pPr>
            <w:r w:rsidRPr="00270BD9">
              <w:rPr>
                <w:sz w:val="16"/>
                <w:szCs w:val="16"/>
              </w:rPr>
              <w:t>4%</w:t>
            </w:r>
          </w:p>
        </w:tc>
        <w:tc>
          <w:tcPr>
            <w:tcW w:w="2560" w:type="dxa"/>
            <w:noWrap/>
            <w:vAlign w:val="bottom"/>
            <w:hideMark/>
          </w:tcPr>
          <w:p w14:paraId="0EEF9B47" w14:textId="77777777" w:rsidR="00214064" w:rsidRPr="00270BD9" w:rsidRDefault="00214064" w:rsidP="00592546">
            <w:pPr>
              <w:pStyle w:val="BodyText1"/>
              <w:rPr>
                <w:sz w:val="16"/>
                <w:szCs w:val="16"/>
              </w:rPr>
            </w:pPr>
            <w:r w:rsidRPr="00270BD9">
              <w:rPr>
                <w:sz w:val="16"/>
                <w:szCs w:val="16"/>
              </w:rPr>
              <w:t>$1,664,137</w:t>
            </w:r>
          </w:p>
        </w:tc>
      </w:tr>
      <w:tr w:rsidR="00214064" w:rsidRPr="009350F0" w14:paraId="5E5DECEC" w14:textId="77777777" w:rsidTr="5711AC2B">
        <w:trPr>
          <w:trHeight w:val="320"/>
        </w:trPr>
        <w:tc>
          <w:tcPr>
            <w:tcW w:w="1966" w:type="dxa"/>
            <w:noWrap/>
            <w:vAlign w:val="bottom"/>
            <w:hideMark/>
          </w:tcPr>
          <w:p w14:paraId="2C08EDE4" w14:textId="77777777" w:rsidR="00214064" w:rsidRPr="00270BD9" w:rsidRDefault="00214064" w:rsidP="00592546">
            <w:pPr>
              <w:pStyle w:val="BodyText1"/>
              <w:rPr>
                <w:sz w:val="16"/>
                <w:szCs w:val="16"/>
              </w:rPr>
            </w:pPr>
            <w:proofErr w:type="spellStart"/>
            <w:r w:rsidRPr="00270BD9">
              <w:rPr>
                <w:sz w:val="16"/>
                <w:szCs w:val="16"/>
              </w:rPr>
              <w:t>Ljirapinta</w:t>
            </w:r>
            <w:proofErr w:type="spellEnd"/>
            <w:r w:rsidRPr="00270BD9">
              <w:rPr>
                <w:sz w:val="16"/>
                <w:szCs w:val="16"/>
              </w:rPr>
              <w:t xml:space="preserve"> </w:t>
            </w:r>
          </w:p>
        </w:tc>
        <w:tc>
          <w:tcPr>
            <w:tcW w:w="2500" w:type="dxa"/>
            <w:noWrap/>
            <w:vAlign w:val="bottom"/>
            <w:hideMark/>
          </w:tcPr>
          <w:p w14:paraId="26CF390E" w14:textId="77777777" w:rsidR="00214064" w:rsidRPr="00270BD9" w:rsidRDefault="00214064" w:rsidP="00592546">
            <w:pPr>
              <w:pStyle w:val="BodyText1"/>
              <w:rPr>
                <w:sz w:val="16"/>
                <w:szCs w:val="16"/>
              </w:rPr>
            </w:pPr>
            <w:r w:rsidRPr="00270BD9">
              <w:rPr>
                <w:sz w:val="16"/>
                <w:szCs w:val="16"/>
              </w:rPr>
              <w:t>$6,235,623</w:t>
            </w:r>
          </w:p>
        </w:tc>
        <w:tc>
          <w:tcPr>
            <w:tcW w:w="2500" w:type="dxa"/>
            <w:noWrap/>
            <w:vAlign w:val="bottom"/>
            <w:hideMark/>
          </w:tcPr>
          <w:p w14:paraId="76CCA693" w14:textId="77777777" w:rsidR="00214064" w:rsidRPr="00270BD9" w:rsidRDefault="00214064" w:rsidP="00592546">
            <w:pPr>
              <w:pStyle w:val="BodyText1"/>
              <w:rPr>
                <w:sz w:val="16"/>
                <w:szCs w:val="16"/>
              </w:rPr>
            </w:pPr>
            <w:r w:rsidRPr="00270BD9">
              <w:rPr>
                <w:sz w:val="16"/>
                <w:szCs w:val="16"/>
              </w:rPr>
              <w:t>10%</w:t>
            </w:r>
          </w:p>
        </w:tc>
        <w:tc>
          <w:tcPr>
            <w:tcW w:w="2560" w:type="dxa"/>
            <w:noWrap/>
            <w:vAlign w:val="bottom"/>
            <w:hideMark/>
          </w:tcPr>
          <w:p w14:paraId="241F4319" w14:textId="77777777" w:rsidR="00214064" w:rsidRPr="00270BD9" w:rsidRDefault="00214064" w:rsidP="00592546">
            <w:pPr>
              <w:pStyle w:val="BodyText1"/>
              <w:rPr>
                <w:sz w:val="16"/>
                <w:szCs w:val="16"/>
              </w:rPr>
            </w:pPr>
            <w:r w:rsidRPr="00270BD9">
              <w:rPr>
                <w:sz w:val="16"/>
                <w:szCs w:val="16"/>
              </w:rPr>
              <w:t>$2,415,623</w:t>
            </w:r>
          </w:p>
        </w:tc>
      </w:tr>
      <w:tr w:rsidR="00214064" w:rsidRPr="009350F0" w14:paraId="1C3BB64F" w14:textId="77777777" w:rsidTr="5711AC2B">
        <w:trPr>
          <w:trHeight w:val="320"/>
        </w:trPr>
        <w:tc>
          <w:tcPr>
            <w:tcW w:w="1966" w:type="dxa"/>
            <w:noWrap/>
            <w:vAlign w:val="bottom"/>
            <w:hideMark/>
          </w:tcPr>
          <w:p w14:paraId="54570794" w14:textId="77777777" w:rsidR="00214064" w:rsidRPr="00270BD9" w:rsidRDefault="00214064" w:rsidP="00592546">
            <w:pPr>
              <w:pStyle w:val="BodyText1"/>
              <w:rPr>
                <w:sz w:val="16"/>
                <w:szCs w:val="16"/>
              </w:rPr>
            </w:pPr>
            <w:r w:rsidRPr="00270BD9">
              <w:rPr>
                <w:sz w:val="16"/>
                <w:szCs w:val="16"/>
              </w:rPr>
              <w:t>Luritja Pintubi</w:t>
            </w:r>
          </w:p>
        </w:tc>
        <w:tc>
          <w:tcPr>
            <w:tcW w:w="2500" w:type="dxa"/>
            <w:noWrap/>
            <w:vAlign w:val="bottom"/>
            <w:hideMark/>
          </w:tcPr>
          <w:p w14:paraId="00EB7B9D" w14:textId="77777777" w:rsidR="00214064" w:rsidRPr="00270BD9" w:rsidRDefault="00214064" w:rsidP="00592546">
            <w:pPr>
              <w:pStyle w:val="BodyText1"/>
              <w:rPr>
                <w:sz w:val="16"/>
                <w:szCs w:val="16"/>
              </w:rPr>
            </w:pPr>
            <w:r w:rsidRPr="00270BD9">
              <w:rPr>
                <w:sz w:val="16"/>
                <w:szCs w:val="16"/>
              </w:rPr>
              <w:t>$14,090,377</w:t>
            </w:r>
          </w:p>
        </w:tc>
        <w:tc>
          <w:tcPr>
            <w:tcW w:w="2500" w:type="dxa"/>
            <w:noWrap/>
            <w:vAlign w:val="bottom"/>
            <w:hideMark/>
          </w:tcPr>
          <w:p w14:paraId="64F1EE3B" w14:textId="77777777" w:rsidR="00214064" w:rsidRPr="00270BD9" w:rsidRDefault="00214064" w:rsidP="00592546">
            <w:pPr>
              <w:pStyle w:val="BodyText1"/>
              <w:rPr>
                <w:sz w:val="16"/>
                <w:szCs w:val="16"/>
              </w:rPr>
            </w:pPr>
            <w:r w:rsidRPr="00270BD9">
              <w:rPr>
                <w:sz w:val="16"/>
                <w:szCs w:val="16"/>
              </w:rPr>
              <w:t>23%</w:t>
            </w:r>
          </w:p>
        </w:tc>
        <w:tc>
          <w:tcPr>
            <w:tcW w:w="2560" w:type="dxa"/>
            <w:noWrap/>
            <w:vAlign w:val="bottom"/>
            <w:hideMark/>
          </w:tcPr>
          <w:p w14:paraId="304D301E" w14:textId="77777777" w:rsidR="00214064" w:rsidRPr="00270BD9" w:rsidRDefault="00214064" w:rsidP="00592546">
            <w:pPr>
              <w:pStyle w:val="BodyText1"/>
              <w:rPr>
                <w:sz w:val="16"/>
                <w:szCs w:val="16"/>
              </w:rPr>
            </w:pPr>
            <w:r w:rsidRPr="00270BD9">
              <w:rPr>
                <w:sz w:val="16"/>
                <w:szCs w:val="16"/>
              </w:rPr>
              <w:t>$4,685,291</w:t>
            </w:r>
          </w:p>
        </w:tc>
      </w:tr>
      <w:tr w:rsidR="00214064" w:rsidRPr="009350F0" w14:paraId="2D7172BE" w14:textId="77777777" w:rsidTr="5711AC2B">
        <w:trPr>
          <w:trHeight w:val="320"/>
        </w:trPr>
        <w:tc>
          <w:tcPr>
            <w:tcW w:w="1966" w:type="dxa"/>
            <w:noWrap/>
            <w:vAlign w:val="bottom"/>
            <w:hideMark/>
          </w:tcPr>
          <w:p w14:paraId="6473A905" w14:textId="77777777" w:rsidR="00214064" w:rsidRPr="00270BD9" w:rsidRDefault="00214064" w:rsidP="00592546">
            <w:pPr>
              <w:pStyle w:val="BodyText1"/>
              <w:rPr>
                <w:sz w:val="16"/>
                <w:szCs w:val="16"/>
              </w:rPr>
            </w:pPr>
            <w:proofErr w:type="spellStart"/>
            <w:r w:rsidRPr="00270BD9">
              <w:rPr>
                <w:sz w:val="16"/>
                <w:szCs w:val="16"/>
              </w:rPr>
              <w:t>Rodinga</w:t>
            </w:r>
            <w:proofErr w:type="spellEnd"/>
          </w:p>
        </w:tc>
        <w:tc>
          <w:tcPr>
            <w:tcW w:w="2500" w:type="dxa"/>
            <w:noWrap/>
            <w:vAlign w:val="bottom"/>
            <w:hideMark/>
          </w:tcPr>
          <w:p w14:paraId="6BF9699E" w14:textId="77777777" w:rsidR="00214064" w:rsidRPr="00270BD9" w:rsidRDefault="00214064" w:rsidP="00592546">
            <w:pPr>
              <w:pStyle w:val="BodyText1"/>
              <w:rPr>
                <w:sz w:val="16"/>
                <w:szCs w:val="16"/>
              </w:rPr>
            </w:pPr>
            <w:r w:rsidRPr="00270BD9">
              <w:rPr>
                <w:sz w:val="16"/>
                <w:szCs w:val="16"/>
              </w:rPr>
              <w:t>$6,946,526</w:t>
            </w:r>
          </w:p>
        </w:tc>
        <w:tc>
          <w:tcPr>
            <w:tcW w:w="2500" w:type="dxa"/>
            <w:noWrap/>
            <w:vAlign w:val="bottom"/>
            <w:hideMark/>
          </w:tcPr>
          <w:p w14:paraId="5A55BEAB" w14:textId="77777777" w:rsidR="00214064" w:rsidRPr="00270BD9" w:rsidRDefault="00214064" w:rsidP="00592546">
            <w:pPr>
              <w:pStyle w:val="BodyText1"/>
              <w:rPr>
                <w:sz w:val="16"/>
                <w:szCs w:val="16"/>
              </w:rPr>
            </w:pPr>
            <w:r w:rsidRPr="00270BD9">
              <w:rPr>
                <w:sz w:val="16"/>
                <w:szCs w:val="16"/>
              </w:rPr>
              <w:t>11%</w:t>
            </w:r>
          </w:p>
        </w:tc>
        <w:tc>
          <w:tcPr>
            <w:tcW w:w="2560" w:type="dxa"/>
            <w:noWrap/>
            <w:vAlign w:val="bottom"/>
            <w:hideMark/>
          </w:tcPr>
          <w:p w14:paraId="26809218" w14:textId="77777777" w:rsidR="00214064" w:rsidRPr="00270BD9" w:rsidRDefault="00214064" w:rsidP="00592546">
            <w:pPr>
              <w:pStyle w:val="BodyText1"/>
              <w:rPr>
                <w:sz w:val="16"/>
                <w:szCs w:val="16"/>
              </w:rPr>
            </w:pPr>
            <w:r w:rsidRPr="00270BD9">
              <w:rPr>
                <w:sz w:val="16"/>
                <w:szCs w:val="16"/>
              </w:rPr>
              <w:t>$2,168,375</w:t>
            </w:r>
          </w:p>
        </w:tc>
      </w:tr>
      <w:tr w:rsidR="00214064" w:rsidRPr="009350F0" w14:paraId="5F2A0935" w14:textId="77777777" w:rsidTr="5711AC2B">
        <w:trPr>
          <w:trHeight w:val="320"/>
        </w:trPr>
        <w:tc>
          <w:tcPr>
            <w:tcW w:w="1966" w:type="dxa"/>
            <w:noWrap/>
            <w:vAlign w:val="bottom"/>
            <w:hideMark/>
          </w:tcPr>
          <w:p w14:paraId="744BBC8F" w14:textId="77777777" w:rsidR="00214064" w:rsidRPr="00270BD9" w:rsidRDefault="00214064" w:rsidP="00592546">
            <w:pPr>
              <w:pStyle w:val="BodyText1"/>
              <w:rPr>
                <w:sz w:val="16"/>
                <w:szCs w:val="16"/>
              </w:rPr>
            </w:pPr>
            <w:r w:rsidRPr="00270BD9">
              <w:rPr>
                <w:sz w:val="16"/>
                <w:szCs w:val="16"/>
              </w:rPr>
              <w:t>Southern Tanami</w:t>
            </w:r>
          </w:p>
        </w:tc>
        <w:tc>
          <w:tcPr>
            <w:tcW w:w="2500" w:type="dxa"/>
            <w:noWrap/>
            <w:vAlign w:val="bottom"/>
            <w:hideMark/>
          </w:tcPr>
          <w:p w14:paraId="402A531B" w14:textId="77777777" w:rsidR="00214064" w:rsidRPr="00270BD9" w:rsidRDefault="00214064" w:rsidP="00592546">
            <w:pPr>
              <w:pStyle w:val="BodyText1"/>
              <w:rPr>
                <w:sz w:val="16"/>
                <w:szCs w:val="16"/>
              </w:rPr>
            </w:pPr>
            <w:r w:rsidRPr="00270BD9">
              <w:rPr>
                <w:sz w:val="16"/>
                <w:szCs w:val="16"/>
              </w:rPr>
              <w:t>$7,969,405</w:t>
            </w:r>
          </w:p>
        </w:tc>
        <w:tc>
          <w:tcPr>
            <w:tcW w:w="2500" w:type="dxa"/>
            <w:noWrap/>
            <w:vAlign w:val="bottom"/>
            <w:hideMark/>
          </w:tcPr>
          <w:p w14:paraId="32C30CA6" w14:textId="77777777" w:rsidR="00214064" w:rsidRPr="00270BD9" w:rsidRDefault="00214064" w:rsidP="00592546">
            <w:pPr>
              <w:pStyle w:val="BodyText1"/>
              <w:rPr>
                <w:sz w:val="16"/>
                <w:szCs w:val="16"/>
              </w:rPr>
            </w:pPr>
            <w:r w:rsidRPr="00270BD9">
              <w:rPr>
                <w:sz w:val="16"/>
                <w:szCs w:val="16"/>
              </w:rPr>
              <w:t>13%</w:t>
            </w:r>
          </w:p>
        </w:tc>
        <w:tc>
          <w:tcPr>
            <w:tcW w:w="2560" w:type="dxa"/>
            <w:noWrap/>
            <w:vAlign w:val="bottom"/>
            <w:hideMark/>
          </w:tcPr>
          <w:p w14:paraId="7FC90DF9" w14:textId="77777777" w:rsidR="00214064" w:rsidRPr="00270BD9" w:rsidRDefault="00214064" w:rsidP="00592546">
            <w:pPr>
              <w:pStyle w:val="BodyText1"/>
              <w:rPr>
                <w:sz w:val="16"/>
                <w:szCs w:val="16"/>
              </w:rPr>
            </w:pPr>
            <w:r w:rsidRPr="00270BD9">
              <w:rPr>
                <w:sz w:val="16"/>
                <w:szCs w:val="16"/>
              </w:rPr>
              <w:t>$3,329,405</w:t>
            </w:r>
          </w:p>
        </w:tc>
      </w:tr>
      <w:tr w:rsidR="00214064" w:rsidRPr="009350F0" w14:paraId="3F97B1C2" w14:textId="77777777" w:rsidTr="002265EB">
        <w:trPr>
          <w:trHeight w:val="320"/>
        </w:trPr>
        <w:tc>
          <w:tcPr>
            <w:tcW w:w="1966" w:type="dxa"/>
            <w:noWrap/>
            <w:vAlign w:val="bottom"/>
            <w:hideMark/>
          </w:tcPr>
          <w:p w14:paraId="6AB02AEA" w14:textId="77777777" w:rsidR="00214064" w:rsidRPr="00270BD9" w:rsidRDefault="00214064" w:rsidP="00592546">
            <w:pPr>
              <w:pStyle w:val="BodyText1"/>
              <w:rPr>
                <w:sz w:val="16"/>
                <w:szCs w:val="16"/>
              </w:rPr>
            </w:pPr>
            <w:r w:rsidRPr="00270BD9">
              <w:rPr>
                <w:sz w:val="16"/>
                <w:szCs w:val="16"/>
              </w:rPr>
              <w:t>The Plenty</w:t>
            </w:r>
          </w:p>
        </w:tc>
        <w:tc>
          <w:tcPr>
            <w:tcW w:w="2500" w:type="dxa"/>
            <w:noWrap/>
            <w:vAlign w:val="bottom"/>
            <w:hideMark/>
          </w:tcPr>
          <w:p w14:paraId="78B074A8" w14:textId="77777777" w:rsidR="00214064" w:rsidRPr="00270BD9" w:rsidRDefault="00214064" w:rsidP="00592546">
            <w:pPr>
              <w:pStyle w:val="BodyText1"/>
              <w:rPr>
                <w:sz w:val="16"/>
                <w:szCs w:val="16"/>
              </w:rPr>
            </w:pPr>
            <w:r w:rsidRPr="00270BD9">
              <w:rPr>
                <w:sz w:val="16"/>
                <w:szCs w:val="16"/>
              </w:rPr>
              <w:t>$4,191,824</w:t>
            </w:r>
          </w:p>
        </w:tc>
        <w:tc>
          <w:tcPr>
            <w:tcW w:w="2500" w:type="dxa"/>
            <w:noWrap/>
            <w:vAlign w:val="bottom"/>
            <w:hideMark/>
          </w:tcPr>
          <w:p w14:paraId="24784865" w14:textId="77777777" w:rsidR="00214064" w:rsidRPr="00270BD9" w:rsidRDefault="00214064" w:rsidP="00592546">
            <w:pPr>
              <w:pStyle w:val="BodyText1"/>
              <w:rPr>
                <w:sz w:val="16"/>
                <w:szCs w:val="16"/>
              </w:rPr>
            </w:pPr>
            <w:r w:rsidRPr="00270BD9">
              <w:rPr>
                <w:sz w:val="16"/>
                <w:szCs w:val="16"/>
              </w:rPr>
              <w:t>7%</w:t>
            </w:r>
          </w:p>
        </w:tc>
        <w:tc>
          <w:tcPr>
            <w:tcW w:w="2560" w:type="dxa"/>
            <w:noWrap/>
            <w:vAlign w:val="bottom"/>
            <w:hideMark/>
          </w:tcPr>
          <w:p w14:paraId="357E0BCE" w14:textId="17CF5940" w:rsidR="00214064" w:rsidRPr="00270BD9" w:rsidRDefault="00214064" w:rsidP="00592546">
            <w:pPr>
              <w:pStyle w:val="BodyText1"/>
              <w:rPr>
                <w:sz w:val="16"/>
                <w:szCs w:val="16"/>
              </w:rPr>
            </w:pPr>
            <w:r w:rsidRPr="00270BD9">
              <w:rPr>
                <w:sz w:val="16"/>
                <w:szCs w:val="16"/>
              </w:rPr>
              <w:t>$1,486,324</w:t>
            </w:r>
          </w:p>
        </w:tc>
      </w:tr>
      <w:tr w:rsidR="00F25063" w:rsidRPr="009350F0" w14:paraId="7AD58F28" w14:textId="77777777" w:rsidTr="002265EB">
        <w:trPr>
          <w:trHeight w:val="320"/>
        </w:trPr>
        <w:tc>
          <w:tcPr>
            <w:tcW w:w="1966" w:type="dxa"/>
            <w:tcBorders>
              <w:bottom w:val="single" w:sz="4" w:space="0" w:color="000000" w:themeColor="text1"/>
            </w:tcBorders>
            <w:noWrap/>
            <w:vAlign w:val="bottom"/>
            <w:hideMark/>
          </w:tcPr>
          <w:p w14:paraId="2C89BD2C" w14:textId="7D52BE1C" w:rsidR="00F25063" w:rsidRPr="00270BD9" w:rsidRDefault="00F25063">
            <w:pPr>
              <w:pStyle w:val="BodyText1"/>
              <w:rPr>
                <w:sz w:val="16"/>
                <w:szCs w:val="16"/>
              </w:rPr>
            </w:pPr>
            <w:r w:rsidRPr="00270BD9">
              <w:rPr>
                <w:sz w:val="16"/>
                <w:szCs w:val="16"/>
              </w:rPr>
              <w:t>Multiple clusters</w:t>
            </w:r>
          </w:p>
        </w:tc>
        <w:tc>
          <w:tcPr>
            <w:tcW w:w="2500" w:type="dxa"/>
            <w:tcBorders>
              <w:bottom w:val="single" w:sz="4" w:space="0" w:color="000000" w:themeColor="text1"/>
            </w:tcBorders>
            <w:noWrap/>
            <w:vAlign w:val="bottom"/>
            <w:hideMark/>
          </w:tcPr>
          <w:p w14:paraId="3B2B1102" w14:textId="77777777" w:rsidR="00F25063" w:rsidRPr="00270BD9" w:rsidRDefault="00F25063">
            <w:pPr>
              <w:pStyle w:val="BodyText1"/>
              <w:rPr>
                <w:sz w:val="16"/>
                <w:szCs w:val="16"/>
              </w:rPr>
            </w:pPr>
            <w:r w:rsidRPr="00270BD9">
              <w:rPr>
                <w:sz w:val="16"/>
                <w:szCs w:val="16"/>
              </w:rPr>
              <w:t>$4,126,487</w:t>
            </w:r>
          </w:p>
        </w:tc>
        <w:tc>
          <w:tcPr>
            <w:tcW w:w="2500" w:type="dxa"/>
            <w:tcBorders>
              <w:bottom w:val="single" w:sz="4" w:space="0" w:color="000000" w:themeColor="text1"/>
            </w:tcBorders>
            <w:noWrap/>
            <w:vAlign w:val="bottom"/>
            <w:hideMark/>
          </w:tcPr>
          <w:p w14:paraId="7E385343" w14:textId="77777777" w:rsidR="00F25063" w:rsidRPr="00270BD9" w:rsidRDefault="00F25063">
            <w:pPr>
              <w:pStyle w:val="BodyText1"/>
              <w:rPr>
                <w:sz w:val="16"/>
                <w:szCs w:val="16"/>
              </w:rPr>
            </w:pPr>
            <w:r w:rsidRPr="00270BD9">
              <w:rPr>
                <w:sz w:val="16"/>
                <w:szCs w:val="16"/>
              </w:rPr>
              <w:t>7%</w:t>
            </w:r>
          </w:p>
        </w:tc>
        <w:tc>
          <w:tcPr>
            <w:tcW w:w="2560" w:type="dxa"/>
            <w:tcBorders>
              <w:bottom w:val="single" w:sz="4" w:space="0" w:color="000000" w:themeColor="text1"/>
            </w:tcBorders>
            <w:noWrap/>
            <w:vAlign w:val="bottom"/>
            <w:hideMark/>
          </w:tcPr>
          <w:p w14:paraId="51DF33DD" w14:textId="77777777" w:rsidR="00F25063" w:rsidRPr="00270BD9" w:rsidRDefault="00F25063">
            <w:pPr>
              <w:pStyle w:val="BodyText1"/>
              <w:rPr>
                <w:sz w:val="16"/>
                <w:szCs w:val="16"/>
              </w:rPr>
            </w:pPr>
            <w:r w:rsidRPr="00270BD9">
              <w:rPr>
                <w:sz w:val="16"/>
                <w:szCs w:val="16"/>
              </w:rPr>
              <w:t>$3,162,764</w:t>
            </w:r>
          </w:p>
        </w:tc>
      </w:tr>
      <w:tr w:rsidR="00214064" w:rsidRPr="009350F0" w14:paraId="44BA44AC" w14:textId="77777777" w:rsidTr="5711AC2B">
        <w:trPr>
          <w:trHeight w:val="320"/>
        </w:trPr>
        <w:tc>
          <w:tcPr>
            <w:tcW w:w="1966" w:type="dxa"/>
            <w:noWrap/>
            <w:vAlign w:val="bottom"/>
            <w:hideMark/>
          </w:tcPr>
          <w:p w14:paraId="398B23BD" w14:textId="77777777" w:rsidR="00214064" w:rsidRPr="009350F0" w:rsidRDefault="00214064" w:rsidP="00592546">
            <w:pPr>
              <w:pStyle w:val="BodyText1"/>
            </w:pPr>
          </w:p>
        </w:tc>
        <w:tc>
          <w:tcPr>
            <w:tcW w:w="2500" w:type="dxa"/>
            <w:noWrap/>
            <w:vAlign w:val="bottom"/>
            <w:hideMark/>
          </w:tcPr>
          <w:p w14:paraId="0E9567CA" w14:textId="77777777" w:rsidR="00214064" w:rsidRPr="009350F0" w:rsidRDefault="00214064" w:rsidP="00592546">
            <w:pPr>
              <w:pStyle w:val="BodyText1"/>
            </w:pPr>
          </w:p>
        </w:tc>
        <w:tc>
          <w:tcPr>
            <w:tcW w:w="2500" w:type="dxa"/>
            <w:noWrap/>
            <w:vAlign w:val="bottom"/>
            <w:hideMark/>
          </w:tcPr>
          <w:p w14:paraId="14BB668F" w14:textId="77777777" w:rsidR="00214064" w:rsidRPr="009350F0" w:rsidRDefault="00214064" w:rsidP="00592546">
            <w:pPr>
              <w:pStyle w:val="BodyText1"/>
            </w:pPr>
          </w:p>
        </w:tc>
        <w:tc>
          <w:tcPr>
            <w:tcW w:w="2560" w:type="dxa"/>
            <w:noWrap/>
            <w:vAlign w:val="bottom"/>
            <w:hideMark/>
          </w:tcPr>
          <w:p w14:paraId="745A3BEF" w14:textId="77777777" w:rsidR="00214064" w:rsidRPr="009350F0" w:rsidRDefault="00214064" w:rsidP="00592546">
            <w:pPr>
              <w:pStyle w:val="BodyText1"/>
            </w:pPr>
          </w:p>
        </w:tc>
      </w:tr>
    </w:tbl>
    <w:p w14:paraId="1E3AB595" w14:textId="55DADBCC" w:rsidR="00214064" w:rsidRDefault="00214064" w:rsidP="002265EB">
      <w:pPr>
        <w:pStyle w:val="Heading6"/>
      </w:pPr>
      <w:r>
        <w:lastRenderedPageBreak/>
        <w:t xml:space="preserve">Table </w:t>
      </w:r>
      <w:r>
        <w:fldChar w:fldCharType="begin"/>
      </w:r>
      <w:r>
        <w:instrText>SEQ Table \* ARABIC</w:instrText>
      </w:r>
      <w:r>
        <w:fldChar w:fldCharType="separate"/>
      </w:r>
      <w:r w:rsidR="00C762CE">
        <w:rPr>
          <w:noProof/>
        </w:rPr>
        <w:t>7</w:t>
      </w:r>
      <w:r>
        <w:fldChar w:fldCharType="end"/>
      </w:r>
      <w:r>
        <w:t xml:space="preserve">. </w:t>
      </w:r>
      <w:r w:rsidRPr="0072587E">
        <w:t xml:space="preserve">Amount </w:t>
      </w:r>
      <w:r>
        <w:t xml:space="preserve">of CAP funding </w:t>
      </w:r>
      <w:r w:rsidRPr="0072587E">
        <w:t xml:space="preserve">committed </w:t>
      </w:r>
      <w:r w:rsidR="00C50635" w:rsidRPr="00C50635">
        <w:t xml:space="preserve">through a financial arrangement with a provider </w:t>
      </w:r>
      <w:r>
        <w:t xml:space="preserve">to specific projects </w:t>
      </w:r>
      <w:r w:rsidRPr="0072587E">
        <w:t xml:space="preserve">and paid by project type </w:t>
      </w:r>
      <w:proofErr w:type="gramStart"/>
      <w:r w:rsidRPr="0072587E">
        <w:t>at</w:t>
      </w:r>
      <w:proofErr w:type="gramEnd"/>
      <w:r w:rsidRPr="0072587E">
        <w:t xml:space="preserve"> 30 April 2025</w:t>
      </w:r>
      <w:r w:rsidR="002265EB">
        <w:t>.</w:t>
      </w:r>
    </w:p>
    <w:tbl>
      <w:tblPr>
        <w:tblStyle w:val="1"/>
        <w:tblW w:w="0" w:type="auto"/>
        <w:tblLook w:val="04A0" w:firstRow="1" w:lastRow="0" w:firstColumn="1" w:lastColumn="0" w:noHBand="0" w:noVBand="1"/>
      </w:tblPr>
      <w:tblGrid>
        <w:gridCol w:w="2146"/>
        <w:gridCol w:w="3282"/>
        <w:gridCol w:w="1701"/>
        <w:gridCol w:w="2127"/>
      </w:tblGrid>
      <w:tr w:rsidR="00696E97" w:rsidRPr="00214064" w14:paraId="11C3BB4C" w14:textId="77777777" w:rsidTr="003415BB">
        <w:trPr>
          <w:trHeight w:val="320"/>
        </w:trPr>
        <w:tc>
          <w:tcPr>
            <w:tcW w:w="0" w:type="auto"/>
            <w:tcBorders>
              <w:top w:val="single" w:sz="4" w:space="0" w:color="auto"/>
              <w:bottom w:val="single" w:sz="4" w:space="0" w:color="auto"/>
            </w:tcBorders>
            <w:noWrap/>
            <w:hideMark/>
          </w:tcPr>
          <w:p w14:paraId="2C4071E4" w14:textId="77777777" w:rsidR="00696E97" w:rsidRPr="00270BD9" w:rsidRDefault="00696E97" w:rsidP="00214064">
            <w:pPr>
              <w:pStyle w:val="BodyText1"/>
              <w:rPr>
                <w:b/>
                <w:bCs/>
                <w:sz w:val="16"/>
                <w:szCs w:val="16"/>
              </w:rPr>
            </w:pPr>
          </w:p>
        </w:tc>
        <w:tc>
          <w:tcPr>
            <w:tcW w:w="3282" w:type="dxa"/>
            <w:tcBorders>
              <w:top w:val="single" w:sz="4" w:space="0" w:color="auto"/>
              <w:bottom w:val="single" w:sz="4" w:space="0" w:color="auto"/>
            </w:tcBorders>
            <w:noWrap/>
            <w:hideMark/>
          </w:tcPr>
          <w:p w14:paraId="3F5E059B" w14:textId="0FD4E7EC" w:rsidR="00696E97" w:rsidRPr="00270BD9" w:rsidRDefault="00214064" w:rsidP="003415BB">
            <w:pPr>
              <w:pStyle w:val="BodyText1"/>
              <w:jc w:val="right"/>
              <w:rPr>
                <w:b/>
                <w:bCs/>
                <w:sz w:val="16"/>
                <w:szCs w:val="16"/>
              </w:rPr>
            </w:pPr>
            <w:r w:rsidRPr="00270BD9">
              <w:rPr>
                <w:b/>
                <w:bCs/>
                <w:sz w:val="16"/>
                <w:szCs w:val="16"/>
              </w:rPr>
              <w:t>Funding c</w:t>
            </w:r>
            <w:r w:rsidR="00696E97" w:rsidRPr="00270BD9">
              <w:rPr>
                <w:b/>
                <w:bCs/>
                <w:sz w:val="16"/>
                <w:szCs w:val="16"/>
              </w:rPr>
              <w:t>ommitted</w:t>
            </w:r>
          </w:p>
        </w:tc>
        <w:tc>
          <w:tcPr>
            <w:tcW w:w="1701" w:type="dxa"/>
            <w:tcBorders>
              <w:top w:val="single" w:sz="4" w:space="0" w:color="auto"/>
              <w:bottom w:val="single" w:sz="4" w:space="0" w:color="auto"/>
            </w:tcBorders>
            <w:noWrap/>
            <w:hideMark/>
          </w:tcPr>
          <w:p w14:paraId="1509D39E" w14:textId="75D1F816" w:rsidR="00696E97" w:rsidRPr="00270BD9" w:rsidRDefault="00214064" w:rsidP="003415BB">
            <w:pPr>
              <w:pStyle w:val="BodyText1"/>
              <w:jc w:val="right"/>
              <w:rPr>
                <w:b/>
                <w:bCs/>
                <w:sz w:val="16"/>
                <w:szCs w:val="16"/>
              </w:rPr>
            </w:pPr>
            <w:r w:rsidRPr="00270BD9">
              <w:rPr>
                <w:b/>
                <w:bCs/>
                <w:sz w:val="16"/>
                <w:szCs w:val="16"/>
              </w:rPr>
              <w:t>Funding p</w:t>
            </w:r>
            <w:r w:rsidR="00696E97" w:rsidRPr="00270BD9">
              <w:rPr>
                <w:b/>
                <w:bCs/>
                <w:sz w:val="16"/>
                <w:szCs w:val="16"/>
              </w:rPr>
              <w:t xml:space="preserve">aid </w:t>
            </w:r>
          </w:p>
        </w:tc>
        <w:tc>
          <w:tcPr>
            <w:tcW w:w="2127" w:type="dxa"/>
            <w:tcBorders>
              <w:top w:val="single" w:sz="4" w:space="0" w:color="auto"/>
              <w:bottom w:val="single" w:sz="4" w:space="0" w:color="auto"/>
            </w:tcBorders>
            <w:noWrap/>
            <w:hideMark/>
          </w:tcPr>
          <w:p w14:paraId="350812BD" w14:textId="1440AE1B" w:rsidR="00696E97" w:rsidRPr="00270BD9" w:rsidRDefault="00696E97" w:rsidP="003415BB">
            <w:pPr>
              <w:pStyle w:val="BodyText1"/>
              <w:jc w:val="right"/>
              <w:rPr>
                <w:b/>
                <w:bCs/>
                <w:sz w:val="16"/>
                <w:szCs w:val="16"/>
              </w:rPr>
            </w:pPr>
            <w:r w:rsidRPr="00270BD9">
              <w:rPr>
                <w:b/>
                <w:bCs/>
                <w:sz w:val="16"/>
                <w:szCs w:val="16"/>
              </w:rPr>
              <w:t xml:space="preserve">% of committed that has been paid </w:t>
            </w:r>
          </w:p>
        </w:tc>
      </w:tr>
      <w:tr w:rsidR="00696E97" w:rsidRPr="00696E97" w14:paraId="2E22AEFB" w14:textId="77777777" w:rsidTr="003415BB">
        <w:trPr>
          <w:trHeight w:val="320"/>
        </w:trPr>
        <w:tc>
          <w:tcPr>
            <w:tcW w:w="0" w:type="auto"/>
            <w:tcBorders>
              <w:top w:val="single" w:sz="4" w:space="0" w:color="auto"/>
            </w:tcBorders>
            <w:noWrap/>
            <w:hideMark/>
          </w:tcPr>
          <w:p w14:paraId="1CF515E6" w14:textId="77777777" w:rsidR="00696E97" w:rsidRPr="00270BD9" w:rsidRDefault="00696E97" w:rsidP="00214064">
            <w:pPr>
              <w:pStyle w:val="BodyText1"/>
              <w:rPr>
                <w:sz w:val="16"/>
                <w:szCs w:val="16"/>
              </w:rPr>
            </w:pPr>
            <w:bookmarkStart w:id="53" w:name="RANGE!H29"/>
            <w:bookmarkStart w:id="54" w:name="OLE_LINK1" w:colFirst="1" w:colLast="2"/>
            <w:r w:rsidRPr="00270BD9">
              <w:rPr>
                <w:sz w:val="16"/>
                <w:szCs w:val="16"/>
              </w:rPr>
              <w:t>Governance</w:t>
            </w:r>
            <w:bookmarkEnd w:id="53"/>
          </w:p>
        </w:tc>
        <w:tc>
          <w:tcPr>
            <w:tcW w:w="3282" w:type="dxa"/>
            <w:tcBorders>
              <w:top w:val="single" w:sz="4" w:space="0" w:color="auto"/>
            </w:tcBorders>
            <w:noWrap/>
            <w:hideMark/>
          </w:tcPr>
          <w:p w14:paraId="0155D061" w14:textId="77777777" w:rsidR="00696E97" w:rsidRPr="00270BD9" w:rsidRDefault="00696E97" w:rsidP="003415BB">
            <w:pPr>
              <w:pStyle w:val="BodyText1"/>
              <w:jc w:val="right"/>
              <w:rPr>
                <w:sz w:val="16"/>
                <w:szCs w:val="16"/>
              </w:rPr>
            </w:pPr>
            <w:r w:rsidRPr="00270BD9">
              <w:rPr>
                <w:sz w:val="16"/>
                <w:szCs w:val="16"/>
              </w:rPr>
              <w:t xml:space="preserve">$18,890,000 </w:t>
            </w:r>
          </w:p>
        </w:tc>
        <w:tc>
          <w:tcPr>
            <w:tcW w:w="1701" w:type="dxa"/>
            <w:tcBorders>
              <w:top w:val="single" w:sz="4" w:space="0" w:color="auto"/>
            </w:tcBorders>
            <w:noWrap/>
            <w:hideMark/>
          </w:tcPr>
          <w:p w14:paraId="5427D914" w14:textId="77777777" w:rsidR="00696E97" w:rsidRPr="00270BD9" w:rsidRDefault="00696E97" w:rsidP="003415BB">
            <w:pPr>
              <w:pStyle w:val="BodyText1"/>
              <w:jc w:val="right"/>
              <w:rPr>
                <w:sz w:val="16"/>
                <w:szCs w:val="16"/>
              </w:rPr>
            </w:pPr>
            <w:r w:rsidRPr="00270BD9">
              <w:rPr>
                <w:sz w:val="16"/>
                <w:szCs w:val="16"/>
              </w:rPr>
              <w:t xml:space="preserve">$11,866,000 </w:t>
            </w:r>
          </w:p>
        </w:tc>
        <w:tc>
          <w:tcPr>
            <w:tcW w:w="2127" w:type="dxa"/>
            <w:tcBorders>
              <w:top w:val="single" w:sz="4" w:space="0" w:color="auto"/>
            </w:tcBorders>
            <w:noWrap/>
            <w:hideMark/>
          </w:tcPr>
          <w:p w14:paraId="17BFA4D1" w14:textId="77777777" w:rsidR="00696E97" w:rsidRPr="00270BD9" w:rsidRDefault="00696E97" w:rsidP="003415BB">
            <w:pPr>
              <w:pStyle w:val="BodyText1"/>
              <w:jc w:val="right"/>
              <w:rPr>
                <w:sz w:val="16"/>
                <w:szCs w:val="16"/>
              </w:rPr>
            </w:pPr>
            <w:r w:rsidRPr="00270BD9">
              <w:rPr>
                <w:sz w:val="16"/>
                <w:szCs w:val="16"/>
              </w:rPr>
              <w:t>63%</w:t>
            </w:r>
          </w:p>
        </w:tc>
      </w:tr>
      <w:tr w:rsidR="00696E97" w:rsidRPr="00696E97" w14:paraId="5A18E26A" w14:textId="77777777" w:rsidTr="003415BB">
        <w:trPr>
          <w:trHeight w:val="560"/>
        </w:trPr>
        <w:tc>
          <w:tcPr>
            <w:tcW w:w="0" w:type="auto"/>
            <w:noWrap/>
            <w:hideMark/>
          </w:tcPr>
          <w:p w14:paraId="039FB0D9" w14:textId="77777777" w:rsidR="00696E97" w:rsidRPr="00270BD9" w:rsidRDefault="00696E97" w:rsidP="00214064">
            <w:pPr>
              <w:pStyle w:val="BodyText1"/>
              <w:rPr>
                <w:sz w:val="16"/>
                <w:szCs w:val="16"/>
              </w:rPr>
            </w:pPr>
            <w:r w:rsidRPr="00270BD9">
              <w:rPr>
                <w:sz w:val="16"/>
                <w:szCs w:val="16"/>
              </w:rPr>
              <w:t>Infrastructure</w:t>
            </w:r>
          </w:p>
        </w:tc>
        <w:tc>
          <w:tcPr>
            <w:tcW w:w="3282" w:type="dxa"/>
            <w:noWrap/>
            <w:hideMark/>
          </w:tcPr>
          <w:p w14:paraId="20502A42" w14:textId="77777777" w:rsidR="00696E97" w:rsidRPr="00270BD9" w:rsidRDefault="00696E97" w:rsidP="003415BB">
            <w:pPr>
              <w:pStyle w:val="BodyText1"/>
              <w:jc w:val="right"/>
              <w:rPr>
                <w:sz w:val="16"/>
                <w:szCs w:val="16"/>
              </w:rPr>
            </w:pPr>
            <w:r w:rsidRPr="00270BD9">
              <w:rPr>
                <w:sz w:val="16"/>
                <w:szCs w:val="16"/>
              </w:rPr>
              <w:t xml:space="preserve">$45,762,088 </w:t>
            </w:r>
          </w:p>
        </w:tc>
        <w:tc>
          <w:tcPr>
            <w:tcW w:w="1701" w:type="dxa"/>
            <w:noWrap/>
            <w:hideMark/>
          </w:tcPr>
          <w:p w14:paraId="3E71ED02" w14:textId="77777777" w:rsidR="00696E97" w:rsidRPr="00270BD9" w:rsidRDefault="00696E97" w:rsidP="003415BB">
            <w:pPr>
              <w:pStyle w:val="BodyText1"/>
              <w:jc w:val="right"/>
              <w:rPr>
                <w:sz w:val="16"/>
                <w:szCs w:val="16"/>
              </w:rPr>
            </w:pPr>
            <w:r w:rsidRPr="00270BD9">
              <w:rPr>
                <w:sz w:val="16"/>
                <w:szCs w:val="16"/>
              </w:rPr>
              <w:t xml:space="preserve">$8,467,398 </w:t>
            </w:r>
          </w:p>
        </w:tc>
        <w:tc>
          <w:tcPr>
            <w:tcW w:w="2127" w:type="dxa"/>
            <w:noWrap/>
            <w:hideMark/>
          </w:tcPr>
          <w:p w14:paraId="339E470F" w14:textId="77777777" w:rsidR="00696E97" w:rsidRPr="00270BD9" w:rsidRDefault="00696E97" w:rsidP="003415BB">
            <w:pPr>
              <w:pStyle w:val="BodyText1"/>
              <w:jc w:val="right"/>
              <w:rPr>
                <w:sz w:val="16"/>
                <w:szCs w:val="16"/>
              </w:rPr>
            </w:pPr>
            <w:r w:rsidRPr="00270BD9">
              <w:rPr>
                <w:sz w:val="16"/>
                <w:szCs w:val="16"/>
              </w:rPr>
              <w:t>19%</w:t>
            </w:r>
          </w:p>
        </w:tc>
      </w:tr>
      <w:tr w:rsidR="00696E97" w:rsidRPr="00696E97" w14:paraId="705FFCB8" w14:textId="77777777" w:rsidTr="003415BB">
        <w:trPr>
          <w:trHeight w:val="840"/>
        </w:trPr>
        <w:tc>
          <w:tcPr>
            <w:tcW w:w="0" w:type="auto"/>
            <w:noWrap/>
            <w:hideMark/>
          </w:tcPr>
          <w:p w14:paraId="07B2DFCB" w14:textId="77777777" w:rsidR="00696E97" w:rsidRPr="00270BD9" w:rsidRDefault="00696E97" w:rsidP="00214064">
            <w:pPr>
              <w:pStyle w:val="BodyText1"/>
              <w:rPr>
                <w:sz w:val="16"/>
                <w:szCs w:val="16"/>
              </w:rPr>
            </w:pPr>
            <w:r w:rsidRPr="00270BD9">
              <w:rPr>
                <w:sz w:val="16"/>
                <w:szCs w:val="16"/>
              </w:rPr>
              <w:t>Youth Services Action Plan</w:t>
            </w:r>
          </w:p>
        </w:tc>
        <w:tc>
          <w:tcPr>
            <w:tcW w:w="3282" w:type="dxa"/>
            <w:noWrap/>
            <w:hideMark/>
          </w:tcPr>
          <w:p w14:paraId="744015B5" w14:textId="77777777" w:rsidR="00696E97" w:rsidRPr="00270BD9" w:rsidRDefault="00696E97" w:rsidP="003415BB">
            <w:pPr>
              <w:pStyle w:val="BodyText1"/>
              <w:jc w:val="right"/>
              <w:rPr>
                <w:sz w:val="16"/>
                <w:szCs w:val="16"/>
              </w:rPr>
            </w:pPr>
            <w:r w:rsidRPr="00270BD9">
              <w:rPr>
                <w:sz w:val="16"/>
                <w:szCs w:val="16"/>
              </w:rPr>
              <w:t xml:space="preserve">$1,017,316 </w:t>
            </w:r>
          </w:p>
        </w:tc>
        <w:tc>
          <w:tcPr>
            <w:tcW w:w="1701" w:type="dxa"/>
            <w:noWrap/>
            <w:hideMark/>
          </w:tcPr>
          <w:p w14:paraId="598DABFA" w14:textId="77777777" w:rsidR="00696E97" w:rsidRPr="00270BD9" w:rsidRDefault="00696E97" w:rsidP="003415BB">
            <w:pPr>
              <w:pStyle w:val="BodyText1"/>
              <w:jc w:val="right"/>
              <w:rPr>
                <w:sz w:val="16"/>
                <w:szCs w:val="16"/>
              </w:rPr>
            </w:pPr>
            <w:r w:rsidRPr="00270BD9">
              <w:rPr>
                <w:sz w:val="16"/>
                <w:szCs w:val="16"/>
              </w:rPr>
              <w:t xml:space="preserve">$1,017,316 </w:t>
            </w:r>
          </w:p>
        </w:tc>
        <w:tc>
          <w:tcPr>
            <w:tcW w:w="2127" w:type="dxa"/>
            <w:noWrap/>
            <w:hideMark/>
          </w:tcPr>
          <w:p w14:paraId="2B0B6CF7" w14:textId="77777777" w:rsidR="00696E97" w:rsidRPr="00270BD9" w:rsidRDefault="00696E97" w:rsidP="003415BB">
            <w:pPr>
              <w:pStyle w:val="BodyText1"/>
              <w:jc w:val="right"/>
              <w:rPr>
                <w:sz w:val="16"/>
                <w:szCs w:val="16"/>
              </w:rPr>
            </w:pPr>
            <w:r w:rsidRPr="00270BD9">
              <w:rPr>
                <w:sz w:val="16"/>
                <w:szCs w:val="16"/>
              </w:rPr>
              <w:t>100%</w:t>
            </w:r>
          </w:p>
        </w:tc>
      </w:tr>
      <w:tr w:rsidR="00696E97" w:rsidRPr="00696E97" w14:paraId="0DD88A65" w14:textId="77777777" w:rsidTr="003415BB">
        <w:trPr>
          <w:trHeight w:val="560"/>
        </w:trPr>
        <w:tc>
          <w:tcPr>
            <w:tcW w:w="0" w:type="auto"/>
            <w:noWrap/>
            <w:hideMark/>
          </w:tcPr>
          <w:p w14:paraId="2D6F1981" w14:textId="77777777" w:rsidR="00696E97" w:rsidRPr="00270BD9" w:rsidRDefault="00696E97" w:rsidP="00214064">
            <w:pPr>
              <w:pStyle w:val="BodyText1"/>
              <w:rPr>
                <w:sz w:val="16"/>
                <w:szCs w:val="16"/>
              </w:rPr>
            </w:pPr>
            <w:r w:rsidRPr="00270BD9">
              <w:rPr>
                <w:sz w:val="16"/>
                <w:szCs w:val="16"/>
              </w:rPr>
              <w:t>Service Delivery</w:t>
            </w:r>
          </w:p>
        </w:tc>
        <w:tc>
          <w:tcPr>
            <w:tcW w:w="3282" w:type="dxa"/>
            <w:noWrap/>
            <w:hideMark/>
          </w:tcPr>
          <w:p w14:paraId="1A322AAE" w14:textId="77777777" w:rsidR="00696E97" w:rsidRPr="00270BD9" w:rsidRDefault="00696E97" w:rsidP="003415BB">
            <w:pPr>
              <w:pStyle w:val="BodyText1"/>
              <w:jc w:val="right"/>
              <w:rPr>
                <w:sz w:val="16"/>
                <w:szCs w:val="16"/>
              </w:rPr>
            </w:pPr>
            <w:r w:rsidRPr="00270BD9">
              <w:rPr>
                <w:sz w:val="16"/>
                <w:szCs w:val="16"/>
              </w:rPr>
              <w:t xml:space="preserve">$43,715,166 </w:t>
            </w:r>
          </w:p>
        </w:tc>
        <w:tc>
          <w:tcPr>
            <w:tcW w:w="1701" w:type="dxa"/>
            <w:noWrap/>
            <w:hideMark/>
          </w:tcPr>
          <w:p w14:paraId="119C0D43" w14:textId="77777777" w:rsidR="00696E97" w:rsidRPr="00270BD9" w:rsidRDefault="00696E97" w:rsidP="003415BB">
            <w:pPr>
              <w:pStyle w:val="BodyText1"/>
              <w:jc w:val="right"/>
              <w:rPr>
                <w:sz w:val="16"/>
                <w:szCs w:val="16"/>
              </w:rPr>
            </w:pPr>
            <w:r w:rsidRPr="00270BD9">
              <w:rPr>
                <w:sz w:val="16"/>
                <w:szCs w:val="16"/>
              </w:rPr>
              <w:t xml:space="preserve">$25,670,310 </w:t>
            </w:r>
          </w:p>
        </w:tc>
        <w:tc>
          <w:tcPr>
            <w:tcW w:w="2127" w:type="dxa"/>
            <w:noWrap/>
            <w:hideMark/>
          </w:tcPr>
          <w:p w14:paraId="2AB571B9" w14:textId="77777777" w:rsidR="00696E97" w:rsidRPr="00270BD9" w:rsidRDefault="00696E97" w:rsidP="003415BB">
            <w:pPr>
              <w:pStyle w:val="BodyText1"/>
              <w:jc w:val="right"/>
              <w:rPr>
                <w:sz w:val="16"/>
                <w:szCs w:val="16"/>
              </w:rPr>
            </w:pPr>
            <w:r w:rsidRPr="00270BD9">
              <w:rPr>
                <w:sz w:val="16"/>
                <w:szCs w:val="16"/>
              </w:rPr>
              <w:t>59%</w:t>
            </w:r>
          </w:p>
        </w:tc>
      </w:tr>
      <w:tr w:rsidR="00696E97" w:rsidRPr="00696E97" w14:paraId="5D276827" w14:textId="77777777" w:rsidTr="003415BB">
        <w:trPr>
          <w:trHeight w:val="840"/>
        </w:trPr>
        <w:tc>
          <w:tcPr>
            <w:tcW w:w="0" w:type="auto"/>
            <w:tcBorders>
              <w:bottom w:val="single" w:sz="4" w:space="0" w:color="auto"/>
            </w:tcBorders>
            <w:noWrap/>
            <w:hideMark/>
          </w:tcPr>
          <w:p w14:paraId="47420368" w14:textId="77777777" w:rsidR="00696E97" w:rsidRPr="00270BD9" w:rsidRDefault="00696E97" w:rsidP="00214064">
            <w:pPr>
              <w:pStyle w:val="BodyText1"/>
              <w:rPr>
                <w:sz w:val="16"/>
                <w:szCs w:val="16"/>
              </w:rPr>
            </w:pPr>
            <w:r w:rsidRPr="00270BD9">
              <w:rPr>
                <w:sz w:val="16"/>
                <w:szCs w:val="16"/>
              </w:rPr>
              <w:t>Workforce Development</w:t>
            </w:r>
          </w:p>
        </w:tc>
        <w:tc>
          <w:tcPr>
            <w:tcW w:w="3282" w:type="dxa"/>
            <w:tcBorders>
              <w:bottom w:val="single" w:sz="4" w:space="0" w:color="auto"/>
            </w:tcBorders>
            <w:noWrap/>
            <w:hideMark/>
          </w:tcPr>
          <w:p w14:paraId="4A8987E5" w14:textId="77777777" w:rsidR="00696E97" w:rsidRPr="00270BD9" w:rsidRDefault="00696E97" w:rsidP="003415BB">
            <w:pPr>
              <w:pStyle w:val="BodyText1"/>
              <w:jc w:val="right"/>
              <w:rPr>
                <w:sz w:val="16"/>
                <w:szCs w:val="16"/>
              </w:rPr>
            </w:pPr>
            <w:r w:rsidRPr="00270BD9">
              <w:rPr>
                <w:sz w:val="16"/>
                <w:szCs w:val="16"/>
              </w:rPr>
              <w:t xml:space="preserve">$47,000,037 </w:t>
            </w:r>
          </w:p>
        </w:tc>
        <w:tc>
          <w:tcPr>
            <w:tcW w:w="1701" w:type="dxa"/>
            <w:tcBorders>
              <w:bottom w:val="single" w:sz="4" w:space="0" w:color="auto"/>
            </w:tcBorders>
            <w:noWrap/>
            <w:hideMark/>
          </w:tcPr>
          <w:p w14:paraId="192F313D" w14:textId="77777777" w:rsidR="00696E97" w:rsidRPr="00270BD9" w:rsidRDefault="00696E97" w:rsidP="003415BB">
            <w:pPr>
              <w:pStyle w:val="BodyText1"/>
              <w:jc w:val="right"/>
              <w:rPr>
                <w:sz w:val="16"/>
                <w:szCs w:val="16"/>
              </w:rPr>
            </w:pPr>
            <w:r w:rsidRPr="00270BD9">
              <w:rPr>
                <w:sz w:val="16"/>
                <w:szCs w:val="16"/>
              </w:rPr>
              <w:t xml:space="preserve">$37,733,318 </w:t>
            </w:r>
          </w:p>
        </w:tc>
        <w:tc>
          <w:tcPr>
            <w:tcW w:w="2127" w:type="dxa"/>
            <w:tcBorders>
              <w:bottom w:val="single" w:sz="4" w:space="0" w:color="auto"/>
            </w:tcBorders>
            <w:noWrap/>
            <w:hideMark/>
          </w:tcPr>
          <w:p w14:paraId="4280AADB" w14:textId="77777777" w:rsidR="00696E97" w:rsidRPr="00270BD9" w:rsidRDefault="00696E97" w:rsidP="003415BB">
            <w:pPr>
              <w:pStyle w:val="BodyText1"/>
              <w:jc w:val="right"/>
              <w:rPr>
                <w:sz w:val="16"/>
                <w:szCs w:val="16"/>
              </w:rPr>
            </w:pPr>
            <w:r w:rsidRPr="00270BD9">
              <w:rPr>
                <w:sz w:val="16"/>
                <w:szCs w:val="16"/>
              </w:rPr>
              <w:t>80%</w:t>
            </w:r>
          </w:p>
        </w:tc>
      </w:tr>
      <w:tr w:rsidR="00696E97" w:rsidRPr="0022675A" w14:paraId="55C0FD54" w14:textId="77777777" w:rsidTr="003415BB">
        <w:trPr>
          <w:trHeight w:val="320"/>
        </w:trPr>
        <w:tc>
          <w:tcPr>
            <w:tcW w:w="0" w:type="auto"/>
            <w:tcBorders>
              <w:top w:val="single" w:sz="4" w:space="0" w:color="auto"/>
              <w:bottom w:val="single" w:sz="4" w:space="0" w:color="000000" w:themeColor="text1"/>
            </w:tcBorders>
            <w:noWrap/>
            <w:hideMark/>
          </w:tcPr>
          <w:p w14:paraId="43E117E5" w14:textId="77777777" w:rsidR="00696E97" w:rsidRPr="00270BD9" w:rsidRDefault="00696E97" w:rsidP="00214064">
            <w:pPr>
              <w:pStyle w:val="BodyText1"/>
              <w:rPr>
                <w:b/>
                <w:bCs/>
                <w:sz w:val="16"/>
                <w:szCs w:val="16"/>
              </w:rPr>
            </w:pPr>
            <w:r w:rsidRPr="00270BD9">
              <w:rPr>
                <w:b/>
                <w:bCs/>
                <w:sz w:val="16"/>
                <w:szCs w:val="16"/>
              </w:rPr>
              <w:t>Grand Total</w:t>
            </w:r>
          </w:p>
        </w:tc>
        <w:tc>
          <w:tcPr>
            <w:tcW w:w="3282" w:type="dxa"/>
            <w:tcBorders>
              <w:top w:val="single" w:sz="4" w:space="0" w:color="auto"/>
              <w:bottom w:val="single" w:sz="4" w:space="0" w:color="000000" w:themeColor="text1"/>
            </w:tcBorders>
            <w:noWrap/>
            <w:hideMark/>
          </w:tcPr>
          <w:p w14:paraId="2D5E944E" w14:textId="77777777" w:rsidR="00696E97" w:rsidRPr="00270BD9" w:rsidRDefault="00696E97" w:rsidP="003415BB">
            <w:pPr>
              <w:pStyle w:val="BodyText1"/>
              <w:jc w:val="right"/>
              <w:rPr>
                <w:b/>
                <w:bCs/>
                <w:sz w:val="16"/>
                <w:szCs w:val="16"/>
              </w:rPr>
            </w:pPr>
            <w:r w:rsidRPr="00270BD9">
              <w:rPr>
                <w:b/>
                <w:bCs/>
                <w:sz w:val="16"/>
                <w:szCs w:val="16"/>
              </w:rPr>
              <w:t xml:space="preserve">$156,384,607 </w:t>
            </w:r>
          </w:p>
        </w:tc>
        <w:tc>
          <w:tcPr>
            <w:tcW w:w="1701" w:type="dxa"/>
            <w:tcBorders>
              <w:top w:val="single" w:sz="4" w:space="0" w:color="auto"/>
              <w:bottom w:val="single" w:sz="4" w:space="0" w:color="000000" w:themeColor="text1"/>
            </w:tcBorders>
            <w:noWrap/>
            <w:hideMark/>
          </w:tcPr>
          <w:p w14:paraId="206C49FB" w14:textId="77777777" w:rsidR="00696E97" w:rsidRPr="00270BD9" w:rsidRDefault="00696E97" w:rsidP="003415BB">
            <w:pPr>
              <w:pStyle w:val="BodyText1"/>
              <w:jc w:val="right"/>
              <w:rPr>
                <w:b/>
                <w:bCs/>
                <w:sz w:val="16"/>
                <w:szCs w:val="16"/>
              </w:rPr>
            </w:pPr>
            <w:r w:rsidRPr="00270BD9">
              <w:rPr>
                <w:b/>
                <w:bCs/>
                <w:sz w:val="16"/>
                <w:szCs w:val="16"/>
              </w:rPr>
              <w:t xml:space="preserve">$84,754,342 </w:t>
            </w:r>
          </w:p>
        </w:tc>
        <w:tc>
          <w:tcPr>
            <w:tcW w:w="2127" w:type="dxa"/>
            <w:tcBorders>
              <w:top w:val="single" w:sz="4" w:space="0" w:color="auto"/>
              <w:bottom w:val="single" w:sz="4" w:space="0" w:color="000000" w:themeColor="text1"/>
            </w:tcBorders>
            <w:noWrap/>
            <w:hideMark/>
          </w:tcPr>
          <w:p w14:paraId="755EED42" w14:textId="54E11A63" w:rsidR="00696E97" w:rsidRPr="00270BD9" w:rsidRDefault="003415BB" w:rsidP="003415BB">
            <w:pPr>
              <w:pStyle w:val="BodyText1"/>
              <w:jc w:val="right"/>
              <w:rPr>
                <w:b/>
                <w:bCs/>
                <w:sz w:val="16"/>
                <w:szCs w:val="16"/>
              </w:rPr>
            </w:pPr>
            <w:r w:rsidRPr="00270BD9">
              <w:rPr>
                <w:b/>
                <w:bCs/>
                <w:sz w:val="16"/>
                <w:szCs w:val="16"/>
              </w:rPr>
              <w:t>100%</w:t>
            </w:r>
          </w:p>
        </w:tc>
      </w:tr>
      <w:bookmarkEnd w:id="54"/>
    </w:tbl>
    <w:p w14:paraId="1DC7585D" w14:textId="5F5E1437" w:rsidR="00194399" w:rsidRDefault="00194399" w:rsidP="00DA4528">
      <w:pPr>
        <w:rPr>
          <w:color w:val="009999"/>
          <w:sz w:val="32"/>
          <w:szCs w:val="32"/>
        </w:rPr>
      </w:pPr>
      <w:r>
        <w:br w:type="page"/>
      </w:r>
    </w:p>
    <w:p w14:paraId="76948417" w14:textId="11609E8E" w:rsidR="7CAB13A8" w:rsidRDefault="7CAB13A8" w:rsidP="00687151">
      <w:pPr>
        <w:pStyle w:val="Heading1"/>
      </w:pPr>
      <w:bookmarkStart w:id="55" w:name="_Toc205475114"/>
      <w:r w:rsidRPr="555AF530">
        <w:lastRenderedPageBreak/>
        <w:t xml:space="preserve">Appendix </w:t>
      </w:r>
      <w:r w:rsidR="00020663">
        <w:t>H</w:t>
      </w:r>
      <w:r w:rsidRPr="555AF530">
        <w:t>: Stakeholders interviewed</w:t>
      </w:r>
      <w:bookmarkEnd w:id="55"/>
      <w:r w:rsidRPr="555AF530">
        <w:t xml:space="preserve"> </w:t>
      </w:r>
    </w:p>
    <w:tbl>
      <w:tblPr>
        <w:tblStyle w:val="PlainTable23"/>
        <w:tblW w:w="9736" w:type="dxa"/>
        <w:tblLayout w:type="fixed"/>
        <w:tblLook w:val="06A0" w:firstRow="1" w:lastRow="0" w:firstColumn="1" w:lastColumn="0" w:noHBand="1" w:noVBand="1"/>
      </w:tblPr>
      <w:tblGrid>
        <w:gridCol w:w="2977"/>
        <w:gridCol w:w="6759"/>
      </w:tblGrid>
      <w:tr w:rsidR="00935EC0" w:rsidRPr="00935EC0" w14:paraId="46EBAB8E" w14:textId="77777777" w:rsidTr="003415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tcPr>
          <w:p w14:paraId="51C441C2" w14:textId="4A8CF98A" w:rsidR="00935EC0" w:rsidRPr="00935EC0" w:rsidDel="00FE3F26" w:rsidRDefault="00204B85" w:rsidP="00935EC0">
            <w:r>
              <w:t>Stakeholder group</w:t>
            </w:r>
          </w:p>
        </w:tc>
        <w:tc>
          <w:tcPr>
            <w:tcW w:w="6759" w:type="dxa"/>
          </w:tcPr>
          <w:p w14:paraId="711B7F33" w14:textId="089D6856" w:rsidR="00935EC0" w:rsidRPr="00935EC0" w:rsidRDefault="003415BB" w:rsidP="00935EC0">
            <w:pPr>
              <w:cnfStyle w:val="100000000000" w:firstRow="1" w:lastRow="0" w:firstColumn="0" w:lastColumn="0" w:oddVBand="0" w:evenVBand="0" w:oddHBand="0" w:evenHBand="0" w:firstRowFirstColumn="0" w:firstRowLastColumn="0" w:lastRowFirstColumn="0" w:lastRowLastColumn="0"/>
            </w:pPr>
            <w:r>
              <w:t>Organisation</w:t>
            </w:r>
          </w:p>
        </w:tc>
      </w:tr>
      <w:tr w:rsidR="009A455C" w:rsidRPr="00935EC0" w14:paraId="727ACB86" w14:textId="77777777" w:rsidTr="003415BB">
        <w:trPr>
          <w:trHeight w:val="300"/>
        </w:trPr>
        <w:tc>
          <w:tcPr>
            <w:cnfStyle w:val="001000000000" w:firstRow="0" w:lastRow="0" w:firstColumn="1" w:lastColumn="0" w:oddVBand="0" w:evenVBand="0" w:oddHBand="0" w:evenHBand="0" w:firstRowFirstColumn="0" w:firstRowLastColumn="0" w:lastRowFirstColumn="0" w:lastRowLastColumn="0"/>
            <w:tcW w:w="2977" w:type="dxa"/>
          </w:tcPr>
          <w:p w14:paraId="44CB0EE9" w14:textId="08FF8962" w:rsidR="009A455C" w:rsidRPr="00935EC0" w:rsidRDefault="00E221A3" w:rsidP="00935EC0">
            <w:pPr>
              <w:rPr>
                <w:b w:val="0"/>
                <w:bCs w:val="0"/>
              </w:rPr>
            </w:pPr>
            <w:r>
              <w:t>Australian</w:t>
            </w:r>
            <w:r w:rsidR="009A455C" w:rsidRPr="00935EC0" w:rsidDel="00FE3F26">
              <w:rPr>
                <w:b w:val="0"/>
                <w:bCs w:val="0"/>
              </w:rPr>
              <w:t xml:space="preserve"> </w:t>
            </w:r>
            <w:r w:rsidR="006E5649" w:rsidRPr="097FF296" w:rsidDel="00FE3F26">
              <w:t>G</w:t>
            </w:r>
            <w:r w:rsidR="009A455C" w:rsidRPr="097FF296" w:rsidDel="00FE3F26">
              <w:t>overnment</w:t>
            </w:r>
          </w:p>
        </w:tc>
        <w:tc>
          <w:tcPr>
            <w:tcW w:w="6759" w:type="dxa"/>
          </w:tcPr>
          <w:p w14:paraId="675DE4A7" w14:textId="2F0E0CD3"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Attorney-General’s Department</w:t>
            </w:r>
          </w:p>
          <w:p w14:paraId="23C4326A" w14:textId="77777777"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 xml:space="preserve">Department of Education </w:t>
            </w:r>
          </w:p>
          <w:p w14:paraId="57D86482" w14:textId="77777777"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Department of Employment and Workplace Relations</w:t>
            </w:r>
          </w:p>
          <w:p w14:paraId="6EA51858" w14:textId="1FB771B0"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Department of Health</w:t>
            </w:r>
            <w:r w:rsidR="26D00C55">
              <w:t>, Disability</w:t>
            </w:r>
            <w:r w:rsidRPr="00935EC0">
              <w:t xml:space="preserve"> and </w:t>
            </w:r>
            <w:r>
              <w:t>Ag</w:t>
            </w:r>
            <w:r w:rsidR="00FA3131">
              <w:t>ing</w:t>
            </w:r>
          </w:p>
          <w:p w14:paraId="39D98A42" w14:textId="517B8A0F"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 xml:space="preserve">Department of </w:t>
            </w:r>
            <w:r w:rsidR="006431DD" w:rsidRPr="00935EC0">
              <w:t>Infrastructure</w:t>
            </w:r>
            <w:r w:rsidR="501ADCB0">
              <w:t>, Transport, Regional Development, Communications, Sports and the Arts</w:t>
            </w:r>
            <w:r w:rsidRPr="00935EC0">
              <w:t xml:space="preserve"> </w:t>
            </w:r>
          </w:p>
          <w:p w14:paraId="62F3E342" w14:textId="33541F52"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 xml:space="preserve">Department of </w:t>
            </w:r>
            <w:r w:rsidR="6C226197">
              <w:t xml:space="preserve">the </w:t>
            </w:r>
            <w:r w:rsidRPr="00935EC0">
              <w:t xml:space="preserve">Prime Minster and Cabinet </w:t>
            </w:r>
          </w:p>
          <w:p w14:paraId="7FE2305B" w14:textId="77777777" w:rsidR="0045761D"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Department of Social Services</w:t>
            </w:r>
          </w:p>
          <w:p w14:paraId="7AA27E65" w14:textId="5B913CCF" w:rsidR="0045761D" w:rsidRPr="00935EC0" w:rsidRDefault="37887C87" w:rsidP="00935EC0">
            <w:pPr>
              <w:cnfStyle w:val="000000000000" w:firstRow="0" w:lastRow="0" w:firstColumn="0" w:lastColumn="0" w:oddVBand="0" w:evenVBand="0" w:oddHBand="0" w:evenHBand="0" w:firstRowFirstColumn="0" w:firstRowLastColumn="0" w:lastRowFirstColumn="0" w:lastRowLastColumn="0"/>
            </w:pPr>
            <w:r>
              <w:t xml:space="preserve">National Indigenous Australians Agency </w:t>
            </w:r>
          </w:p>
          <w:p w14:paraId="3D07E220" w14:textId="46D7D32A" w:rsidR="00BD6D13" w:rsidRPr="00935EC0" w:rsidRDefault="0045761D" w:rsidP="00935EC0">
            <w:pPr>
              <w:cnfStyle w:val="000000000000" w:firstRow="0" w:lastRow="0" w:firstColumn="0" w:lastColumn="0" w:oddVBand="0" w:evenVBand="0" w:oddHBand="0" w:evenHBand="0" w:firstRowFirstColumn="0" w:firstRowLastColumn="0" w:lastRowFirstColumn="0" w:lastRowLastColumn="0"/>
            </w:pPr>
            <w:r w:rsidRPr="00935EC0">
              <w:t>Services Australia</w:t>
            </w:r>
          </w:p>
        </w:tc>
      </w:tr>
      <w:tr w:rsidR="555AF530" w14:paraId="5AE91C0B" w14:textId="77777777" w:rsidTr="003415BB">
        <w:trPr>
          <w:trHeight w:val="300"/>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tcPr>
          <w:p w14:paraId="63BD80D5" w14:textId="2A9634EB" w:rsidR="555AF530" w:rsidRDefault="001711A6" w:rsidP="00935EC0">
            <w:r>
              <w:t xml:space="preserve">Northern Territory Government </w:t>
            </w:r>
            <w:r w:rsidR="0045761D">
              <w:t>(NTG)</w:t>
            </w:r>
          </w:p>
        </w:tc>
        <w:tc>
          <w:tcPr>
            <w:tcW w:w="6759" w:type="dxa"/>
            <w:shd w:val="clear" w:color="auto" w:fill="F2F2F2" w:themeFill="background1" w:themeFillShade="F2"/>
          </w:tcPr>
          <w:p w14:paraId="4814BF57" w14:textId="77777777" w:rsidR="0045761D" w:rsidRPr="00B11CAD" w:rsidRDefault="0045761D" w:rsidP="00935EC0">
            <w:pPr>
              <w:cnfStyle w:val="000000000000" w:firstRow="0" w:lastRow="0" w:firstColumn="0" w:lastColumn="0" w:oddVBand="0" w:evenVBand="0" w:oddHBand="0" w:evenHBand="0" w:firstRowFirstColumn="0" w:firstRowLastColumn="0" w:lastRowFirstColumn="0" w:lastRowLastColumn="0"/>
            </w:pPr>
            <w:r>
              <w:t xml:space="preserve">Department of </w:t>
            </w:r>
            <w:r w:rsidRPr="00B11CAD">
              <w:t>Chief Minster and Cabinet</w:t>
            </w:r>
          </w:p>
          <w:p w14:paraId="5EFD3E6D" w14:textId="52ECA03B" w:rsidR="0045761D" w:rsidRDefault="0045761D" w:rsidP="00935EC0">
            <w:pPr>
              <w:cnfStyle w:val="000000000000" w:firstRow="0" w:lastRow="0" w:firstColumn="0" w:lastColumn="0" w:oddVBand="0" w:evenVBand="0" w:oddHBand="0" w:evenHBand="0" w:firstRowFirstColumn="0" w:firstRowLastColumn="0" w:lastRowFirstColumn="0" w:lastRowLastColumn="0"/>
            </w:pPr>
            <w:r w:rsidRPr="00B11CAD">
              <w:t>Department of C</w:t>
            </w:r>
            <w:r>
              <w:t>hi</w:t>
            </w:r>
            <w:r w:rsidRPr="00B11CAD">
              <w:t>ldren and Families</w:t>
            </w:r>
          </w:p>
          <w:p w14:paraId="583D4A8D" w14:textId="1952C415" w:rsidR="00316615" w:rsidRPr="00B11CAD" w:rsidRDefault="0045761D" w:rsidP="00935EC0">
            <w:pPr>
              <w:cnfStyle w:val="000000000000" w:firstRow="0" w:lastRow="0" w:firstColumn="0" w:lastColumn="0" w:oddVBand="0" w:evenVBand="0" w:oddHBand="0" w:evenHBand="0" w:firstRowFirstColumn="0" w:firstRowLastColumn="0" w:lastRowFirstColumn="0" w:lastRowLastColumn="0"/>
            </w:pPr>
            <w:r w:rsidRPr="00B11CAD">
              <w:t>NT Police</w:t>
            </w:r>
          </w:p>
        </w:tc>
      </w:tr>
      <w:tr w:rsidR="555AF530" w14:paraId="5676899B" w14:textId="77777777" w:rsidTr="0004220B">
        <w:trPr>
          <w:trHeight w:val="1800"/>
        </w:trPr>
        <w:tc>
          <w:tcPr>
            <w:cnfStyle w:val="001000000000" w:firstRow="0" w:lastRow="0" w:firstColumn="1" w:lastColumn="0" w:oddVBand="0" w:evenVBand="0" w:oddHBand="0" w:evenHBand="0" w:firstRowFirstColumn="0" w:firstRowLastColumn="0" w:lastRowFirstColumn="0" w:lastRowLastColumn="0"/>
            <w:tcW w:w="2977" w:type="dxa"/>
          </w:tcPr>
          <w:p w14:paraId="1EFA344B" w14:textId="0284290B" w:rsidR="555AF530" w:rsidRDefault="001711A6" w:rsidP="00935EC0">
            <w:r>
              <w:t xml:space="preserve">Service providers </w:t>
            </w:r>
          </w:p>
        </w:tc>
        <w:tc>
          <w:tcPr>
            <w:tcW w:w="6759" w:type="dxa"/>
          </w:tcPr>
          <w:p w14:paraId="73D49A10" w14:textId="372F0C41"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proofErr w:type="spellStart"/>
            <w:r w:rsidRPr="00B50285">
              <w:t>Atyenhenge</w:t>
            </w:r>
            <w:proofErr w:type="spellEnd"/>
            <w:r w:rsidRPr="00B50285">
              <w:t xml:space="preserve"> </w:t>
            </w:r>
            <w:proofErr w:type="spellStart"/>
            <w:r w:rsidRPr="00B50285">
              <w:t>Atherre</w:t>
            </w:r>
            <w:proofErr w:type="spellEnd"/>
            <w:r w:rsidRPr="00B50285">
              <w:t xml:space="preserve"> Aboriginal Corporation</w:t>
            </w:r>
            <w:r w:rsidR="6A8C7C95">
              <w:t xml:space="preserve"> (AAAC)</w:t>
            </w:r>
          </w:p>
          <w:p w14:paraId="197D433B" w14:textId="77777777"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Central Australian Aboriginal Congress Aboriginal Corporation (Congress)</w:t>
            </w:r>
          </w:p>
          <w:p w14:paraId="02BF4D5D" w14:textId="750D8DF4"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 xml:space="preserve">Central Australian </w:t>
            </w:r>
            <w:r w:rsidR="639066CC">
              <w:t>Women's</w:t>
            </w:r>
            <w:r w:rsidRPr="00B50285">
              <w:t xml:space="preserve"> Legal Services (CAWLS)</w:t>
            </w:r>
          </w:p>
          <w:p w14:paraId="0007A388" w14:textId="7BBF2A90"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 xml:space="preserve">Central Desert </w:t>
            </w:r>
            <w:r w:rsidR="44F52336">
              <w:t xml:space="preserve">Regional </w:t>
            </w:r>
            <w:r w:rsidRPr="00B50285">
              <w:t>Council</w:t>
            </w:r>
          </w:p>
          <w:p w14:paraId="40195B78" w14:textId="77777777"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Children’s Ground </w:t>
            </w:r>
          </w:p>
          <w:p w14:paraId="27D6EADF" w14:textId="3695B7D5"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Mac</w:t>
            </w:r>
            <w:r w:rsidR="00B6665D">
              <w:t>D</w:t>
            </w:r>
            <w:r w:rsidRPr="00B50285">
              <w:t>onnell Regional Council</w:t>
            </w:r>
          </w:p>
          <w:p w14:paraId="7AFD4593" w14:textId="77777777"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Mutitjulu Community Aboriginal Council (MCAC)</w:t>
            </w:r>
          </w:p>
          <w:p w14:paraId="17E8EAD8" w14:textId="77777777"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proofErr w:type="spellStart"/>
            <w:r w:rsidRPr="00B50285">
              <w:t>Oonchiumpa</w:t>
            </w:r>
            <w:proofErr w:type="spellEnd"/>
            <w:r w:rsidRPr="00B50285">
              <w:t xml:space="preserve"> Consultancy and Services</w:t>
            </w:r>
          </w:p>
          <w:p w14:paraId="7F32B126" w14:textId="5A8F2569"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Southern Tanami-</w:t>
            </w:r>
            <w:proofErr w:type="spellStart"/>
            <w:r w:rsidRPr="00B50285">
              <w:t>Kurdji</w:t>
            </w:r>
            <w:proofErr w:type="spellEnd"/>
            <w:r w:rsidR="2AA094D3">
              <w:t xml:space="preserve"> Indigenous Corporation</w:t>
            </w:r>
          </w:p>
          <w:p w14:paraId="02197A49" w14:textId="77777777" w:rsidR="0045761D"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St Phillips School</w:t>
            </w:r>
          </w:p>
          <w:p w14:paraId="2674F94B" w14:textId="240BCC78" w:rsidR="0045761D" w:rsidRPr="00F06DB9" w:rsidRDefault="50760D28"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t>Tangentyere</w:t>
            </w:r>
            <w:r w:rsidR="0045761D" w:rsidRPr="00F06DB9">
              <w:t xml:space="preserve"> Council Aboriginal Corporation</w:t>
            </w:r>
          </w:p>
          <w:p w14:paraId="33F12BEB" w14:textId="708C839E" w:rsidR="555AF530" w:rsidRPr="00B50285" w:rsidRDefault="0045761D" w:rsidP="00935EC0">
            <w:p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B50285">
              <w:t>Women’s Safety Services of Central Australia (</w:t>
            </w:r>
            <w:proofErr w:type="spellStart"/>
            <w:r w:rsidRPr="00B50285">
              <w:t>WoSSCA</w:t>
            </w:r>
            <w:proofErr w:type="spellEnd"/>
            <w:r w:rsidRPr="00B50285">
              <w:t>)</w:t>
            </w:r>
          </w:p>
        </w:tc>
      </w:tr>
      <w:tr w:rsidR="555AF530" w14:paraId="332A56FD" w14:textId="77777777" w:rsidTr="003415BB">
        <w:trPr>
          <w:trHeight w:val="300"/>
        </w:trPr>
        <w:tc>
          <w:tcPr>
            <w:cnfStyle w:val="001000000000" w:firstRow="0" w:lastRow="0" w:firstColumn="1" w:lastColumn="0" w:oddVBand="0" w:evenVBand="0" w:oddHBand="0" w:evenHBand="0" w:firstRowFirstColumn="0" w:firstRowLastColumn="0" w:lastRowFirstColumn="0" w:lastRowLastColumn="0"/>
            <w:tcW w:w="2977" w:type="dxa"/>
            <w:shd w:val="clear" w:color="auto" w:fill="F2F2F2" w:themeFill="background1" w:themeFillShade="F2"/>
          </w:tcPr>
          <w:p w14:paraId="7D8C93A1" w14:textId="26003570" w:rsidR="555AF530" w:rsidRDefault="00DF7817" w:rsidP="00935EC0">
            <w:r>
              <w:t>Aboriginal</w:t>
            </w:r>
            <w:r w:rsidR="000F2283">
              <w:t xml:space="preserve"> Leadership Group</w:t>
            </w:r>
            <w:r w:rsidR="0045761D">
              <w:t xml:space="preserve"> (ALG)</w:t>
            </w:r>
          </w:p>
        </w:tc>
        <w:tc>
          <w:tcPr>
            <w:tcW w:w="6759" w:type="dxa"/>
            <w:shd w:val="clear" w:color="auto" w:fill="F2F2F2" w:themeFill="background1" w:themeFillShade="F2"/>
          </w:tcPr>
          <w:p w14:paraId="70F251CE" w14:textId="7C7A2A9E" w:rsidR="0045761D" w:rsidRDefault="0045761D" w:rsidP="00935EC0">
            <w:pPr>
              <w:cnfStyle w:val="000000000000" w:firstRow="0" w:lastRow="0" w:firstColumn="0" w:lastColumn="0" w:oddVBand="0" w:evenVBand="0" w:oddHBand="0" w:evenHBand="0" w:firstRowFirstColumn="0" w:firstRowLastColumn="0" w:lastRowFirstColumn="0" w:lastRowLastColumn="0"/>
            </w:pPr>
            <w:r w:rsidRPr="009D73EF">
              <w:t xml:space="preserve">Alice Springs Town </w:t>
            </w:r>
            <w:r w:rsidR="00D96B5C">
              <w:t>C</w:t>
            </w:r>
            <w:r w:rsidRPr="009D73EF">
              <w:t>ouncil</w:t>
            </w:r>
          </w:p>
          <w:p w14:paraId="1913A0EB" w14:textId="3C4974BE" w:rsidR="002E3DCF" w:rsidRDefault="002E3DCF" w:rsidP="00935EC0">
            <w:pPr>
              <w:cnfStyle w:val="000000000000" w:firstRow="0" w:lastRow="0" w:firstColumn="0" w:lastColumn="0" w:oddVBand="0" w:evenVBand="0" w:oddHBand="0" w:evenHBand="0" w:firstRowFirstColumn="0" w:firstRowLastColumn="0" w:lastRowFirstColumn="0" w:lastRowLastColumn="0"/>
            </w:pPr>
            <w:r w:rsidRPr="002E3DCF">
              <w:t>Central Australian Aboriginal Congress</w:t>
            </w:r>
          </w:p>
          <w:p w14:paraId="45B78009" w14:textId="55738B58" w:rsidR="0036445C" w:rsidRDefault="0036445C" w:rsidP="00935EC0">
            <w:pPr>
              <w:cnfStyle w:val="000000000000" w:firstRow="0" w:lastRow="0" w:firstColumn="0" w:lastColumn="0" w:oddVBand="0" w:evenVBand="0" w:oddHBand="0" w:evenHBand="0" w:firstRowFirstColumn="0" w:firstRowLastColumn="0" w:lastRowFirstColumn="0" w:lastRowLastColumn="0"/>
            </w:pPr>
            <w:r>
              <w:t>Central Desert Regional Council</w:t>
            </w:r>
          </w:p>
          <w:p w14:paraId="78B09DF3" w14:textId="2A6B2E18" w:rsidR="00520A3A" w:rsidRDefault="00520A3A" w:rsidP="00935EC0">
            <w:pPr>
              <w:cnfStyle w:val="000000000000" w:firstRow="0" w:lastRow="0" w:firstColumn="0" w:lastColumn="0" w:oddVBand="0" w:evenVBand="0" w:oddHBand="0" w:evenHBand="0" w:firstRowFirstColumn="0" w:firstRowLastColumn="0" w:lastRowFirstColumn="0" w:lastRowLastColumn="0"/>
            </w:pPr>
            <w:r>
              <w:t>Central Land Council</w:t>
            </w:r>
          </w:p>
          <w:p w14:paraId="5FEFFE87" w14:textId="77777777" w:rsidR="005A3AE8" w:rsidRDefault="005A3AE8" w:rsidP="00935EC0">
            <w:pPr>
              <w:cnfStyle w:val="000000000000" w:firstRow="0" w:lastRow="0" w:firstColumn="0" w:lastColumn="0" w:oddVBand="0" w:evenVBand="0" w:oddHBand="0" w:evenHBand="0" w:firstRowFirstColumn="0" w:firstRowLastColumn="0" w:lastRowFirstColumn="0" w:lastRowLastColumn="0"/>
            </w:pPr>
            <w:r w:rsidRPr="005A3AE8">
              <w:t xml:space="preserve">Strong Grandmothers Group of the Central Desert </w:t>
            </w:r>
          </w:p>
          <w:p w14:paraId="7C34A5B1" w14:textId="7CDDB184" w:rsidR="00667E0A" w:rsidRDefault="00667E0A" w:rsidP="00935EC0">
            <w:pPr>
              <w:cnfStyle w:val="000000000000" w:firstRow="0" w:lastRow="0" w:firstColumn="0" w:lastColumn="0" w:oddVBand="0" w:evenVBand="0" w:oddHBand="0" w:evenHBand="0" w:firstRowFirstColumn="0" w:firstRowLastColumn="0" w:lastRowFirstColumn="0" w:lastRowLastColumn="0"/>
            </w:pPr>
            <w:r>
              <w:t>Lhere Artepe Aboriginal Corporation</w:t>
            </w:r>
          </w:p>
          <w:p w14:paraId="78161B6C" w14:textId="357E5A45" w:rsidR="00B50285" w:rsidRPr="009D73EF" w:rsidRDefault="009960B3" w:rsidP="00935EC0">
            <w:pPr>
              <w:cnfStyle w:val="000000000000" w:firstRow="0" w:lastRow="0" w:firstColumn="0" w:lastColumn="0" w:oddVBand="0" w:evenVBand="0" w:oddHBand="0" w:evenHBand="0" w:firstRowFirstColumn="0" w:firstRowLastColumn="0" w:lastRowFirstColumn="0" w:lastRowLastColumn="0"/>
            </w:pPr>
            <w:r w:rsidRPr="00DF740B">
              <w:t xml:space="preserve">MacDonnell Regional Council  </w:t>
            </w:r>
          </w:p>
        </w:tc>
      </w:tr>
      <w:tr w:rsidR="555AF530" w14:paraId="031A2108" w14:textId="77777777" w:rsidTr="003415BB">
        <w:trPr>
          <w:trHeight w:val="300"/>
        </w:trPr>
        <w:tc>
          <w:tcPr>
            <w:cnfStyle w:val="001000000000" w:firstRow="0" w:lastRow="0" w:firstColumn="1" w:lastColumn="0" w:oddVBand="0" w:evenVBand="0" w:oddHBand="0" w:evenHBand="0" w:firstRowFirstColumn="0" w:firstRowLastColumn="0" w:lastRowFirstColumn="0" w:lastRowLastColumn="0"/>
            <w:tcW w:w="2977" w:type="dxa"/>
          </w:tcPr>
          <w:p w14:paraId="2876705C" w14:textId="51DF56B3" w:rsidR="555AF530" w:rsidRPr="002B6C52" w:rsidRDefault="000F2283" w:rsidP="00935EC0">
            <w:r w:rsidRPr="002B6C52">
              <w:t xml:space="preserve">Youth Roundtable </w:t>
            </w:r>
          </w:p>
        </w:tc>
        <w:tc>
          <w:tcPr>
            <w:tcW w:w="6759" w:type="dxa"/>
          </w:tcPr>
          <w:p w14:paraId="54B4F009" w14:textId="576F6B12" w:rsidR="555AF530" w:rsidRPr="002B6C52" w:rsidRDefault="00C762CE" w:rsidP="00935EC0">
            <w:pPr>
              <w:cnfStyle w:val="000000000000" w:firstRow="0" w:lastRow="0" w:firstColumn="0" w:lastColumn="0" w:oddVBand="0" w:evenVBand="0" w:oddHBand="0" w:evenHBand="0" w:firstRowFirstColumn="0" w:firstRowLastColumn="0" w:lastRowFirstColumn="0" w:lastRowLastColumn="0"/>
            </w:pPr>
            <w:r>
              <w:t>Three</w:t>
            </w:r>
            <w:r w:rsidR="002B6C52" w:rsidRPr="002B6C52">
              <w:t xml:space="preserve"> members</w:t>
            </w:r>
          </w:p>
        </w:tc>
      </w:tr>
    </w:tbl>
    <w:p w14:paraId="742E2592" w14:textId="42AF6050" w:rsidR="00DF7817" w:rsidRDefault="00DF7817" w:rsidP="00507976">
      <w:pPr>
        <w:pStyle w:val="Heading1"/>
      </w:pPr>
    </w:p>
    <w:p w14:paraId="053FBBBE" w14:textId="77777777" w:rsidR="00C762CE" w:rsidRDefault="00C762CE">
      <w:pPr>
        <w:pStyle w:val="Heading1"/>
      </w:pPr>
    </w:p>
    <w:sectPr w:rsidR="00C762CE" w:rsidSect="00A92124">
      <w:pgSz w:w="11900" w:h="16840"/>
      <w:pgMar w:top="1440" w:right="1080" w:bottom="1440" w:left="108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CD49" w14:textId="77777777" w:rsidR="00121B28" w:rsidRDefault="00121B28" w:rsidP="00DA4528">
      <w:r>
        <w:separator/>
      </w:r>
    </w:p>
  </w:endnote>
  <w:endnote w:type="continuationSeparator" w:id="0">
    <w:p w14:paraId="64CF3872" w14:textId="77777777" w:rsidR="00121B28" w:rsidRDefault="00121B28" w:rsidP="00DA4528">
      <w:r>
        <w:continuationSeparator/>
      </w:r>
    </w:p>
  </w:endnote>
  <w:endnote w:type="continuationNotice" w:id="1">
    <w:p w14:paraId="53EDFE17" w14:textId="77777777" w:rsidR="00121B28" w:rsidRDefault="00121B28" w:rsidP="00DA4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GSMinchoE">
    <w:charset w:val="80"/>
    <w:family w:val="roman"/>
    <w:pitch w:val="variable"/>
    <w:sig w:usb0="E00002FF" w:usb1="2AC7EDFE" w:usb2="00000012" w:usb3="00000000" w:csb0="00020001" w:csb1="00000000"/>
  </w:font>
  <w:font w:name="Times New Roman (Headings CS)">
    <w:altName w:val="Times New Roman"/>
    <w:charset w:val="00"/>
    <w:family w:val="roman"/>
    <w:pitch w:val="default"/>
  </w:font>
  <w:font w:name="Times New Roman (Body CS)">
    <w:altName w:val="Times New Roman"/>
    <w:charset w:val="00"/>
    <w:family w:val="roman"/>
    <w:pitch w:val="variable"/>
    <w:sig w:usb0="E0002AEF" w:usb1="C0007841" w:usb2="00000009" w:usb3="00000000" w:csb0="000001FF" w:csb1="00000000"/>
  </w:font>
  <w:font w:name="American Typewriter">
    <w:altName w:val="Courier New"/>
    <w:charset w:val="4D"/>
    <w:family w:val="roman"/>
    <w:pitch w:val="variable"/>
    <w:sig w:usb0="A000006F" w:usb1="00000019" w:usb2="00000000" w:usb3="00000000" w:csb0="0000011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Hadassah Friedlaender">
    <w:charset w:val="B1"/>
    <w:family w:val="roman"/>
    <w:pitch w:val="variable"/>
    <w:sig w:usb0="00000803" w:usb1="00000000" w:usb2="00000000" w:usb3="00000000" w:csb0="00000021"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7501325"/>
      <w:docPartObj>
        <w:docPartGallery w:val="Page Numbers (Bottom of Page)"/>
        <w:docPartUnique/>
      </w:docPartObj>
    </w:sdtPr>
    <w:sdtContent>
      <w:p w14:paraId="7276A750" w14:textId="67CD1E81" w:rsidR="000608E5" w:rsidRDefault="00ED653B" w:rsidP="00DA4528">
        <w:pPr>
          <w:pStyle w:val="Footer"/>
          <w:rPr>
            <w:rStyle w:val="PageNumber"/>
          </w:rPr>
        </w:pPr>
        <w:r>
          <w:rPr>
            <w:noProof/>
          </w:rPr>
          <mc:AlternateContent>
            <mc:Choice Requires="wps">
              <w:drawing>
                <wp:anchor distT="0" distB="0" distL="0" distR="0" simplePos="0" relativeHeight="251658253" behindDoc="0" locked="0" layoutInCell="1" allowOverlap="1" wp14:anchorId="43182137" wp14:editId="2AE8F506">
                  <wp:simplePos x="635" y="635"/>
                  <wp:positionH relativeFrom="page">
                    <wp:align>center</wp:align>
                  </wp:positionH>
                  <wp:positionV relativeFrom="page">
                    <wp:align>bottom</wp:align>
                  </wp:positionV>
                  <wp:extent cx="552450" cy="438150"/>
                  <wp:effectExtent l="0" t="0" r="0" b="0"/>
                  <wp:wrapNone/>
                  <wp:docPr id="71336010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1E7ABDC7" w14:textId="77777777" w:rsidR="00ED653B" w:rsidRPr="00ED653B" w:rsidRDefault="00ED653B" w:rsidP="00DA4528">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82137" id="_x0000_t202" coordsize="21600,21600" o:spt="202" path="m,l,21600r21600,l21600,xe">
                  <v:stroke joinstyle="miter"/>
                  <v:path gradientshapeok="t" o:connecttype="rect"/>
                </v:shapetype>
                <v:shape id="Text Box 14" o:spid="_x0000_s1037" type="#_x0000_t202" alt="OFFICIAL" style="position:absolute;margin-left:0;margin-top:0;width:43.5pt;height:34.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" filled="f" stroked="f">
                  <v:textbox style="mso-fit-shape-to-text:t" inset="0,0,0,15pt">
                    <w:txbxContent>
                      <w:p w14:paraId="1E7ABDC7" w14:textId="77777777" w:rsidR="00ED653B" w:rsidRPr="00ED653B" w:rsidRDefault="00ED653B" w:rsidP="00DA4528">
                        <w:pPr>
                          <w:rPr>
                            <w:noProof/>
                          </w:rPr>
                        </w:pPr>
                      </w:p>
                    </w:txbxContent>
                  </v:textbox>
                  <w10:wrap anchorx="page" anchory="page"/>
                </v:shape>
              </w:pict>
            </mc:Fallback>
          </mc:AlternateContent>
        </w:r>
      </w:p>
    </w:sdtContent>
  </w:sdt>
  <w:p w14:paraId="6F17F3F5" w14:textId="490BC841" w:rsidR="000608E5" w:rsidRDefault="000608E5" w:rsidP="00DA4528">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506FF77F" w14:textId="77777777" w:rsidR="000608E5" w:rsidRDefault="000608E5" w:rsidP="00DA4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227F" w14:textId="6E873A54" w:rsidR="000608E5" w:rsidRPr="00400027" w:rsidRDefault="00ED653B" w:rsidP="003A2E8A">
    <w:pPr>
      <w:pStyle w:val="Heading1"/>
      <w:rPr>
        <w:rStyle w:val="PageNumber"/>
        <w:rFonts w:ascii="American Typewriter" w:hAnsi="American Typewriter"/>
        <w:b w:val="0"/>
        <w:bCs/>
        <w:sz w:val="18"/>
        <w:szCs w:val="18"/>
      </w:rPr>
    </w:pPr>
    <w:r>
      <w:rPr>
        <w:noProof/>
      </w:rPr>
      <mc:AlternateContent>
        <mc:Choice Requires="wps">
          <w:drawing>
            <wp:anchor distT="0" distB="0" distL="0" distR="0" simplePos="0" relativeHeight="251658254" behindDoc="0" locked="0" layoutInCell="1" allowOverlap="1" wp14:anchorId="54D591DD" wp14:editId="7F8C3F9E">
              <wp:simplePos x="635" y="635"/>
              <wp:positionH relativeFrom="page">
                <wp:align>center</wp:align>
              </wp:positionH>
              <wp:positionV relativeFrom="page">
                <wp:align>bottom</wp:align>
              </wp:positionV>
              <wp:extent cx="552450" cy="438150"/>
              <wp:effectExtent l="0" t="0" r="0" b="0"/>
              <wp:wrapNone/>
              <wp:docPr id="1797280624"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5CAE9A48" w14:textId="77777777" w:rsidR="00ED653B" w:rsidRPr="00ED653B" w:rsidRDefault="00ED653B" w:rsidP="00DA4528">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591DD" id="_x0000_t202" coordsize="21600,21600" o:spt="202" path="m,l,21600r21600,l21600,xe">
              <v:stroke joinstyle="miter"/>
              <v:path gradientshapeok="t" o:connecttype="rect"/>
            </v:shapetype>
            <v:shape id="Text Box 15" o:spid="_x0000_s1038" type="#_x0000_t202" alt="OFFICIAL" style="position:absolute;margin-left:0;margin-top:0;width:43.5pt;height:34.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" filled="f" stroked="f">
              <v:textbox style="mso-fit-shape-to-text:t" inset="0,0,0,15pt">
                <w:txbxContent>
                  <w:p w14:paraId="5CAE9A48" w14:textId="77777777" w:rsidR="00ED653B" w:rsidRPr="00ED653B" w:rsidRDefault="00ED653B" w:rsidP="00DA4528">
                    <w:pPr>
                      <w:rPr>
                        <w:noProof/>
                      </w:rPr>
                    </w:pPr>
                  </w:p>
                </w:txbxContent>
              </v:textbox>
              <w10:wrap anchorx="page" anchory="page"/>
            </v:shape>
          </w:pict>
        </mc:Fallback>
      </mc:AlternateContent>
    </w:r>
    <w:sdt>
      <w:sdtPr>
        <w:rPr>
          <w:rStyle w:val="PageNumber"/>
          <w:rFonts w:ascii="American Typewriter" w:hAnsi="American Typewriter"/>
          <w:b w:val="0"/>
          <w:bCs/>
          <w:sz w:val="18"/>
          <w:szCs w:val="18"/>
        </w:rPr>
        <w:id w:val="2138437371"/>
        <w:docPartObj>
          <w:docPartGallery w:val="Page Numbers (Bottom of Page)"/>
          <w:docPartUnique/>
        </w:docPartObj>
      </w:sdtPr>
      <w:sdtContent>
        <w:r w:rsidR="000608E5" w:rsidRPr="00400027">
          <w:rPr>
            <w:rStyle w:val="PageNumber"/>
            <w:rFonts w:ascii="American Typewriter" w:hAnsi="American Typewriter"/>
            <w:b w:val="0"/>
            <w:bCs/>
            <w:sz w:val="18"/>
            <w:szCs w:val="18"/>
          </w:rPr>
          <w:fldChar w:fldCharType="begin"/>
        </w:r>
        <w:r w:rsidR="000608E5" w:rsidRPr="00400027">
          <w:rPr>
            <w:rStyle w:val="PageNumber"/>
            <w:rFonts w:ascii="American Typewriter" w:hAnsi="American Typewriter"/>
            <w:b w:val="0"/>
            <w:bCs/>
            <w:sz w:val="18"/>
            <w:szCs w:val="18"/>
          </w:rPr>
          <w:instrText xml:space="preserve"> PAGE </w:instrText>
        </w:r>
        <w:r w:rsidR="000608E5" w:rsidRPr="00400027">
          <w:rPr>
            <w:rStyle w:val="PageNumber"/>
            <w:rFonts w:ascii="American Typewriter" w:hAnsi="American Typewriter"/>
            <w:b w:val="0"/>
            <w:bCs/>
            <w:sz w:val="18"/>
            <w:szCs w:val="18"/>
          </w:rPr>
          <w:fldChar w:fldCharType="separate"/>
        </w:r>
        <w:r w:rsidR="000608E5" w:rsidRPr="00400027">
          <w:rPr>
            <w:rStyle w:val="PageNumber"/>
            <w:rFonts w:ascii="American Typewriter" w:hAnsi="American Typewriter"/>
            <w:b w:val="0"/>
            <w:bCs/>
            <w:sz w:val="18"/>
            <w:szCs w:val="18"/>
          </w:rPr>
          <w:t>3</w:t>
        </w:r>
        <w:r w:rsidR="000608E5" w:rsidRPr="00400027">
          <w:rPr>
            <w:rStyle w:val="PageNumber"/>
            <w:rFonts w:ascii="American Typewriter" w:hAnsi="American Typewriter"/>
            <w:b w:val="0"/>
            <w:bCs/>
            <w:sz w:val="18"/>
            <w:szCs w:val="18"/>
          </w:rPr>
          <w:fldChar w:fldCharType="end"/>
        </w:r>
      </w:sdtContent>
    </w:sdt>
    <w:r w:rsidR="009E6F6F" w:rsidRPr="00400027">
      <w:rPr>
        <w:rStyle w:val="PageNumber"/>
        <w:rFonts w:ascii="American Typewriter" w:hAnsi="American Typewriter"/>
        <w:b w:val="0"/>
        <w:bCs/>
        <w:sz w:val="18"/>
        <w:szCs w:val="18"/>
      </w:rPr>
      <w:t xml:space="preserve">    </w:t>
    </w:r>
    <w:r w:rsidR="000608E5" w:rsidRPr="00400027">
      <w:rPr>
        <w:rStyle w:val="PageNumber"/>
        <w:rFonts w:ascii="American Typewriter" w:hAnsi="American Typewriter"/>
        <w:b w:val="0"/>
        <w:bCs/>
        <w:sz w:val="18"/>
        <w:szCs w:val="18"/>
      </w:rPr>
      <w:t>Inside Policy | Changing the world one policy at a time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D50" w14:textId="26EE47E6" w:rsidR="001E3E42" w:rsidRDefault="00ED653B" w:rsidP="00DA4528">
    <w:pPr>
      <w:pStyle w:val="Footer"/>
    </w:pPr>
    <w:r>
      <w:rPr>
        <w:noProof/>
      </w:rPr>
      <mc:AlternateContent>
        <mc:Choice Requires="wps">
          <w:drawing>
            <wp:anchor distT="0" distB="0" distL="0" distR="0" simplePos="0" relativeHeight="251658252" behindDoc="0" locked="0" layoutInCell="1" allowOverlap="1" wp14:anchorId="1E491A5F" wp14:editId="434F2FD1">
              <wp:simplePos x="635" y="635"/>
              <wp:positionH relativeFrom="page">
                <wp:align>center</wp:align>
              </wp:positionH>
              <wp:positionV relativeFrom="page">
                <wp:align>bottom</wp:align>
              </wp:positionV>
              <wp:extent cx="552450" cy="438150"/>
              <wp:effectExtent l="0" t="0" r="0" b="0"/>
              <wp:wrapNone/>
              <wp:docPr id="2014588701"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3EDFA19C" w14:textId="77777777" w:rsidR="00ED653B" w:rsidRPr="00ED653B" w:rsidRDefault="00ED653B" w:rsidP="00DA4528">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491A5F" id="_x0000_t202" coordsize="21600,21600" o:spt="202" path="m,l,21600r21600,l21600,xe">
              <v:stroke joinstyle="miter"/>
              <v:path gradientshapeok="t" o:connecttype="rect"/>
            </v:shapetype>
            <v:shape id="Text Box 13" o:spid="_x0000_s1044" type="#_x0000_t202" alt="OFFICIAL" style="position:absolute;margin-left:0;margin-top:0;width:43.5pt;height:34.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" filled="f" stroked="f">
              <v:textbox style="mso-fit-shape-to-text:t" inset="0,0,0,15pt">
                <w:txbxContent>
                  <w:p w14:paraId="3EDFA19C" w14:textId="77777777" w:rsidR="00ED653B" w:rsidRPr="00ED653B" w:rsidRDefault="00ED653B" w:rsidP="00DA4528">
                    <w:pPr>
                      <w:rPr>
                        <w:noProof/>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3BD6" w14:textId="72F31C40" w:rsidR="00ED653B" w:rsidRDefault="00ED653B" w:rsidP="00DA4528">
    <w:pPr>
      <w:pStyle w:val="Footer"/>
    </w:pPr>
    <w:r>
      <w:rPr>
        <w:noProof/>
      </w:rPr>
      <mc:AlternateContent>
        <mc:Choice Requires="wps">
          <w:drawing>
            <wp:anchor distT="0" distB="0" distL="0" distR="0" simplePos="0" relativeHeight="251658256" behindDoc="0" locked="0" layoutInCell="1" allowOverlap="1" wp14:anchorId="738FC792" wp14:editId="46A4BFF4">
              <wp:simplePos x="635" y="635"/>
              <wp:positionH relativeFrom="page">
                <wp:align>center</wp:align>
              </wp:positionH>
              <wp:positionV relativeFrom="page">
                <wp:align>bottom</wp:align>
              </wp:positionV>
              <wp:extent cx="552450" cy="438150"/>
              <wp:effectExtent l="0" t="0" r="0" b="0"/>
              <wp:wrapNone/>
              <wp:docPr id="1639531330"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67C30455" w14:textId="77777777" w:rsidR="00ED653B" w:rsidRPr="00ED653B" w:rsidRDefault="00ED653B" w:rsidP="00DA4528">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8FC792" id="_x0000_t202" coordsize="21600,21600" o:spt="202" path="m,l,21600r21600,l21600,xe">
              <v:stroke joinstyle="miter"/>
              <v:path gradientshapeok="t" o:connecttype="rect"/>
            </v:shapetype>
            <v:shape id="Text Box 17" o:spid="_x0000_s1053" type="#_x0000_t202" alt="OFFICIAL" style="position:absolute;margin-left:0;margin-top:0;width:43.5pt;height:34.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" filled="f" stroked="f">
              <v:textbox style="mso-fit-shape-to-text:t" inset="0,0,0,15pt">
                <w:txbxContent>
                  <w:p w14:paraId="67C30455" w14:textId="77777777" w:rsidR="00ED653B" w:rsidRPr="00ED653B" w:rsidRDefault="00ED653B" w:rsidP="00DA4528">
                    <w:pPr>
                      <w:rPr>
                        <w:noProof/>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549455"/>
      <w:docPartObj>
        <w:docPartGallery w:val="Page Numbers (Bottom of Page)"/>
        <w:docPartUnique/>
      </w:docPartObj>
    </w:sdtPr>
    <w:sdtEndPr>
      <w:rPr>
        <w:noProof/>
      </w:rPr>
    </w:sdtEndPr>
    <w:sdtContent>
      <w:p w14:paraId="1044553A" w14:textId="6C598BC6" w:rsidR="00F04D5F" w:rsidRPr="007A17B4" w:rsidRDefault="00ED653B" w:rsidP="00DA4528">
        <w:pPr>
          <w:pStyle w:val="Footer"/>
        </w:pPr>
        <w:r>
          <w:rPr>
            <w:noProof/>
          </w:rPr>
          <mc:AlternateContent>
            <mc:Choice Requires="wps">
              <w:drawing>
                <wp:anchor distT="0" distB="0" distL="0" distR="0" simplePos="0" relativeHeight="251658257" behindDoc="0" locked="0" layoutInCell="1" allowOverlap="1" wp14:anchorId="42541FF8" wp14:editId="71CD9928">
                  <wp:simplePos x="635" y="635"/>
                  <wp:positionH relativeFrom="page">
                    <wp:align>center</wp:align>
                  </wp:positionH>
                  <wp:positionV relativeFrom="page">
                    <wp:align>bottom</wp:align>
                  </wp:positionV>
                  <wp:extent cx="552450" cy="438150"/>
                  <wp:effectExtent l="0" t="0" r="0" b="0"/>
                  <wp:wrapNone/>
                  <wp:docPr id="1616133894"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3025AB5C" w14:textId="77777777" w:rsidR="00ED653B" w:rsidRPr="00ED653B" w:rsidRDefault="00ED653B" w:rsidP="00DA4528">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541FF8" id="_x0000_t202" coordsize="21600,21600" o:spt="202" path="m,l,21600r21600,l21600,xe">
                  <v:stroke joinstyle="miter"/>
                  <v:path gradientshapeok="t" o:connecttype="rect"/>
                </v:shapetype>
                <v:shape id="Text Box 18" o:spid="_x0000_s1054" type="#_x0000_t202" alt="OFFICIAL" style="position:absolute;margin-left:0;margin-top:0;width:43.5pt;height:34.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" filled="f" stroked="f">
                  <v:textbox style="mso-fit-shape-to-text:t" inset="0,0,0,15pt">
                    <w:txbxContent>
                      <w:p w14:paraId="3025AB5C" w14:textId="77777777" w:rsidR="00ED653B" w:rsidRPr="00ED653B" w:rsidRDefault="00ED653B" w:rsidP="00DA4528">
                        <w:pPr>
                          <w:rPr>
                            <w:noProof/>
                          </w:rPr>
                        </w:pPr>
                      </w:p>
                    </w:txbxContent>
                  </v:textbox>
                  <w10:wrap anchorx="page" anchory="page"/>
                </v:shape>
              </w:pict>
            </mc:Fallback>
          </mc:AlternateContent>
        </w:r>
      </w:p>
    </w:sdtContent>
  </w:sdt>
  <w:p w14:paraId="7AE13C35" w14:textId="235FB2E3" w:rsidR="0091075E" w:rsidRDefault="00000000" w:rsidP="00DA4528">
    <w:pPr>
      <w:pStyle w:val="Footer"/>
    </w:pPr>
    <w:sdt>
      <w:sdtPr>
        <w:rPr>
          <w:rStyle w:val="PageNumber"/>
          <w:color w:val="008080"/>
          <w:sz w:val="18"/>
          <w:szCs w:val="18"/>
        </w:rPr>
        <w:id w:val="-617613794"/>
        <w:docPartObj>
          <w:docPartGallery w:val="Page Numbers (Bottom of Page)"/>
          <w:docPartUnique/>
        </w:docPartObj>
      </w:sdtPr>
      <w:sdtEndPr>
        <w:rPr>
          <w:rStyle w:val="PageNumber"/>
          <w:rFonts w:ascii="American Typewriter" w:hAnsi="American Typewriter"/>
        </w:rPr>
      </w:sdtEndPr>
      <w:sdtContent>
        <w:r w:rsidR="00B60523" w:rsidRPr="00400027">
          <w:rPr>
            <w:rStyle w:val="PageNumber"/>
            <w:rFonts w:ascii="American Typewriter" w:hAnsi="American Typewriter"/>
            <w:color w:val="008080"/>
            <w:sz w:val="18"/>
            <w:szCs w:val="18"/>
          </w:rPr>
          <w:fldChar w:fldCharType="begin"/>
        </w:r>
        <w:r w:rsidR="00B60523" w:rsidRPr="00400027">
          <w:rPr>
            <w:rStyle w:val="PageNumber"/>
            <w:rFonts w:ascii="American Typewriter" w:hAnsi="American Typewriter"/>
            <w:color w:val="008080"/>
            <w:sz w:val="18"/>
            <w:szCs w:val="18"/>
          </w:rPr>
          <w:instrText xml:space="preserve"> PAGE </w:instrText>
        </w:r>
        <w:r w:rsidR="00B60523" w:rsidRPr="00400027">
          <w:rPr>
            <w:rStyle w:val="PageNumber"/>
            <w:rFonts w:ascii="American Typewriter" w:hAnsi="American Typewriter"/>
            <w:color w:val="008080"/>
            <w:sz w:val="18"/>
            <w:szCs w:val="18"/>
          </w:rPr>
          <w:fldChar w:fldCharType="separate"/>
        </w:r>
        <w:r w:rsidR="00B60523" w:rsidRPr="00400027">
          <w:rPr>
            <w:rStyle w:val="PageNumber"/>
            <w:rFonts w:ascii="American Typewriter" w:hAnsi="American Typewriter"/>
            <w:color w:val="008080"/>
            <w:sz w:val="18"/>
            <w:szCs w:val="18"/>
          </w:rPr>
          <w:t>22</w:t>
        </w:r>
        <w:r w:rsidR="00B60523" w:rsidRPr="00400027">
          <w:rPr>
            <w:rStyle w:val="PageNumber"/>
            <w:rFonts w:ascii="American Typewriter" w:hAnsi="American Typewriter"/>
            <w:color w:val="008080"/>
            <w:sz w:val="18"/>
            <w:szCs w:val="18"/>
          </w:rPr>
          <w:fldChar w:fldCharType="end"/>
        </w:r>
      </w:sdtContent>
    </w:sdt>
    <w:r w:rsidR="007A17B4" w:rsidRPr="00400027">
      <w:rPr>
        <w:rStyle w:val="PageNumber"/>
        <w:rFonts w:ascii="American Typewriter" w:hAnsi="American Typewriter"/>
        <w:color w:val="008080"/>
        <w:sz w:val="18"/>
        <w:szCs w:val="18"/>
      </w:rPr>
      <w:t xml:space="preserve"> </w:t>
    </w:r>
    <w:r w:rsidR="00B60523" w:rsidRPr="00400027">
      <w:rPr>
        <w:rStyle w:val="PageNumber"/>
        <w:rFonts w:ascii="American Typewriter" w:hAnsi="American Typewriter"/>
        <w:color w:val="008080"/>
        <w:sz w:val="18"/>
        <w:szCs w:val="18"/>
      </w:rPr>
      <w:t>Inside Policy | Changing the world one policy at a time</w:t>
    </w:r>
    <w:r w:rsidR="00B60523">
      <w:tab/>
    </w:r>
    <w:r w:rsidR="00B60523" w:rsidRPr="00424F6E">
      <w:t xml:space="preserve"> </w:t>
    </w:r>
  </w:p>
  <w:p w14:paraId="7F152442" w14:textId="1E576852" w:rsidR="00F04D5F" w:rsidRPr="007A17B4" w:rsidRDefault="00F04D5F" w:rsidP="00DA45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476A" w14:textId="0CEEF8E6" w:rsidR="00ED653B" w:rsidRDefault="00ED653B" w:rsidP="00DA4528">
    <w:pPr>
      <w:pStyle w:val="Footer"/>
    </w:pPr>
    <w:r>
      <w:rPr>
        <w:noProof/>
      </w:rPr>
      <mc:AlternateContent>
        <mc:Choice Requires="wps">
          <w:drawing>
            <wp:anchor distT="0" distB="0" distL="0" distR="0" simplePos="0" relativeHeight="251658255" behindDoc="0" locked="0" layoutInCell="1" allowOverlap="1" wp14:anchorId="46CF54CA" wp14:editId="3E92D43D">
              <wp:simplePos x="635" y="635"/>
              <wp:positionH relativeFrom="page">
                <wp:align>center</wp:align>
              </wp:positionH>
              <wp:positionV relativeFrom="page">
                <wp:align>bottom</wp:align>
              </wp:positionV>
              <wp:extent cx="552450" cy="438150"/>
              <wp:effectExtent l="0" t="0" r="0" b="0"/>
              <wp:wrapNone/>
              <wp:docPr id="1582577887"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4C05AF8C" w14:textId="77777777" w:rsidR="00ED653B" w:rsidRPr="00ED653B" w:rsidRDefault="00ED653B" w:rsidP="00DA4528">
                          <w:pPr>
                            <w:rPr>
                              <w:noProof/>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CF54CA" id="_x0000_t202" coordsize="21600,21600" o:spt="202" path="m,l,21600r21600,l21600,xe">
              <v:stroke joinstyle="miter"/>
              <v:path gradientshapeok="t" o:connecttype="rect"/>
            </v:shapetype>
            <v:shape id="Text Box 16" o:spid="_x0000_s1060" type="#_x0000_t202" alt="OFFICIAL" style="position:absolute;margin-left:0;margin-top:0;width:43.5pt;height:34.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" filled="f" stroked="f">
              <v:textbox style="mso-fit-shape-to-text:t" inset="0,0,0,15pt">
                <w:txbxContent>
                  <w:p w14:paraId="4C05AF8C" w14:textId="77777777" w:rsidR="00ED653B" w:rsidRPr="00ED653B" w:rsidRDefault="00ED653B" w:rsidP="00DA4528">
                    <w:pPr>
                      <w:rPr>
                        <w:noProof/>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624B8" w14:textId="77777777" w:rsidR="00121B28" w:rsidRDefault="00121B28" w:rsidP="00DA4528">
      <w:r>
        <w:separator/>
      </w:r>
    </w:p>
  </w:footnote>
  <w:footnote w:type="continuationSeparator" w:id="0">
    <w:p w14:paraId="0B43DD49" w14:textId="77777777" w:rsidR="00121B28" w:rsidRDefault="00121B28" w:rsidP="00DA4528">
      <w:r>
        <w:continuationSeparator/>
      </w:r>
    </w:p>
  </w:footnote>
  <w:footnote w:type="continuationNotice" w:id="1">
    <w:p w14:paraId="4A0548F7" w14:textId="77777777" w:rsidR="00121B28" w:rsidRDefault="00121B28" w:rsidP="00DA4528"/>
  </w:footnote>
  <w:footnote w:id="2">
    <w:p w14:paraId="5581CF1A" w14:textId="1F340198" w:rsidR="00E076BA" w:rsidRPr="00D75267" w:rsidRDefault="00E076BA" w:rsidP="00731960">
      <w:pPr>
        <w:spacing w:before="0" w:after="0"/>
        <w:rPr>
          <w:sz w:val="16"/>
          <w:szCs w:val="16"/>
        </w:rPr>
      </w:pPr>
      <w:r w:rsidRPr="00D75267">
        <w:rPr>
          <w:rStyle w:val="FootnoteReference"/>
          <w:rFonts w:eastAsia="Helvetica" w:cs="Helvetica"/>
          <w:sz w:val="16"/>
          <w:szCs w:val="16"/>
        </w:rPr>
        <w:footnoteRef/>
      </w:r>
      <w:r w:rsidRPr="00D75267">
        <w:rPr>
          <w:rFonts w:eastAsia="Helvetica" w:cs="Helvetica"/>
          <w:sz w:val="16"/>
          <w:szCs w:val="16"/>
        </w:rPr>
        <w:t xml:space="preserve"> </w:t>
      </w:r>
      <w:r w:rsidR="00B632FD" w:rsidRPr="00D75267">
        <w:rPr>
          <w:sz w:val="16"/>
          <w:szCs w:val="16"/>
        </w:rPr>
        <w:t xml:space="preserve">Budget NT Government (2024) </w:t>
      </w:r>
      <w:hyperlink r:id="rId1">
        <w:r w:rsidR="00B632FD" w:rsidRPr="00D75267">
          <w:rPr>
            <w:rStyle w:val="Hyperlink"/>
            <w:rFonts w:eastAsia="Helvetica" w:cs="Helvetica"/>
            <w:i/>
            <w:color w:val="404040" w:themeColor="text1" w:themeTint="BF"/>
            <w:sz w:val="16"/>
            <w:szCs w:val="16"/>
          </w:rPr>
          <w:t>Central Australia Fact sheet</w:t>
        </w:r>
      </w:hyperlink>
      <w:r w:rsidR="00B632FD" w:rsidRPr="00D75267">
        <w:rPr>
          <w:i/>
          <w:sz w:val="16"/>
          <w:szCs w:val="16"/>
        </w:rPr>
        <w:t xml:space="preserve">, </w:t>
      </w:r>
      <w:r w:rsidR="00B632FD" w:rsidRPr="00D75267">
        <w:rPr>
          <w:sz w:val="16"/>
          <w:szCs w:val="16"/>
        </w:rPr>
        <w:t xml:space="preserve">NT Government, accessed June 2025. </w:t>
      </w:r>
    </w:p>
  </w:footnote>
  <w:footnote w:id="3">
    <w:p w14:paraId="6FF30A8F" w14:textId="292DE03D" w:rsidR="00E076BA" w:rsidRPr="00D75267" w:rsidRDefault="00E076BA" w:rsidP="00731960">
      <w:pPr>
        <w:spacing w:before="0" w:after="0"/>
        <w:rPr>
          <w:sz w:val="16"/>
          <w:szCs w:val="16"/>
        </w:rPr>
      </w:pPr>
      <w:r w:rsidRPr="00D75267">
        <w:rPr>
          <w:rStyle w:val="FootnoteReference"/>
          <w:rFonts w:eastAsia="Helvetica" w:cs="Helvetica"/>
          <w:sz w:val="16"/>
          <w:szCs w:val="16"/>
        </w:rPr>
        <w:footnoteRef/>
      </w:r>
      <w:r w:rsidRPr="00D75267">
        <w:rPr>
          <w:rFonts w:eastAsia="Helvetica" w:cs="Helvetica"/>
          <w:sz w:val="16"/>
          <w:szCs w:val="16"/>
        </w:rPr>
        <w:t xml:space="preserve"> </w:t>
      </w:r>
      <w:r w:rsidR="00106BFE" w:rsidRPr="00D75267">
        <w:rPr>
          <w:rFonts w:eastAsia="Helvetica" w:cs="Helvetica"/>
          <w:sz w:val="16"/>
          <w:szCs w:val="16"/>
        </w:rPr>
        <w:t>NIAA (National Indigenous Australians Agency) (</w:t>
      </w:r>
      <w:r w:rsidR="00106BFE" w:rsidRPr="00D75267">
        <w:rPr>
          <w:sz w:val="16"/>
          <w:szCs w:val="16"/>
        </w:rPr>
        <w:t>2023)</w:t>
      </w:r>
      <w:r w:rsidR="00106BFE" w:rsidRPr="00D75267">
        <w:rPr>
          <w:rFonts w:eastAsia="Helvetica" w:cs="Helvetica"/>
          <w:sz w:val="16"/>
          <w:szCs w:val="16"/>
        </w:rPr>
        <w:t xml:space="preserve"> </w:t>
      </w:r>
      <w:hyperlink r:id="rId2">
        <w:r w:rsidR="00106BFE" w:rsidRPr="00D75267">
          <w:rPr>
            <w:rStyle w:val="Hyperlink"/>
            <w:rFonts w:eastAsia="Helvetica" w:cs="Helvetica"/>
            <w:i/>
            <w:color w:val="404040" w:themeColor="text1" w:themeTint="BF"/>
            <w:sz w:val="16"/>
            <w:szCs w:val="16"/>
          </w:rPr>
          <w:t>A Better, Safer Future for Central Australia</w:t>
        </w:r>
      </w:hyperlink>
      <w:r w:rsidR="00106BFE" w:rsidRPr="00D75267">
        <w:rPr>
          <w:i/>
          <w:sz w:val="16"/>
          <w:szCs w:val="16"/>
        </w:rPr>
        <w:t>,</w:t>
      </w:r>
      <w:r w:rsidR="00106BFE" w:rsidRPr="00D75267">
        <w:rPr>
          <w:sz w:val="16"/>
          <w:szCs w:val="16"/>
        </w:rPr>
        <w:t xml:space="preserve"> NIAA, accessed June 2025. </w:t>
      </w:r>
    </w:p>
  </w:footnote>
  <w:footnote w:id="4">
    <w:p w14:paraId="36EE4690" w14:textId="367870BD" w:rsidR="006D4239" w:rsidRPr="00D75267" w:rsidRDefault="006D4239" w:rsidP="00731960">
      <w:pPr>
        <w:pStyle w:val="FootnoteText"/>
        <w:spacing w:before="0" w:after="0"/>
        <w:rPr>
          <w:szCs w:val="16"/>
        </w:rPr>
      </w:pPr>
      <w:r w:rsidRPr="00D75267">
        <w:rPr>
          <w:rStyle w:val="FootnoteReference"/>
          <w:szCs w:val="16"/>
        </w:rPr>
        <w:footnoteRef/>
      </w:r>
      <w:r w:rsidRPr="00D75267">
        <w:rPr>
          <w:szCs w:val="16"/>
        </w:rPr>
        <w:t xml:space="preserve"> </w:t>
      </w:r>
      <w:r w:rsidR="003A692D" w:rsidRPr="00D75267">
        <w:rPr>
          <w:szCs w:val="16"/>
        </w:rPr>
        <w:t xml:space="preserve">ABS (Australian Bureau of Statistics) 2021 </w:t>
      </w:r>
      <w:hyperlink r:id="rId3" w:history="1">
        <w:r w:rsidR="003A692D" w:rsidRPr="00D75267">
          <w:rPr>
            <w:rStyle w:val="Hyperlink"/>
            <w:i/>
            <w:color w:val="404040" w:themeColor="text1" w:themeTint="BF"/>
            <w:szCs w:val="16"/>
          </w:rPr>
          <w:t>Alice Springs</w:t>
        </w:r>
      </w:hyperlink>
      <w:r w:rsidR="003A692D" w:rsidRPr="00D75267">
        <w:rPr>
          <w:i/>
          <w:szCs w:val="16"/>
        </w:rPr>
        <w:t>,</w:t>
      </w:r>
      <w:r w:rsidR="003A692D" w:rsidRPr="00D75267">
        <w:rPr>
          <w:szCs w:val="16"/>
        </w:rPr>
        <w:t xml:space="preserve"> ABS website, accessed April 2025</w:t>
      </w:r>
      <w:r w:rsidR="00896C24" w:rsidRPr="00D75267">
        <w:rPr>
          <w:szCs w:val="16"/>
        </w:rPr>
        <w:t>.</w:t>
      </w:r>
    </w:p>
  </w:footnote>
  <w:footnote w:id="5">
    <w:p w14:paraId="72CEA4C2" w14:textId="31B92821" w:rsidR="0025500F" w:rsidRPr="00D75267" w:rsidRDefault="0025500F" w:rsidP="00731960">
      <w:pPr>
        <w:pStyle w:val="FootnoteText"/>
        <w:spacing w:before="0" w:after="0"/>
        <w:rPr>
          <w:rFonts w:eastAsia="Helvetica" w:cs="Helvetica"/>
          <w:szCs w:val="16"/>
        </w:rPr>
      </w:pPr>
      <w:r w:rsidRPr="00D75267">
        <w:rPr>
          <w:rStyle w:val="FootnoteReference"/>
          <w:rFonts w:eastAsia="Helvetica" w:cs="Helvetica"/>
          <w:szCs w:val="16"/>
        </w:rPr>
        <w:footnoteRef/>
      </w:r>
      <w:r w:rsidRPr="00D75267">
        <w:rPr>
          <w:rFonts w:eastAsia="Helvetica" w:cs="Helvetica"/>
          <w:szCs w:val="16"/>
        </w:rPr>
        <w:t xml:space="preserve"> </w:t>
      </w:r>
      <w:r w:rsidR="006B4195" w:rsidRPr="00D75267">
        <w:rPr>
          <w:rFonts w:eastAsia="Helvetica" w:cs="Helvetica"/>
          <w:szCs w:val="16"/>
        </w:rPr>
        <w:t xml:space="preserve">Australian Indigenous HealthInfoNet (2022) </w:t>
      </w:r>
      <w:hyperlink r:id="rId4" w:history="1">
        <w:r w:rsidR="006B4195" w:rsidRPr="00D75267">
          <w:rPr>
            <w:rStyle w:val="Hyperlink"/>
            <w:rFonts w:eastAsia="Helvetica" w:cs="Helvetica"/>
            <w:i/>
            <w:color w:val="404040" w:themeColor="text1" w:themeTint="BF"/>
            <w:szCs w:val="16"/>
          </w:rPr>
          <w:t>The Australian Indigenous HealthInfoNet Guidelines for Aboriginal and Torres Strait Islander Terminology</w:t>
        </w:r>
      </w:hyperlink>
      <w:r w:rsidR="006B4195" w:rsidRPr="00D75267">
        <w:rPr>
          <w:rFonts w:eastAsia="Helvetica" w:cs="Helvetica"/>
          <w:szCs w:val="16"/>
        </w:rPr>
        <w:t xml:space="preserve">, Australian Indigenous HealthInfoNet, accessed August 2024. </w:t>
      </w:r>
    </w:p>
  </w:footnote>
  <w:footnote w:id="6">
    <w:p w14:paraId="7C93A8EC" w14:textId="3FCB0C47" w:rsidR="0025500F" w:rsidRPr="00D75267" w:rsidRDefault="0025500F" w:rsidP="00731960">
      <w:pPr>
        <w:spacing w:before="0" w:after="0"/>
        <w:rPr>
          <w:sz w:val="16"/>
          <w:szCs w:val="16"/>
        </w:rPr>
      </w:pPr>
      <w:r w:rsidRPr="00D75267">
        <w:rPr>
          <w:rStyle w:val="FootnoteReference"/>
          <w:rFonts w:eastAsia="Helvetica" w:cs="Helvetica"/>
          <w:sz w:val="16"/>
          <w:szCs w:val="16"/>
        </w:rPr>
        <w:footnoteRef/>
      </w:r>
      <w:r w:rsidRPr="00D75267">
        <w:rPr>
          <w:rFonts w:eastAsia="Helvetica" w:cs="Helvetica"/>
          <w:sz w:val="16"/>
          <w:szCs w:val="16"/>
        </w:rPr>
        <w:t xml:space="preserve"> </w:t>
      </w:r>
      <w:r w:rsidR="00CD2429" w:rsidRPr="00D75267">
        <w:rPr>
          <w:rFonts w:eastAsia="Helvetica" w:cs="Helvetica"/>
          <w:sz w:val="16"/>
          <w:szCs w:val="16"/>
        </w:rPr>
        <w:t xml:space="preserve">Australian Government (2020) </w:t>
      </w:r>
      <w:hyperlink r:id="rId5">
        <w:r w:rsidR="00CD2429" w:rsidRPr="00D75267">
          <w:rPr>
            <w:rStyle w:val="Hyperlink"/>
            <w:rFonts w:eastAsia="Helvetica" w:cs="Helvetica"/>
            <w:i/>
            <w:color w:val="404040" w:themeColor="text1" w:themeTint="BF"/>
            <w:sz w:val="16"/>
            <w:szCs w:val="16"/>
          </w:rPr>
          <w:t>National Agreement on Closing the Gap</w:t>
        </w:r>
      </w:hyperlink>
      <w:r w:rsidR="00CD2429" w:rsidRPr="00D75267">
        <w:rPr>
          <w:rFonts w:eastAsia="Helvetica" w:cs="Helvetica"/>
          <w:sz w:val="16"/>
          <w:szCs w:val="16"/>
        </w:rPr>
        <w:t>, Australian Government, accessed on 2 February 2025</w:t>
      </w:r>
    </w:p>
  </w:footnote>
  <w:footnote w:id="7">
    <w:p w14:paraId="3A2C03E2" w14:textId="336CFC56" w:rsidR="00060928" w:rsidRPr="00D75267" w:rsidRDefault="00060928" w:rsidP="00731960">
      <w:pPr>
        <w:pStyle w:val="FootnoteText"/>
        <w:spacing w:before="0" w:after="0"/>
        <w:rPr>
          <w:szCs w:val="16"/>
          <w:lang w:val="en-US"/>
        </w:rPr>
      </w:pPr>
      <w:r w:rsidRPr="00D75267">
        <w:rPr>
          <w:rStyle w:val="FootnoteReference"/>
          <w:szCs w:val="16"/>
        </w:rPr>
        <w:footnoteRef/>
      </w:r>
      <w:r w:rsidRPr="00D75267">
        <w:rPr>
          <w:szCs w:val="16"/>
        </w:rPr>
        <w:t xml:space="preserve"> </w:t>
      </w:r>
      <w:r w:rsidRPr="00D75267">
        <w:rPr>
          <w:szCs w:val="16"/>
          <w:lang w:val="en-US"/>
        </w:rPr>
        <w:t xml:space="preserve">Department of Finance, </w:t>
      </w:r>
      <w:hyperlink r:id="rId6" w:history="1">
        <w:r w:rsidRPr="00D75267">
          <w:rPr>
            <w:rStyle w:val="Hyperlink"/>
            <w:color w:val="404040" w:themeColor="text1" w:themeTint="BF"/>
            <w:szCs w:val="16"/>
            <w:lang w:val="en-US"/>
          </w:rPr>
          <w:t>‘Entering arrangements and committing relevant money’</w:t>
        </w:r>
      </w:hyperlink>
      <w:r w:rsidRPr="00D75267">
        <w:rPr>
          <w:szCs w:val="16"/>
          <w:lang w:val="en-US"/>
        </w:rPr>
        <w:t>, Australian Government, accessed 14 July 2025</w:t>
      </w:r>
    </w:p>
  </w:footnote>
  <w:footnote w:id="8">
    <w:p w14:paraId="174E4F60" w14:textId="6BBA89AC" w:rsidR="00E109DD" w:rsidRPr="00D75267" w:rsidRDefault="00E109DD" w:rsidP="00731960">
      <w:pPr>
        <w:pStyle w:val="FootnoteText"/>
        <w:spacing w:before="0" w:after="0"/>
        <w:rPr>
          <w:szCs w:val="16"/>
          <w:lang w:val="en-US"/>
        </w:rPr>
      </w:pPr>
      <w:r w:rsidRPr="00D75267">
        <w:rPr>
          <w:rStyle w:val="FootnoteReference"/>
          <w:szCs w:val="16"/>
        </w:rPr>
        <w:footnoteRef/>
      </w:r>
      <w:r w:rsidRPr="00D75267">
        <w:rPr>
          <w:szCs w:val="16"/>
        </w:rPr>
        <w:t xml:space="preserve"> </w:t>
      </w:r>
      <w:r w:rsidR="00CC2151" w:rsidRPr="00D75267">
        <w:rPr>
          <w:szCs w:val="16"/>
          <w:lang w:val="en-US"/>
        </w:rPr>
        <w:t xml:space="preserve">Department of Finance, </w:t>
      </w:r>
      <w:hyperlink r:id="rId7" w:history="1">
        <w:r w:rsidR="00CC2151" w:rsidRPr="00D75267">
          <w:rPr>
            <w:rStyle w:val="Hyperlink"/>
            <w:color w:val="404040" w:themeColor="text1" w:themeTint="BF"/>
            <w:szCs w:val="16"/>
            <w:lang w:val="en-US"/>
          </w:rPr>
          <w:t>‘Grants Procurements and other financial arrangements</w:t>
        </w:r>
        <w:r w:rsidR="00F12A30" w:rsidRPr="00D75267">
          <w:rPr>
            <w:rStyle w:val="Hyperlink"/>
            <w:color w:val="404040" w:themeColor="text1" w:themeTint="BF"/>
            <w:szCs w:val="16"/>
            <w:lang w:val="en-US"/>
          </w:rPr>
          <w:t xml:space="preserve"> (RMG 411)’</w:t>
        </w:r>
      </w:hyperlink>
      <w:r w:rsidR="00F12A30" w:rsidRPr="00D75267">
        <w:rPr>
          <w:szCs w:val="16"/>
          <w:lang w:val="en-US"/>
        </w:rPr>
        <w:t>, Australian Government, accessed 14 July 2025</w:t>
      </w:r>
    </w:p>
  </w:footnote>
  <w:footnote w:id="9">
    <w:p w14:paraId="3AB25C2B" w14:textId="77777777" w:rsidR="00AA4104" w:rsidRPr="00D75267" w:rsidRDefault="00AA4104" w:rsidP="00731960">
      <w:pPr>
        <w:spacing w:before="0" w:after="0"/>
        <w:rPr>
          <w:sz w:val="16"/>
          <w:szCs w:val="16"/>
        </w:rPr>
      </w:pPr>
      <w:r w:rsidRPr="00D75267">
        <w:rPr>
          <w:rStyle w:val="FootnoteReference"/>
          <w:sz w:val="16"/>
          <w:szCs w:val="16"/>
        </w:rPr>
        <w:footnoteRef/>
      </w:r>
      <w:r w:rsidRPr="00D75267">
        <w:rPr>
          <w:sz w:val="16"/>
          <w:szCs w:val="16"/>
        </w:rPr>
        <w:t xml:space="preserve"> NIAA, A Better, Safer Future for Central Australia, </w:t>
      </w:r>
      <w:hyperlink r:id="rId8">
        <w:r w:rsidRPr="00D75267">
          <w:rPr>
            <w:rStyle w:val="Hyperlink"/>
            <w:color w:val="404040" w:themeColor="text1" w:themeTint="BF"/>
            <w:sz w:val="16"/>
            <w:szCs w:val="16"/>
          </w:rPr>
          <w:t>https://www.niaa.gov.au/our-work/housing-and-community-safety/better-safer-future-central-australia</w:t>
        </w:r>
      </w:hyperlink>
      <w:r w:rsidRPr="00D75267">
        <w:rPr>
          <w:sz w:val="16"/>
          <w:szCs w:val="16"/>
        </w:rPr>
        <w:t>, accessed 26 June 2025</w:t>
      </w:r>
    </w:p>
  </w:footnote>
  <w:footnote w:id="10">
    <w:p w14:paraId="02BC2F88" w14:textId="43A86DBC" w:rsidR="00C762CE" w:rsidRDefault="00C762CE">
      <w:pPr>
        <w:pStyle w:val="FootnoteText"/>
      </w:pPr>
      <w:r>
        <w:rPr>
          <w:rStyle w:val="FootnoteReference"/>
        </w:rPr>
        <w:footnoteRef/>
      </w:r>
      <w:r>
        <w:t xml:space="preserve"> </w:t>
      </w:r>
      <w:r w:rsidRPr="001D50A5">
        <w:rPr>
          <w:rFonts w:eastAsia="Helvetica" w:cs="Helvetica"/>
          <w:szCs w:val="16"/>
        </w:rPr>
        <w:t xml:space="preserve">Australian Government (2020) </w:t>
      </w:r>
      <w:hyperlink r:id="rId9">
        <w:r w:rsidRPr="001D50A5">
          <w:rPr>
            <w:rStyle w:val="Hyperlink"/>
            <w:rFonts w:eastAsia="Helvetica" w:cs="Helvetica"/>
            <w:i/>
            <w:color w:val="404040" w:themeColor="text1" w:themeTint="BF"/>
            <w:szCs w:val="16"/>
          </w:rPr>
          <w:t>National Agreement on Closing the Gap</w:t>
        </w:r>
      </w:hyperlink>
      <w:r w:rsidRPr="001D50A5">
        <w:rPr>
          <w:rFonts w:eastAsia="Helvetica" w:cs="Helvetica"/>
          <w:szCs w:val="16"/>
        </w:rPr>
        <w:t>, Australian Government, accessed February 2025</w:t>
      </w:r>
    </w:p>
  </w:footnote>
  <w:footnote w:id="11">
    <w:p w14:paraId="6D1F216D" w14:textId="30B4729B" w:rsidR="00C762CE" w:rsidRDefault="00C762CE">
      <w:pPr>
        <w:pStyle w:val="FootnoteText"/>
      </w:pPr>
      <w:r>
        <w:rPr>
          <w:rStyle w:val="FootnoteReference"/>
        </w:rPr>
        <w:footnoteRef/>
      </w:r>
      <w:r>
        <w:t xml:space="preserve"> </w:t>
      </w:r>
      <w:r w:rsidRPr="000033E5">
        <w:rPr>
          <w:rFonts w:eastAsia="Helvetica" w:cs="Helvetica"/>
          <w:szCs w:val="16"/>
        </w:rPr>
        <w:t xml:space="preserve">NIAA (National Indigenous Australians Agency) 2022 </w:t>
      </w:r>
      <w:hyperlink r:id="rId10" w:history="1">
        <w:r w:rsidRPr="000033E5">
          <w:rPr>
            <w:rStyle w:val="Hyperlink"/>
            <w:rFonts w:eastAsia="Helvetica" w:cs="Helvetica"/>
            <w:i/>
            <w:color w:val="404040" w:themeColor="text1" w:themeTint="BF"/>
            <w:szCs w:val="16"/>
          </w:rPr>
          <w:t>Closing the Gap Annual Report</w:t>
        </w:r>
      </w:hyperlink>
      <w:r w:rsidRPr="000033E5">
        <w:rPr>
          <w:rFonts w:eastAsia="Helvetica" w:cs="Helvetica"/>
          <w:szCs w:val="16"/>
        </w:rPr>
        <w:t>, Australian Government, accessed March 2025.</w:t>
      </w:r>
    </w:p>
  </w:footnote>
  <w:footnote w:id="12">
    <w:p w14:paraId="0360D4AC" w14:textId="340171D3" w:rsidR="00C97F31" w:rsidRPr="00D75267" w:rsidRDefault="00C97F31" w:rsidP="00731960">
      <w:pPr>
        <w:pStyle w:val="FootnoteText"/>
        <w:spacing w:before="0" w:after="0"/>
        <w:rPr>
          <w:szCs w:val="16"/>
        </w:rPr>
      </w:pPr>
      <w:r w:rsidRPr="00D75267">
        <w:rPr>
          <w:rStyle w:val="FootnoteReference"/>
          <w:szCs w:val="16"/>
        </w:rPr>
        <w:footnoteRef/>
      </w:r>
      <w:r w:rsidRPr="00D75267">
        <w:rPr>
          <w:szCs w:val="16"/>
        </w:rPr>
        <w:t xml:space="preserve"> </w:t>
      </w:r>
      <w:r w:rsidR="00404C9E" w:rsidRPr="00D75267">
        <w:rPr>
          <w:szCs w:val="16"/>
        </w:rPr>
        <w:t>NIAA</w:t>
      </w:r>
      <w:r w:rsidR="00A626F8" w:rsidRPr="00D75267">
        <w:rPr>
          <w:szCs w:val="16"/>
        </w:rPr>
        <w:t>,</w:t>
      </w:r>
      <w:r w:rsidR="00404C9E" w:rsidRPr="00D75267">
        <w:rPr>
          <w:szCs w:val="16"/>
        </w:rPr>
        <w:t xml:space="preserve"> (2025)</w:t>
      </w:r>
      <w:r w:rsidRPr="00D75267">
        <w:rPr>
          <w:szCs w:val="16"/>
        </w:rPr>
        <w:t xml:space="preserve"> </w:t>
      </w:r>
      <w:r w:rsidRPr="00D75267">
        <w:rPr>
          <w:i/>
          <w:szCs w:val="16"/>
        </w:rPr>
        <w:t>The Centralia Australian Plan – Boundaries and Main communities map</w:t>
      </w:r>
      <w:r w:rsidRPr="00D75267">
        <w:rPr>
          <w:szCs w:val="16"/>
        </w:rPr>
        <w:t xml:space="preserve"> shows the broader region that comes under the CAP and the main communities within that</w:t>
      </w:r>
      <w:r w:rsidR="001C34A0" w:rsidRPr="00D75267">
        <w:rPr>
          <w:szCs w:val="16"/>
        </w:rPr>
        <w:t>, [internal document], accessed May 2025</w:t>
      </w:r>
      <w:r w:rsidR="00896C24" w:rsidRPr="00D75267">
        <w:rPr>
          <w:szCs w:val="16"/>
        </w:rPr>
        <w:t>.</w:t>
      </w:r>
    </w:p>
  </w:footnote>
  <w:footnote w:id="13">
    <w:p w14:paraId="618EB733" w14:textId="4EA8E6ED" w:rsidR="00BA4940" w:rsidRPr="00D75267" w:rsidRDefault="00BA4940" w:rsidP="00731960">
      <w:pPr>
        <w:pStyle w:val="FootnoteText"/>
        <w:spacing w:before="0" w:after="0"/>
        <w:rPr>
          <w:szCs w:val="16"/>
          <w:lang w:val="en-US"/>
        </w:rPr>
      </w:pPr>
      <w:r w:rsidRPr="00D75267">
        <w:rPr>
          <w:rStyle w:val="FootnoteReference"/>
          <w:szCs w:val="16"/>
        </w:rPr>
        <w:footnoteRef/>
      </w:r>
      <w:r w:rsidR="00765CDB" w:rsidRPr="00D75267">
        <w:rPr>
          <w:szCs w:val="16"/>
        </w:rPr>
        <w:t xml:space="preserve"> </w:t>
      </w:r>
      <w:r w:rsidR="00F82811" w:rsidRPr="00D75267">
        <w:rPr>
          <w:szCs w:val="16"/>
        </w:rPr>
        <w:t>OCARC,</w:t>
      </w:r>
      <w:r w:rsidR="00715D16" w:rsidRPr="00D75267">
        <w:rPr>
          <w:szCs w:val="16"/>
        </w:rPr>
        <w:t xml:space="preserve"> </w:t>
      </w:r>
      <w:r w:rsidR="00934AF5" w:rsidRPr="00D75267">
        <w:rPr>
          <w:i/>
          <w:iCs/>
          <w:szCs w:val="16"/>
        </w:rPr>
        <w:t>Summary of Advice: Building strong and viable remote communities in Central Australia</w:t>
      </w:r>
      <w:r w:rsidR="00934AF5" w:rsidRPr="00D75267">
        <w:rPr>
          <w:szCs w:val="16"/>
        </w:rPr>
        <w:t xml:space="preserve">, </w:t>
      </w:r>
      <w:r w:rsidR="0006020D" w:rsidRPr="00D75267">
        <w:rPr>
          <w:szCs w:val="16"/>
        </w:rPr>
        <w:t xml:space="preserve">Office of the Central Australia Regional </w:t>
      </w:r>
      <w:bookmarkStart w:id="23" w:name="_Int_GLePNw4b"/>
      <w:proofErr w:type="gramStart"/>
      <w:r w:rsidR="0006020D" w:rsidRPr="00D75267">
        <w:rPr>
          <w:szCs w:val="16"/>
        </w:rPr>
        <w:t>Controller</w:t>
      </w:r>
      <w:r w:rsidR="00EB4B92" w:rsidRPr="00D75267">
        <w:rPr>
          <w:szCs w:val="16"/>
        </w:rPr>
        <w:t>,</w:t>
      </w:r>
      <w:r w:rsidR="00F5148C" w:rsidRPr="00D75267">
        <w:rPr>
          <w:szCs w:val="16"/>
        </w:rPr>
        <w:t>[</w:t>
      </w:r>
      <w:bookmarkEnd w:id="23"/>
      <w:proofErr w:type="gramEnd"/>
      <w:r w:rsidR="00F5148C" w:rsidRPr="00D75267">
        <w:rPr>
          <w:szCs w:val="16"/>
        </w:rPr>
        <w:t>internal document],</w:t>
      </w:r>
      <w:r w:rsidR="00EB4B92" w:rsidRPr="00D75267">
        <w:rPr>
          <w:szCs w:val="16"/>
        </w:rPr>
        <w:t xml:space="preserve"> p21</w:t>
      </w:r>
    </w:p>
  </w:footnote>
  <w:footnote w:id="14">
    <w:p w14:paraId="32D7598D" w14:textId="3E3FE358" w:rsidR="00695738" w:rsidRPr="00D75267" w:rsidRDefault="00695738" w:rsidP="00731960">
      <w:pPr>
        <w:spacing w:before="0" w:after="0"/>
        <w:rPr>
          <w:rFonts w:eastAsia="Helvetica" w:cs="Helvetica"/>
          <w:sz w:val="16"/>
          <w:szCs w:val="16"/>
        </w:rPr>
      </w:pPr>
      <w:r w:rsidRPr="00D75267">
        <w:rPr>
          <w:rStyle w:val="FootnoteReference"/>
          <w:rFonts w:eastAsia="Helvetica" w:cs="Helvetica"/>
          <w:sz w:val="16"/>
          <w:szCs w:val="16"/>
        </w:rPr>
        <w:footnoteRef/>
      </w:r>
      <w:r w:rsidRPr="00D75267">
        <w:rPr>
          <w:rFonts w:eastAsia="Helvetica" w:cs="Helvetica"/>
          <w:sz w:val="16"/>
          <w:szCs w:val="16"/>
        </w:rPr>
        <w:t xml:space="preserve"> </w:t>
      </w:r>
      <w:r w:rsidR="00C80BDB" w:rsidRPr="00D75267">
        <w:rPr>
          <w:rFonts w:eastAsia="Helvetica" w:cs="Helvetica"/>
          <w:sz w:val="16"/>
          <w:szCs w:val="16"/>
        </w:rPr>
        <w:t xml:space="preserve">Donaldson S (2007) ‘Program Theory-Driven Evaluation Science: Strategies and Applications’, </w:t>
      </w:r>
      <w:r w:rsidR="00C80BDB" w:rsidRPr="00D75267">
        <w:rPr>
          <w:rFonts w:eastAsia="Helvetica" w:cs="Helvetica"/>
          <w:i/>
          <w:sz w:val="16"/>
          <w:szCs w:val="16"/>
        </w:rPr>
        <w:t>Routledge</w:t>
      </w:r>
      <w:r w:rsidR="00567E9E" w:rsidRPr="00D75267">
        <w:rPr>
          <w:rFonts w:eastAsia="Helvetica" w:cs="Helvetica"/>
          <w:sz w:val="16"/>
          <w:szCs w:val="16"/>
        </w:rPr>
        <w:t>,</w:t>
      </w:r>
      <w:r w:rsidR="00C80BDB" w:rsidRPr="00D75267">
        <w:rPr>
          <w:rFonts w:eastAsia="Helvetica" w:cs="Helvetica"/>
          <w:sz w:val="16"/>
          <w:szCs w:val="16"/>
        </w:rPr>
        <w:t xml:space="preserve"> </w:t>
      </w:r>
      <w:hyperlink r:id="rId11" w:history="1">
        <w:r w:rsidR="00C80BDB" w:rsidRPr="00D75267">
          <w:rPr>
            <w:rStyle w:val="Hyperlink"/>
            <w:rFonts w:eastAsia="Helvetica" w:cs="Helvetica"/>
            <w:color w:val="404040" w:themeColor="text1" w:themeTint="BF"/>
            <w:sz w:val="16"/>
            <w:szCs w:val="16"/>
          </w:rPr>
          <w:t>https://doi.org/10.4324/9780203809730</w:t>
        </w:r>
      </w:hyperlink>
      <w:r w:rsidR="00896C24" w:rsidRPr="00D75267">
        <w:rPr>
          <w:sz w:val="16"/>
          <w:szCs w:val="16"/>
        </w:rPr>
        <w:t>.</w:t>
      </w:r>
    </w:p>
  </w:footnote>
  <w:footnote w:id="15">
    <w:p w14:paraId="74290933" w14:textId="7ED86800" w:rsidR="00A16388" w:rsidRPr="00D75267" w:rsidRDefault="00A16388" w:rsidP="00731960">
      <w:pPr>
        <w:spacing w:before="0" w:after="0"/>
        <w:rPr>
          <w:sz w:val="16"/>
          <w:szCs w:val="16"/>
        </w:rPr>
      </w:pPr>
      <w:r w:rsidRPr="00D75267">
        <w:rPr>
          <w:rStyle w:val="FootnoteReference"/>
          <w:sz w:val="16"/>
          <w:szCs w:val="16"/>
        </w:rPr>
        <w:footnoteRef/>
      </w:r>
      <w:r w:rsidRPr="00D75267">
        <w:rPr>
          <w:sz w:val="16"/>
          <w:szCs w:val="16"/>
        </w:rPr>
        <w:t xml:space="preserve"> </w:t>
      </w:r>
      <w:r w:rsidR="00E44ADE" w:rsidRPr="00D75267">
        <w:rPr>
          <w:sz w:val="16"/>
          <w:szCs w:val="16"/>
        </w:rPr>
        <w:t xml:space="preserve">AIATSIS (Australian Institute of Aboriginal and Torres Strait Islander Studies) (2020) </w:t>
      </w:r>
      <w:hyperlink r:id="rId12" w:history="1">
        <w:r w:rsidR="00E44ADE" w:rsidRPr="00D75267">
          <w:rPr>
            <w:rStyle w:val="Hyperlink"/>
            <w:i/>
            <w:color w:val="404040" w:themeColor="text1" w:themeTint="BF"/>
            <w:sz w:val="16"/>
            <w:szCs w:val="16"/>
          </w:rPr>
          <w:t>Code of Ethics for Aboriginal and Torres Strait Islander Research</w:t>
        </w:r>
      </w:hyperlink>
      <w:r w:rsidR="00E44ADE" w:rsidRPr="00D75267">
        <w:rPr>
          <w:i/>
          <w:sz w:val="16"/>
          <w:szCs w:val="16"/>
        </w:rPr>
        <w:t xml:space="preserve">, </w:t>
      </w:r>
      <w:r w:rsidR="00E44ADE" w:rsidRPr="00D75267">
        <w:rPr>
          <w:sz w:val="16"/>
          <w:szCs w:val="16"/>
        </w:rPr>
        <w:t xml:space="preserve">AIATSIS, accessed June 2025. </w:t>
      </w:r>
    </w:p>
  </w:footnote>
  <w:footnote w:id="16">
    <w:p w14:paraId="6552D6EC" w14:textId="5B936B1F" w:rsidR="00A16388" w:rsidRPr="00D75267" w:rsidRDefault="00A16388" w:rsidP="00731960">
      <w:pPr>
        <w:pStyle w:val="FootnoteText"/>
        <w:spacing w:before="0" w:after="0"/>
        <w:rPr>
          <w:szCs w:val="16"/>
          <w:lang w:val="en-GB"/>
        </w:rPr>
      </w:pPr>
      <w:r w:rsidRPr="00D75267">
        <w:rPr>
          <w:rStyle w:val="FootnoteReference"/>
          <w:szCs w:val="16"/>
        </w:rPr>
        <w:footnoteRef/>
      </w:r>
      <w:r w:rsidRPr="00D75267">
        <w:rPr>
          <w:szCs w:val="16"/>
        </w:rPr>
        <w:t xml:space="preserve"> </w:t>
      </w:r>
      <w:r w:rsidR="006F054B" w:rsidRPr="00D75267">
        <w:rPr>
          <w:szCs w:val="16"/>
          <w:lang w:val="en-GB"/>
        </w:rPr>
        <w:t xml:space="preserve">AIATSIS (Australian Institute of Aboriginal and Torres Strait Islander Studies) and the Lowitja Institute (2013) </w:t>
      </w:r>
      <w:hyperlink r:id="rId13" w:history="1">
        <w:r w:rsidR="006F054B" w:rsidRPr="00D75267">
          <w:rPr>
            <w:rStyle w:val="Hyperlink"/>
            <w:i/>
            <w:color w:val="404040" w:themeColor="text1" w:themeTint="BF"/>
            <w:szCs w:val="16"/>
            <w:lang w:val="en-GB"/>
          </w:rPr>
          <w:t>‘Researching Right Way (2013) Aboriginal and Torres Strait Islander Health Research Ethics: A Domestic and International Review’</w:t>
        </w:r>
      </w:hyperlink>
      <w:r w:rsidR="006F054B" w:rsidRPr="00D75267">
        <w:rPr>
          <w:szCs w:val="16"/>
          <w:lang w:val="en-GB"/>
        </w:rPr>
        <w:t xml:space="preserve">, </w:t>
      </w:r>
      <w:r w:rsidR="006F054B" w:rsidRPr="00D75267">
        <w:rPr>
          <w:i/>
          <w:szCs w:val="16"/>
          <w:lang w:val="en-GB"/>
        </w:rPr>
        <w:t>NHMRC</w:t>
      </w:r>
      <w:r w:rsidR="006F054B" w:rsidRPr="00D75267">
        <w:rPr>
          <w:szCs w:val="16"/>
          <w:lang w:val="en-GB"/>
        </w:rPr>
        <w:t xml:space="preserve">, accessed June 2025. </w:t>
      </w:r>
    </w:p>
  </w:footnote>
  <w:footnote w:id="17">
    <w:p w14:paraId="360BFD11" w14:textId="226F0948" w:rsidR="00A16388" w:rsidRPr="00D75267" w:rsidRDefault="00A16388" w:rsidP="00731960">
      <w:pPr>
        <w:spacing w:before="0" w:after="0"/>
        <w:rPr>
          <w:sz w:val="16"/>
          <w:szCs w:val="16"/>
        </w:rPr>
      </w:pPr>
      <w:r w:rsidRPr="00D75267">
        <w:rPr>
          <w:rStyle w:val="FootnoteReference"/>
          <w:sz w:val="16"/>
          <w:szCs w:val="16"/>
        </w:rPr>
        <w:footnoteRef/>
      </w:r>
      <w:r w:rsidRPr="00D75267">
        <w:rPr>
          <w:sz w:val="16"/>
          <w:szCs w:val="16"/>
        </w:rPr>
        <w:t xml:space="preserve"> </w:t>
      </w:r>
      <w:r w:rsidR="002071B1" w:rsidRPr="00D75267">
        <w:rPr>
          <w:sz w:val="16"/>
          <w:szCs w:val="16"/>
        </w:rPr>
        <w:t xml:space="preserve">Fry R (2019) ‘Simple rules for place-based approaches addressing disadvantage’, </w:t>
      </w:r>
      <w:r w:rsidR="002071B1" w:rsidRPr="00D75267">
        <w:rPr>
          <w:i/>
          <w:sz w:val="16"/>
          <w:szCs w:val="16"/>
        </w:rPr>
        <w:t>The University of Melbourne</w:t>
      </w:r>
      <w:r w:rsidR="002071B1" w:rsidRPr="00D75267">
        <w:rPr>
          <w:sz w:val="16"/>
          <w:szCs w:val="16"/>
        </w:rPr>
        <w:t xml:space="preserve">, accessed June 2025. </w:t>
      </w:r>
    </w:p>
  </w:footnote>
  <w:footnote w:id="18">
    <w:p w14:paraId="04F84D25" w14:textId="18C3CA47" w:rsidR="00A16388" w:rsidRPr="00D75267" w:rsidRDefault="00A16388" w:rsidP="00731960">
      <w:pPr>
        <w:pStyle w:val="FootnoteText"/>
        <w:spacing w:before="0" w:after="0"/>
        <w:rPr>
          <w:szCs w:val="16"/>
        </w:rPr>
      </w:pPr>
      <w:r w:rsidRPr="00D75267">
        <w:rPr>
          <w:rStyle w:val="FootnoteReference"/>
          <w:szCs w:val="16"/>
        </w:rPr>
        <w:footnoteRef/>
      </w:r>
      <w:r w:rsidRPr="00D75267">
        <w:rPr>
          <w:szCs w:val="16"/>
        </w:rPr>
        <w:t xml:space="preserve"> </w:t>
      </w:r>
      <w:r w:rsidR="00222555" w:rsidRPr="00D75267">
        <w:rPr>
          <w:szCs w:val="16"/>
        </w:rPr>
        <w:t xml:space="preserve">Arthur M, Hawkins J, Brown E, Briney J, Oesterle S and Abbott R (2010) ‘Implementation of the Communities That Care prevention system by coalitions in the Community Youth Development Study’, </w:t>
      </w:r>
      <w:r w:rsidR="00222555" w:rsidRPr="00D75267">
        <w:rPr>
          <w:i/>
          <w:szCs w:val="16"/>
        </w:rPr>
        <w:t>Journal of Community Psychology</w:t>
      </w:r>
      <w:r w:rsidR="00222555" w:rsidRPr="00D75267">
        <w:rPr>
          <w:szCs w:val="16"/>
        </w:rPr>
        <w:t>, 38(2):245–258.</w:t>
      </w:r>
    </w:p>
  </w:footnote>
  <w:footnote w:id="19">
    <w:p w14:paraId="44B4415C" w14:textId="77777777" w:rsidR="00A16388" w:rsidRPr="00D75267" w:rsidRDefault="00A16388" w:rsidP="00731960">
      <w:pPr>
        <w:pStyle w:val="FootnoteText"/>
        <w:spacing w:before="0" w:after="0"/>
        <w:rPr>
          <w:szCs w:val="16"/>
        </w:rPr>
      </w:pPr>
      <w:r w:rsidRPr="00D75267">
        <w:rPr>
          <w:rStyle w:val="FootnoteReference"/>
          <w:szCs w:val="16"/>
        </w:rPr>
        <w:footnoteRef/>
      </w:r>
      <w:r w:rsidRPr="00D75267">
        <w:rPr>
          <w:szCs w:val="16"/>
        </w:rPr>
        <w:t xml:space="preserve"> Bath R and O’Moore E (2019) ‘A whole-system multi-agency approach to serious violence prevention: A resource for local system leaders in England’, </w:t>
      </w:r>
      <w:r w:rsidRPr="00D75267">
        <w:rPr>
          <w:i/>
          <w:szCs w:val="16"/>
        </w:rPr>
        <w:t>London: Public Health England</w:t>
      </w:r>
      <w:r w:rsidRPr="00D75267">
        <w:rPr>
          <w:szCs w:val="16"/>
        </w:rPr>
        <w:t>.</w:t>
      </w:r>
    </w:p>
  </w:footnote>
  <w:footnote w:id="20">
    <w:p w14:paraId="523C33BF" w14:textId="2A33C555" w:rsidR="00A16388" w:rsidRPr="00D75267" w:rsidRDefault="00A16388" w:rsidP="00731960">
      <w:pPr>
        <w:pStyle w:val="FootnoteText"/>
        <w:spacing w:before="0" w:after="0"/>
        <w:rPr>
          <w:szCs w:val="16"/>
          <w:shd w:val="clear" w:color="auto" w:fill="FFFFFF"/>
        </w:rPr>
      </w:pPr>
      <w:r w:rsidRPr="00D75267">
        <w:rPr>
          <w:rStyle w:val="FootnoteReference"/>
          <w:szCs w:val="16"/>
        </w:rPr>
        <w:footnoteRef/>
      </w:r>
      <w:r w:rsidRPr="00D75267">
        <w:rPr>
          <w:szCs w:val="16"/>
        </w:rPr>
        <w:t xml:space="preserve"> </w:t>
      </w:r>
      <w:r w:rsidR="00AB5039" w:rsidRPr="00D75267">
        <w:rPr>
          <w:szCs w:val="16"/>
          <w:shd w:val="clear" w:color="auto" w:fill="FFFFFF"/>
        </w:rPr>
        <w:t xml:space="preserve">Krug E, Mercy J, Dahlberg L, Zwi A (2002) ‘The world report on violence and health’, </w:t>
      </w:r>
      <w:r w:rsidR="00AB5039" w:rsidRPr="00D75267">
        <w:rPr>
          <w:i/>
          <w:szCs w:val="16"/>
          <w:shd w:val="clear" w:color="auto" w:fill="FFFFFF"/>
        </w:rPr>
        <w:t>Lancet</w:t>
      </w:r>
      <w:r w:rsidR="00AB5039" w:rsidRPr="00D75267">
        <w:rPr>
          <w:szCs w:val="16"/>
          <w:shd w:val="clear" w:color="auto" w:fill="FFFFFF"/>
        </w:rPr>
        <w:t xml:space="preserve">, 5;360(9339):1083-8. doi: 10.1016/S0140-6736(02)11133-0. </w:t>
      </w:r>
    </w:p>
  </w:footnote>
  <w:footnote w:id="21">
    <w:p w14:paraId="6A9A119B" w14:textId="5260C570" w:rsidR="00A16388" w:rsidRPr="00D75267" w:rsidRDefault="00A16388" w:rsidP="00731960">
      <w:pPr>
        <w:pStyle w:val="FootnoteText"/>
        <w:spacing w:before="0" w:after="0"/>
        <w:rPr>
          <w:szCs w:val="16"/>
        </w:rPr>
      </w:pPr>
      <w:r w:rsidRPr="00D75267">
        <w:rPr>
          <w:rStyle w:val="FootnoteReference"/>
          <w:szCs w:val="16"/>
        </w:rPr>
        <w:footnoteRef/>
      </w:r>
      <w:r w:rsidRPr="00D75267">
        <w:rPr>
          <w:szCs w:val="16"/>
        </w:rPr>
        <w:t xml:space="preserve"> Desmond G and Davidson A (2019) ‘A framework for developing justice reinvestment plans for crime prevention and offender rehabilitation in Australia’s remote indigenous communities’, </w:t>
      </w:r>
      <w:r w:rsidRPr="00D75267">
        <w:rPr>
          <w:i/>
          <w:szCs w:val="16"/>
        </w:rPr>
        <w:t xml:space="preserve">Journal of </w:t>
      </w:r>
      <w:r w:rsidR="003B587D" w:rsidRPr="00D75267">
        <w:rPr>
          <w:i/>
          <w:szCs w:val="16"/>
        </w:rPr>
        <w:t>O</w:t>
      </w:r>
      <w:r w:rsidRPr="00D75267">
        <w:rPr>
          <w:i/>
          <w:szCs w:val="16"/>
        </w:rPr>
        <w:t xml:space="preserve">ffender </w:t>
      </w:r>
      <w:r w:rsidR="003B587D" w:rsidRPr="00D75267">
        <w:rPr>
          <w:i/>
          <w:szCs w:val="16"/>
        </w:rPr>
        <w:t>R</w:t>
      </w:r>
      <w:r w:rsidRPr="00D75267">
        <w:rPr>
          <w:i/>
          <w:szCs w:val="16"/>
        </w:rPr>
        <w:t>ehabilitation</w:t>
      </w:r>
      <w:r w:rsidRPr="00D75267">
        <w:rPr>
          <w:szCs w:val="16"/>
        </w:rPr>
        <w:t>, 58(6):520–543.</w:t>
      </w:r>
    </w:p>
  </w:footnote>
  <w:footnote w:id="22">
    <w:p w14:paraId="33A264BD" w14:textId="764E08D9" w:rsidR="00A16388" w:rsidRPr="00D75267" w:rsidRDefault="00A16388" w:rsidP="00731960">
      <w:pPr>
        <w:pStyle w:val="FootnoteText"/>
        <w:spacing w:before="0" w:after="0"/>
        <w:rPr>
          <w:szCs w:val="16"/>
        </w:rPr>
      </w:pPr>
      <w:r w:rsidRPr="00D75267">
        <w:rPr>
          <w:rStyle w:val="FootnoteReference"/>
          <w:szCs w:val="16"/>
        </w:rPr>
        <w:footnoteRef/>
      </w:r>
      <w:r w:rsidRPr="00D75267">
        <w:rPr>
          <w:szCs w:val="16"/>
        </w:rPr>
        <w:t xml:space="preserve"> D’Inverno A and Bartholow B (2021) ‘Engaging communities in youth violence prevention: Introduction and contents’, </w:t>
      </w:r>
      <w:r w:rsidRPr="00D75267">
        <w:rPr>
          <w:i/>
          <w:szCs w:val="16"/>
        </w:rPr>
        <w:t>American journal of public health</w:t>
      </w:r>
      <w:r w:rsidRPr="00D75267">
        <w:rPr>
          <w:szCs w:val="16"/>
        </w:rPr>
        <w:t>, 111(S1</w:t>
      </w:r>
      <w:proofErr w:type="gramStart"/>
      <w:r w:rsidRPr="00D75267">
        <w:rPr>
          <w:szCs w:val="16"/>
        </w:rPr>
        <w:t>):S</w:t>
      </w:r>
      <w:proofErr w:type="gramEnd"/>
      <w:r w:rsidRPr="00D75267">
        <w:rPr>
          <w:szCs w:val="16"/>
        </w:rPr>
        <w:t>10–S16.</w:t>
      </w:r>
    </w:p>
  </w:footnote>
  <w:footnote w:id="23">
    <w:p w14:paraId="77FF830B" w14:textId="53563BC7" w:rsidR="00A16388" w:rsidRPr="00D75267" w:rsidRDefault="00A16388"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213697" w:rsidRPr="00D75267">
        <w:rPr>
          <w:rStyle w:val="eop"/>
          <w:rFonts w:eastAsiaTheme="majorEastAsia" w:cs="Segoe UI"/>
          <w:sz w:val="16"/>
          <w:szCs w:val="16"/>
        </w:rPr>
        <w:t xml:space="preserve">Coffman J, (2007) ‘A Framework for Evaluating Systems Initiatives’, </w:t>
      </w:r>
      <w:r w:rsidR="00213697" w:rsidRPr="00D75267">
        <w:rPr>
          <w:rStyle w:val="eop"/>
          <w:rFonts w:eastAsiaTheme="majorEastAsia" w:cs="Segoe UI"/>
          <w:i/>
          <w:sz w:val="16"/>
          <w:szCs w:val="16"/>
        </w:rPr>
        <w:t>Build – Strong Foundations for Our Youngest Children</w:t>
      </w:r>
      <w:r w:rsidR="00213697" w:rsidRPr="00D75267">
        <w:rPr>
          <w:rStyle w:val="eop"/>
          <w:rFonts w:eastAsiaTheme="majorEastAsia" w:cs="Segoe UI"/>
          <w:sz w:val="16"/>
          <w:szCs w:val="16"/>
        </w:rPr>
        <w:t xml:space="preserve">, accessed March 2025.  </w:t>
      </w:r>
    </w:p>
  </w:footnote>
  <w:footnote w:id="24">
    <w:p w14:paraId="0DBB9D71" w14:textId="6873D1AE" w:rsidR="000D6660" w:rsidRPr="00D75267" w:rsidRDefault="000D6660" w:rsidP="00731960">
      <w:pPr>
        <w:pStyle w:val="FootnoteText"/>
        <w:spacing w:before="0" w:after="0"/>
        <w:rPr>
          <w:szCs w:val="16"/>
        </w:rPr>
      </w:pPr>
      <w:r w:rsidRPr="00D75267">
        <w:rPr>
          <w:rStyle w:val="FootnoteReference"/>
          <w:szCs w:val="16"/>
        </w:rPr>
        <w:footnoteRef/>
      </w:r>
      <w:r w:rsidRPr="00D75267">
        <w:rPr>
          <w:szCs w:val="16"/>
        </w:rPr>
        <w:t xml:space="preserve"> </w:t>
      </w:r>
      <w:r w:rsidRPr="00D75267">
        <w:rPr>
          <w:szCs w:val="16"/>
          <w:shd w:val="clear" w:color="auto" w:fill="FFFFFF"/>
        </w:rPr>
        <w:t>Patton, M (2014)</w:t>
      </w:r>
      <w:r w:rsidRPr="00D75267">
        <w:rPr>
          <w:rStyle w:val="apple-converted-space"/>
          <w:rFonts w:cs="Arial"/>
          <w:szCs w:val="16"/>
          <w:shd w:val="clear" w:color="auto" w:fill="FFFFFF"/>
        </w:rPr>
        <w:t> </w:t>
      </w:r>
      <w:r w:rsidR="00366E43" w:rsidRPr="00D75267">
        <w:rPr>
          <w:rStyle w:val="apple-converted-space"/>
          <w:rFonts w:cs="Arial"/>
          <w:szCs w:val="16"/>
          <w:shd w:val="clear" w:color="auto" w:fill="FFFFFF"/>
        </w:rPr>
        <w:t>‘</w:t>
      </w:r>
      <w:r w:rsidRPr="00D75267">
        <w:rPr>
          <w:szCs w:val="16"/>
        </w:rPr>
        <w:t>Qualitative research &amp; evaluation methods: Integrating theory and practice</w:t>
      </w:r>
      <w:r w:rsidR="00366E43" w:rsidRPr="00D75267">
        <w:rPr>
          <w:szCs w:val="16"/>
        </w:rPr>
        <w:t>’</w:t>
      </w:r>
      <w:r w:rsidR="001D14E5" w:rsidRPr="00D75267">
        <w:rPr>
          <w:szCs w:val="16"/>
          <w:shd w:val="clear" w:color="auto" w:fill="FFFFFF"/>
        </w:rPr>
        <w:t xml:space="preserve">, </w:t>
      </w:r>
      <w:r w:rsidRPr="00D75267">
        <w:rPr>
          <w:i/>
          <w:szCs w:val="16"/>
          <w:shd w:val="clear" w:color="auto" w:fill="FFFFFF"/>
        </w:rPr>
        <w:t>Sage publications</w:t>
      </w:r>
      <w:r w:rsidR="00896C24" w:rsidRPr="00D75267">
        <w:rPr>
          <w:i/>
          <w:szCs w:val="16"/>
          <w:shd w:val="clear" w:color="auto" w:fill="FFFFFF"/>
        </w:rPr>
        <w:t>.</w:t>
      </w:r>
    </w:p>
  </w:footnote>
  <w:footnote w:id="25">
    <w:p w14:paraId="68580A2B" w14:textId="2F2C57A4" w:rsidR="00BA4B96" w:rsidRPr="00D75267" w:rsidRDefault="00BA4B96" w:rsidP="00731960">
      <w:pPr>
        <w:pStyle w:val="FootnoteText"/>
        <w:spacing w:before="0" w:after="0"/>
        <w:rPr>
          <w:szCs w:val="16"/>
        </w:rPr>
      </w:pPr>
      <w:r w:rsidRPr="00D75267">
        <w:rPr>
          <w:rStyle w:val="FootnoteReference"/>
          <w:szCs w:val="16"/>
        </w:rPr>
        <w:footnoteRef/>
      </w:r>
      <w:r w:rsidRPr="00D75267">
        <w:rPr>
          <w:szCs w:val="16"/>
        </w:rPr>
        <w:t xml:space="preserve"> </w:t>
      </w:r>
      <w:r w:rsidRPr="00D75267">
        <w:rPr>
          <w:rFonts w:eastAsia="Helvetica" w:cs="Helvetica"/>
          <w:szCs w:val="16"/>
        </w:rPr>
        <w:t xml:space="preserve">Brinkerhoff, R (2003) </w:t>
      </w:r>
      <w:r w:rsidR="001F6FAC" w:rsidRPr="00D75267">
        <w:rPr>
          <w:rFonts w:eastAsia="Helvetica" w:cs="Helvetica"/>
          <w:szCs w:val="16"/>
        </w:rPr>
        <w:t>‘</w:t>
      </w:r>
      <w:r w:rsidRPr="00D75267">
        <w:rPr>
          <w:rFonts w:eastAsia="Helvetica" w:cs="Helvetica"/>
          <w:szCs w:val="16"/>
        </w:rPr>
        <w:t>The success case method: A step-by-step guide for evaluating programs and projects</w:t>
      </w:r>
      <w:r w:rsidR="001F6FAC" w:rsidRPr="00D75267">
        <w:rPr>
          <w:rFonts w:eastAsia="Helvetica" w:cs="Helvetica"/>
          <w:szCs w:val="16"/>
        </w:rPr>
        <w:t>’</w:t>
      </w:r>
      <w:r w:rsidR="00147C57" w:rsidRPr="00D75267">
        <w:rPr>
          <w:rFonts w:eastAsia="Helvetica" w:cs="Helvetica"/>
          <w:szCs w:val="16"/>
        </w:rPr>
        <w:t>,</w:t>
      </w:r>
      <w:r w:rsidRPr="00D75267">
        <w:rPr>
          <w:rFonts w:eastAsia="Helvetica" w:cs="Helvetica"/>
          <w:szCs w:val="16"/>
        </w:rPr>
        <w:t xml:space="preserve"> </w:t>
      </w:r>
      <w:r w:rsidRPr="00D75267">
        <w:rPr>
          <w:rFonts w:eastAsia="Helvetica" w:cs="Helvetica"/>
          <w:i/>
          <w:szCs w:val="16"/>
        </w:rPr>
        <w:t>Jossey-Bass.</w:t>
      </w:r>
    </w:p>
  </w:footnote>
  <w:footnote w:id="26">
    <w:p w14:paraId="326652B1" w14:textId="2B2F9E9A" w:rsidR="00DB6298" w:rsidRPr="00D75267" w:rsidRDefault="00DB6298" w:rsidP="00731960">
      <w:pPr>
        <w:pStyle w:val="FootnoteText"/>
        <w:spacing w:before="0" w:after="0"/>
        <w:rPr>
          <w:szCs w:val="16"/>
        </w:rPr>
      </w:pPr>
      <w:r w:rsidRPr="00D75267">
        <w:rPr>
          <w:rStyle w:val="FootnoteReference"/>
          <w:szCs w:val="16"/>
        </w:rPr>
        <w:footnoteRef/>
      </w:r>
      <w:r w:rsidRPr="00D75267">
        <w:rPr>
          <w:szCs w:val="16"/>
        </w:rPr>
        <w:t xml:space="preserve"> </w:t>
      </w:r>
      <w:r w:rsidRPr="00D75267">
        <w:rPr>
          <w:szCs w:val="16"/>
          <w:shd w:val="clear" w:color="auto" w:fill="FFFFFF"/>
        </w:rPr>
        <w:t xml:space="preserve">Creswell, J </w:t>
      </w:r>
      <w:r w:rsidR="009361D7" w:rsidRPr="00D75267">
        <w:rPr>
          <w:szCs w:val="16"/>
          <w:shd w:val="clear" w:color="auto" w:fill="FFFFFF"/>
        </w:rPr>
        <w:t xml:space="preserve">and </w:t>
      </w:r>
      <w:r w:rsidRPr="00D75267">
        <w:rPr>
          <w:szCs w:val="16"/>
          <w:shd w:val="clear" w:color="auto" w:fill="FFFFFF"/>
        </w:rPr>
        <w:t>Creswell, J (2017)</w:t>
      </w:r>
      <w:r w:rsidR="009361D7" w:rsidRPr="00D75267">
        <w:rPr>
          <w:szCs w:val="16"/>
          <w:shd w:val="clear" w:color="auto" w:fill="FFFFFF"/>
        </w:rPr>
        <w:t xml:space="preserve"> ‘</w:t>
      </w:r>
      <w:r w:rsidRPr="00D75267">
        <w:rPr>
          <w:szCs w:val="16"/>
          <w:shd w:val="clear" w:color="auto" w:fill="FFFFFF"/>
        </w:rPr>
        <w:t xml:space="preserve">Research design: Qualitative, quantitative, and mixed </w:t>
      </w:r>
      <w:r w:rsidR="00853DF6" w:rsidRPr="00D75267">
        <w:rPr>
          <w:szCs w:val="16"/>
          <w:shd w:val="clear" w:color="auto" w:fill="FFFFFF"/>
        </w:rPr>
        <w:t>methods approaches’,</w:t>
      </w:r>
      <w:r w:rsidRPr="00D75267">
        <w:rPr>
          <w:szCs w:val="16"/>
          <w:shd w:val="clear" w:color="auto" w:fill="FFFFFF"/>
        </w:rPr>
        <w:t xml:space="preserve"> </w:t>
      </w:r>
      <w:r w:rsidRPr="00D75267">
        <w:rPr>
          <w:i/>
          <w:iCs/>
          <w:szCs w:val="16"/>
          <w:shd w:val="clear" w:color="auto" w:fill="FFFFFF"/>
        </w:rPr>
        <w:t>Sage publications.</w:t>
      </w:r>
    </w:p>
  </w:footnote>
  <w:footnote w:id="27">
    <w:p w14:paraId="2E316A28" w14:textId="221D04C2" w:rsidR="003653B6" w:rsidRPr="00D75267" w:rsidRDefault="003653B6" w:rsidP="00731960">
      <w:pPr>
        <w:pStyle w:val="FootnoteText"/>
        <w:spacing w:before="0" w:after="0"/>
        <w:rPr>
          <w:szCs w:val="16"/>
          <w:lang w:val="en-US"/>
        </w:rPr>
      </w:pPr>
      <w:r w:rsidRPr="00D75267">
        <w:rPr>
          <w:rStyle w:val="FootnoteReference"/>
          <w:szCs w:val="16"/>
        </w:rPr>
        <w:footnoteRef/>
      </w:r>
      <w:r w:rsidRPr="00D75267">
        <w:rPr>
          <w:szCs w:val="16"/>
        </w:rPr>
        <w:t xml:space="preserve"> NIAA (Australian Government National Indigenous Australians Agency) (2025) ‘</w:t>
      </w:r>
      <w:r w:rsidRPr="00D75267">
        <w:rPr>
          <w:i/>
          <w:szCs w:val="16"/>
        </w:rPr>
        <w:t>Central Australia Plan Taskforce CEO Brief</w:t>
      </w:r>
      <w:r w:rsidRPr="00D75267">
        <w:rPr>
          <w:szCs w:val="16"/>
        </w:rPr>
        <w:t>’ [internal document], accessed June 2025.</w:t>
      </w:r>
    </w:p>
  </w:footnote>
  <w:footnote w:id="28">
    <w:p w14:paraId="3941B50C" w14:textId="77777777" w:rsidR="00900728" w:rsidRPr="00D75267" w:rsidRDefault="00900728" w:rsidP="00731960">
      <w:pPr>
        <w:spacing w:before="0" w:after="0"/>
        <w:rPr>
          <w:rFonts w:eastAsia="Helvetica" w:cs="Helvetica"/>
          <w:sz w:val="16"/>
          <w:szCs w:val="16"/>
        </w:rPr>
      </w:pPr>
      <w:r w:rsidRPr="00D75267">
        <w:rPr>
          <w:rStyle w:val="FootnoteReference"/>
          <w:sz w:val="16"/>
          <w:szCs w:val="16"/>
        </w:rPr>
        <w:footnoteRef/>
      </w:r>
      <w:r w:rsidRPr="00D75267">
        <w:rPr>
          <w:rFonts w:eastAsia="Helvetica" w:cs="Helvetica"/>
          <w:sz w:val="16"/>
          <w:szCs w:val="16"/>
        </w:rPr>
        <w:t xml:space="preserve"> NIAA (National Indigenous Australians Agency) (</w:t>
      </w:r>
      <w:r w:rsidRPr="00D75267">
        <w:rPr>
          <w:sz w:val="16"/>
          <w:szCs w:val="16"/>
        </w:rPr>
        <w:t>2023)</w:t>
      </w:r>
      <w:r w:rsidRPr="00D75267">
        <w:rPr>
          <w:rFonts w:eastAsia="Helvetica" w:cs="Helvetica"/>
          <w:sz w:val="16"/>
          <w:szCs w:val="16"/>
        </w:rPr>
        <w:t xml:space="preserve"> </w:t>
      </w:r>
      <w:hyperlink r:id="rId14">
        <w:r w:rsidRPr="00D75267">
          <w:rPr>
            <w:rStyle w:val="Hyperlink"/>
            <w:rFonts w:eastAsia="Helvetica" w:cs="Helvetica"/>
            <w:i/>
            <w:color w:val="404040" w:themeColor="text1" w:themeTint="BF"/>
            <w:sz w:val="16"/>
            <w:szCs w:val="16"/>
          </w:rPr>
          <w:t>A Better, Safer Future for Central Australia</w:t>
        </w:r>
      </w:hyperlink>
      <w:r w:rsidRPr="00D75267">
        <w:rPr>
          <w:i/>
          <w:sz w:val="16"/>
          <w:szCs w:val="16"/>
        </w:rPr>
        <w:t>,</w:t>
      </w:r>
      <w:r w:rsidRPr="00D75267">
        <w:rPr>
          <w:sz w:val="16"/>
          <w:szCs w:val="16"/>
        </w:rPr>
        <w:t xml:space="preserve"> NIAA website, accessed June 2025. </w:t>
      </w:r>
    </w:p>
  </w:footnote>
  <w:footnote w:id="29">
    <w:p w14:paraId="28CB6D6B" w14:textId="77777777" w:rsidR="00900728" w:rsidRPr="00D75267" w:rsidRDefault="00900728"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NIAA (Australian Government National Indigenous Australians Agency) (n.d.). ‘</w:t>
      </w:r>
      <w:r w:rsidRPr="00D75267">
        <w:rPr>
          <w:rStyle w:val="normaltextrun"/>
          <w:rFonts w:cs="Calibri"/>
          <w:i/>
          <w:sz w:val="16"/>
          <w:szCs w:val="16"/>
          <w:shd w:val="clear" w:color="auto" w:fill="FFFFFF"/>
        </w:rPr>
        <w:t xml:space="preserve">Historical timeline and key decisions associated to the Central Australia Plan’, </w:t>
      </w:r>
      <w:r w:rsidRPr="00D75267">
        <w:rPr>
          <w:rStyle w:val="normaltextrun"/>
          <w:rFonts w:cs="Calibri"/>
          <w:sz w:val="16"/>
          <w:szCs w:val="16"/>
          <w:shd w:val="clear" w:color="auto" w:fill="FFFFFF"/>
        </w:rPr>
        <w:t>NIAA</w:t>
      </w:r>
      <w:r w:rsidRPr="00D75267">
        <w:rPr>
          <w:rStyle w:val="normaltextrun"/>
          <w:rFonts w:cs="Calibri"/>
          <w:i/>
          <w:sz w:val="16"/>
          <w:szCs w:val="16"/>
          <w:shd w:val="clear" w:color="auto" w:fill="FFFFFF"/>
        </w:rPr>
        <w:t xml:space="preserve">, </w:t>
      </w:r>
      <w:r w:rsidRPr="00D75267">
        <w:rPr>
          <w:rStyle w:val="normaltextrun"/>
          <w:rFonts w:cs="Calibri"/>
          <w:sz w:val="16"/>
          <w:szCs w:val="16"/>
          <w:shd w:val="clear" w:color="auto" w:fill="FFFFFF"/>
        </w:rPr>
        <w:t>accessed June 2025.</w:t>
      </w:r>
    </w:p>
  </w:footnote>
  <w:footnote w:id="30">
    <w:p w14:paraId="61F894DA" w14:textId="46ACBB24" w:rsidR="00B431A7" w:rsidRPr="00D75267" w:rsidRDefault="00B431A7" w:rsidP="00731960">
      <w:pPr>
        <w:pStyle w:val="FootnoteText"/>
        <w:spacing w:before="0" w:after="0"/>
        <w:rPr>
          <w:szCs w:val="16"/>
        </w:rPr>
      </w:pPr>
      <w:r w:rsidRPr="00D75267">
        <w:rPr>
          <w:rStyle w:val="FootnoteReference"/>
          <w:szCs w:val="16"/>
        </w:rPr>
        <w:footnoteRef/>
      </w:r>
      <w:r w:rsidRPr="00D75267">
        <w:rPr>
          <w:szCs w:val="16"/>
        </w:rPr>
        <w:t xml:space="preserve"> </w:t>
      </w:r>
      <w:r w:rsidR="00A40310" w:rsidRPr="00D75267">
        <w:rPr>
          <w:rFonts w:eastAsia="Helvetica" w:cs="Helvetica"/>
          <w:szCs w:val="16"/>
        </w:rPr>
        <w:t>NIAA (National Indigenous Australians Agency) (</w:t>
      </w:r>
      <w:r w:rsidR="00A40310" w:rsidRPr="00D75267">
        <w:rPr>
          <w:szCs w:val="16"/>
        </w:rPr>
        <w:t>2023)</w:t>
      </w:r>
      <w:r w:rsidR="00A40310" w:rsidRPr="00D75267">
        <w:rPr>
          <w:rFonts w:eastAsia="Helvetica" w:cs="Helvetica"/>
          <w:szCs w:val="16"/>
        </w:rPr>
        <w:t xml:space="preserve"> </w:t>
      </w:r>
      <w:hyperlink r:id="rId15">
        <w:r w:rsidR="00A40310" w:rsidRPr="00D75267">
          <w:rPr>
            <w:rStyle w:val="Hyperlink"/>
            <w:rFonts w:eastAsia="Helvetica" w:cs="Helvetica"/>
            <w:i/>
            <w:color w:val="404040" w:themeColor="text1" w:themeTint="BF"/>
            <w:szCs w:val="16"/>
          </w:rPr>
          <w:t>A Better, Safer Future for Central Australia</w:t>
        </w:r>
      </w:hyperlink>
      <w:r w:rsidR="00A40310" w:rsidRPr="00D75267">
        <w:rPr>
          <w:i/>
          <w:szCs w:val="16"/>
        </w:rPr>
        <w:t>,</w:t>
      </w:r>
      <w:r w:rsidR="00A40310" w:rsidRPr="00D75267">
        <w:rPr>
          <w:szCs w:val="16"/>
        </w:rPr>
        <w:t xml:space="preserve"> NIAA, accessed June 2025.</w:t>
      </w:r>
    </w:p>
  </w:footnote>
  <w:footnote w:id="31">
    <w:p w14:paraId="324A624F" w14:textId="48CB2257" w:rsidR="00B431A7" w:rsidRPr="00D75267" w:rsidRDefault="00B431A7"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B857CD" w:rsidRPr="00D75267">
        <w:rPr>
          <w:sz w:val="16"/>
          <w:szCs w:val="16"/>
        </w:rPr>
        <w:t>NIAA (Australian Government National Indigenous Australians Agency) (2025) ‘</w:t>
      </w:r>
      <w:r w:rsidR="00B857CD" w:rsidRPr="00D75267">
        <w:rPr>
          <w:i/>
          <w:sz w:val="16"/>
          <w:szCs w:val="16"/>
        </w:rPr>
        <w:t>Central Australia Plan Taskforce CEO Brief</w:t>
      </w:r>
      <w:r w:rsidR="00B857CD" w:rsidRPr="00D75267">
        <w:rPr>
          <w:sz w:val="16"/>
          <w:szCs w:val="16"/>
        </w:rPr>
        <w:t>’ [internal document], accessed June 2025.</w:t>
      </w:r>
    </w:p>
  </w:footnote>
  <w:footnote w:id="32">
    <w:p w14:paraId="6AAA3688" w14:textId="42BFEC14" w:rsidR="00B431A7" w:rsidRPr="00D75267" w:rsidRDefault="00B431A7"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B857CD" w:rsidRPr="00D75267">
        <w:rPr>
          <w:sz w:val="16"/>
          <w:szCs w:val="16"/>
        </w:rPr>
        <w:t>NIAA (Australian Government National Indigenous Australians Agency) (2025) ‘</w:t>
      </w:r>
      <w:r w:rsidR="00B857CD" w:rsidRPr="00D75267">
        <w:rPr>
          <w:i/>
          <w:sz w:val="16"/>
          <w:szCs w:val="16"/>
        </w:rPr>
        <w:t>Central Australia Plan Taskforce CEO Brief</w:t>
      </w:r>
      <w:r w:rsidR="00B857CD" w:rsidRPr="00D75267">
        <w:rPr>
          <w:sz w:val="16"/>
          <w:szCs w:val="16"/>
        </w:rPr>
        <w:t>’ [internal document], accessed June 2025</w:t>
      </w:r>
      <w:r w:rsidR="007A55FA" w:rsidRPr="00D75267">
        <w:rPr>
          <w:sz w:val="16"/>
          <w:szCs w:val="16"/>
        </w:rPr>
        <w:t xml:space="preserve"> and </w:t>
      </w:r>
      <w:r w:rsidR="007A55FA" w:rsidRPr="00D75267">
        <w:rPr>
          <w:rFonts w:eastAsia="Helvetica" w:cs="Helvetica"/>
          <w:sz w:val="16"/>
          <w:szCs w:val="16"/>
        </w:rPr>
        <w:t>NIAA (National Indigenous Australians Agency) (</w:t>
      </w:r>
      <w:r w:rsidR="007A55FA" w:rsidRPr="00D75267">
        <w:rPr>
          <w:sz w:val="16"/>
          <w:szCs w:val="16"/>
        </w:rPr>
        <w:t>2023)</w:t>
      </w:r>
      <w:r w:rsidR="007A55FA" w:rsidRPr="00D75267">
        <w:rPr>
          <w:rFonts w:eastAsia="Helvetica" w:cs="Helvetica"/>
          <w:sz w:val="16"/>
          <w:szCs w:val="16"/>
        </w:rPr>
        <w:t xml:space="preserve"> </w:t>
      </w:r>
      <w:hyperlink r:id="rId16">
        <w:r w:rsidR="007A55FA" w:rsidRPr="00D75267">
          <w:rPr>
            <w:rStyle w:val="Hyperlink"/>
            <w:rFonts w:eastAsia="Helvetica" w:cs="Helvetica"/>
            <w:i/>
            <w:color w:val="404040" w:themeColor="text1" w:themeTint="BF"/>
            <w:sz w:val="16"/>
            <w:szCs w:val="16"/>
          </w:rPr>
          <w:t>A Better, Safer Future for Central Australia</w:t>
        </w:r>
      </w:hyperlink>
      <w:r w:rsidR="007A55FA" w:rsidRPr="00D75267">
        <w:rPr>
          <w:i/>
          <w:sz w:val="16"/>
          <w:szCs w:val="16"/>
        </w:rPr>
        <w:t>,</w:t>
      </w:r>
      <w:r w:rsidR="007A55FA" w:rsidRPr="00D75267">
        <w:rPr>
          <w:sz w:val="16"/>
          <w:szCs w:val="16"/>
        </w:rPr>
        <w:t xml:space="preserve"> NIAA, accessed June 2025.</w:t>
      </w:r>
    </w:p>
  </w:footnote>
  <w:footnote w:id="33">
    <w:p w14:paraId="1EFAFB57" w14:textId="1EE9D9B7" w:rsidR="00B431A7" w:rsidRPr="00D75267" w:rsidRDefault="00B431A7" w:rsidP="00731960">
      <w:pPr>
        <w:spacing w:before="0" w:after="0"/>
        <w:rPr>
          <w:rFonts w:eastAsia="Helvetica" w:cs="Helvetica"/>
          <w:sz w:val="16"/>
          <w:szCs w:val="16"/>
        </w:rPr>
      </w:pPr>
      <w:r w:rsidRPr="00D75267">
        <w:rPr>
          <w:rStyle w:val="FootnoteReference"/>
          <w:sz w:val="16"/>
          <w:szCs w:val="16"/>
        </w:rPr>
        <w:footnoteRef/>
      </w:r>
      <w:r w:rsidRPr="00D75267">
        <w:rPr>
          <w:sz w:val="16"/>
          <w:szCs w:val="16"/>
        </w:rPr>
        <w:t xml:space="preserve"> </w:t>
      </w:r>
      <w:r w:rsidR="00680E60" w:rsidRPr="00D75267">
        <w:rPr>
          <w:rFonts w:eastAsia="Helvetica" w:cs="Helvetica"/>
          <w:sz w:val="16"/>
          <w:szCs w:val="16"/>
        </w:rPr>
        <w:t xml:space="preserve">NIAA (National Indigenous Australians Agency) (2025) </w:t>
      </w:r>
      <w:r w:rsidR="00680E60" w:rsidRPr="00D75267">
        <w:rPr>
          <w:rFonts w:eastAsia="Helvetica" w:cs="Helvetica"/>
          <w:i/>
          <w:sz w:val="16"/>
          <w:szCs w:val="16"/>
        </w:rPr>
        <w:t>Central Australia Plan Theory of Change</w:t>
      </w:r>
      <w:r w:rsidR="00680E60" w:rsidRPr="00D75267">
        <w:rPr>
          <w:rFonts w:eastAsia="Helvetica" w:cs="Helvetica"/>
          <w:sz w:val="16"/>
          <w:szCs w:val="16"/>
        </w:rPr>
        <w:t xml:space="preserve">, </w:t>
      </w:r>
      <w:r w:rsidR="00680E60" w:rsidRPr="00D75267" w:rsidDel="00FE3F26">
        <w:rPr>
          <w:rFonts w:eastAsia="Helvetica" w:cs="Helvetica"/>
          <w:sz w:val="16"/>
          <w:szCs w:val="16"/>
        </w:rPr>
        <w:t>Commonwealth Government</w:t>
      </w:r>
      <w:r w:rsidR="00680E60" w:rsidRPr="00D75267">
        <w:rPr>
          <w:rFonts w:eastAsia="Helvetica" w:cs="Helvetica"/>
          <w:sz w:val="16"/>
          <w:szCs w:val="16"/>
        </w:rPr>
        <w:t xml:space="preserve">, accessed June 2025. </w:t>
      </w:r>
    </w:p>
  </w:footnote>
  <w:footnote w:id="34">
    <w:p w14:paraId="561DF2BB" w14:textId="77777777" w:rsidR="00AA1F25" w:rsidRPr="00D75267" w:rsidRDefault="00AA1F25" w:rsidP="00731960">
      <w:pPr>
        <w:pStyle w:val="paragraph"/>
        <w:spacing w:before="0" w:beforeAutospacing="0" w:after="0" w:afterAutospacing="0"/>
        <w:rPr>
          <w:rFonts w:eastAsiaTheme="majorEastAsia" w:cs="Segoe UI"/>
          <w:sz w:val="16"/>
          <w:szCs w:val="16"/>
        </w:rPr>
      </w:pPr>
      <w:r w:rsidRPr="00D75267">
        <w:rPr>
          <w:rStyle w:val="FootnoteReference"/>
          <w:sz w:val="16"/>
          <w:szCs w:val="16"/>
        </w:rPr>
        <w:footnoteRef/>
      </w:r>
      <w:r w:rsidRPr="00D75267">
        <w:rPr>
          <w:sz w:val="16"/>
          <w:szCs w:val="16"/>
        </w:rPr>
        <w:t xml:space="preserve"> NIAA (National Indigenous Australians Agency) (2025) ‘</w:t>
      </w:r>
      <w:r w:rsidRPr="00D75267">
        <w:rPr>
          <w:i/>
          <w:sz w:val="16"/>
          <w:szCs w:val="16"/>
        </w:rPr>
        <w:t>Central Australia Plan Taskforce CEO Brief</w:t>
      </w:r>
      <w:r w:rsidRPr="00D75267">
        <w:rPr>
          <w:sz w:val="16"/>
          <w:szCs w:val="16"/>
        </w:rPr>
        <w:t>’ [internal document], accessed June 2025.</w:t>
      </w:r>
    </w:p>
  </w:footnote>
  <w:footnote w:id="35">
    <w:p w14:paraId="513383A3" w14:textId="5A94D71D" w:rsidR="00AA1F25" w:rsidRPr="00D75267" w:rsidRDefault="00AA1F25" w:rsidP="00731960">
      <w:pPr>
        <w:pStyle w:val="Heading1"/>
        <w:shd w:val="clear" w:color="auto" w:fill="FFFFFF"/>
        <w:spacing w:before="0" w:after="0"/>
        <w:rPr>
          <w:rFonts w:eastAsia="Times New Roman"/>
          <w:color w:val="404040" w:themeColor="text1" w:themeTint="BF"/>
          <w:sz w:val="16"/>
          <w:szCs w:val="16"/>
        </w:rPr>
      </w:pPr>
      <w:r w:rsidRPr="00D75267">
        <w:rPr>
          <w:rStyle w:val="FootnoteReference"/>
          <w:rFonts w:eastAsiaTheme="minorEastAsia"/>
          <w:b w:val="0"/>
          <w:color w:val="404040" w:themeColor="text1" w:themeTint="BF"/>
          <w:sz w:val="16"/>
          <w:szCs w:val="16"/>
          <w:lang w:val="en-GB" w:eastAsia="en-AU"/>
        </w:rPr>
        <w:footnoteRef/>
      </w:r>
      <w:r w:rsidRPr="00D75267">
        <w:rPr>
          <w:rStyle w:val="FootnoteReference"/>
          <w:rFonts w:eastAsiaTheme="minorEastAsia"/>
          <w:b w:val="0"/>
          <w:color w:val="404040" w:themeColor="text1" w:themeTint="BF"/>
          <w:sz w:val="16"/>
          <w:szCs w:val="16"/>
          <w:lang w:val="en-GB" w:eastAsia="en-AU"/>
        </w:rPr>
        <w:t xml:space="preserve"> </w:t>
      </w:r>
      <w:r w:rsidRPr="00D75267">
        <w:rPr>
          <w:rFonts w:eastAsiaTheme="minorEastAsia"/>
          <w:b w:val="0"/>
          <w:color w:val="404040" w:themeColor="text1" w:themeTint="BF"/>
          <w:sz w:val="16"/>
          <w:szCs w:val="16"/>
          <w:lang w:val="en-GB" w:eastAsia="en-AU"/>
        </w:rPr>
        <w:t xml:space="preserve">ABC News, Northern Land Council chair voices anger at NT CLP government scrapping Local </w:t>
      </w:r>
      <w:r w:rsidR="00696FF5" w:rsidRPr="00D75267">
        <w:rPr>
          <w:rFonts w:eastAsiaTheme="minorEastAsia"/>
          <w:b w:val="0"/>
          <w:color w:val="404040" w:themeColor="text1" w:themeTint="BF"/>
          <w:sz w:val="16"/>
          <w:szCs w:val="16"/>
          <w:lang w:val="en-GB" w:eastAsia="en-AU"/>
        </w:rPr>
        <w:t>Decision-Making</w:t>
      </w:r>
      <w:r w:rsidRPr="00D75267">
        <w:rPr>
          <w:rFonts w:eastAsiaTheme="minorEastAsia"/>
          <w:b w:val="0"/>
          <w:color w:val="404040" w:themeColor="text1" w:themeTint="BF"/>
          <w:sz w:val="16"/>
          <w:szCs w:val="16"/>
          <w:lang w:val="en-GB" w:eastAsia="en-AU"/>
        </w:rPr>
        <w:t xml:space="preserve"> program, accessed 30 June 2025.</w:t>
      </w:r>
    </w:p>
    <w:p w14:paraId="404DD836" w14:textId="77777777" w:rsidR="00AA1F25" w:rsidRPr="00D75267" w:rsidRDefault="00AA1F25" w:rsidP="00731960">
      <w:pPr>
        <w:pStyle w:val="FootnoteText"/>
        <w:spacing w:before="0" w:after="0"/>
        <w:rPr>
          <w:szCs w:val="16"/>
        </w:rPr>
      </w:pPr>
    </w:p>
  </w:footnote>
  <w:footnote w:id="36">
    <w:p w14:paraId="12D5F3E6" w14:textId="172C9723" w:rsidR="003A77FF" w:rsidRPr="00D75267" w:rsidRDefault="003A77FF" w:rsidP="00731960">
      <w:pPr>
        <w:pStyle w:val="paragraph"/>
        <w:spacing w:before="0" w:beforeAutospacing="0" w:after="0" w:afterAutospacing="0"/>
        <w:textAlignment w:val="baseline"/>
        <w:rPr>
          <w:sz w:val="16"/>
          <w:szCs w:val="16"/>
        </w:rPr>
      </w:pPr>
      <w:r w:rsidRPr="00D75267">
        <w:rPr>
          <w:rStyle w:val="FootnoteReference"/>
          <w:sz w:val="16"/>
          <w:szCs w:val="16"/>
        </w:rPr>
        <w:footnoteRef/>
      </w:r>
      <w:r w:rsidRPr="00D75267">
        <w:rPr>
          <w:sz w:val="16"/>
          <w:szCs w:val="16"/>
        </w:rPr>
        <w:t xml:space="preserve"> </w:t>
      </w:r>
      <w:r w:rsidR="004852B3" w:rsidRPr="00D75267">
        <w:rPr>
          <w:sz w:val="16"/>
          <w:szCs w:val="16"/>
        </w:rPr>
        <w:t xml:space="preserve">Central Australia Plan Aboriginal Leadership Group (n.d.), </w:t>
      </w:r>
      <w:r w:rsidR="004852B3" w:rsidRPr="00D75267">
        <w:rPr>
          <w:i/>
          <w:sz w:val="16"/>
          <w:szCs w:val="16"/>
        </w:rPr>
        <w:t>Terms of Reference</w:t>
      </w:r>
      <w:r w:rsidR="004852B3" w:rsidRPr="00D75267">
        <w:rPr>
          <w:sz w:val="16"/>
          <w:szCs w:val="16"/>
        </w:rPr>
        <w:t xml:space="preserve">, National Indigenous Australians Agency [internal document], accessed June 2025. </w:t>
      </w:r>
    </w:p>
  </w:footnote>
  <w:footnote w:id="37">
    <w:p w14:paraId="7F6481A9" w14:textId="50E016F4" w:rsidR="004C11DA" w:rsidRPr="00D75267" w:rsidRDefault="004C11DA" w:rsidP="00731960">
      <w:pPr>
        <w:pStyle w:val="FootnoteText"/>
        <w:spacing w:before="0" w:after="0"/>
        <w:rPr>
          <w:szCs w:val="16"/>
        </w:rPr>
      </w:pPr>
      <w:r w:rsidRPr="00D75267">
        <w:rPr>
          <w:rStyle w:val="FootnoteReference"/>
          <w:szCs w:val="16"/>
        </w:rPr>
        <w:footnoteRef/>
      </w:r>
      <w:r w:rsidRPr="00D75267">
        <w:rPr>
          <w:szCs w:val="16"/>
        </w:rPr>
        <w:t xml:space="preserve"> </w:t>
      </w:r>
      <w:r w:rsidR="00A04D43" w:rsidRPr="00D75267">
        <w:rPr>
          <w:szCs w:val="16"/>
        </w:rPr>
        <w:t xml:space="preserve">ALG </w:t>
      </w:r>
      <w:r w:rsidRPr="00D75267">
        <w:rPr>
          <w:szCs w:val="16"/>
        </w:rPr>
        <w:t>Meeting minutes</w:t>
      </w:r>
      <w:r w:rsidR="00A04D43" w:rsidRPr="00D75267">
        <w:rPr>
          <w:szCs w:val="16"/>
        </w:rPr>
        <w:t>,</w:t>
      </w:r>
      <w:r w:rsidR="004322AF" w:rsidRPr="00D75267">
        <w:rPr>
          <w:szCs w:val="16"/>
        </w:rPr>
        <w:t xml:space="preserve"> National Indigenous Australians Agency [internal document], accessed June 2025.</w:t>
      </w:r>
    </w:p>
  </w:footnote>
  <w:footnote w:id="38">
    <w:p w14:paraId="48A85FF1" w14:textId="77777777" w:rsidR="004C11DA" w:rsidRPr="00D75267" w:rsidRDefault="004C11DA" w:rsidP="00731960">
      <w:pPr>
        <w:pStyle w:val="FootnoteText"/>
        <w:spacing w:before="0" w:after="0"/>
        <w:rPr>
          <w:szCs w:val="16"/>
        </w:rPr>
      </w:pPr>
      <w:r w:rsidRPr="00D75267">
        <w:rPr>
          <w:rStyle w:val="FootnoteReference"/>
          <w:szCs w:val="16"/>
        </w:rPr>
        <w:footnoteRef/>
      </w:r>
      <w:r w:rsidRPr="00D75267">
        <w:rPr>
          <w:szCs w:val="16"/>
        </w:rPr>
        <w:t xml:space="preserve"> Hunt J and Smith D (2006) ‘Building Indigenous community governance in Australia: Preliminary research findings’, </w:t>
      </w:r>
      <w:r w:rsidRPr="00D75267">
        <w:rPr>
          <w:i/>
          <w:szCs w:val="16"/>
        </w:rPr>
        <w:t>Australian National University: Centre for Aboriginal Economic Policy Research</w:t>
      </w:r>
      <w:r w:rsidRPr="00D75267">
        <w:rPr>
          <w:szCs w:val="16"/>
        </w:rPr>
        <w:t xml:space="preserve">, accessed June 2025. </w:t>
      </w:r>
    </w:p>
  </w:footnote>
  <w:footnote w:id="39">
    <w:p w14:paraId="7E7581BB" w14:textId="77777777" w:rsidR="004C11DA" w:rsidRPr="00D75267" w:rsidRDefault="004C11DA" w:rsidP="00731960">
      <w:pPr>
        <w:pStyle w:val="FootnoteText"/>
        <w:spacing w:before="0" w:after="0"/>
        <w:rPr>
          <w:i/>
          <w:szCs w:val="16"/>
        </w:rPr>
      </w:pPr>
      <w:r w:rsidRPr="00D75267">
        <w:rPr>
          <w:rStyle w:val="FootnoteReference"/>
          <w:szCs w:val="16"/>
        </w:rPr>
        <w:footnoteRef/>
      </w:r>
      <w:r w:rsidRPr="00D75267">
        <w:rPr>
          <w:szCs w:val="16"/>
        </w:rPr>
        <w:t xml:space="preserve"> AIHW (Australian Institute of Health and Welfare) (2012). ‘Improving Indigenous community governance through strengthening Indigenous and government organisational capacity’, </w:t>
      </w:r>
      <w:r w:rsidRPr="00D75267">
        <w:rPr>
          <w:i/>
          <w:szCs w:val="16"/>
        </w:rPr>
        <w:t xml:space="preserve">Closing the Gap Clearinghouse, </w:t>
      </w:r>
      <w:r w:rsidRPr="00D75267">
        <w:rPr>
          <w:szCs w:val="16"/>
        </w:rPr>
        <w:t xml:space="preserve">Resource sheet no. 10, accessed June 2025. </w:t>
      </w:r>
    </w:p>
  </w:footnote>
  <w:footnote w:id="40">
    <w:p w14:paraId="6F63BA4D" w14:textId="77777777" w:rsidR="004C11DA" w:rsidRPr="00D75267" w:rsidRDefault="004C11DA" w:rsidP="00731960">
      <w:pPr>
        <w:pStyle w:val="FootnoteText"/>
        <w:spacing w:before="0" w:after="0"/>
        <w:rPr>
          <w:i/>
          <w:szCs w:val="16"/>
        </w:rPr>
      </w:pPr>
      <w:r w:rsidRPr="00D75267">
        <w:rPr>
          <w:rStyle w:val="FootnoteReference"/>
          <w:szCs w:val="16"/>
        </w:rPr>
        <w:footnoteRef/>
      </w:r>
      <w:r w:rsidRPr="00D75267">
        <w:rPr>
          <w:szCs w:val="16"/>
        </w:rPr>
        <w:t xml:space="preserve"> DSS (Department of Social Services) (2025), </w:t>
      </w:r>
      <w:r w:rsidRPr="00D75267">
        <w:rPr>
          <w:i/>
          <w:szCs w:val="16"/>
        </w:rPr>
        <w:t>‘The Strengthening Families and Communities Partnership Master Information Pack’</w:t>
      </w:r>
      <w:r w:rsidRPr="00D75267">
        <w:rPr>
          <w:szCs w:val="16"/>
        </w:rPr>
        <w:t>, Australian Government, [internal document], accessed June 2025.</w:t>
      </w:r>
    </w:p>
  </w:footnote>
  <w:footnote w:id="41">
    <w:p w14:paraId="433A3EF1" w14:textId="37EE52B9" w:rsidR="003A77FF" w:rsidRPr="00D75267" w:rsidRDefault="003A77FF"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142D7B" w:rsidRPr="00D75267">
        <w:rPr>
          <w:sz w:val="16"/>
          <w:szCs w:val="16"/>
        </w:rPr>
        <w:t>SNAICC (Secretariat of National Aboriginal and Islander Child Care) (2012</w:t>
      </w:r>
      <w:r w:rsidR="00142D7B" w:rsidRPr="00D75267">
        <w:rPr>
          <w:i/>
          <w:sz w:val="16"/>
          <w:szCs w:val="16"/>
        </w:rPr>
        <w:t xml:space="preserve">) </w:t>
      </w:r>
      <w:hyperlink r:id="rId17" w:history="1">
        <w:r w:rsidR="00142D7B" w:rsidRPr="00D75267">
          <w:rPr>
            <w:rStyle w:val="Hyperlink"/>
            <w:i/>
            <w:iCs/>
            <w:color w:val="404040" w:themeColor="text1" w:themeTint="BF"/>
            <w:sz w:val="16"/>
            <w:szCs w:val="16"/>
          </w:rPr>
          <w:t>‘Creating change through partnerships: An introductory guide to partnerships between Aboriginal and Torres Strait Islander and non-Indigenous organisations in child and family services’</w:t>
        </w:r>
      </w:hyperlink>
      <w:r w:rsidR="00142D7B" w:rsidRPr="00D75267">
        <w:rPr>
          <w:sz w:val="16"/>
          <w:szCs w:val="16"/>
        </w:rPr>
        <w:t xml:space="preserve">, Melbourne: SNAICC, accessed June 2025. </w:t>
      </w:r>
    </w:p>
  </w:footnote>
  <w:footnote w:id="42">
    <w:p w14:paraId="2C8D7706" w14:textId="75A59131" w:rsidR="003A77FF" w:rsidRPr="00D75267" w:rsidRDefault="003A77FF" w:rsidP="00731960">
      <w:pPr>
        <w:pStyle w:val="FootnoteText"/>
        <w:spacing w:before="0" w:after="0"/>
        <w:rPr>
          <w:szCs w:val="16"/>
        </w:rPr>
      </w:pPr>
      <w:r w:rsidRPr="00D75267">
        <w:rPr>
          <w:rStyle w:val="FootnoteReference"/>
          <w:szCs w:val="16"/>
        </w:rPr>
        <w:footnoteRef/>
      </w:r>
      <w:r w:rsidRPr="00D75267">
        <w:rPr>
          <w:szCs w:val="16"/>
        </w:rPr>
        <w:t xml:space="preserve"> </w:t>
      </w:r>
      <w:r w:rsidR="00895111" w:rsidRPr="00D75267">
        <w:rPr>
          <w:szCs w:val="16"/>
        </w:rPr>
        <w:t xml:space="preserve">NIAA (National Indigenous Australians Agency) (2022) </w:t>
      </w:r>
      <w:r w:rsidR="001F5A6F" w:rsidRPr="00D75267">
        <w:rPr>
          <w:szCs w:val="16"/>
        </w:rPr>
        <w:t>‘</w:t>
      </w:r>
      <w:hyperlink r:id="rId18" w:history="1">
        <w:r w:rsidR="00895111" w:rsidRPr="00D75267">
          <w:rPr>
            <w:rStyle w:val="Hyperlink"/>
            <w:i/>
            <w:iCs/>
            <w:color w:val="404040" w:themeColor="text1" w:themeTint="BF"/>
            <w:szCs w:val="16"/>
            <w:shd w:val="clear" w:color="auto" w:fill="FFFFFF"/>
          </w:rPr>
          <w:t>NIAA Stretch Reconciliation Action Plan 2022-2025</w:t>
        </w:r>
      </w:hyperlink>
      <w:r w:rsidR="001F5A6F" w:rsidRPr="00D75267">
        <w:rPr>
          <w:i/>
          <w:szCs w:val="16"/>
          <w:shd w:val="clear" w:color="auto" w:fill="FFFFFF"/>
        </w:rPr>
        <w:t>’</w:t>
      </w:r>
      <w:r w:rsidR="00895111" w:rsidRPr="00D75267">
        <w:rPr>
          <w:szCs w:val="16"/>
          <w:shd w:val="clear" w:color="auto" w:fill="FFFFFF"/>
        </w:rPr>
        <w:t>, Australian Government, accessed June 2025.</w:t>
      </w:r>
    </w:p>
  </w:footnote>
  <w:footnote w:id="43">
    <w:p w14:paraId="696BD676" w14:textId="2A9C5E18" w:rsidR="2AC86B5A" w:rsidRPr="00D75267" w:rsidRDefault="2AC86B5A" w:rsidP="00731960">
      <w:pPr>
        <w:pStyle w:val="FootnoteText"/>
        <w:spacing w:before="0" w:after="0"/>
        <w:rPr>
          <w:szCs w:val="16"/>
        </w:rPr>
      </w:pPr>
      <w:r w:rsidRPr="00D75267">
        <w:rPr>
          <w:rStyle w:val="FootnoteReference"/>
          <w:szCs w:val="16"/>
        </w:rPr>
        <w:footnoteRef/>
      </w:r>
      <w:r w:rsidRPr="00D75267">
        <w:rPr>
          <w:szCs w:val="16"/>
        </w:rPr>
        <w:t xml:space="preserve"> </w:t>
      </w:r>
      <w:r w:rsidR="00FE4E11" w:rsidRPr="00D75267">
        <w:rPr>
          <w:szCs w:val="16"/>
        </w:rPr>
        <w:t xml:space="preserve">ABS (Australian Bureau of Statistics) (2022), </w:t>
      </w:r>
      <w:r w:rsidR="00536278" w:rsidRPr="00D75267">
        <w:rPr>
          <w:szCs w:val="16"/>
        </w:rPr>
        <w:t>‘</w:t>
      </w:r>
      <w:hyperlink r:id="rId19" w:history="1">
        <w:r w:rsidR="00FE4E11" w:rsidRPr="00D75267">
          <w:rPr>
            <w:rStyle w:val="Hyperlink"/>
            <w:i/>
            <w:iCs/>
            <w:color w:val="404040" w:themeColor="text1" w:themeTint="BF"/>
            <w:szCs w:val="16"/>
          </w:rPr>
          <w:t>Aboriginal and Torres Strait Islander people 2021-22</w:t>
        </w:r>
      </w:hyperlink>
      <w:r w:rsidR="00536278" w:rsidRPr="00D75267">
        <w:rPr>
          <w:i/>
          <w:szCs w:val="16"/>
        </w:rPr>
        <w:t>’</w:t>
      </w:r>
      <w:r w:rsidR="00FE4E11" w:rsidRPr="00D75267">
        <w:rPr>
          <w:szCs w:val="16"/>
        </w:rPr>
        <w:t>, ABS website, accessed June 2025.</w:t>
      </w:r>
    </w:p>
  </w:footnote>
  <w:footnote w:id="44">
    <w:p w14:paraId="25F9B9B9" w14:textId="4CE81F97" w:rsidR="2AC86B5A" w:rsidRPr="00D75267" w:rsidRDefault="2AC86B5A" w:rsidP="00731960">
      <w:pPr>
        <w:pStyle w:val="FootnoteText"/>
        <w:spacing w:before="0" w:after="0"/>
        <w:rPr>
          <w:szCs w:val="16"/>
        </w:rPr>
      </w:pPr>
      <w:r w:rsidRPr="00D75267">
        <w:rPr>
          <w:rStyle w:val="FootnoteReference"/>
          <w:szCs w:val="16"/>
        </w:rPr>
        <w:footnoteRef/>
      </w:r>
      <w:r w:rsidRPr="00D75267">
        <w:rPr>
          <w:szCs w:val="16"/>
        </w:rPr>
        <w:t xml:space="preserve"> </w:t>
      </w:r>
      <w:r w:rsidR="00DB56E7" w:rsidRPr="00D75267">
        <w:rPr>
          <w:szCs w:val="16"/>
        </w:rPr>
        <w:t>NIAA (National Indigenous Australians Agency) (2025)</w:t>
      </w:r>
      <w:r w:rsidR="00DB56E7" w:rsidRPr="00D75267">
        <w:rPr>
          <w:i/>
          <w:szCs w:val="16"/>
        </w:rPr>
        <w:t xml:space="preserve"> Central Australia Youth Roundtable Meeting Agenda,</w:t>
      </w:r>
      <w:r w:rsidR="00DB56E7" w:rsidRPr="00D75267">
        <w:rPr>
          <w:szCs w:val="16"/>
        </w:rPr>
        <w:t xml:space="preserve"> [internal document], NIAA, accessed June 2025. </w:t>
      </w:r>
    </w:p>
  </w:footnote>
  <w:footnote w:id="45">
    <w:p w14:paraId="57DF824F" w14:textId="77777777" w:rsidR="00BE50D4" w:rsidRPr="00D75267" w:rsidRDefault="00BE50D4" w:rsidP="00731960">
      <w:pPr>
        <w:spacing w:before="0" w:after="0"/>
        <w:rPr>
          <w:sz w:val="16"/>
          <w:szCs w:val="16"/>
        </w:rPr>
      </w:pPr>
      <w:r w:rsidRPr="00D75267">
        <w:rPr>
          <w:rStyle w:val="FootnoteReference"/>
          <w:rFonts w:eastAsia="Helvetica" w:cs="Helvetica"/>
          <w:sz w:val="16"/>
          <w:szCs w:val="16"/>
        </w:rPr>
        <w:footnoteRef/>
      </w:r>
      <w:r w:rsidRPr="00D75267">
        <w:rPr>
          <w:rFonts w:eastAsia="Helvetica" w:cs="Helvetica"/>
          <w:sz w:val="16"/>
          <w:szCs w:val="16"/>
        </w:rPr>
        <w:t>NIAA (National Indigenous Australians Agency) (</w:t>
      </w:r>
      <w:r w:rsidRPr="00D75267">
        <w:rPr>
          <w:sz w:val="16"/>
          <w:szCs w:val="16"/>
        </w:rPr>
        <w:t>2023)</w:t>
      </w:r>
      <w:r w:rsidRPr="00D75267">
        <w:rPr>
          <w:rFonts w:eastAsia="Helvetica" w:cs="Helvetica"/>
          <w:sz w:val="16"/>
          <w:szCs w:val="16"/>
        </w:rPr>
        <w:t xml:space="preserve"> </w:t>
      </w:r>
      <w:hyperlink r:id="rId20">
        <w:r w:rsidRPr="00D75267">
          <w:rPr>
            <w:rStyle w:val="Hyperlink"/>
            <w:rFonts w:eastAsia="Helvetica" w:cs="Helvetica"/>
            <w:i/>
            <w:color w:val="404040" w:themeColor="text1" w:themeTint="BF"/>
            <w:sz w:val="16"/>
            <w:szCs w:val="16"/>
          </w:rPr>
          <w:t>A Better, Safer Future for Central Australia</w:t>
        </w:r>
      </w:hyperlink>
      <w:r w:rsidRPr="00D75267">
        <w:rPr>
          <w:i/>
          <w:sz w:val="16"/>
          <w:szCs w:val="16"/>
        </w:rPr>
        <w:t>,</w:t>
      </w:r>
      <w:r w:rsidRPr="00D75267">
        <w:rPr>
          <w:sz w:val="16"/>
          <w:szCs w:val="16"/>
        </w:rPr>
        <w:t xml:space="preserve"> NIAA, accessed June 2025. </w:t>
      </w:r>
    </w:p>
  </w:footnote>
  <w:footnote w:id="46">
    <w:p w14:paraId="3496FE3F" w14:textId="7FFE7A48" w:rsidR="00BE50D4" w:rsidRPr="00D75267" w:rsidRDefault="00BE50D4" w:rsidP="00731960">
      <w:pPr>
        <w:pStyle w:val="FootnoteText"/>
        <w:spacing w:before="0" w:after="0"/>
        <w:rPr>
          <w:szCs w:val="16"/>
          <w:lang w:val="en-US"/>
        </w:rPr>
      </w:pPr>
      <w:r w:rsidRPr="00D75267">
        <w:rPr>
          <w:rStyle w:val="FootnoteReference"/>
          <w:szCs w:val="16"/>
        </w:rPr>
        <w:footnoteRef/>
      </w:r>
      <w:r w:rsidRPr="00D75267">
        <w:rPr>
          <w:szCs w:val="16"/>
        </w:rPr>
        <w:t xml:space="preserve"> ABS (Australian Bureau of Statistics) 2021 </w:t>
      </w:r>
      <w:hyperlink r:id="rId21" w:history="1">
        <w:r w:rsidRPr="00D75267">
          <w:rPr>
            <w:rStyle w:val="Hyperlink"/>
            <w:i/>
            <w:color w:val="404040" w:themeColor="text1" w:themeTint="BF"/>
            <w:szCs w:val="16"/>
          </w:rPr>
          <w:t>Alice Springs</w:t>
        </w:r>
      </w:hyperlink>
      <w:r w:rsidRPr="00D75267">
        <w:rPr>
          <w:i/>
          <w:szCs w:val="16"/>
        </w:rPr>
        <w:t>,</w:t>
      </w:r>
      <w:r w:rsidRPr="00D75267">
        <w:rPr>
          <w:szCs w:val="16"/>
        </w:rPr>
        <w:t xml:space="preserve"> ABS website, accessed April 2025</w:t>
      </w:r>
      <w:r w:rsidR="00F83B4E" w:rsidRPr="00D75267">
        <w:rPr>
          <w:szCs w:val="16"/>
        </w:rPr>
        <w:t>.</w:t>
      </w:r>
    </w:p>
  </w:footnote>
  <w:footnote w:id="47">
    <w:p w14:paraId="644BE84C" w14:textId="1B0D6B46" w:rsidR="00F67790" w:rsidRPr="00D75267" w:rsidRDefault="00F67790" w:rsidP="00731960">
      <w:pPr>
        <w:pStyle w:val="FootnoteText"/>
        <w:spacing w:before="0" w:after="0"/>
        <w:rPr>
          <w:szCs w:val="16"/>
        </w:rPr>
      </w:pPr>
      <w:r w:rsidRPr="00D75267">
        <w:rPr>
          <w:rStyle w:val="FootnoteReference"/>
          <w:szCs w:val="16"/>
        </w:rPr>
        <w:footnoteRef/>
      </w:r>
      <w:r w:rsidRPr="00D75267">
        <w:rPr>
          <w:szCs w:val="16"/>
        </w:rPr>
        <w:t xml:space="preserve"> Due to the way the funding has been labelled in tracking, projects that have benefitted more than one community </w:t>
      </w:r>
      <w:r w:rsidR="00742D36" w:rsidRPr="00D75267">
        <w:rPr>
          <w:szCs w:val="16"/>
        </w:rPr>
        <w:t xml:space="preserve">have </w:t>
      </w:r>
      <w:r w:rsidRPr="00D75267">
        <w:rPr>
          <w:szCs w:val="16"/>
        </w:rPr>
        <w:t>been labelled as multiple</w:t>
      </w:r>
      <w:r w:rsidR="00742D36" w:rsidRPr="00D75267">
        <w:rPr>
          <w:szCs w:val="16"/>
        </w:rPr>
        <w:t xml:space="preserve"> rather than </w:t>
      </w:r>
      <w:r w:rsidR="00B568B7" w:rsidRPr="00D75267">
        <w:rPr>
          <w:szCs w:val="16"/>
        </w:rPr>
        <w:t>counting toward individual clusters</w:t>
      </w:r>
      <w:r w:rsidR="00742D36" w:rsidRPr="00D75267">
        <w:rPr>
          <w:szCs w:val="16"/>
        </w:rPr>
        <w:t>.</w:t>
      </w:r>
    </w:p>
  </w:footnote>
  <w:footnote w:id="48">
    <w:p w14:paraId="31FE95BA" w14:textId="7227E458" w:rsidR="00450816" w:rsidRPr="00D75267" w:rsidRDefault="00450816"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114E40" w:rsidRPr="00D75267">
        <w:rPr>
          <w:sz w:val="16"/>
          <w:szCs w:val="16"/>
        </w:rPr>
        <w:t xml:space="preserve">NIAA </w:t>
      </w:r>
      <w:r w:rsidR="00114E40" w:rsidRPr="00D75267">
        <w:rPr>
          <w:rFonts w:eastAsia="Helvetica" w:cs="Helvetica"/>
          <w:sz w:val="16"/>
          <w:szCs w:val="16"/>
        </w:rPr>
        <w:t>(National Indigenous Australians Agency) (2025)</w:t>
      </w:r>
      <w:r w:rsidR="00114E40" w:rsidRPr="00D75267">
        <w:rPr>
          <w:sz w:val="16"/>
          <w:szCs w:val="16"/>
        </w:rPr>
        <w:t xml:space="preserve"> ‘</w:t>
      </w:r>
      <w:r w:rsidR="00114E40" w:rsidRPr="00D75267">
        <w:rPr>
          <w:i/>
          <w:sz w:val="16"/>
          <w:szCs w:val="16"/>
        </w:rPr>
        <w:t>Implementation tracker spreadsheet, with an updated being provided on ALG advice on 24 June 2025’,</w:t>
      </w:r>
      <w:r w:rsidR="00114E40" w:rsidRPr="00D75267">
        <w:rPr>
          <w:sz w:val="16"/>
          <w:szCs w:val="16"/>
        </w:rPr>
        <w:t xml:space="preserve"> [internal document], accessed May 2025.</w:t>
      </w:r>
    </w:p>
  </w:footnote>
  <w:footnote w:id="49">
    <w:p w14:paraId="6623820C" w14:textId="235097AD" w:rsidR="00864E7E" w:rsidRPr="00D75267" w:rsidRDefault="00864E7E" w:rsidP="00731960">
      <w:pPr>
        <w:spacing w:before="0" w:after="0"/>
        <w:rPr>
          <w:rFonts w:eastAsia="Helvetica" w:cs="Helvetica"/>
          <w:sz w:val="16"/>
          <w:szCs w:val="16"/>
        </w:rPr>
      </w:pPr>
      <w:r w:rsidRPr="00D75267">
        <w:rPr>
          <w:rStyle w:val="FootnoteReference"/>
          <w:rFonts w:eastAsia="Helvetica" w:cs="Helvetica"/>
          <w:sz w:val="16"/>
          <w:szCs w:val="16"/>
        </w:rPr>
        <w:footnoteRef/>
      </w:r>
      <w:r w:rsidRPr="00D75267">
        <w:rPr>
          <w:rFonts w:eastAsia="Helvetica" w:cs="Helvetica"/>
          <w:sz w:val="16"/>
          <w:szCs w:val="16"/>
        </w:rPr>
        <w:t xml:space="preserve"> </w:t>
      </w:r>
      <w:r w:rsidR="00A000FF" w:rsidRPr="00D75267">
        <w:rPr>
          <w:rFonts w:eastAsia="Helvetica" w:cs="Helvetica"/>
          <w:sz w:val="16"/>
          <w:szCs w:val="16"/>
        </w:rPr>
        <w:t>Aboriginal Leadership Group (2024) ‘</w:t>
      </w:r>
      <w:r w:rsidR="00A000FF" w:rsidRPr="00D75267">
        <w:rPr>
          <w:rFonts w:eastAsia="Helvetica" w:cs="Helvetica"/>
          <w:i/>
          <w:sz w:val="16"/>
          <w:szCs w:val="16"/>
        </w:rPr>
        <w:t>Meeting 14 Slide Pack Day 1 and Media and Communications- Status of CA Packages (end of August)’,</w:t>
      </w:r>
      <w:r w:rsidR="00A000FF" w:rsidRPr="00D75267">
        <w:rPr>
          <w:rFonts w:eastAsia="Helvetica" w:cs="Helvetica"/>
          <w:sz w:val="16"/>
          <w:szCs w:val="16"/>
        </w:rPr>
        <w:t xml:space="preserve"> [internal document], accessed September 2024.</w:t>
      </w:r>
    </w:p>
  </w:footnote>
  <w:footnote w:id="50">
    <w:p w14:paraId="1A087569" w14:textId="06CC2645" w:rsidR="00B064D9" w:rsidRPr="00D75267" w:rsidRDefault="00B064D9" w:rsidP="00731960">
      <w:pPr>
        <w:pStyle w:val="FootnoteText"/>
        <w:spacing w:before="0" w:after="0"/>
        <w:rPr>
          <w:szCs w:val="16"/>
        </w:rPr>
      </w:pPr>
      <w:r w:rsidRPr="00D75267">
        <w:rPr>
          <w:rStyle w:val="FootnoteReference"/>
          <w:rFonts w:eastAsia="Helvetica" w:cs="Helvetica"/>
          <w:szCs w:val="16"/>
        </w:rPr>
        <w:footnoteRef/>
      </w:r>
      <w:r w:rsidRPr="00D75267">
        <w:rPr>
          <w:rFonts w:eastAsia="Helvetica" w:cs="Helvetica"/>
          <w:szCs w:val="16"/>
        </w:rPr>
        <w:t xml:space="preserve"> IV2</w:t>
      </w:r>
      <w:r w:rsidR="00F83B4E" w:rsidRPr="00D75267">
        <w:rPr>
          <w:rFonts w:eastAsia="Helvetica" w:cs="Helvetica"/>
          <w:szCs w:val="16"/>
        </w:rPr>
        <w:t>.</w:t>
      </w:r>
    </w:p>
  </w:footnote>
  <w:footnote w:id="51">
    <w:p w14:paraId="637186DB" w14:textId="3F117629" w:rsidR="003A77FF" w:rsidRPr="00D75267" w:rsidRDefault="003A77FF" w:rsidP="00731960">
      <w:pPr>
        <w:pStyle w:val="FootnoteText"/>
        <w:spacing w:before="0" w:after="0"/>
        <w:rPr>
          <w:szCs w:val="16"/>
        </w:rPr>
      </w:pPr>
    </w:p>
  </w:footnote>
  <w:footnote w:id="52">
    <w:p w14:paraId="154F7127" w14:textId="66386886" w:rsidR="003A77FF" w:rsidRPr="00D75267" w:rsidRDefault="003A77FF" w:rsidP="00731960">
      <w:pPr>
        <w:pStyle w:val="FootnoteText"/>
        <w:spacing w:before="0" w:after="0"/>
        <w:rPr>
          <w:szCs w:val="16"/>
        </w:rPr>
      </w:pPr>
    </w:p>
  </w:footnote>
  <w:footnote w:id="53">
    <w:p w14:paraId="23B4A6BB" w14:textId="3D773F7D" w:rsidR="003A77FF" w:rsidRPr="00D75267" w:rsidRDefault="003A77FF" w:rsidP="00731960">
      <w:pPr>
        <w:pStyle w:val="FootnoteText"/>
        <w:spacing w:before="0" w:after="0"/>
        <w:rPr>
          <w:szCs w:val="16"/>
        </w:rPr>
      </w:pPr>
    </w:p>
  </w:footnote>
  <w:footnote w:id="54">
    <w:p w14:paraId="752FFE9E" w14:textId="7D04B4FB" w:rsidR="003A77FF" w:rsidRPr="00D75267" w:rsidRDefault="003A77FF" w:rsidP="00731960">
      <w:pPr>
        <w:spacing w:before="0" w:after="0"/>
        <w:rPr>
          <w:sz w:val="16"/>
          <w:szCs w:val="16"/>
        </w:rPr>
      </w:pPr>
      <w:r w:rsidRPr="00D75267">
        <w:rPr>
          <w:rStyle w:val="FootnoteReference"/>
          <w:sz w:val="16"/>
          <w:szCs w:val="16"/>
        </w:rPr>
        <w:footnoteRef/>
      </w:r>
      <w:r w:rsidRPr="00D75267">
        <w:rPr>
          <w:sz w:val="16"/>
          <w:szCs w:val="16"/>
        </w:rPr>
        <w:t xml:space="preserve"> </w:t>
      </w:r>
      <w:r w:rsidR="00F0451F" w:rsidRPr="00D75267">
        <w:rPr>
          <w:rFonts w:eastAsia="Helvetica" w:cs="Helvetica"/>
          <w:sz w:val="16"/>
          <w:szCs w:val="16"/>
        </w:rPr>
        <w:t>NIAA (National Indigenous Australians Agency) (</w:t>
      </w:r>
      <w:r w:rsidR="00F0451F" w:rsidRPr="00D75267">
        <w:rPr>
          <w:sz w:val="16"/>
          <w:szCs w:val="16"/>
        </w:rPr>
        <w:t>2023)</w:t>
      </w:r>
      <w:r w:rsidR="00F0451F" w:rsidRPr="00D75267">
        <w:rPr>
          <w:rFonts w:eastAsia="Helvetica" w:cs="Helvetica"/>
          <w:sz w:val="16"/>
          <w:szCs w:val="16"/>
        </w:rPr>
        <w:t xml:space="preserve"> </w:t>
      </w:r>
      <w:hyperlink r:id="rId22">
        <w:r w:rsidR="00F0451F" w:rsidRPr="00D75267">
          <w:rPr>
            <w:rStyle w:val="Hyperlink"/>
            <w:rFonts w:eastAsia="Helvetica" w:cs="Helvetica"/>
            <w:i/>
            <w:iCs/>
            <w:color w:val="404040" w:themeColor="text1" w:themeTint="BF"/>
            <w:sz w:val="16"/>
            <w:szCs w:val="16"/>
          </w:rPr>
          <w:t>A Better, Safer Future for Central Australia</w:t>
        </w:r>
      </w:hyperlink>
      <w:r w:rsidR="00F0451F" w:rsidRPr="00D75267">
        <w:rPr>
          <w:i/>
          <w:sz w:val="16"/>
          <w:szCs w:val="16"/>
        </w:rPr>
        <w:t>,</w:t>
      </w:r>
      <w:r w:rsidR="00F0451F" w:rsidRPr="00D75267">
        <w:rPr>
          <w:sz w:val="16"/>
          <w:szCs w:val="16"/>
        </w:rPr>
        <w:t xml:space="preserve"> NIAA, accessed June 2025. </w:t>
      </w:r>
    </w:p>
  </w:footnote>
  <w:footnote w:id="55">
    <w:p w14:paraId="36AD68D0" w14:textId="69AEE0CE" w:rsidR="003A77FF" w:rsidRPr="00D75267" w:rsidRDefault="003A77FF"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9E261F" w:rsidRPr="00D75267">
        <w:rPr>
          <w:sz w:val="16"/>
          <w:szCs w:val="16"/>
        </w:rPr>
        <w:t>NIAA (National Indigenous Australians Agency) (2025) ‘</w:t>
      </w:r>
      <w:r w:rsidR="009E261F" w:rsidRPr="00D75267">
        <w:rPr>
          <w:i/>
          <w:sz w:val="16"/>
          <w:szCs w:val="16"/>
        </w:rPr>
        <w:t>Central Australia Plan Taskforce CEO Brief</w:t>
      </w:r>
      <w:r w:rsidR="009E261F" w:rsidRPr="00D75267">
        <w:rPr>
          <w:sz w:val="16"/>
          <w:szCs w:val="16"/>
        </w:rPr>
        <w:t>’ [internal document], accessed June 2025.</w:t>
      </w:r>
    </w:p>
  </w:footnote>
  <w:footnote w:id="56">
    <w:p w14:paraId="44B1594F" w14:textId="0EFF57C2" w:rsidR="00B21261" w:rsidRPr="00D75267" w:rsidRDefault="00B21261" w:rsidP="00731960">
      <w:pPr>
        <w:pStyle w:val="paragraph"/>
        <w:spacing w:before="0" w:beforeAutospacing="0" w:after="0" w:afterAutospacing="0"/>
        <w:textAlignment w:val="baseline"/>
        <w:rPr>
          <w:rFonts w:eastAsiaTheme="majorEastAsia" w:cs="Segoe UI"/>
          <w:sz w:val="16"/>
          <w:szCs w:val="16"/>
        </w:rPr>
      </w:pPr>
      <w:r w:rsidRPr="00D75267">
        <w:rPr>
          <w:rStyle w:val="FootnoteReference"/>
          <w:sz w:val="16"/>
          <w:szCs w:val="16"/>
        </w:rPr>
        <w:footnoteRef/>
      </w:r>
      <w:r w:rsidRPr="00D75267">
        <w:rPr>
          <w:sz w:val="16"/>
          <w:szCs w:val="16"/>
        </w:rPr>
        <w:t xml:space="preserve"> </w:t>
      </w:r>
      <w:r w:rsidR="005D2052" w:rsidRPr="00D75267">
        <w:rPr>
          <w:sz w:val="16"/>
          <w:szCs w:val="16"/>
        </w:rPr>
        <w:t>NIAA (National Indigenous Australians Agency) (2025) ‘</w:t>
      </w:r>
      <w:r w:rsidR="005D2052" w:rsidRPr="00D75267">
        <w:rPr>
          <w:i/>
          <w:sz w:val="16"/>
          <w:szCs w:val="16"/>
        </w:rPr>
        <w:t>Central Australia Plan Taskforce CEO Brief</w:t>
      </w:r>
      <w:r w:rsidR="005D2052" w:rsidRPr="00D75267">
        <w:rPr>
          <w:sz w:val="16"/>
          <w:szCs w:val="16"/>
        </w:rPr>
        <w:t>’ [internal document], accessed June 2025.</w:t>
      </w:r>
    </w:p>
  </w:footnote>
  <w:footnote w:id="57">
    <w:p w14:paraId="11BFAA81" w14:textId="3204E891" w:rsidR="41EF25F8" w:rsidRPr="00D75267" w:rsidRDefault="41EF25F8" w:rsidP="00731960">
      <w:pPr>
        <w:spacing w:before="0" w:after="0"/>
        <w:rPr>
          <w:rFonts w:eastAsiaTheme="majorEastAsia" w:cs="Segoe UI"/>
          <w:sz w:val="16"/>
          <w:szCs w:val="16"/>
        </w:rPr>
      </w:pPr>
      <w:r w:rsidRPr="00D75267">
        <w:rPr>
          <w:rStyle w:val="FootnoteReference"/>
          <w:sz w:val="16"/>
          <w:szCs w:val="16"/>
        </w:rPr>
        <w:footnoteRef/>
      </w:r>
      <w:r w:rsidR="05437F53" w:rsidRPr="00D75267">
        <w:rPr>
          <w:sz w:val="16"/>
          <w:szCs w:val="16"/>
        </w:rPr>
        <w:t xml:space="preserve"> NIAA (National Indigenous Australians Agency) (2025) ‘</w:t>
      </w:r>
      <w:r w:rsidR="05437F53" w:rsidRPr="00D75267">
        <w:rPr>
          <w:i/>
          <w:iCs/>
          <w:sz w:val="16"/>
          <w:szCs w:val="16"/>
        </w:rPr>
        <w:t>Central Australia Plan Taskforce CEO Brief</w:t>
      </w:r>
      <w:r w:rsidR="05437F53" w:rsidRPr="00D75267">
        <w:rPr>
          <w:sz w:val="16"/>
          <w:szCs w:val="16"/>
        </w:rPr>
        <w:t>’ [internal document], accessed June 2025.</w:t>
      </w:r>
    </w:p>
  </w:footnote>
  <w:footnote w:id="58">
    <w:p w14:paraId="7325A00A" w14:textId="77777777" w:rsidR="00460182" w:rsidRPr="00D75267" w:rsidRDefault="00460182" w:rsidP="00731960">
      <w:pPr>
        <w:spacing w:before="0" w:after="0"/>
        <w:rPr>
          <w:rFonts w:eastAsia="Helvetica" w:cs="Helvetica"/>
          <w:sz w:val="16"/>
          <w:szCs w:val="16"/>
        </w:rPr>
      </w:pPr>
      <w:r w:rsidRPr="00D75267">
        <w:rPr>
          <w:rStyle w:val="FootnoteReference"/>
          <w:rFonts w:eastAsia="Helvetica" w:cs="Helvetica"/>
          <w:sz w:val="16"/>
          <w:szCs w:val="16"/>
        </w:rPr>
        <w:footnoteRef/>
      </w:r>
      <w:r w:rsidRPr="00D75267">
        <w:rPr>
          <w:rFonts w:eastAsia="Helvetica" w:cs="Helvetica"/>
          <w:sz w:val="16"/>
          <w:szCs w:val="16"/>
        </w:rPr>
        <w:t xml:space="preserve"> NAIF (Northern Territory Infrastructure Facility) (n.d.) </w:t>
      </w:r>
      <w:hyperlink r:id="rId23" w:history="1">
        <w:r w:rsidRPr="00D75267">
          <w:rPr>
            <w:rStyle w:val="Hyperlink"/>
            <w:rFonts w:eastAsia="Helvetica" w:cs="Helvetica"/>
            <w:i/>
            <w:iCs/>
            <w:color w:val="404040" w:themeColor="text1" w:themeTint="BF"/>
            <w:sz w:val="16"/>
            <w:szCs w:val="16"/>
          </w:rPr>
          <w:t>Investing Impact Across the North</w:t>
        </w:r>
      </w:hyperlink>
      <w:r w:rsidRPr="00D75267">
        <w:rPr>
          <w:rFonts w:eastAsia="Helvetica" w:cs="Helvetica"/>
          <w:sz w:val="16"/>
          <w:szCs w:val="16"/>
        </w:rPr>
        <w:t xml:space="preserve">, NAIF website, accessed February 2025. </w:t>
      </w:r>
    </w:p>
  </w:footnote>
  <w:footnote w:id="59">
    <w:p w14:paraId="136CB24D" w14:textId="6DD39CA8" w:rsidR="3562EEFD" w:rsidRPr="00D75267" w:rsidRDefault="3562EEFD" w:rsidP="00731960">
      <w:pPr>
        <w:spacing w:before="0" w:after="0"/>
        <w:rPr>
          <w:rFonts w:eastAsiaTheme="majorEastAsia" w:cs="Segoe UI"/>
          <w:sz w:val="16"/>
          <w:szCs w:val="16"/>
        </w:rPr>
      </w:pPr>
      <w:r w:rsidRPr="00D75267">
        <w:rPr>
          <w:rStyle w:val="FootnoteReference"/>
          <w:sz w:val="16"/>
          <w:szCs w:val="16"/>
        </w:rPr>
        <w:footnoteRef/>
      </w:r>
      <w:r w:rsidR="05437F53" w:rsidRPr="00D75267">
        <w:rPr>
          <w:sz w:val="16"/>
          <w:szCs w:val="16"/>
        </w:rPr>
        <w:t xml:space="preserve"> NIAA (National Indigenous Australians Agency) (2025) ‘</w:t>
      </w:r>
      <w:r w:rsidR="05437F53" w:rsidRPr="00D75267">
        <w:rPr>
          <w:i/>
          <w:iCs/>
          <w:sz w:val="16"/>
          <w:szCs w:val="16"/>
        </w:rPr>
        <w:t>Central Australia Plan Taskforce CEO Brief</w:t>
      </w:r>
      <w:r w:rsidR="05437F53" w:rsidRPr="00D75267">
        <w:rPr>
          <w:sz w:val="16"/>
          <w:szCs w:val="16"/>
        </w:rPr>
        <w:t>’ [internal document], accessed June 2025.</w:t>
      </w:r>
    </w:p>
  </w:footnote>
  <w:footnote w:id="60">
    <w:p w14:paraId="6CFB3A89" w14:textId="3CA9E9EF" w:rsidR="00B21261" w:rsidRPr="00D75267" w:rsidRDefault="00B21261" w:rsidP="00731960">
      <w:pPr>
        <w:pStyle w:val="FootnoteText"/>
        <w:spacing w:before="0" w:after="0"/>
        <w:rPr>
          <w:rFonts w:eastAsiaTheme="majorEastAsia" w:cs="Segoe UI"/>
          <w:szCs w:val="16"/>
          <w:lang w:val="en-US"/>
        </w:rPr>
      </w:pPr>
      <w:r w:rsidRPr="00D75267">
        <w:rPr>
          <w:rStyle w:val="FootnoteReference"/>
          <w:szCs w:val="16"/>
        </w:rPr>
        <w:footnoteRef/>
      </w:r>
      <w:r w:rsidR="05437F53" w:rsidRPr="00D75267">
        <w:rPr>
          <w:szCs w:val="16"/>
        </w:rPr>
        <w:t xml:space="preserve"> NIAA (National Indigenous Australians Agency) (2025) ‘</w:t>
      </w:r>
      <w:r w:rsidR="05437F53" w:rsidRPr="00D75267">
        <w:rPr>
          <w:i/>
          <w:iCs/>
          <w:szCs w:val="16"/>
        </w:rPr>
        <w:t>Central Australia Plan Taskforce CEO Brief</w:t>
      </w:r>
      <w:r w:rsidR="05437F53" w:rsidRPr="00D75267">
        <w:rPr>
          <w:szCs w:val="16"/>
        </w:rPr>
        <w:t>’ [internal document], accessed June 2025.</w:t>
      </w:r>
    </w:p>
  </w:footnote>
  <w:footnote w:id="61">
    <w:p w14:paraId="40BEFFBD" w14:textId="653DC913" w:rsidR="00B21261" w:rsidRPr="00D75267" w:rsidRDefault="00B21261" w:rsidP="00731960">
      <w:pPr>
        <w:pStyle w:val="paragraph"/>
        <w:spacing w:before="0" w:beforeAutospacing="0" w:after="0" w:afterAutospacing="0"/>
        <w:textAlignment w:val="baseline"/>
        <w:rPr>
          <w:sz w:val="16"/>
          <w:szCs w:val="16"/>
        </w:rPr>
      </w:pPr>
      <w:r w:rsidRPr="00D75267">
        <w:rPr>
          <w:rStyle w:val="FootnoteReference"/>
          <w:sz w:val="16"/>
          <w:szCs w:val="16"/>
        </w:rPr>
        <w:footnoteRef/>
      </w:r>
      <w:r w:rsidRPr="00D75267">
        <w:rPr>
          <w:sz w:val="16"/>
          <w:szCs w:val="16"/>
        </w:rPr>
        <w:t xml:space="preserve"> </w:t>
      </w:r>
      <w:r w:rsidR="005D73BC" w:rsidRPr="00D75267">
        <w:rPr>
          <w:sz w:val="16"/>
          <w:szCs w:val="16"/>
        </w:rPr>
        <w:t>NIAA (National Indigenous Australians Agency) (2025) ‘</w:t>
      </w:r>
      <w:r w:rsidR="005D73BC" w:rsidRPr="00D75267">
        <w:rPr>
          <w:i/>
          <w:sz w:val="16"/>
          <w:szCs w:val="16"/>
        </w:rPr>
        <w:t>Central Australia Plan Taskforce CEO Brief</w:t>
      </w:r>
      <w:r w:rsidR="005D73BC" w:rsidRPr="00D75267">
        <w:rPr>
          <w:sz w:val="16"/>
          <w:szCs w:val="16"/>
        </w:rPr>
        <w:t>’ [internal document], accessed June 2025.</w:t>
      </w:r>
    </w:p>
  </w:footnote>
  <w:footnote w:id="62">
    <w:p w14:paraId="235165BA" w14:textId="3E967851" w:rsidR="00B21261" w:rsidRPr="00D75267" w:rsidRDefault="00B21261" w:rsidP="00731960">
      <w:pPr>
        <w:pStyle w:val="FootnoteText"/>
        <w:spacing w:before="0" w:after="0"/>
        <w:rPr>
          <w:szCs w:val="16"/>
          <w:lang w:val="en-US"/>
        </w:rPr>
      </w:pPr>
      <w:r w:rsidRPr="00D75267">
        <w:rPr>
          <w:rStyle w:val="FootnoteReference"/>
          <w:szCs w:val="16"/>
        </w:rPr>
        <w:footnoteRef/>
      </w:r>
      <w:r w:rsidRPr="00D75267">
        <w:rPr>
          <w:szCs w:val="16"/>
        </w:rPr>
        <w:t xml:space="preserve"> </w:t>
      </w:r>
      <w:r w:rsidR="00DB63A7" w:rsidRPr="00D75267">
        <w:rPr>
          <w:szCs w:val="16"/>
        </w:rPr>
        <w:t>NIAA (Australian Government National Indigenous Australians Agency) (2025) ‘</w:t>
      </w:r>
      <w:r w:rsidR="00DB63A7" w:rsidRPr="00D75267">
        <w:rPr>
          <w:i/>
          <w:szCs w:val="16"/>
        </w:rPr>
        <w:t>Central Australia Plan Taskforce CEO Brief</w:t>
      </w:r>
      <w:r w:rsidR="00DB63A7" w:rsidRPr="00D75267">
        <w:rPr>
          <w:szCs w:val="16"/>
        </w:rPr>
        <w:t>’ [internal document], accessed June 2025.</w:t>
      </w:r>
    </w:p>
  </w:footnote>
  <w:footnote w:id="63">
    <w:p w14:paraId="3495ADE2" w14:textId="34E7D371" w:rsidR="00B21261" w:rsidRPr="00D75267" w:rsidRDefault="00B21261" w:rsidP="00731960">
      <w:pPr>
        <w:pStyle w:val="FootnoteText"/>
        <w:spacing w:before="0" w:after="0"/>
        <w:rPr>
          <w:szCs w:val="16"/>
        </w:rPr>
      </w:pPr>
      <w:r w:rsidRPr="00D75267">
        <w:rPr>
          <w:rStyle w:val="FootnoteReference"/>
          <w:szCs w:val="16"/>
        </w:rPr>
        <w:footnoteRef/>
      </w:r>
      <w:r w:rsidRPr="00D75267">
        <w:rPr>
          <w:szCs w:val="16"/>
        </w:rPr>
        <w:t xml:space="preserve"> Rural Generalist Program</w:t>
      </w:r>
      <w:r w:rsidR="00692872" w:rsidRPr="00D75267">
        <w:rPr>
          <w:szCs w:val="16"/>
        </w:rPr>
        <w:t xml:space="preserve"> (n.d.)</w:t>
      </w:r>
      <w:r w:rsidRPr="00D75267">
        <w:rPr>
          <w:szCs w:val="16"/>
        </w:rPr>
        <w:t xml:space="preserve"> </w:t>
      </w:r>
      <w:hyperlink r:id="rId24" w:history="1">
        <w:r w:rsidR="00692872" w:rsidRPr="00D75267">
          <w:rPr>
            <w:rStyle w:val="Hyperlink"/>
            <w:color w:val="404040" w:themeColor="text1" w:themeTint="BF"/>
            <w:szCs w:val="16"/>
          </w:rPr>
          <w:t>‘</w:t>
        </w:r>
        <w:r w:rsidRPr="00D75267">
          <w:rPr>
            <w:rStyle w:val="Hyperlink"/>
            <w:i/>
            <w:iCs/>
            <w:color w:val="404040" w:themeColor="text1" w:themeTint="BF"/>
            <w:szCs w:val="16"/>
          </w:rPr>
          <w:t>Living in the Central Australia Region</w:t>
        </w:r>
        <w:r w:rsidR="00692872" w:rsidRPr="00D75267">
          <w:rPr>
            <w:rStyle w:val="Hyperlink"/>
            <w:i/>
            <w:iCs/>
            <w:color w:val="404040" w:themeColor="text1" w:themeTint="BF"/>
            <w:szCs w:val="16"/>
          </w:rPr>
          <w:t>’</w:t>
        </w:r>
      </w:hyperlink>
      <w:r w:rsidR="00692872" w:rsidRPr="00D75267">
        <w:rPr>
          <w:i/>
          <w:szCs w:val="16"/>
        </w:rPr>
        <w:t>, Rural Generalist Program Northern Territory website, accessed June 2025.</w:t>
      </w:r>
      <w:r w:rsidRPr="00D75267">
        <w:rPr>
          <w:szCs w:val="16"/>
        </w:rPr>
        <w:t xml:space="preserve"> </w:t>
      </w:r>
    </w:p>
  </w:footnote>
  <w:footnote w:id="64">
    <w:p w14:paraId="3C9EE216" w14:textId="77777777" w:rsidR="00B558C6" w:rsidRPr="00D75267" w:rsidRDefault="00B558C6" w:rsidP="00731960">
      <w:pPr>
        <w:pStyle w:val="FootnoteText"/>
        <w:spacing w:before="0" w:after="0"/>
        <w:rPr>
          <w:i/>
          <w:szCs w:val="16"/>
        </w:rPr>
      </w:pPr>
      <w:r w:rsidRPr="00D75267">
        <w:rPr>
          <w:rStyle w:val="FootnoteReference"/>
          <w:szCs w:val="16"/>
        </w:rPr>
        <w:footnoteRef/>
      </w:r>
      <w:r w:rsidRPr="00D75267">
        <w:rPr>
          <w:szCs w:val="16"/>
        </w:rPr>
        <w:t xml:space="preserve"> DSS (Department of Social Services) (2025), </w:t>
      </w:r>
      <w:r w:rsidRPr="00D75267">
        <w:rPr>
          <w:i/>
          <w:szCs w:val="16"/>
        </w:rPr>
        <w:t>‘The Strengthening Families and Communities Partnership Master Information Pack’</w:t>
      </w:r>
      <w:r w:rsidRPr="00D75267">
        <w:rPr>
          <w:szCs w:val="16"/>
        </w:rPr>
        <w:t>, Australian Government, [internal document], accessed June 2025.</w:t>
      </w:r>
    </w:p>
  </w:footnote>
  <w:footnote w:id="65">
    <w:p w14:paraId="150F1C42" w14:textId="77777777" w:rsidR="003343AE" w:rsidRPr="00D75267" w:rsidRDefault="003343AE" w:rsidP="003343AE">
      <w:pPr>
        <w:spacing w:before="0" w:after="0"/>
        <w:rPr>
          <w:rFonts w:eastAsia="Helvetica" w:cs="Helvetica"/>
          <w:sz w:val="16"/>
          <w:szCs w:val="16"/>
        </w:rPr>
      </w:pPr>
      <w:r w:rsidRPr="00D75267">
        <w:rPr>
          <w:rStyle w:val="FootnoteReference"/>
          <w:rFonts w:eastAsia="Helvetica" w:cs="Helvetica"/>
          <w:sz w:val="16"/>
          <w:szCs w:val="16"/>
        </w:rPr>
        <w:footnoteRef/>
      </w:r>
      <w:r w:rsidRPr="00D75267">
        <w:rPr>
          <w:sz w:val="16"/>
          <w:szCs w:val="16"/>
        </w:rPr>
        <w:t xml:space="preserve"> </w:t>
      </w:r>
      <w:r w:rsidRPr="00D75267">
        <w:rPr>
          <w:rFonts w:eastAsia="Helvetica" w:cs="Helvetica"/>
          <w:sz w:val="16"/>
          <w:szCs w:val="16"/>
        </w:rPr>
        <w:t xml:space="preserve">Molloy C, Perini N, Harrop C (2025) </w:t>
      </w:r>
      <w:hyperlink r:id="rId25" w:history="1">
        <w:r w:rsidRPr="00D75267">
          <w:rPr>
            <w:rStyle w:val="Hyperlink"/>
            <w:rFonts w:eastAsia="Helvetica" w:cs="Helvetica"/>
            <w:i/>
            <w:iCs/>
            <w:color w:val="404040" w:themeColor="text1" w:themeTint="BF"/>
            <w:sz w:val="16"/>
            <w:szCs w:val="16"/>
          </w:rPr>
          <w:t>‘Evidence-based Lead Indicators to Drive Equitable Early Years Services: Findings from the Restacking the Odds Study’</w:t>
        </w:r>
      </w:hyperlink>
      <w:r w:rsidRPr="00D75267">
        <w:rPr>
          <w:rFonts w:eastAsia="Helvetica" w:cs="Helvetica"/>
          <w:sz w:val="16"/>
          <w:szCs w:val="16"/>
        </w:rPr>
        <w:t xml:space="preserve">. </w:t>
      </w:r>
      <w:r w:rsidRPr="00D75267">
        <w:rPr>
          <w:rFonts w:eastAsia="Helvetica" w:cs="Helvetica"/>
          <w:i/>
          <w:sz w:val="16"/>
          <w:szCs w:val="16"/>
        </w:rPr>
        <w:t>Child Indicators Research</w:t>
      </w:r>
      <w:r w:rsidRPr="00D75267">
        <w:rPr>
          <w:rFonts w:eastAsia="Helvetica" w:cs="Helvetica"/>
          <w:sz w:val="16"/>
          <w:szCs w:val="16"/>
        </w:rPr>
        <w:t>, 3:1-35</w:t>
      </w:r>
    </w:p>
  </w:footnote>
  <w:footnote w:id="66">
    <w:p w14:paraId="20A46E47" w14:textId="77777777" w:rsidR="000F115B" w:rsidRPr="00D75267" w:rsidRDefault="000F115B" w:rsidP="000F115B">
      <w:pPr>
        <w:pStyle w:val="FootnoteText"/>
        <w:spacing w:before="0" w:after="0"/>
        <w:rPr>
          <w:szCs w:val="16"/>
        </w:rPr>
      </w:pPr>
      <w:r w:rsidRPr="00D75267">
        <w:rPr>
          <w:rStyle w:val="FootnoteReference"/>
          <w:szCs w:val="16"/>
        </w:rPr>
        <w:footnoteRef/>
      </w:r>
      <w:r w:rsidRPr="00D75267">
        <w:rPr>
          <w:szCs w:val="16"/>
        </w:rPr>
        <w:t xml:space="preserve"> Arthur MW, Hawkins JD, Brown EC, Briney JS, Oesterle S and Abbott RD (2010) ‘Implementation of the Communities That Care prevention system by coalitions in the Community Youth Development Study’, Journal of Community Psychology, 38(2):245–258.</w:t>
      </w:r>
    </w:p>
  </w:footnote>
  <w:footnote w:id="67">
    <w:p w14:paraId="5F2750A4" w14:textId="77777777" w:rsidR="000F115B" w:rsidRPr="00D75267" w:rsidRDefault="000F115B" w:rsidP="000F115B">
      <w:pPr>
        <w:pStyle w:val="FootnoteText"/>
        <w:spacing w:before="0" w:after="0"/>
        <w:rPr>
          <w:szCs w:val="16"/>
        </w:rPr>
      </w:pPr>
      <w:r w:rsidRPr="00D75267">
        <w:rPr>
          <w:rStyle w:val="FootnoteReference"/>
          <w:szCs w:val="16"/>
        </w:rPr>
        <w:footnoteRef/>
      </w:r>
      <w:r w:rsidRPr="00D75267">
        <w:rPr>
          <w:szCs w:val="16"/>
        </w:rPr>
        <w:t xml:space="preserve"> Bath R and O’Moore E (2019) ‘A whole-system multi-agency approach to serious violence prevention: A resource for local system leaders in England’, London: Public Health England.</w:t>
      </w:r>
    </w:p>
  </w:footnote>
  <w:footnote w:id="68">
    <w:p w14:paraId="024D7BEC" w14:textId="77777777" w:rsidR="000F115B" w:rsidRPr="00D75267" w:rsidRDefault="000F115B" w:rsidP="000F115B">
      <w:pPr>
        <w:pStyle w:val="FootnoteText"/>
        <w:spacing w:before="0" w:after="0"/>
        <w:rPr>
          <w:szCs w:val="16"/>
        </w:rPr>
      </w:pPr>
      <w:r w:rsidRPr="00D75267">
        <w:rPr>
          <w:rStyle w:val="FootnoteReference"/>
          <w:szCs w:val="16"/>
        </w:rPr>
        <w:footnoteRef/>
      </w:r>
      <w:r w:rsidRPr="00D75267">
        <w:rPr>
          <w:szCs w:val="16"/>
        </w:rPr>
        <w:t xml:space="preserve"> Krug E (2002) ‘World report on violence and health’, World Health Organization, 12.</w:t>
      </w:r>
    </w:p>
  </w:footnote>
  <w:footnote w:id="69">
    <w:p w14:paraId="7197C620" w14:textId="77777777" w:rsidR="000F115B" w:rsidRPr="00D75267" w:rsidRDefault="000F115B" w:rsidP="000F115B">
      <w:pPr>
        <w:pStyle w:val="FootnoteText"/>
        <w:spacing w:before="0" w:after="0"/>
        <w:rPr>
          <w:szCs w:val="16"/>
        </w:rPr>
      </w:pPr>
      <w:r w:rsidRPr="00D75267">
        <w:rPr>
          <w:rStyle w:val="FootnoteReference"/>
          <w:szCs w:val="16"/>
        </w:rPr>
        <w:footnoteRef/>
      </w:r>
      <w:r w:rsidRPr="00D75267">
        <w:rPr>
          <w:szCs w:val="16"/>
        </w:rPr>
        <w:t xml:space="preserve"> Desmond Dawes G and Davidson A (2019) ‘A framework for developing justice reinvestment plans for crime prevention and offender rehabilitation in Australia’s remote indigenous communities’, Journal of offender rehabilitation, 58(6):520–543.</w:t>
      </w:r>
    </w:p>
  </w:footnote>
  <w:footnote w:id="70">
    <w:p w14:paraId="6698BF13" w14:textId="77777777" w:rsidR="000F115B" w:rsidRPr="00D75267" w:rsidRDefault="000F115B" w:rsidP="000F115B">
      <w:pPr>
        <w:pStyle w:val="FootnoteText"/>
        <w:spacing w:before="0" w:after="0"/>
        <w:rPr>
          <w:szCs w:val="16"/>
        </w:rPr>
      </w:pPr>
      <w:r w:rsidRPr="00D75267">
        <w:rPr>
          <w:rStyle w:val="FootnoteReference"/>
          <w:szCs w:val="16"/>
        </w:rPr>
        <w:footnoteRef/>
      </w:r>
      <w:r w:rsidRPr="00D75267">
        <w:rPr>
          <w:szCs w:val="16"/>
        </w:rPr>
        <w:t xml:space="preserve"> D’Inverno AS and Bartholow BN (2021) ‘Engaging communities in youth violence prevention: Introduction and contents’, </w:t>
      </w:r>
      <w:r w:rsidRPr="00D75267">
        <w:rPr>
          <w:i/>
          <w:iCs/>
          <w:szCs w:val="16"/>
        </w:rPr>
        <w:t>American journal of public health</w:t>
      </w:r>
      <w:r w:rsidRPr="00D75267">
        <w:rPr>
          <w:szCs w:val="16"/>
        </w:rPr>
        <w:t>, 111(S1): S10–S16.</w:t>
      </w:r>
    </w:p>
    <w:p w14:paraId="0CE719A4" w14:textId="77777777" w:rsidR="000F115B" w:rsidRPr="00D75267" w:rsidRDefault="000F115B" w:rsidP="000F115B">
      <w:pPr>
        <w:pStyle w:val="FootnoteText"/>
        <w:spacing w:before="0" w:after="0"/>
        <w:rPr>
          <w:szCs w:val="16"/>
        </w:rPr>
      </w:pPr>
    </w:p>
  </w:footnote>
  <w:footnote w:id="71">
    <w:p w14:paraId="18CF64F9" w14:textId="77777777" w:rsidR="000F115B" w:rsidRPr="00D75267" w:rsidRDefault="000F115B" w:rsidP="000F115B">
      <w:pPr>
        <w:pStyle w:val="FootnoteText"/>
        <w:spacing w:before="0" w:after="0"/>
        <w:rPr>
          <w:szCs w:val="16"/>
        </w:rPr>
      </w:pPr>
      <w:r w:rsidRPr="00D75267">
        <w:rPr>
          <w:rStyle w:val="FootnoteReference"/>
          <w:szCs w:val="16"/>
        </w:rPr>
        <w:footnoteRef/>
      </w:r>
      <w:r w:rsidRPr="00D75267">
        <w:rPr>
          <w:szCs w:val="16"/>
        </w:rPr>
        <w:t xml:space="preserve"> </w:t>
      </w:r>
      <w:r w:rsidRPr="00D75267">
        <w:rPr>
          <w:rFonts w:cs="Helvetica"/>
          <w:szCs w:val="16"/>
          <w:lang w:val="en-GB"/>
        </w:rPr>
        <w:t xml:space="preserve">Federal Financial Relations. </w:t>
      </w:r>
      <w:r w:rsidRPr="00D75267">
        <w:rPr>
          <w:rFonts w:cs="Helvetica"/>
          <w:i/>
          <w:iCs/>
          <w:szCs w:val="16"/>
          <w:lang w:val="en-GB"/>
        </w:rPr>
        <w:t>Central Australia Plan: Central Australian Plan: Community Infrastructure Package</w:t>
      </w:r>
      <w:r w:rsidRPr="00D75267">
        <w:rPr>
          <w:rFonts w:cs="Helvetica"/>
          <w:szCs w:val="16"/>
          <w:lang w:val="en-GB"/>
        </w:rPr>
        <w:t>. July 2024.</w:t>
      </w:r>
    </w:p>
  </w:footnote>
  <w:footnote w:id="72">
    <w:p w14:paraId="6761675E" w14:textId="77777777" w:rsidR="000F115B" w:rsidRPr="00D75267" w:rsidRDefault="000F115B" w:rsidP="000F115B">
      <w:pPr>
        <w:pStyle w:val="FootnoteText"/>
        <w:spacing w:before="0" w:after="0"/>
        <w:rPr>
          <w:szCs w:val="16"/>
          <w:lang w:val="en-US"/>
        </w:rPr>
      </w:pPr>
      <w:r w:rsidRPr="00D75267">
        <w:rPr>
          <w:rStyle w:val="FootnoteReference"/>
          <w:szCs w:val="16"/>
        </w:rPr>
        <w:footnoteRef/>
      </w:r>
      <w:r w:rsidRPr="00D75267">
        <w:rPr>
          <w:szCs w:val="16"/>
        </w:rPr>
        <w:t xml:space="preserve"> ALG, Agenda Item 5, $50 million community infrastructure investment, Internal document. </w:t>
      </w:r>
    </w:p>
  </w:footnote>
  <w:footnote w:id="73">
    <w:p w14:paraId="4953EB6C" w14:textId="3C702397" w:rsidR="00021D38" w:rsidRPr="00D75267" w:rsidRDefault="00021D38" w:rsidP="00731960">
      <w:pPr>
        <w:spacing w:before="0" w:after="0"/>
        <w:rPr>
          <w:rFonts w:eastAsia="Helvetica" w:cs="Helvetica"/>
          <w:sz w:val="16"/>
          <w:szCs w:val="16"/>
        </w:rPr>
      </w:pPr>
      <w:r w:rsidRPr="00D75267">
        <w:rPr>
          <w:rStyle w:val="FootnoteReference"/>
          <w:rFonts w:eastAsia="Helvetica" w:cs="Helvetica"/>
          <w:sz w:val="16"/>
          <w:szCs w:val="16"/>
        </w:rPr>
        <w:footnoteRef/>
      </w:r>
      <w:r w:rsidRPr="00D75267">
        <w:rPr>
          <w:rStyle w:val="FootnoteReference"/>
          <w:rFonts w:eastAsia="Helvetica" w:cs="Helvetica"/>
          <w:sz w:val="16"/>
          <w:szCs w:val="16"/>
        </w:rPr>
        <w:t xml:space="preserve"> </w:t>
      </w:r>
      <w:r w:rsidRPr="00D75267">
        <w:rPr>
          <w:rFonts w:eastAsia="Helvetica" w:cs="Helvetica"/>
          <w:sz w:val="16"/>
          <w:szCs w:val="16"/>
        </w:rPr>
        <w:t>As advised by NIAA implementation team via CAP implementation tracker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F784" w14:textId="279E73EF" w:rsidR="009A2EE3" w:rsidRDefault="00D428A8" w:rsidP="00DA4528">
    <w:pPr>
      <w:pStyle w:val="Header"/>
    </w:pPr>
    <w:r>
      <w:rPr>
        <w:noProof/>
      </w:rPr>
      <mc:AlternateContent>
        <mc:Choice Requires="wps">
          <w:drawing>
            <wp:anchor distT="0" distB="0" distL="114300" distR="114300" simplePos="0" relativeHeight="251658266" behindDoc="1" locked="0" layoutInCell="0" allowOverlap="1" wp14:anchorId="61602569" wp14:editId="27C46B43">
              <wp:simplePos x="0" y="0"/>
              <wp:positionH relativeFrom="margin">
                <wp:align>center</wp:align>
              </wp:positionH>
              <wp:positionV relativeFrom="margin">
                <wp:align>center</wp:align>
              </wp:positionV>
              <wp:extent cx="6339840" cy="2377440"/>
              <wp:effectExtent l="0" t="0" r="0" b="0"/>
              <wp:wrapNone/>
              <wp:docPr id="574633947" name="WordArt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7BECCC" w14:textId="77777777" w:rsidR="00D428A8" w:rsidRDefault="00D428A8" w:rsidP="00D428A8">
                          <w:pPr>
                            <w:jc w:val="center"/>
                            <w:rPr>
                              <w:color w:val="C0C0C0"/>
                              <w:sz w:val="16"/>
                              <w:szCs w:val="16"/>
                              <w:lang w:val="en-GB"/>
                            </w:rPr>
                          </w:pPr>
                          <w:r>
                            <w:rPr>
                              <w:color w:val="C0C0C0"/>
                              <w:sz w:val="16"/>
                              <w:szCs w:val="16"/>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1602569" id="_x0000_t202" coordsize="21600,21600" o:spt="202" path="m,l,21600r21600,l21600,xe">
              <v:stroke joinstyle="miter"/>
              <v:path gradientshapeok="t" o:connecttype="rect"/>
            </v:shapetype>
            <v:shape id="WordArt 12" o:spid="_x0000_s1031" type="#_x0000_t202" style="position:absolute;margin-left:0;margin-top:0;width:499.2pt;height:187.2pt;rotation:-45;z-index:-25165821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" o:allowincell="f" filled="f" stroked="f">
              <v:stroke joinstyle="round"/>
              <o:lock v:ext="edit" aspectratio="t" verticies="t" shapetype="t"/>
              <v:textbox>
                <w:txbxContent>
                  <w:p w14:paraId="447BECCC" w14:textId="77777777" w:rsidR="00D428A8" w:rsidRDefault="00D428A8" w:rsidP="00D428A8">
                    <w:pPr>
                      <w:jc w:val="center"/>
                      <w:rPr>
                        <w:color w:val="C0C0C0"/>
                        <w:sz w:val="16"/>
                        <w:szCs w:val="16"/>
                        <w:lang w:val="en-GB"/>
                      </w:rPr>
                    </w:pPr>
                    <w:r>
                      <w:rPr>
                        <w:color w:val="C0C0C0"/>
                        <w:sz w:val="16"/>
                        <w:szCs w:val="16"/>
                        <w:lang w:val="en-GB"/>
                      </w:rPr>
                      <w:t>DRAFT</w:t>
                    </w:r>
                  </w:p>
                </w:txbxContent>
              </v:textbox>
              <w10:wrap anchorx="margin" anchory="margin"/>
            </v:shape>
          </w:pict>
        </mc:Fallback>
      </mc:AlternateContent>
    </w:r>
    <w:r w:rsidR="00AC2589">
      <w:rPr>
        <w:noProof/>
      </w:rPr>
      <mc:AlternateContent>
        <mc:Choice Requires="wps">
          <w:drawing>
            <wp:anchor distT="0" distB="0" distL="114300" distR="114300" simplePos="0" relativeHeight="251658263" behindDoc="1" locked="0" layoutInCell="0" allowOverlap="1" wp14:anchorId="5E51EFDF" wp14:editId="56ED080B">
              <wp:simplePos x="0" y="0"/>
              <wp:positionH relativeFrom="margin">
                <wp:align>center</wp:align>
              </wp:positionH>
              <wp:positionV relativeFrom="margin">
                <wp:align>center</wp:align>
              </wp:positionV>
              <wp:extent cx="6339840" cy="2377440"/>
              <wp:effectExtent l="0" t="0" r="0" b="0"/>
              <wp:wrapNone/>
              <wp:docPr id="1244882055"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42321D" w14:textId="77777777" w:rsidR="00AC2589" w:rsidRDefault="00AC2589" w:rsidP="00AC2589">
                          <w:pPr>
                            <w:jc w:val="center"/>
                            <w:rPr>
                              <w:color w:val="F2F2F2" w:themeColor="background1" w:themeShade="F2"/>
                              <w:sz w:val="72"/>
                              <w:szCs w:val="72"/>
                              <w:lang w:val="en-GB"/>
                            </w:rPr>
                          </w:pPr>
                          <w:r>
                            <w:rPr>
                              <w:color w:val="F2F2F2" w:themeColor="background1" w:themeShade="F2"/>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E51EFDF" id="PowerPlusWaterMarkObject" o:spid="_x0000_s1032" type="#_x0000_t202" style="position:absolute;margin-left:0;margin-top:0;width:499.2pt;height:187.2pt;rotation:-45;z-index:-25165821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" o:allowincell="f" filled="f" stroked="f">
              <v:stroke joinstyle="round"/>
              <o:lock v:ext="edit" rotation="t" aspectratio="t" verticies="t" adjusthandles="t" grouping="t" shapetype="t"/>
              <v:textbox>
                <w:txbxContent>
                  <w:p w14:paraId="3342321D" w14:textId="77777777" w:rsidR="00AC2589" w:rsidRDefault="00AC2589" w:rsidP="00AC2589">
                    <w:pPr>
                      <w:jc w:val="center"/>
                      <w:rPr>
                        <w:color w:val="F2F2F2" w:themeColor="background1" w:themeShade="F2"/>
                        <w:sz w:val="72"/>
                        <w:szCs w:val="72"/>
                        <w:lang w:val="en-GB"/>
                      </w:rPr>
                    </w:pPr>
                    <w:r>
                      <w:rPr>
                        <w:color w:val="F2F2F2" w:themeColor="background1" w:themeShade="F2"/>
                        <w:sz w:val="72"/>
                        <w:szCs w:val="72"/>
                        <w:lang w:val="en-GB"/>
                      </w:rPr>
                      <w:t>DRAFT</w:t>
                    </w:r>
                  </w:p>
                </w:txbxContent>
              </v:textbox>
              <w10:wrap anchorx="margin" anchory="margin"/>
            </v:shape>
          </w:pict>
        </mc:Fallback>
      </mc:AlternateContent>
    </w:r>
    <w:r w:rsidR="00664230">
      <w:rPr>
        <w:noProof/>
      </w:rPr>
      <mc:AlternateContent>
        <mc:Choice Requires="wps">
          <w:drawing>
            <wp:anchor distT="0" distB="0" distL="114300" distR="114300" simplePos="0" relativeHeight="251658259" behindDoc="1" locked="0" layoutInCell="0" allowOverlap="1" wp14:anchorId="0F967992" wp14:editId="37152D47">
              <wp:simplePos x="0" y="0"/>
              <wp:positionH relativeFrom="margin">
                <wp:align>center</wp:align>
              </wp:positionH>
              <wp:positionV relativeFrom="margin">
                <wp:align>center</wp:align>
              </wp:positionV>
              <wp:extent cx="6339840" cy="2377440"/>
              <wp:effectExtent l="0" t="0" r="0" b="0"/>
              <wp:wrapNone/>
              <wp:docPr id="147916530"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2E87B8" w14:textId="77777777" w:rsidR="00664230" w:rsidRDefault="00664230" w:rsidP="00664230">
                          <w:pPr>
                            <w:jc w:val="center"/>
                            <w:rPr>
                              <w:color w:val="C0C0C0"/>
                              <w:sz w:val="72"/>
                              <w:szCs w:val="72"/>
                              <w:lang w:val="en-GB"/>
                            </w:rPr>
                          </w:pPr>
                          <w:r>
                            <w:rPr>
                              <w:color w:val="C0C0C0"/>
                              <w:sz w:val="72"/>
                              <w:szCs w:val="72"/>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F967992" id="_x0000_s1033" type="#_x0000_t202" style="position:absolute;margin-left:0;margin-top:0;width:499.2pt;height:187.2pt;rotation:-45;z-index:-25165822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" o:allowincell="f" filled="f" stroked="f">
              <v:stroke joinstyle="round"/>
              <o:lock v:ext="edit" rotation="t" aspectratio="t" verticies="t" adjusthandles="t" grouping="t" shapetype="t"/>
              <v:textbox>
                <w:txbxContent>
                  <w:p w14:paraId="392E87B8" w14:textId="77777777" w:rsidR="00664230" w:rsidRDefault="00664230" w:rsidP="00664230">
                    <w:pPr>
                      <w:jc w:val="center"/>
                      <w:rPr>
                        <w:color w:val="C0C0C0"/>
                        <w:sz w:val="72"/>
                        <w:szCs w:val="72"/>
                        <w:lang w:val="en-GB"/>
                      </w:rPr>
                    </w:pPr>
                    <w:r>
                      <w:rPr>
                        <w:color w:val="C0C0C0"/>
                        <w:sz w:val="72"/>
                        <w:szCs w:val="72"/>
                        <w:lang w:val="en-GB"/>
                      </w:rPr>
                      <w:t>DRAFT</w:t>
                    </w:r>
                  </w:p>
                </w:txbxContent>
              </v:textbox>
              <w10:wrap anchorx="margin" anchory="margin"/>
            </v:shape>
          </w:pict>
        </mc:Fallback>
      </mc:AlternateContent>
    </w:r>
    <w:r w:rsidR="00ED653B">
      <w:rPr>
        <w:noProof/>
      </w:rPr>
      <mc:AlternateContent>
        <mc:Choice Requires="wps">
          <w:drawing>
            <wp:anchor distT="0" distB="0" distL="0" distR="0" simplePos="0" relativeHeight="251658247" behindDoc="0" locked="0" layoutInCell="1" allowOverlap="1" wp14:anchorId="5D7785D0" wp14:editId="2A731DE9">
              <wp:simplePos x="635" y="635"/>
              <wp:positionH relativeFrom="page">
                <wp:align>center</wp:align>
              </wp:positionH>
              <wp:positionV relativeFrom="page">
                <wp:align>top</wp:align>
              </wp:positionV>
              <wp:extent cx="552450" cy="438150"/>
              <wp:effectExtent l="0" t="0" r="0" b="0"/>
              <wp:wrapNone/>
              <wp:docPr id="186027805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21FA330C" w14:textId="77777777" w:rsidR="00ED653B" w:rsidRPr="00ED653B" w:rsidRDefault="00ED653B" w:rsidP="00DA4528">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5D7785D0" id="Text Box 5" o:spid="_x0000_s1034" type="#_x0000_t202" alt="OFFICIAL" style="position:absolute;margin-left:0;margin-top:0;width:43.5pt;height:34.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" filled="f" stroked="f">
              <v:textbox style="mso-fit-shape-to-text:t" inset="0,15pt,0,0">
                <w:txbxContent>
                  <w:p w14:paraId="21FA330C" w14:textId="77777777" w:rsidR="00ED653B" w:rsidRPr="00ED653B" w:rsidRDefault="00ED653B" w:rsidP="00DA4528">
                    <w:pPr>
                      <w:rPr>
                        <w:noProof/>
                      </w:rPr>
                    </w:pPr>
                  </w:p>
                </w:txbxContent>
              </v:textbox>
              <w10:wrap anchorx="page" anchory="page"/>
            </v:shape>
          </w:pict>
        </mc:Fallback>
      </mc:AlternateContent>
    </w:r>
    <w:r w:rsidR="00110461">
      <w:rPr>
        <w:noProof/>
      </w:rPr>
      <mc:AlternateContent>
        <mc:Choice Requires="wps">
          <w:drawing>
            <wp:anchor distT="0" distB="0" distL="114300" distR="114300" simplePos="0" relativeHeight="251658243" behindDoc="1" locked="0" layoutInCell="0" allowOverlap="1" wp14:anchorId="19B000F8" wp14:editId="6ED78C50">
              <wp:simplePos x="0" y="0"/>
              <wp:positionH relativeFrom="margin">
                <wp:align>center</wp:align>
              </wp:positionH>
              <wp:positionV relativeFrom="margin">
                <wp:align>center</wp:align>
              </wp:positionV>
              <wp:extent cx="6339840" cy="2377440"/>
              <wp:effectExtent l="0" t="0" r="0" b="0"/>
              <wp:wrapNone/>
              <wp:docPr id="2040864530" name="PowerPlusWaterMarkObject174273130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E9D07B" w14:textId="77777777" w:rsidR="00110461" w:rsidRDefault="00110461" w:rsidP="00DA4528">
                          <w:pPr>
                            <w:rPr>
                              <w:lang w:val="en-GB"/>
                            </w:rPr>
                          </w:pPr>
                          <w:r>
                            <w:rPr>
                              <w:lang w:val="en-GB"/>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9B000F8" id="PowerPlusWaterMarkObject1742731305" o:spid="_x0000_s1035" type="#_x0000_t202" style="position:absolute;margin-left:0;margin-top:0;width:499.2pt;height:187.2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" o:allowincell="f" filled="f" stroked="f">
              <v:stroke joinstyle="round"/>
              <o:lock v:ext="edit" rotation="t" aspectratio="t" verticies="t" adjusthandles="t" grouping="t" shapetype="t"/>
              <v:textbox>
                <w:txbxContent>
                  <w:p w14:paraId="4AE9D07B" w14:textId="77777777" w:rsidR="00110461" w:rsidRDefault="00110461" w:rsidP="00DA4528">
                    <w:pPr>
                      <w:rPr>
                        <w:lang w:val="en-GB"/>
                      </w:rPr>
                    </w:pPr>
                    <w:r>
                      <w:rPr>
                        <w:lang w:val="en-GB"/>
                      </w:rPr>
                      <w:t>DRAFT</w:t>
                    </w:r>
                  </w:p>
                </w:txbxContent>
              </v:textbox>
              <w10:wrap anchorx="margin" anchory="margin"/>
            </v:shape>
          </w:pict>
        </mc:Fallback>
      </mc:AlternateContent>
    </w:r>
    <w:r w:rsidR="00CE27D1">
      <w:rPr>
        <w:noProof/>
      </w:rPr>
      <mc:AlternateContent>
        <mc:Choice Requires="wps">
          <w:drawing>
            <wp:anchor distT="0" distB="0" distL="114300" distR="114300" simplePos="0" relativeHeight="251658241" behindDoc="1" locked="0" layoutInCell="0" allowOverlap="1" wp14:anchorId="28819697" wp14:editId="2AC4FA4D">
              <wp:simplePos x="0" y="0"/>
              <wp:positionH relativeFrom="margin">
                <wp:align>center</wp:align>
              </wp:positionH>
              <wp:positionV relativeFrom="margin">
                <wp:align>center</wp:align>
              </wp:positionV>
              <wp:extent cx="5938520" cy="2131695"/>
              <wp:effectExtent l="0" t="0" r="0" b="0"/>
              <wp:wrapNone/>
              <wp:docPr id="521419633" name="WordArt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938520" cy="2131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E8178E" w14:textId="77777777" w:rsidR="00CE27D1" w:rsidRDefault="00CE27D1" w:rsidP="00DA4528">
                          <w:pPr>
                            <w:rPr>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8819697" id="WordArt 6" o:spid="_x0000_s1036" type="#_x0000_t202" style="position:absolute;margin-left:0;margin-top:0;width:467.6pt;height:167.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" o:allowincell="f" filled="f" stroked="f">
              <v:stroke joinstyle="round"/>
              <o:lock v:ext="edit" aspectratio="t" verticies="t" shapetype="t"/>
              <v:textbox>
                <w:txbxContent>
                  <w:p w14:paraId="05E8178E" w14:textId="77777777" w:rsidR="00CE27D1" w:rsidRDefault="00CE27D1" w:rsidP="00DA4528">
                    <w:pPr>
                      <w:rPr>
                        <w:lang w:val="en-GB"/>
                      </w:rPr>
                    </w:pP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E905" w14:textId="15BC7339" w:rsidR="001E3E42" w:rsidRDefault="00D428A8" w:rsidP="00DA4528">
    <w:pPr>
      <w:pStyle w:val="Header"/>
    </w:pPr>
    <w:r>
      <w:rPr>
        <w:noProof/>
      </w:rPr>
      <mc:AlternateContent>
        <mc:Choice Requires="wps">
          <w:drawing>
            <wp:anchor distT="0" distB="0" distL="114300" distR="114300" simplePos="0" relativeHeight="251658267" behindDoc="1" locked="0" layoutInCell="0" allowOverlap="1" wp14:anchorId="10883D72" wp14:editId="1FCAB1C3">
              <wp:simplePos x="0" y="0"/>
              <wp:positionH relativeFrom="margin">
                <wp:align>center</wp:align>
              </wp:positionH>
              <wp:positionV relativeFrom="margin">
                <wp:align>center</wp:align>
              </wp:positionV>
              <wp:extent cx="6339840" cy="2377440"/>
              <wp:effectExtent l="0" t="0" r="0" b="0"/>
              <wp:wrapNone/>
              <wp:docPr id="1044428292" name="WordArt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957D57" w14:textId="77777777" w:rsidR="00D428A8" w:rsidRDefault="00D428A8" w:rsidP="00D428A8">
                          <w:pPr>
                            <w:jc w:val="center"/>
                            <w:rPr>
                              <w:color w:val="C0C0C0"/>
                              <w:sz w:val="16"/>
                              <w:szCs w:val="16"/>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0883D72" id="_x0000_t202" coordsize="21600,21600" o:spt="202" path="m,l,21600r21600,l21600,xe">
              <v:stroke joinstyle="miter"/>
              <v:path gradientshapeok="t" o:connecttype="rect"/>
            </v:shapetype>
            <v:shape id="WordArt 10" o:spid="_x0000_s1039" type="#_x0000_t202" style="position:absolute;margin-left:0;margin-top:0;width:499.2pt;height:187.2pt;rotation:-45;z-index:-2516582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" o:allowincell="f" filled="f" stroked="f">
              <v:stroke joinstyle="round"/>
              <o:lock v:ext="edit" aspectratio="t" verticies="t" shapetype="t"/>
              <v:textbox>
                <w:txbxContent>
                  <w:p w14:paraId="0B957D57" w14:textId="77777777" w:rsidR="00D428A8" w:rsidRDefault="00D428A8" w:rsidP="00D428A8">
                    <w:pPr>
                      <w:jc w:val="center"/>
                      <w:rPr>
                        <w:color w:val="C0C0C0"/>
                        <w:sz w:val="16"/>
                        <w:szCs w:val="16"/>
                        <w:lang w:val="en-GB"/>
                      </w:rPr>
                    </w:pPr>
                  </w:p>
                </w:txbxContent>
              </v:textbox>
              <w10:wrap anchorx="margin" anchory="margin"/>
            </v:shape>
          </w:pict>
        </mc:Fallback>
      </mc:AlternateContent>
    </w:r>
    <w:r w:rsidR="00AC2589">
      <w:rPr>
        <w:noProof/>
      </w:rPr>
      <mc:AlternateContent>
        <mc:Choice Requires="wps">
          <w:drawing>
            <wp:anchor distT="0" distB="0" distL="114300" distR="114300" simplePos="0" relativeHeight="251658262" behindDoc="1" locked="0" layoutInCell="0" allowOverlap="1" wp14:anchorId="187BAA0B" wp14:editId="398F2DE7">
              <wp:simplePos x="0" y="0"/>
              <wp:positionH relativeFrom="margin">
                <wp:align>center</wp:align>
              </wp:positionH>
              <wp:positionV relativeFrom="margin">
                <wp:align>center</wp:align>
              </wp:positionV>
              <wp:extent cx="6339840" cy="2377440"/>
              <wp:effectExtent l="0" t="0" r="0" b="0"/>
              <wp:wrapNone/>
              <wp:docPr id="1752502354"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CBE686" w14:textId="77777777" w:rsidR="00AC2589" w:rsidRDefault="00AC2589" w:rsidP="00AC2589">
                          <w:pPr>
                            <w:jc w:val="center"/>
                            <w:rPr>
                              <w:color w:val="F2F2F2" w:themeColor="background1" w:themeShade="F2"/>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87BAA0B" id="_x0000_s1040" type="#_x0000_t202" style="position:absolute;margin-left:0;margin-top:0;width:499.2pt;height:187.2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" o:allowincell="f" filled="f" stroked="f">
              <v:stroke joinstyle="round"/>
              <o:lock v:ext="edit" rotation="t" aspectratio="t" verticies="t" adjusthandles="t" grouping="t" shapetype="t"/>
              <v:textbox>
                <w:txbxContent>
                  <w:p w14:paraId="00CBE686" w14:textId="77777777" w:rsidR="00AC2589" w:rsidRDefault="00AC2589" w:rsidP="00AC2589">
                    <w:pPr>
                      <w:jc w:val="center"/>
                      <w:rPr>
                        <w:color w:val="F2F2F2" w:themeColor="background1" w:themeShade="F2"/>
                        <w:sz w:val="72"/>
                        <w:szCs w:val="72"/>
                        <w:lang w:val="en-GB"/>
                      </w:rPr>
                    </w:pPr>
                  </w:p>
                </w:txbxContent>
              </v:textbox>
              <w10:wrap anchorx="margin" anchory="margin"/>
            </v:shape>
          </w:pict>
        </mc:Fallback>
      </mc:AlternateContent>
    </w:r>
    <w:r w:rsidR="00664230">
      <w:rPr>
        <w:noProof/>
      </w:rPr>
      <mc:AlternateContent>
        <mc:Choice Requires="wps">
          <w:drawing>
            <wp:anchor distT="0" distB="0" distL="114300" distR="114300" simplePos="0" relativeHeight="251658258" behindDoc="1" locked="0" layoutInCell="0" allowOverlap="1" wp14:anchorId="6C193512" wp14:editId="4D59D446">
              <wp:simplePos x="0" y="0"/>
              <wp:positionH relativeFrom="margin">
                <wp:align>center</wp:align>
              </wp:positionH>
              <wp:positionV relativeFrom="margin">
                <wp:align>center</wp:align>
              </wp:positionV>
              <wp:extent cx="6339840" cy="2377440"/>
              <wp:effectExtent l="0" t="0" r="0" b="0"/>
              <wp:wrapNone/>
              <wp:docPr id="1238759876"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FDFDC5" w14:textId="77777777" w:rsidR="00664230" w:rsidRDefault="00664230" w:rsidP="00664230">
                          <w:pPr>
                            <w:jc w:val="center"/>
                            <w:rPr>
                              <w:color w:val="C0C0C0"/>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C193512" id="_x0000_s1041" type="#_x0000_t202" style="position:absolute;margin-left:0;margin-top:0;width:499.2pt;height:187.2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" o:allowincell="f" filled="f" stroked="f">
              <v:stroke joinstyle="round"/>
              <o:lock v:ext="edit" rotation="t" aspectratio="t" verticies="t" adjusthandles="t" grouping="t" shapetype="t"/>
              <v:textbox>
                <w:txbxContent>
                  <w:p w14:paraId="18FDFDC5" w14:textId="77777777" w:rsidR="00664230" w:rsidRDefault="00664230" w:rsidP="00664230">
                    <w:pPr>
                      <w:jc w:val="center"/>
                      <w:rPr>
                        <w:color w:val="C0C0C0"/>
                        <w:sz w:val="72"/>
                        <w:szCs w:val="72"/>
                        <w:lang w:val="en-GB"/>
                      </w:rPr>
                    </w:pPr>
                  </w:p>
                </w:txbxContent>
              </v:textbox>
              <w10:wrap anchorx="margin" anchory="margin"/>
            </v:shape>
          </w:pict>
        </mc:Fallback>
      </mc:AlternateContent>
    </w:r>
    <w:r w:rsidR="00ED653B">
      <w:rPr>
        <w:noProof/>
      </w:rPr>
      <mc:AlternateContent>
        <mc:Choice Requires="wps">
          <w:drawing>
            <wp:anchor distT="0" distB="0" distL="0" distR="0" simplePos="0" relativeHeight="251658246" behindDoc="0" locked="0" layoutInCell="1" allowOverlap="1" wp14:anchorId="3458C809" wp14:editId="414DC457">
              <wp:simplePos x="635" y="635"/>
              <wp:positionH relativeFrom="page">
                <wp:align>center</wp:align>
              </wp:positionH>
              <wp:positionV relativeFrom="page">
                <wp:align>top</wp:align>
              </wp:positionV>
              <wp:extent cx="552450" cy="438150"/>
              <wp:effectExtent l="0" t="0" r="0" b="0"/>
              <wp:wrapNone/>
              <wp:docPr id="7776933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2752DC1A" w14:textId="77777777" w:rsidR="00ED653B" w:rsidRPr="00ED653B" w:rsidRDefault="00ED653B" w:rsidP="00DA4528">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458C809" id="Text Box 4" o:spid="_x0000_s1042" type="#_x0000_t202" alt="OFFICIAL" style="position:absolute;margin-left:0;margin-top:0;width:43.5pt;height:34.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" filled="f" stroked="f">
              <v:textbox style="mso-fit-shape-to-text:t" inset="0,15pt,0,0">
                <w:txbxContent>
                  <w:p w14:paraId="2752DC1A" w14:textId="77777777" w:rsidR="00ED653B" w:rsidRPr="00ED653B" w:rsidRDefault="00ED653B" w:rsidP="00DA4528">
                    <w:pPr>
                      <w:rPr>
                        <w:noProof/>
                      </w:rPr>
                    </w:pPr>
                  </w:p>
                </w:txbxContent>
              </v:textbox>
              <w10:wrap anchorx="page" anchory="page"/>
            </v:shape>
          </w:pict>
        </mc:Fallback>
      </mc:AlternateContent>
    </w:r>
    <w:r w:rsidR="00110461">
      <w:rPr>
        <w:noProof/>
      </w:rPr>
      <mc:AlternateContent>
        <mc:Choice Requires="wps">
          <w:drawing>
            <wp:anchor distT="0" distB="0" distL="114300" distR="114300" simplePos="0" relativeHeight="251658242" behindDoc="1" locked="0" layoutInCell="0" allowOverlap="1" wp14:anchorId="5231F11D" wp14:editId="0E4478AD">
              <wp:simplePos x="0" y="0"/>
              <wp:positionH relativeFrom="margin">
                <wp:align>center</wp:align>
              </wp:positionH>
              <wp:positionV relativeFrom="margin">
                <wp:align>center</wp:align>
              </wp:positionV>
              <wp:extent cx="6339840" cy="2377440"/>
              <wp:effectExtent l="0" t="0" r="0" b="0"/>
              <wp:wrapNone/>
              <wp:docPr id="1826309750" name="PowerPlusWaterMarkObject174273130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E2F0A8" w14:textId="77777777" w:rsidR="00110461" w:rsidRDefault="00110461" w:rsidP="00DA4528">
                          <w:pPr>
                            <w:rPr>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231F11D" id="PowerPlusWaterMarkObject1742731304" o:spid="_x0000_s1043" type="#_x0000_t202" style="position:absolute;margin-left:0;margin-top:0;width:499.2pt;height:187.2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" o:allowincell="f" filled="f" stroked="f">
              <v:stroke joinstyle="round"/>
              <o:lock v:ext="edit" rotation="t" aspectratio="t" verticies="t" adjusthandles="t" grouping="t" shapetype="t"/>
              <v:textbox>
                <w:txbxContent>
                  <w:p w14:paraId="18E2F0A8" w14:textId="77777777" w:rsidR="00110461" w:rsidRDefault="00110461" w:rsidP="00DA4528">
                    <w:pPr>
                      <w:rPr>
                        <w:lang w:val="en-GB"/>
                      </w:rPr>
                    </w:pP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EE58" w14:textId="7CE3B587" w:rsidR="009A2EE3" w:rsidRDefault="00D428A8" w:rsidP="00DA4528">
    <w:pPr>
      <w:pStyle w:val="Header"/>
    </w:pPr>
    <w:r>
      <w:rPr>
        <w:noProof/>
      </w:rPr>
      <mc:AlternateContent>
        <mc:Choice Requires="wps">
          <w:drawing>
            <wp:anchor distT="0" distB="0" distL="114300" distR="114300" simplePos="0" relativeHeight="251658268" behindDoc="1" locked="0" layoutInCell="0" allowOverlap="1" wp14:anchorId="2AD844DD" wp14:editId="1E78C053">
              <wp:simplePos x="0" y="0"/>
              <wp:positionH relativeFrom="margin">
                <wp:align>center</wp:align>
              </wp:positionH>
              <wp:positionV relativeFrom="margin">
                <wp:align>center</wp:align>
              </wp:positionV>
              <wp:extent cx="6339840" cy="2377440"/>
              <wp:effectExtent l="0" t="0" r="0" b="0"/>
              <wp:wrapNone/>
              <wp:docPr id="206959302" name="WordArt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3238EC" w14:textId="77777777" w:rsidR="00D428A8" w:rsidRDefault="00D428A8" w:rsidP="00D428A8">
                          <w:pPr>
                            <w:jc w:val="center"/>
                            <w:rPr>
                              <w:color w:val="C0C0C0"/>
                              <w:sz w:val="16"/>
                              <w:szCs w:val="16"/>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AD844DD" id="_x0000_t202" coordsize="21600,21600" o:spt="202" path="m,l,21600r21600,l21600,xe">
              <v:stroke joinstyle="miter"/>
              <v:path gradientshapeok="t" o:connecttype="rect"/>
            </v:shapetype>
            <v:shape id="WordArt 9" o:spid="_x0000_s1045" type="#_x0000_t202" style="position:absolute;margin-left:0;margin-top:0;width:499.2pt;height:187.2pt;rotation:-45;z-index:-2516582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" o:allowincell="f" filled="f" stroked="f">
              <v:stroke joinstyle="round"/>
              <o:lock v:ext="edit" aspectratio="t" verticies="t" shapetype="t"/>
              <v:textbox>
                <w:txbxContent>
                  <w:p w14:paraId="703238EC" w14:textId="77777777" w:rsidR="00D428A8" w:rsidRDefault="00D428A8" w:rsidP="00D428A8">
                    <w:pPr>
                      <w:jc w:val="center"/>
                      <w:rPr>
                        <w:color w:val="C0C0C0"/>
                        <w:sz w:val="16"/>
                        <w:szCs w:val="16"/>
                        <w:lang w:val="en-GB"/>
                      </w:rPr>
                    </w:pPr>
                  </w:p>
                </w:txbxContent>
              </v:textbox>
              <w10:wrap anchorx="margin" anchory="margin"/>
            </v:shape>
          </w:pict>
        </mc:Fallback>
      </mc:AlternateContent>
    </w:r>
    <w:r w:rsidR="00AC2589">
      <w:rPr>
        <w:noProof/>
      </w:rPr>
      <mc:AlternateContent>
        <mc:Choice Requires="wps">
          <w:drawing>
            <wp:anchor distT="0" distB="0" distL="114300" distR="114300" simplePos="0" relativeHeight="251658265" behindDoc="1" locked="0" layoutInCell="0" allowOverlap="1" wp14:anchorId="7D99E79A" wp14:editId="27DB575C">
              <wp:simplePos x="0" y="0"/>
              <wp:positionH relativeFrom="margin">
                <wp:align>center</wp:align>
              </wp:positionH>
              <wp:positionV relativeFrom="margin">
                <wp:align>center</wp:align>
              </wp:positionV>
              <wp:extent cx="6339840" cy="2377440"/>
              <wp:effectExtent l="0" t="0" r="0" b="0"/>
              <wp:wrapNone/>
              <wp:docPr id="915712560"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1ADAC5" w14:textId="77777777" w:rsidR="00AC2589" w:rsidRDefault="00AC2589" w:rsidP="00AC2589">
                          <w:pPr>
                            <w:jc w:val="center"/>
                            <w:rPr>
                              <w:color w:val="F2F2F2" w:themeColor="background1" w:themeShade="F2"/>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D99E79A" id="_x0000_s1046" type="#_x0000_t202" style="position:absolute;margin-left:0;margin-top:0;width:499.2pt;height:187.2pt;rotation:-45;z-index:-25165821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" o:allowincell="f" filled="f" stroked="f">
              <v:stroke joinstyle="round"/>
              <o:lock v:ext="edit" rotation="t" aspectratio="t" verticies="t" adjusthandles="t" grouping="t" shapetype="t"/>
              <v:textbox>
                <w:txbxContent>
                  <w:p w14:paraId="181ADAC5" w14:textId="77777777" w:rsidR="00AC2589" w:rsidRDefault="00AC2589" w:rsidP="00AC2589">
                    <w:pPr>
                      <w:jc w:val="center"/>
                      <w:rPr>
                        <w:color w:val="F2F2F2" w:themeColor="background1" w:themeShade="F2"/>
                        <w:sz w:val="72"/>
                        <w:szCs w:val="72"/>
                        <w:lang w:val="en-GB"/>
                      </w:rPr>
                    </w:pPr>
                  </w:p>
                </w:txbxContent>
              </v:textbox>
              <w10:wrap anchorx="margin" anchory="margin"/>
            </v:shape>
          </w:pict>
        </mc:Fallback>
      </mc:AlternateContent>
    </w:r>
    <w:r w:rsidR="00664230">
      <w:rPr>
        <w:noProof/>
      </w:rPr>
      <mc:AlternateContent>
        <mc:Choice Requires="wps">
          <w:drawing>
            <wp:anchor distT="0" distB="0" distL="114300" distR="114300" simplePos="0" relativeHeight="251658261" behindDoc="1" locked="0" layoutInCell="0" allowOverlap="1" wp14:anchorId="27811DC6" wp14:editId="0580C1BD">
              <wp:simplePos x="0" y="0"/>
              <wp:positionH relativeFrom="margin">
                <wp:align>center</wp:align>
              </wp:positionH>
              <wp:positionV relativeFrom="margin">
                <wp:align>center</wp:align>
              </wp:positionV>
              <wp:extent cx="6339840" cy="2377440"/>
              <wp:effectExtent l="0" t="0" r="0" b="0"/>
              <wp:wrapNone/>
              <wp:docPr id="155468632"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0500A1" w14:textId="77777777" w:rsidR="00664230" w:rsidRDefault="00664230" w:rsidP="00664230">
                          <w:pPr>
                            <w:jc w:val="center"/>
                            <w:rPr>
                              <w:color w:val="C0C0C0"/>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7811DC6" id="_x0000_s1047" type="#_x0000_t202" style="position:absolute;margin-left:0;margin-top:0;width:499.2pt;height:187.2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" o:allowincell="f" filled="f" stroked="f">
              <v:stroke joinstyle="round"/>
              <o:lock v:ext="edit" rotation="t" aspectratio="t" verticies="t" adjusthandles="t" grouping="t" shapetype="t"/>
              <v:textbox>
                <w:txbxContent>
                  <w:p w14:paraId="230500A1" w14:textId="77777777" w:rsidR="00664230" w:rsidRDefault="00664230" w:rsidP="00664230">
                    <w:pPr>
                      <w:jc w:val="center"/>
                      <w:rPr>
                        <w:color w:val="C0C0C0"/>
                        <w:sz w:val="72"/>
                        <w:szCs w:val="72"/>
                        <w:lang w:val="en-GB"/>
                      </w:rPr>
                    </w:pPr>
                  </w:p>
                </w:txbxContent>
              </v:textbox>
              <w10:wrap anchorx="margin" anchory="margin"/>
            </v:shape>
          </w:pict>
        </mc:Fallback>
      </mc:AlternateContent>
    </w:r>
    <w:r w:rsidR="00ED653B">
      <w:rPr>
        <w:noProof/>
      </w:rPr>
      <mc:AlternateContent>
        <mc:Choice Requires="wps">
          <w:drawing>
            <wp:anchor distT="0" distB="0" distL="0" distR="0" simplePos="0" relativeHeight="251658250" behindDoc="0" locked="0" layoutInCell="1" allowOverlap="1" wp14:anchorId="46775DAF" wp14:editId="5288F277">
              <wp:simplePos x="635" y="635"/>
              <wp:positionH relativeFrom="page">
                <wp:align>center</wp:align>
              </wp:positionH>
              <wp:positionV relativeFrom="page">
                <wp:align>top</wp:align>
              </wp:positionV>
              <wp:extent cx="552450" cy="438150"/>
              <wp:effectExtent l="0" t="0" r="0" b="0"/>
              <wp:wrapNone/>
              <wp:docPr id="60611556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204FCB34" w14:textId="77777777" w:rsidR="00ED653B" w:rsidRPr="00ED653B" w:rsidRDefault="00ED653B" w:rsidP="00DA4528">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6775DAF" id="Text Box 8" o:spid="_x0000_s1048" type="#_x0000_t202" alt="OFFICIAL" style="position:absolute;margin-left:0;margin-top:0;width:43.5pt;height:34.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" filled="f" stroked="f">
              <v:textbox style="mso-fit-shape-to-text:t" inset="0,15pt,0,0">
                <w:txbxContent>
                  <w:p w14:paraId="204FCB34" w14:textId="77777777" w:rsidR="00ED653B" w:rsidRPr="00ED653B" w:rsidRDefault="00ED653B" w:rsidP="00DA4528">
                    <w:pPr>
                      <w:rPr>
                        <w:noProof/>
                      </w:rPr>
                    </w:pPr>
                  </w:p>
                </w:txbxContent>
              </v:textbox>
              <w10:wrap anchorx="page" anchory="page"/>
            </v:shape>
          </w:pict>
        </mc:Fallback>
      </mc:AlternateContent>
    </w:r>
    <w:r w:rsidR="00110461">
      <w:rPr>
        <w:noProof/>
      </w:rPr>
      <mc:AlternateContent>
        <mc:Choice Requires="wps">
          <w:drawing>
            <wp:anchor distT="0" distB="0" distL="114300" distR="114300" simplePos="0" relativeHeight="251658245" behindDoc="1" locked="0" layoutInCell="0" allowOverlap="1" wp14:anchorId="3692CFE4" wp14:editId="6C58CEE4">
              <wp:simplePos x="0" y="0"/>
              <wp:positionH relativeFrom="margin">
                <wp:align>center</wp:align>
              </wp:positionH>
              <wp:positionV relativeFrom="margin">
                <wp:align>center</wp:align>
              </wp:positionV>
              <wp:extent cx="6339840" cy="2377440"/>
              <wp:effectExtent l="0" t="0" r="0" b="0"/>
              <wp:wrapNone/>
              <wp:docPr id="937796051" name="PowerPlusWaterMarkObject174273130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CE0265" w14:textId="77777777" w:rsidR="00110461" w:rsidRDefault="00110461" w:rsidP="00DA4528">
                          <w:pPr>
                            <w:rPr>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692CFE4" id="PowerPlusWaterMarkObject1742731308" o:spid="_x0000_s1049" type="#_x0000_t202" style="position:absolute;margin-left:0;margin-top:0;width:499.2pt;height:187.2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" o:allowincell="f" filled="f" stroked="f">
              <v:stroke joinstyle="round"/>
              <o:lock v:ext="edit" rotation="t" aspectratio="t" verticies="t" adjusthandles="t" grouping="t" shapetype="t"/>
              <v:textbox>
                <w:txbxContent>
                  <w:p w14:paraId="3CCE0265" w14:textId="77777777" w:rsidR="00110461" w:rsidRDefault="00110461" w:rsidP="00DA4528">
                    <w:pPr>
                      <w:rPr>
                        <w:lang w:val="en-GB"/>
                      </w:rPr>
                    </w:pPr>
                  </w:p>
                </w:txbxContent>
              </v:textbox>
              <w10:wrap anchorx="margin" anchory="margin"/>
            </v:shape>
          </w:pict>
        </mc:Fallback>
      </mc:AlternateContent>
    </w:r>
    <w:r w:rsidR="00CE27D1">
      <w:rPr>
        <w:noProof/>
      </w:rPr>
      <mc:AlternateContent>
        <mc:Choice Requires="wps">
          <w:drawing>
            <wp:anchor distT="0" distB="0" distL="114300" distR="114300" simplePos="0" relativeHeight="251658240" behindDoc="1" locked="0" layoutInCell="0" allowOverlap="1" wp14:anchorId="2E8B48B8" wp14:editId="13E09F86">
              <wp:simplePos x="0" y="0"/>
              <wp:positionH relativeFrom="margin">
                <wp:align>center</wp:align>
              </wp:positionH>
              <wp:positionV relativeFrom="margin">
                <wp:align>center</wp:align>
              </wp:positionV>
              <wp:extent cx="5938520" cy="2131695"/>
              <wp:effectExtent l="0" t="0" r="0" b="0"/>
              <wp:wrapNone/>
              <wp:docPr id="989945752" name="WordArt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938520" cy="2131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9D573A" w14:textId="77777777" w:rsidR="00CE27D1" w:rsidRDefault="00CE27D1" w:rsidP="00DA4528">
                          <w:pPr>
                            <w:rPr>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E8B48B8" id="WordArt 5" o:spid="_x0000_s1050" type="#_x0000_t202" style="position:absolute;margin-left:0;margin-top:0;width:467.6pt;height:167.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" o:allowincell="f" filled="f" stroked="f">
              <v:stroke joinstyle="round"/>
              <o:lock v:ext="edit" aspectratio="t" verticies="t" shapetype="t"/>
              <v:textbox>
                <w:txbxContent>
                  <w:p w14:paraId="6B9D573A" w14:textId="77777777" w:rsidR="00CE27D1" w:rsidRDefault="00CE27D1" w:rsidP="00DA4528">
                    <w:pPr>
                      <w:rPr>
                        <w:lang w:val="en-GB"/>
                      </w:rPr>
                    </w:pP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E3FA" w14:textId="49F23528" w:rsidR="00F04D5F" w:rsidRDefault="00D428A8" w:rsidP="00DA4528">
    <w:pPr>
      <w:pStyle w:val="Header"/>
    </w:pPr>
    <w:r>
      <w:rPr>
        <w:noProof/>
      </w:rPr>
      <mc:AlternateContent>
        <mc:Choice Requires="wps">
          <w:drawing>
            <wp:anchor distT="0" distB="0" distL="114300" distR="114300" simplePos="0" relativeHeight="251658269" behindDoc="1" locked="0" layoutInCell="0" allowOverlap="1" wp14:anchorId="0AEA1554" wp14:editId="0A038BC6">
              <wp:simplePos x="0" y="0"/>
              <wp:positionH relativeFrom="margin">
                <wp:align>center</wp:align>
              </wp:positionH>
              <wp:positionV relativeFrom="margin">
                <wp:align>center</wp:align>
              </wp:positionV>
              <wp:extent cx="6339840" cy="2377440"/>
              <wp:effectExtent l="0" t="0" r="0" b="0"/>
              <wp:wrapNone/>
              <wp:docPr id="443366003" name="WordArt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28A097" w14:textId="77777777" w:rsidR="00D428A8" w:rsidRDefault="00D428A8" w:rsidP="00D428A8">
                          <w:pPr>
                            <w:jc w:val="center"/>
                            <w:rPr>
                              <w:color w:val="C0C0C0"/>
                              <w:sz w:val="16"/>
                              <w:szCs w:val="16"/>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AEA1554" id="_x0000_t202" coordsize="21600,21600" o:spt="202" path="m,l,21600r21600,l21600,xe">
              <v:stroke joinstyle="miter"/>
              <v:path gradientshapeok="t" o:connecttype="rect"/>
            </v:shapetype>
            <v:shape id="WordArt 8" o:spid="_x0000_s1051" type="#_x0000_t202" style="position:absolute;margin-left:0;margin-top:0;width:499.2pt;height:187.2pt;rotation:-45;z-index:-25165821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" o:allowincell="f" filled="f" stroked="f">
              <v:stroke joinstyle="round"/>
              <o:lock v:ext="edit" aspectratio="t" verticies="t" shapetype="t"/>
              <v:textbox>
                <w:txbxContent>
                  <w:p w14:paraId="3928A097" w14:textId="77777777" w:rsidR="00D428A8" w:rsidRDefault="00D428A8" w:rsidP="00D428A8">
                    <w:pPr>
                      <w:jc w:val="center"/>
                      <w:rPr>
                        <w:color w:val="C0C0C0"/>
                        <w:sz w:val="16"/>
                        <w:szCs w:val="16"/>
                        <w:lang w:val="en-GB"/>
                      </w:rPr>
                    </w:pPr>
                  </w:p>
                </w:txbxContent>
              </v:textbox>
              <w10:wrap anchorx="margin" anchory="margin"/>
            </v:shape>
          </w:pict>
        </mc:Fallback>
      </mc:AlternateContent>
    </w:r>
    <w:r w:rsidR="00ED653B">
      <w:rPr>
        <w:noProof/>
      </w:rPr>
      <mc:AlternateContent>
        <mc:Choice Requires="wps">
          <w:drawing>
            <wp:anchor distT="0" distB="0" distL="0" distR="0" simplePos="0" relativeHeight="251658251" behindDoc="0" locked="0" layoutInCell="1" allowOverlap="1" wp14:anchorId="0D9BCD19" wp14:editId="7789024E">
              <wp:simplePos x="635" y="635"/>
              <wp:positionH relativeFrom="page">
                <wp:align>center</wp:align>
              </wp:positionH>
              <wp:positionV relativeFrom="page">
                <wp:align>top</wp:align>
              </wp:positionV>
              <wp:extent cx="552450" cy="438150"/>
              <wp:effectExtent l="0" t="0" r="0" b="0"/>
              <wp:wrapNone/>
              <wp:docPr id="29816567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60D71525" w14:textId="77777777" w:rsidR="00ED653B" w:rsidRPr="00ED653B" w:rsidRDefault="00ED653B" w:rsidP="00DA4528">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0D9BCD19" id="Text Box 9" o:spid="_x0000_s1052" type="#_x0000_t202" alt="OFFICIAL" style="position:absolute;margin-left:0;margin-top:0;width:43.5pt;height:34.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" filled="f" stroked="f">
              <v:textbox style="mso-fit-shape-to-text:t" inset="0,15pt,0,0">
                <w:txbxContent>
                  <w:p w14:paraId="60D71525" w14:textId="77777777" w:rsidR="00ED653B" w:rsidRPr="00ED653B" w:rsidRDefault="00ED653B" w:rsidP="00DA4528">
                    <w:pPr>
                      <w:rPr>
                        <w:noProof/>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B261F" w14:textId="50FF5571" w:rsidR="009A2EE3" w:rsidRDefault="00D428A8" w:rsidP="00DA4528">
    <w:pPr>
      <w:pStyle w:val="Header"/>
    </w:pPr>
    <w:r>
      <w:rPr>
        <w:noProof/>
      </w:rPr>
      <mc:AlternateContent>
        <mc:Choice Requires="wps">
          <w:drawing>
            <wp:anchor distT="0" distB="0" distL="114300" distR="114300" simplePos="0" relativeHeight="251658270" behindDoc="1" locked="0" layoutInCell="0" allowOverlap="1" wp14:anchorId="32967342" wp14:editId="7D575672">
              <wp:simplePos x="0" y="0"/>
              <wp:positionH relativeFrom="margin">
                <wp:align>center</wp:align>
              </wp:positionH>
              <wp:positionV relativeFrom="margin">
                <wp:align>center</wp:align>
              </wp:positionV>
              <wp:extent cx="6339840" cy="2377440"/>
              <wp:effectExtent l="0" t="0" r="0" b="0"/>
              <wp:wrapNone/>
              <wp:docPr id="1750309181" name="WordArt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80FBC7" w14:textId="77777777" w:rsidR="00D428A8" w:rsidRDefault="00D428A8" w:rsidP="00D428A8">
                          <w:pPr>
                            <w:jc w:val="center"/>
                            <w:rPr>
                              <w:color w:val="C0C0C0"/>
                              <w:sz w:val="16"/>
                              <w:szCs w:val="16"/>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2967342" id="_x0000_t202" coordsize="21600,21600" o:spt="202" path="m,l,21600r21600,l21600,xe">
              <v:stroke joinstyle="miter"/>
              <v:path gradientshapeok="t" o:connecttype="rect"/>
            </v:shapetype>
            <v:shape id="WordArt 7" o:spid="_x0000_s1055" type="#_x0000_t202" style="position:absolute;margin-left:0;margin-top:0;width:499.2pt;height:187.2pt;rotation:-45;z-index:-25165821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" o:allowincell="f" filled="f" stroked="f">
              <v:stroke joinstyle="round"/>
              <o:lock v:ext="edit" aspectratio="t" verticies="t" shapetype="t"/>
              <v:textbox>
                <w:txbxContent>
                  <w:p w14:paraId="1680FBC7" w14:textId="77777777" w:rsidR="00D428A8" w:rsidRDefault="00D428A8" w:rsidP="00D428A8">
                    <w:pPr>
                      <w:jc w:val="center"/>
                      <w:rPr>
                        <w:color w:val="C0C0C0"/>
                        <w:sz w:val="16"/>
                        <w:szCs w:val="16"/>
                        <w:lang w:val="en-GB"/>
                      </w:rPr>
                    </w:pPr>
                  </w:p>
                </w:txbxContent>
              </v:textbox>
              <w10:wrap anchorx="margin" anchory="margin"/>
            </v:shape>
          </w:pict>
        </mc:Fallback>
      </mc:AlternateContent>
    </w:r>
    <w:r w:rsidR="00AC2589">
      <w:rPr>
        <w:noProof/>
      </w:rPr>
      <mc:AlternateContent>
        <mc:Choice Requires="wps">
          <w:drawing>
            <wp:anchor distT="0" distB="0" distL="114300" distR="114300" simplePos="0" relativeHeight="251658264" behindDoc="1" locked="0" layoutInCell="0" allowOverlap="1" wp14:anchorId="154D74FE" wp14:editId="68190221">
              <wp:simplePos x="0" y="0"/>
              <wp:positionH relativeFrom="margin">
                <wp:align>center</wp:align>
              </wp:positionH>
              <wp:positionV relativeFrom="margin">
                <wp:align>center</wp:align>
              </wp:positionV>
              <wp:extent cx="6339840" cy="2377440"/>
              <wp:effectExtent l="0" t="0" r="0" b="0"/>
              <wp:wrapNone/>
              <wp:docPr id="939339330"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F9E3B3" w14:textId="77777777" w:rsidR="00AC2589" w:rsidRDefault="00AC2589" w:rsidP="00AC2589">
                          <w:pPr>
                            <w:jc w:val="center"/>
                            <w:rPr>
                              <w:color w:val="F2F2F2" w:themeColor="background1" w:themeShade="F2"/>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54D74FE" id="_x0000_s1056" type="#_x0000_t202" style="position:absolute;margin-left:0;margin-top:0;width:499.2pt;height:187.2pt;rotation:-45;z-index:-251658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" o:allowincell="f" filled="f" stroked="f">
              <v:stroke joinstyle="round"/>
              <o:lock v:ext="edit" rotation="t" aspectratio="t" verticies="t" adjusthandles="t" grouping="t" shapetype="t"/>
              <v:textbox>
                <w:txbxContent>
                  <w:p w14:paraId="74F9E3B3" w14:textId="77777777" w:rsidR="00AC2589" w:rsidRDefault="00AC2589" w:rsidP="00AC2589">
                    <w:pPr>
                      <w:jc w:val="center"/>
                      <w:rPr>
                        <w:color w:val="F2F2F2" w:themeColor="background1" w:themeShade="F2"/>
                        <w:sz w:val="72"/>
                        <w:szCs w:val="72"/>
                        <w:lang w:val="en-GB"/>
                      </w:rPr>
                    </w:pPr>
                  </w:p>
                </w:txbxContent>
              </v:textbox>
              <w10:wrap anchorx="margin" anchory="margin"/>
            </v:shape>
          </w:pict>
        </mc:Fallback>
      </mc:AlternateContent>
    </w:r>
    <w:r w:rsidR="00664230">
      <w:rPr>
        <w:noProof/>
      </w:rPr>
      <mc:AlternateContent>
        <mc:Choice Requires="wps">
          <w:drawing>
            <wp:anchor distT="0" distB="0" distL="114300" distR="114300" simplePos="0" relativeHeight="251658260" behindDoc="1" locked="0" layoutInCell="0" allowOverlap="1" wp14:anchorId="736ABAA4" wp14:editId="720B2764">
              <wp:simplePos x="0" y="0"/>
              <wp:positionH relativeFrom="margin">
                <wp:align>center</wp:align>
              </wp:positionH>
              <wp:positionV relativeFrom="margin">
                <wp:align>center</wp:align>
              </wp:positionV>
              <wp:extent cx="6339840" cy="2377440"/>
              <wp:effectExtent l="0" t="0" r="0" b="0"/>
              <wp:wrapNone/>
              <wp:docPr id="269925203"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6DB06E" w14:textId="77777777" w:rsidR="00664230" w:rsidRDefault="00664230" w:rsidP="00664230">
                          <w:pPr>
                            <w:jc w:val="center"/>
                            <w:rPr>
                              <w:color w:val="C0C0C0"/>
                              <w:sz w:val="72"/>
                              <w:szCs w:val="72"/>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36ABAA4" id="_x0000_s1057" type="#_x0000_t202" style="position:absolute;margin-left:0;margin-top:0;width:499.2pt;height:187.2pt;rotation:-45;z-index:-2516582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" o:allowincell="f" filled="f" stroked="f">
              <v:stroke joinstyle="round"/>
              <o:lock v:ext="edit" rotation="t" aspectratio="t" verticies="t" adjusthandles="t" grouping="t" shapetype="t"/>
              <v:textbox>
                <w:txbxContent>
                  <w:p w14:paraId="106DB06E" w14:textId="77777777" w:rsidR="00664230" w:rsidRDefault="00664230" w:rsidP="00664230">
                    <w:pPr>
                      <w:jc w:val="center"/>
                      <w:rPr>
                        <w:color w:val="C0C0C0"/>
                        <w:sz w:val="72"/>
                        <w:szCs w:val="72"/>
                        <w:lang w:val="en-GB"/>
                      </w:rPr>
                    </w:pPr>
                  </w:p>
                </w:txbxContent>
              </v:textbox>
              <w10:wrap anchorx="margin" anchory="margin"/>
            </v:shape>
          </w:pict>
        </mc:Fallback>
      </mc:AlternateContent>
    </w:r>
    <w:r w:rsidR="00ED653B">
      <w:rPr>
        <w:noProof/>
      </w:rPr>
      <mc:AlternateContent>
        <mc:Choice Requires="wps">
          <w:drawing>
            <wp:anchor distT="0" distB="0" distL="0" distR="0" simplePos="0" relativeHeight="251658249" behindDoc="0" locked="0" layoutInCell="1" allowOverlap="1" wp14:anchorId="705F70E5" wp14:editId="5AE8CAA3">
              <wp:simplePos x="635" y="635"/>
              <wp:positionH relativeFrom="page">
                <wp:align>center</wp:align>
              </wp:positionH>
              <wp:positionV relativeFrom="page">
                <wp:align>top</wp:align>
              </wp:positionV>
              <wp:extent cx="552450" cy="438150"/>
              <wp:effectExtent l="0" t="0" r="0" b="0"/>
              <wp:wrapNone/>
              <wp:docPr id="23970598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438150"/>
                      </a:xfrm>
                      <a:prstGeom prst="rect">
                        <a:avLst/>
                      </a:prstGeom>
                      <a:noFill/>
                      <a:ln>
                        <a:noFill/>
                      </a:ln>
                    </wps:spPr>
                    <wps:txbx>
                      <w:txbxContent>
                        <w:p w14:paraId="7B5EF63E" w14:textId="77777777" w:rsidR="00ED653B" w:rsidRPr="00ED653B" w:rsidRDefault="00ED653B" w:rsidP="00DA4528">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05F70E5" id="Text Box 7" o:spid="_x0000_s1058" type="#_x0000_t202" alt="OFFICIAL" style="position:absolute;margin-left:0;margin-top:0;width:43.5pt;height:34.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" filled="f" stroked="f">
              <v:textbox style="mso-fit-shape-to-text:t" inset="0,15pt,0,0">
                <w:txbxContent>
                  <w:p w14:paraId="7B5EF63E" w14:textId="77777777" w:rsidR="00ED653B" w:rsidRPr="00ED653B" w:rsidRDefault="00ED653B" w:rsidP="00DA4528">
                    <w:pPr>
                      <w:rPr>
                        <w:noProof/>
                      </w:rPr>
                    </w:pPr>
                  </w:p>
                </w:txbxContent>
              </v:textbox>
              <w10:wrap anchorx="page" anchory="page"/>
            </v:shape>
          </w:pict>
        </mc:Fallback>
      </mc:AlternateContent>
    </w:r>
    <w:r w:rsidR="00110461">
      <w:rPr>
        <w:noProof/>
      </w:rPr>
      <mc:AlternateContent>
        <mc:Choice Requires="wps">
          <w:drawing>
            <wp:anchor distT="0" distB="0" distL="114300" distR="114300" simplePos="0" relativeHeight="251658244" behindDoc="1" locked="0" layoutInCell="0" allowOverlap="1" wp14:anchorId="51658784" wp14:editId="396C8EAD">
              <wp:simplePos x="0" y="0"/>
              <wp:positionH relativeFrom="margin">
                <wp:align>center</wp:align>
              </wp:positionH>
              <wp:positionV relativeFrom="margin">
                <wp:align>center</wp:align>
              </wp:positionV>
              <wp:extent cx="6339840" cy="2377440"/>
              <wp:effectExtent l="0" t="0" r="0" b="0"/>
              <wp:wrapNone/>
              <wp:docPr id="2008134805" name="PowerPlusWaterMarkObject174273130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339840" cy="23774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E093F1" w14:textId="77777777" w:rsidR="00110461" w:rsidRDefault="00110461" w:rsidP="00DA4528">
                          <w:pPr>
                            <w:rPr>
                              <w:lang w:val="en-GB"/>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1658784" id="PowerPlusWaterMarkObject1742731307" o:spid="_x0000_s1059" type="#_x0000_t202" style="position:absolute;margin-left:0;margin-top:0;width:499.2pt;height:187.2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" o:allowincell="f" filled="f" stroked="f">
              <v:stroke joinstyle="round"/>
              <o:lock v:ext="edit" rotation="t" aspectratio="t" verticies="t" adjusthandles="t" grouping="t" shapetype="t"/>
              <v:textbox>
                <w:txbxContent>
                  <w:p w14:paraId="44E093F1" w14:textId="77777777" w:rsidR="00110461" w:rsidRDefault="00110461" w:rsidP="00DA4528">
                    <w:pPr>
                      <w:rPr>
                        <w:lang w:val="en-GB"/>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EFAE5CA"/>
    <w:lvl w:ilvl="0">
      <w:start w:val="1"/>
      <w:numFmt w:val="bullet"/>
      <w:pStyle w:val="ListBullet3"/>
      <w:lvlText w:val="–"/>
      <w:lvlJc w:val="left"/>
      <w:pPr>
        <w:ind w:left="1072" w:hanging="358"/>
      </w:pPr>
      <w:rPr>
        <w:rFonts w:ascii="Calibri" w:hAnsi="Calibri" w:hint="default"/>
      </w:rPr>
    </w:lvl>
  </w:abstractNum>
  <w:abstractNum w:abstractNumId="1" w15:restartNumberingAfterBreak="0">
    <w:nsid w:val="FFFFFF83"/>
    <w:multiLevelType w:val="singleLevel"/>
    <w:tmpl w:val="A044024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000003"/>
    <w:multiLevelType w:val="singleLevel"/>
    <w:tmpl w:val="00000003"/>
    <w:name w:val="WW8Num8"/>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4"/>
    <w:multiLevelType w:val="singleLevel"/>
    <w:tmpl w:val="00000004"/>
    <w:name w:val="WW8Num9"/>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3F2A37"/>
    <w:multiLevelType w:val="multilevel"/>
    <w:tmpl w:val="33964B3E"/>
    <w:lvl w:ilvl="0">
      <w:start w:val="1"/>
      <w:numFmt w:val="bullet"/>
      <w:pStyle w:val="ListParagraph"/>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5" w15:restartNumberingAfterBreak="0">
    <w:nsid w:val="005860C9"/>
    <w:multiLevelType w:val="hybridMultilevel"/>
    <w:tmpl w:val="97DA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B132B2"/>
    <w:multiLevelType w:val="hybridMultilevel"/>
    <w:tmpl w:val="2A183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6B7FFE"/>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8" w15:restartNumberingAfterBreak="0">
    <w:nsid w:val="08177C7D"/>
    <w:multiLevelType w:val="hybridMultilevel"/>
    <w:tmpl w:val="5546D880"/>
    <w:lvl w:ilvl="0" w:tplc="FFFFFFFF">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9" w15:restartNumberingAfterBreak="0">
    <w:nsid w:val="0C083BAE"/>
    <w:multiLevelType w:val="hybridMultilevel"/>
    <w:tmpl w:val="29DE9DC0"/>
    <w:styleLink w:val="CurrentList1"/>
    <w:lvl w:ilvl="0" w:tplc="4AE6AF5A">
      <w:start w:val="1"/>
      <w:numFmt w:val="bullet"/>
      <w:lvlText w:val=""/>
      <w:lvlJc w:val="left"/>
      <w:pPr>
        <w:ind w:left="720" w:hanging="360"/>
      </w:pPr>
      <w:rPr>
        <w:rFonts w:ascii="Symbol" w:eastAsia="Helvetica Neue"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F53E3"/>
    <w:multiLevelType w:val="hybridMultilevel"/>
    <w:tmpl w:val="CF0C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890748"/>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12" w15:restartNumberingAfterBreak="0">
    <w:nsid w:val="11BE66B1"/>
    <w:multiLevelType w:val="hybridMultilevel"/>
    <w:tmpl w:val="D50CD5D0"/>
    <w:lvl w:ilvl="0" w:tplc="1FCA0058">
      <w:start w:val="1"/>
      <w:numFmt w:val="bullet"/>
      <w:pStyle w:val="subclausebullet"/>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8772AF"/>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14" w15:restartNumberingAfterBreak="0">
    <w:nsid w:val="13E31DF6"/>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15" w15:restartNumberingAfterBreak="0">
    <w:nsid w:val="191E5157"/>
    <w:multiLevelType w:val="hybridMultilevel"/>
    <w:tmpl w:val="74C2D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1E28E0"/>
    <w:multiLevelType w:val="hybridMultilevel"/>
    <w:tmpl w:val="7CD4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0839D9"/>
    <w:multiLevelType w:val="hybridMultilevel"/>
    <w:tmpl w:val="D6A05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95829"/>
    <w:multiLevelType w:val="hybridMultilevel"/>
    <w:tmpl w:val="84F2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3850A5"/>
    <w:multiLevelType w:val="multilevel"/>
    <w:tmpl w:val="2900610E"/>
    <w:lvl w:ilvl="0">
      <w:start w:val="1"/>
      <w:numFmt w:val="bullet"/>
      <w:pStyle w:val="CCS-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82C6306"/>
    <w:multiLevelType w:val="multilevel"/>
    <w:tmpl w:val="E60266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D746B1D"/>
    <w:multiLevelType w:val="hybridMultilevel"/>
    <w:tmpl w:val="0164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EF570D"/>
    <w:multiLevelType w:val="multilevel"/>
    <w:tmpl w:val="E6026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96643E"/>
    <w:multiLevelType w:val="hybridMultilevel"/>
    <w:tmpl w:val="E76A5C2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4" w15:restartNumberingAfterBreak="0">
    <w:nsid w:val="33592665"/>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25" w15:restartNumberingAfterBreak="0">
    <w:nsid w:val="34A32137"/>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26" w15:restartNumberingAfterBreak="0">
    <w:nsid w:val="3F751FDE"/>
    <w:multiLevelType w:val="multilevel"/>
    <w:tmpl w:val="0BB8DA84"/>
    <w:lvl w:ilvl="0">
      <w:start w:val="1"/>
      <w:numFmt w:val="decimal"/>
      <w:lvlText w:val="%1."/>
      <w:lvlJc w:val="left"/>
      <w:pPr>
        <w:ind w:left="360" w:hanging="360"/>
      </w:pPr>
      <w:rPr>
        <w:rFonts w:hint="default"/>
        <w:color w:val="404040" w:themeColor="text1" w:themeTint="BF"/>
        <w:sz w:val="20"/>
      </w:rPr>
    </w:lvl>
    <w:lvl w:ilvl="1" w:tentative="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27" w15:restartNumberingAfterBreak="0">
    <w:nsid w:val="41E11084"/>
    <w:multiLevelType w:val="hybridMultilevel"/>
    <w:tmpl w:val="81D2D912"/>
    <w:lvl w:ilvl="0" w:tplc="0809000F">
      <w:start w:val="1"/>
      <w:numFmt w:val="decimal"/>
      <w:lvlText w:val="%1."/>
      <w:lvlJc w:val="left"/>
      <w:pPr>
        <w:ind w:left="786" w:hanging="360"/>
      </w:pPr>
      <w:rPr>
        <w:rFonts w:hint="default"/>
        <w:color w:val="auto"/>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bullet"/>
      <w:lvlText w:val=""/>
      <w:lvlJc w:val="left"/>
      <w:pPr>
        <w:ind w:left="2946" w:hanging="360"/>
      </w:pPr>
      <w:rPr>
        <w:rFonts w:ascii="Symbol" w:hAnsi="Symbol" w:hint="default"/>
      </w:r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8" w15:restartNumberingAfterBreak="0">
    <w:nsid w:val="4211373B"/>
    <w:multiLevelType w:val="hybridMultilevel"/>
    <w:tmpl w:val="268882C4"/>
    <w:styleLink w:val="ZZBullets"/>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2A0BC6"/>
    <w:multiLevelType w:val="hybridMultilevel"/>
    <w:tmpl w:val="C6347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606147"/>
    <w:multiLevelType w:val="hybridMultilevel"/>
    <w:tmpl w:val="5BE4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764A7"/>
    <w:multiLevelType w:val="multilevel"/>
    <w:tmpl w:val="31B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D74944"/>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33" w15:restartNumberingAfterBreak="0">
    <w:nsid w:val="4EB658BC"/>
    <w:multiLevelType w:val="multilevel"/>
    <w:tmpl w:val="E6026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185445"/>
    <w:multiLevelType w:val="multilevel"/>
    <w:tmpl w:val="56C071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7947DB"/>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36" w15:restartNumberingAfterBreak="0">
    <w:nsid w:val="529D2AB5"/>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37" w15:restartNumberingAfterBreak="0">
    <w:nsid w:val="53076E38"/>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38" w15:restartNumberingAfterBreak="0">
    <w:nsid w:val="53C15129"/>
    <w:multiLevelType w:val="multilevel"/>
    <w:tmpl w:val="0BB8DA84"/>
    <w:lvl w:ilvl="0">
      <w:start w:val="1"/>
      <w:numFmt w:val="decimal"/>
      <w:lvlText w:val="%1."/>
      <w:lvlJc w:val="left"/>
      <w:pPr>
        <w:ind w:left="360" w:hanging="360"/>
      </w:pPr>
      <w:rPr>
        <w:rFonts w:hint="default"/>
        <w:color w:val="404040" w:themeColor="text1" w:themeTint="BF"/>
        <w:sz w:val="20"/>
      </w:rPr>
    </w:lvl>
    <w:lvl w:ilvl="1" w:tentative="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39" w15:restartNumberingAfterBreak="0">
    <w:nsid w:val="54BA1E5A"/>
    <w:multiLevelType w:val="multilevel"/>
    <w:tmpl w:val="82C2F15C"/>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550F76C7"/>
    <w:multiLevelType w:val="hybridMultilevel"/>
    <w:tmpl w:val="046AD2D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1" w15:restartNumberingAfterBreak="0">
    <w:nsid w:val="565F395F"/>
    <w:multiLevelType w:val="multilevel"/>
    <w:tmpl w:val="0BB8DA84"/>
    <w:lvl w:ilvl="0">
      <w:start w:val="1"/>
      <w:numFmt w:val="decimal"/>
      <w:lvlText w:val="%1."/>
      <w:lvlJc w:val="left"/>
      <w:pPr>
        <w:ind w:left="360" w:hanging="360"/>
      </w:pPr>
      <w:rPr>
        <w:rFonts w:hint="default"/>
        <w:color w:val="404040" w:themeColor="text1" w:themeTint="BF"/>
        <w:sz w:val="20"/>
      </w:rPr>
    </w:lvl>
    <w:lvl w:ilvl="1" w:tentative="1">
      <w:start w:val="1"/>
      <w:numFmt w:val="decimal"/>
      <w:lvlText w:val="%2."/>
      <w:lvlJc w:val="left"/>
      <w:pPr>
        <w:tabs>
          <w:tab w:val="num" w:pos="1080"/>
        </w:tabs>
        <w:ind w:left="1080" w:hanging="360"/>
      </w:pPr>
      <w:rPr>
        <w:rFonts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42" w15:restartNumberingAfterBreak="0">
    <w:nsid w:val="5A286F53"/>
    <w:multiLevelType w:val="hybridMultilevel"/>
    <w:tmpl w:val="2C90F506"/>
    <w:lvl w:ilvl="0" w:tplc="13282DA8">
      <w:start w:val="1"/>
      <w:numFmt w:val="lowerLetter"/>
      <w:pStyle w:val="CCS-NumericNumberedList"/>
      <w:lvlText w:val="%1)"/>
      <w:lvlJc w:val="left"/>
      <w:pPr>
        <w:ind w:left="360" w:hanging="360"/>
      </w:pPr>
      <w:rPr>
        <w:rFonts w:hint="default"/>
      </w:rPr>
    </w:lvl>
    <w:lvl w:ilvl="1" w:tplc="03C86C7C" w:tentative="1">
      <w:start w:val="1"/>
      <w:numFmt w:val="lowerLetter"/>
      <w:lvlText w:val="%2."/>
      <w:lvlJc w:val="left"/>
      <w:pPr>
        <w:ind w:left="1080" w:hanging="360"/>
      </w:pPr>
    </w:lvl>
    <w:lvl w:ilvl="2" w:tplc="5E7E8BAE" w:tentative="1">
      <w:start w:val="1"/>
      <w:numFmt w:val="lowerRoman"/>
      <w:lvlText w:val="%3."/>
      <w:lvlJc w:val="right"/>
      <w:pPr>
        <w:ind w:left="1800" w:hanging="180"/>
      </w:pPr>
    </w:lvl>
    <w:lvl w:ilvl="3" w:tplc="F466B77E" w:tentative="1">
      <w:start w:val="1"/>
      <w:numFmt w:val="decimal"/>
      <w:lvlText w:val="%4."/>
      <w:lvlJc w:val="left"/>
      <w:pPr>
        <w:ind w:left="2520" w:hanging="360"/>
      </w:pPr>
    </w:lvl>
    <w:lvl w:ilvl="4" w:tplc="0E565E5A" w:tentative="1">
      <w:start w:val="1"/>
      <w:numFmt w:val="lowerLetter"/>
      <w:lvlText w:val="%5."/>
      <w:lvlJc w:val="left"/>
      <w:pPr>
        <w:ind w:left="3240" w:hanging="360"/>
      </w:pPr>
    </w:lvl>
    <w:lvl w:ilvl="5" w:tplc="F796B6E0" w:tentative="1">
      <w:start w:val="1"/>
      <w:numFmt w:val="lowerRoman"/>
      <w:lvlText w:val="%6."/>
      <w:lvlJc w:val="right"/>
      <w:pPr>
        <w:ind w:left="3960" w:hanging="180"/>
      </w:pPr>
    </w:lvl>
    <w:lvl w:ilvl="6" w:tplc="470AC228" w:tentative="1">
      <w:start w:val="1"/>
      <w:numFmt w:val="decimal"/>
      <w:lvlText w:val="%7."/>
      <w:lvlJc w:val="left"/>
      <w:pPr>
        <w:ind w:left="4680" w:hanging="360"/>
      </w:pPr>
    </w:lvl>
    <w:lvl w:ilvl="7" w:tplc="F490C8EE" w:tentative="1">
      <w:start w:val="1"/>
      <w:numFmt w:val="lowerLetter"/>
      <w:lvlText w:val="%8."/>
      <w:lvlJc w:val="left"/>
      <w:pPr>
        <w:ind w:left="5400" w:hanging="360"/>
      </w:pPr>
    </w:lvl>
    <w:lvl w:ilvl="8" w:tplc="D0DE55E6" w:tentative="1">
      <w:start w:val="1"/>
      <w:numFmt w:val="lowerRoman"/>
      <w:lvlText w:val="%9."/>
      <w:lvlJc w:val="right"/>
      <w:pPr>
        <w:ind w:left="6120" w:hanging="180"/>
      </w:pPr>
    </w:lvl>
  </w:abstractNum>
  <w:abstractNum w:abstractNumId="43" w15:restartNumberingAfterBreak="0">
    <w:nsid w:val="5A4D11B7"/>
    <w:multiLevelType w:val="hybridMultilevel"/>
    <w:tmpl w:val="85B4D454"/>
    <w:lvl w:ilvl="0" w:tplc="3074491A">
      <w:start w:val="1"/>
      <w:numFmt w:val="bullet"/>
      <w:pStyle w:val="ListBullet1"/>
      <w:lvlText w:val=""/>
      <w:lvlJc w:val="left"/>
      <w:pPr>
        <w:ind w:left="720" w:hanging="360"/>
      </w:pPr>
      <w:rPr>
        <w:rFonts w:ascii="Symbol" w:hAnsi="Symbol" w:hint="default"/>
        <w:color w:val="B04A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EB207C"/>
    <w:multiLevelType w:val="multilevel"/>
    <w:tmpl w:val="582E5BB2"/>
    <w:lvl w:ilvl="0">
      <w:start w:val="1"/>
      <w:numFmt w:val="bullet"/>
      <w:pStyle w:val="Bullet1"/>
      <w:lvlText w:val=""/>
      <w:lvlJc w:val="left"/>
      <w:pPr>
        <w:ind w:left="360" w:hanging="360"/>
      </w:pPr>
      <w:rPr>
        <w:rFonts w:ascii="Wingdings" w:hAnsi="Wingdings" w:hint="default"/>
        <w:color w:val="629DD1" w:themeColor="accent1"/>
      </w:rPr>
    </w:lvl>
    <w:lvl w:ilvl="1">
      <w:start w:val="1"/>
      <w:numFmt w:val="bullet"/>
      <w:pStyle w:val="Bullet2"/>
      <w:lvlText w:val="–"/>
      <w:lvlJc w:val="left"/>
      <w:pPr>
        <w:ind w:left="714" w:hanging="354"/>
      </w:pPr>
      <w:rPr>
        <w:rFonts w:ascii="Calibri" w:hAnsi="Calibri" w:hint="default"/>
        <w:color w:val="629DD1" w:themeColor="accent1"/>
      </w:rPr>
    </w:lvl>
    <w:lvl w:ilvl="2">
      <w:start w:val="1"/>
      <w:numFmt w:val="bullet"/>
      <w:pStyle w:val="Bullet3"/>
      <w:lvlText w:val="–"/>
      <w:lvlJc w:val="left"/>
      <w:pPr>
        <w:ind w:left="1072" w:hanging="358"/>
      </w:pPr>
      <w:rPr>
        <w:rFonts w:ascii="Calibri" w:hAnsi="Calibr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5B1573C7"/>
    <w:multiLevelType w:val="multilevel"/>
    <w:tmpl w:val="E6026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6D224F"/>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47" w15:restartNumberingAfterBreak="0">
    <w:nsid w:val="60C94D3E"/>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48" w15:restartNumberingAfterBreak="0">
    <w:nsid w:val="62EA09CA"/>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49" w15:restartNumberingAfterBreak="0">
    <w:nsid w:val="64D20FC5"/>
    <w:multiLevelType w:val="multilevel"/>
    <w:tmpl w:val="FBE6581E"/>
    <w:lvl w:ilvl="0">
      <w:start w:val="1"/>
      <w:numFmt w:val="decimal"/>
      <w:lvlText w:val="%1."/>
      <w:lvlJc w:val="left"/>
      <w:pPr>
        <w:ind w:left="720" w:hanging="360"/>
      </w:pPr>
      <w:rPr>
        <w:rFonts w:hint="default"/>
        <w:color w:val="404040" w:themeColor="text1" w:themeTint="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62F673E"/>
    <w:multiLevelType w:val="hybridMultilevel"/>
    <w:tmpl w:val="F3800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A3C5216"/>
    <w:multiLevelType w:val="multilevel"/>
    <w:tmpl w:val="D70ECB24"/>
    <w:lvl w:ilvl="0">
      <w:start w:val="1"/>
      <w:numFmt w:val="decimal"/>
      <w:lvlText w:val="%1."/>
      <w:lvlJc w:val="left"/>
      <w:pPr>
        <w:ind w:left="720" w:hanging="360"/>
      </w:pPr>
      <w:rPr>
        <w:rFonts w:hint="default"/>
        <w:color w:val="404040" w:themeColor="text1" w:themeTint="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B9D46D6"/>
    <w:multiLevelType w:val="hybridMultilevel"/>
    <w:tmpl w:val="86201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02455F"/>
    <w:multiLevelType w:val="multilevel"/>
    <w:tmpl w:val="3792301E"/>
    <w:lvl w:ilvl="0">
      <w:start w:val="1"/>
      <w:numFmt w:val="bullet"/>
      <w:lvlText w:val=""/>
      <w:lvlJc w:val="left"/>
      <w:pPr>
        <w:ind w:left="720" w:hanging="360"/>
      </w:pPr>
      <w:rPr>
        <w:rFonts w:ascii="Symbol" w:hAnsi="Symbol" w:hint="default"/>
        <w:color w:val="404040" w:themeColor="text1" w:themeTint="BF"/>
        <w:sz w:val="20"/>
      </w:rPr>
    </w:lvl>
    <w:lvl w:ilvl="1">
      <w:start w:val="1"/>
      <w:numFmt w:val="lowerLetter"/>
      <w:lvlText w:val="%2."/>
      <w:lvlJc w:val="left"/>
      <w:pPr>
        <w:ind w:left="1440" w:hanging="360"/>
      </w:pPr>
      <w:rPr>
        <w:rFonts w:hint="default"/>
        <w:sz w:val="20"/>
      </w:rPr>
    </w:lvl>
    <w:lvl w:ilvl="2">
      <w:start w:val="1"/>
      <w:numFmt w:val="lowerRoman"/>
      <w:lvlText w:val="%3."/>
      <w:lvlJc w:val="right"/>
      <w:pPr>
        <w:ind w:left="2160" w:hanging="180"/>
      </w:pPr>
      <w:rPr>
        <w:rFonts w:hint="default"/>
        <w:sz w:val="20"/>
      </w:rPr>
    </w:lvl>
    <w:lvl w:ilvl="3">
      <w:start w:val="1"/>
      <w:numFmt w:val="decimal"/>
      <w:lvlText w:val="%4."/>
      <w:lvlJc w:val="left"/>
      <w:pPr>
        <w:ind w:left="2880" w:hanging="360"/>
      </w:pPr>
      <w:rPr>
        <w:rFonts w:hint="default"/>
        <w:sz w:val="20"/>
      </w:rPr>
    </w:lvl>
    <w:lvl w:ilvl="4">
      <w:start w:val="1"/>
      <w:numFmt w:val="lowerLetter"/>
      <w:lvlText w:val="%5."/>
      <w:lvlJc w:val="left"/>
      <w:pPr>
        <w:ind w:left="3600" w:hanging="360"/>
      </w:pPr>
      <w:rPr>
        <w:rFonts w:hint="default"/>
        <w:sz w:val="20"/>
      </w:rPr>
    </w:lvl>
    <w:lvl w:ilvl="5">
      <w:start w:val="1"/>
      <w:numFmt w:val="lowerRoman"/>
      <w:lvlText w:val="%6."/>
      <w:lvlJc w:val="right"/>
      <w:pPr>
        <w:ind w:left="4320" w:hanging="180"/>
      </w:pPr>
      <w:rPr>
        <w:rFonts w:hint="default"/>
        <w:sz w:val="20"/>
      </w:rPr>
    </w:lvl>
    <w:lvl w:ilvl="6">
      <w:start w:val="1"/>
      <w:numFmt w:val="decimal"/>
      <w:lvlText w:val="%7."/>
      <w:lvlJc w:val="left"/>
      <w:pPr>
        <w:ind w:left="5040" w:hanging="360"/>
      </w:pPr>
      <w:rPr>
        <w:rFonts w:hint="default"/>
        <w:sz w:val="20"/>
      </w:rPr>
    </w:lvl>
    <w:lvl w:ilvl="7">
      <w:start w:val="1"/>
      <w:numFmt w:val="lowerLetter"/>
      <w:lvlText w:val="%8."/>
      <w:lvlJc w:val="left"/>
      <w:pPr>
        <w:ind w:left="5760" w:hanging="360"/>
      </w:pPr>
      <w:rPr>
        <w:rFonts w:hint="default"/>
        <w:sz w:val="20"/>
      </w:rPr>
    </w:lvl>
    <w:lvl w:ilvl="8">
      <w:start w:val="1"/>
      <w:numFmt w:val="lowerRoman"/>
      <w:lvlText w:val="%9."/>
      <w:lvlJc w:val="right"/>
      <w:pPr>
        <w:ind w:left="6480" w:hanging="180"/>
      </w:pPr>
      <w:rPr>
        <w:rFonts w:hint="default"/>
        <w:sz w:val="20"/>
      </w:rPr>
    </w:lvl>
  </w:abstractNum>
  <w:abstractNum w:abstractNumId="54" w15:restartNumberingAfterBreak="0">
    <w:nsid w:val="6C776FB7"/>
    <w:multiLevelType w:val="hybridMultilevel"/>
    <w:tmpl w:val="3CB69EE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D6B748E"/>
    <w:multiLevelType w:val="multilevel"/>
    <w:tmpl w:val="0B806D38"/>
    <w:styleLink w:val="CurrentList11"/>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8941A68"/>
    <w:multiLevelType w:val="multilevel"/>
    <w:tmpl w:val="98DA7A88"/>
    <w:lvl w:ilvl="0">
      <w:start w:val="1"/>
      <w:numFmt w:val="bullet"/>
      <w:pStyle w:val="LegalScheduleLevel1"/>
      <w:lvlText w:val="●"/>
      <w:lvlJc w:val="left"/>
      <w:pPr>
        <w:ind w:left="720" w:hanging="360"/>
      </w:pPr>
      <w:rPr>
        <w:rFonts w:ascii="Noto Sans Symbols" w:eastAsia="Noto Sans Symbols" w:hAnsi="Noto Sans Symbols" w:cs="Noto Sans Symbols"/>
        <w:b/>
        <w:color w:val="000000"/>
      </w:rPr>
    </w:lvl>
    <w:lvl w:ilvl="1">
      <w:start w:val="1"/>
      <w:numFmt w:val="bullet"/>
      <w:pStyle w:val="LegalScheduleLevel2"/>
      <w:lvlText w:val="o"/>
      <w:lvlJc w:val="left"/>
      <w:pPr>
        <w:ind w:left="1440" w:hanging="360"/>
      </w:pPr>
      <w:rPr>
        <w:rFonts w:ascii="Courier New" w:eastAsia="Courier New" w:hAnsi="Courier New" w:cs="Courier New"/>
      </w:rPr>
    </w:lvl>
    <w:lvl w:ilvl="2">
      <w:start w:val="1"/>
      <w:numFmt w:val="bullet"/>
      <w:pStyle w:val="LegalScheduleLevel3"/>
      <w:lvlText w:val="▪"/>
      <w:lvlJc w:val="left"/>
      <w:pPr>
        <w:ind w:left="2160" w:hanging="360"/>
      </w:pPr>
      <w:rPr>
        <w:rFonts w:ascii="Noto Sans Symbols" w:eastAsia="Noto Sans Symbols" w:hAnsi="Noto Sans Symbols" w:cs="Noto Sans Symbols"/>
      </w:rPr>
    </w:lvl>
    <w:lvl w:ilvl="3">
      <w:start w:val="1"/>
      <w:numFmt w:val="bullet"/>
      <w:pStyle w:val="LegalScheduleLevel4"/>
      <w:lvlText w:val="●"/>
      <w:lvlJc w:val="left"/>
      <w:pPr>
        <w:ind w:left="2880" w:hanging="360"/>
      </w:pPr>
      <w:rPr>
        <w:rFonts w:ascii="Noto Sans Symbols" w:eastAsia="Noto Sans Symbols" w:hAnsi="Noto Sans Symbols" w:cs="Noto Sans Symbols"/>
      </w:rPr>
    </w:lvl>
    <w:lvl w:ilvl="4">
      <w:start w:val="1"/>
      <w:numFmt w:val="bullet"/>
      <w:pStyle w:val="LegalScheduleLevel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9B0DC4B"/>
    <w:multiLevelType w:val="hybridMultilevel"/>
    <w:tmpl w:val="FFFFFFFF"/>
    <w:styleLink w:val="CurrentList3"/>
    <w:lvl w:ilvl="0" w:tplc="3F2A951C">
      <w:start w:val="1"/>
      <w:numFmt w:val="decimal"/>
      <w:lvlText w:val="%1."/>
      <w:lvlJc w:val="left"/>
      <w:pPr>
        <w:ind w:left="720" w:hanging="360"/>
      </w:pPr>
    </w:lvl>
    <w:lvl w:ilvl="1" w:tplc="FB3266C6">
      <w:start w:val="1"/>
      <w:numFmt w:val="lowerLetter"/>
      <w:lvlText w:val="%2."/>
      <w:lvlJc w:val="left"/>
      <w:pPr>
        <w:ind w:left="1440" w:hanging="360"/>
      </w:pPr>
    </w:lvl>
    <w:lvl w:ilvl="2" w:tplc="4B624B62">
      <w:start w:val="1"/>
      <w:numFmt w:val="lowerRoman"/>
      <w:lvlText w:val="%3."/>
      <w:lvlJc w:val="right"/>
      <w:pPr>
        <w:ind w:left="2160" w:hanging="180"/>
      </w:pPr>
    </w:lvl>
    <w:lvl w:ilvl="3" w:tplc="7F2EA184">
      <w:start w:val="1"/>
      <w:numFmt w:val="decimal"/>
      <w:lvlText w:val="%4."/>
      <w:lvlJc w:val="left"/>
      <w:pPr>
        <w:ind w:left="2880" w:hanging="360"/>
      </w:pPr>
    </w:lvl>
    <w:lvl w:ilvl="4" w:tplc="BDA84C5E">
      <w:start w:val="1"/>
      <w:numFmt w:val="lowerLetter"/>
      <w:lvlText w:val="%5."/>
      <w:lvlJc w:val="left"/>
      <w:pPr>
        <w:ind w:left="3600" w:hanging="360"/>
      </w:pPr>
    </w:lvl>
    <w:lvl w:ilvl="5" w:tplc="3966498C">
      <w:start w:val="1"/>
      <w:numFmt w:val="lowerRoman"/>
      <w:lvlText w:val="%6."/>
      <w:lvlJc w:val="right"/>
      <w:pPr>
        <w:ind w:left="4320" w:hanging="180"/>
      </w:pPr>
    </w:lvl>
    <w:lvl w:ilvl="6" w:tplc="003EAA2C">
      <w:start w:val="1"/>
      <w:numFmt w:val="decimal"/>
      <w:lvlText w:val="%7."/>
      <w:lvlJc w:val="left"/>
      <w:pPr>
        <w:ind w:left="5040" w:hanging="360"/>
      </w:pPr>
    </w:lvl>
    <w:lvl w:ilvl="7" w:tplc="FC9C9246">
      <w:start w:val="1"/>
      <w:numFmt w:val="lowerLetter"/>
      <w:lvlText w:val="%8."/>
      <w:lvlJc w:val="left"/>
      <w:pPr>
        <w:ind w:left="5760" w:hanging="360"/>
      </w:pPr>
    </w:lvl>
    <w:lvl w:ilvl="8" w:tplc="EC503E34">
      <w:start w:val="1"/>
      <w:numFmt w:val="lowerRoman"/>
      <w:lvlText w:val="%9."/>
      <w:lvlJc w:val="right"/>
      <w:pPr>
        <w:ind w:left="6480" w:hanging="180"/>
      </w:pPr>
    </w:lvl>
  </w:abstractNum>
  <w:num w:numId="1" w16cid:durableId="1601789315">
    <w:abstractNumId w:val="12"/>
  </w:num>
  <w:num w:numId="2" w16cid:durableId="1902397926">
    <w:abstractNumId w:val="43"/>
  </w:num>
  <w:num w:numId="3" w16cid:durableId="1517501442">
    <w:abstractNumId w:val="19"/>
  </w:num>
  <w:num w:numId="4" w16cid:durableId="595939200">
    <w:abstractNumId w:val="42"/>
  </w:num>
  <w:num w:numId="5" w16cid:durableId="721562271">
    <w:abstractNumId w:val="56"/>
  </w:num>
  <w:num w:numId="6" w16cid:durableId="1433011587">
    <w:abstractNumId w:val="44"/>
  </w:num>
  <w:num w:numId="7" w16cid:durableId="573466467">
    <w:abstractNumId w:val="1"/>
  </w:num>
  <w:num w:numId="8" w16cid:durableId="2139175531">
    <w:abstractNumId w:val="0"/>
  </w:num>
  <w:num w:numId="9" w16cid:durableId="1421288903">
    <w:abstractNumId w:val="39"/>
  </w:num>
  <w:num w:numId="10" w16cid:durableId="7558960">
    <w:abstractNumId w:val="31"/>
  </w:num>
  <w:num w:numId="11" w16cid:durableId="757143095">
    <w:abstractNumId w:val="55"/>
    <w:lvlOverride w:ilvl="0">
      <w:lvl w:ilvl="0">
        <w:start w:val="1"/>
        <w:numFmt w:val="decimal"/>
        <w:lvlText w:val="%1."/>
        <w:lvlJc w:val="left"/>
        <w:pPr>
          <w:ind w:left="720" w:hanging="360"/>
        </w:pPr>
        <w:rPr>
          <w:rFonts w:hint="default"/>
          <w:color w:val="404040" w:themeColor="text1" w:themeTint="BF"/>
        </w:rPr>
      </w:lvl>
    </w:lvlOverride>
  </w:num>
  <w:num w:numId="12" w16cid:durableId="1378318148">
    <w:abstractNumId w:val="28"/>
  </w:num>
  <w:num w:numId="13" w16cid:durableId="2135362513">
    <w:abstractNumId w:val="45"/>
  </w:num>
  <w:num w:numId="14" w16cid:durableId="2088190041">
    <w:abstractNumId w:val="34"/>
  </w:num>
  <w:num w:numId="15" w16cid:durableId="990864641">
    <w:abstractNumId w:val="20"/>
  </w:num>
  <w:num w:numId="16" w16cid:durableId="1354646624">
    <w:abstractNumId w:val="33"/>
  </w:num>
  <w:num w:numId="17" w16cid:durableId="2047365636">
    <w:abstractNumId w:val="22"/>
  </w:num>
  <w:num w:numId="18" w16cid:durableId="1860049962">
    <w:abstractNumId w:val="16"/>
  </w:num>
  <w:num w:numId="19" w16cid:durableId="961418336">
    <w:abstractNumId w:val="26"/>
  </w:num>
  <w:num w:numId="20" w16cid:durableId="136150491">
    <w:abstractNumId w:val="8"/>
  </w:num>
  <w:num w:numId="21" w16cid:durableId="1120303890">
    <w:abstractNumId w:val="27"/>
  </w:num>
  <w:num w:numId="22" w16cid:durableId="1828594821">
    <w:abstractNumId w:val="57"/>
  </w:num>
  <w:num w:numId="23" w16cid:durableId="199706985">
    <w:abstractNumId w:val="9"/>
  </w:num>
  <w:num w:numId="24" w16cid:durableId="1962876435">
    <w:abstractNumId w:val="55"/>
  </w:num>
  <w:num w:numId="25" w16cid:durableId="391202163">
    <w:abstractNumId w:val="54"/>
  </w:num>
  <w:num w:numId="26" w16cid:durableId="626351517">
    <w:abstractNumId w:val="15"/>
  </w:num>
  <w:num w:numId="27" w16cid:durableId="693186905">
    <w:abstractNumId w:val="52"/>
  </w:num>
  <w:num w:numId="28" w16cid:durableId="589385538">
    <w:abstractNumId w:val="50"/>
  </w:num>
  <w:num w:numId="29" w16cid:durableId="1240824325">
    <w:abstractNumId w:val="40"/>
  </w:num>
  <w:num w:numId="30" w16cid:durableId="1999309674">
    <w:abstractNumId w:val="17"/>
  </w:num>
  <w:num w:numId="31" w16cid:durableId="241062890">
    <w:abstractNumId w:val="6"/>
  </w:num>
  <w:num w:numId="32" w16cid:durableId="860826067">
    <w:abstractNumId w:val="29"/>
  </w:num>
  <w:num w:numId="33" w16cid:durableId="1433470799">
    <w:abstractNumId w:val="10"/>
  </w:num>
  <w:num w:numId="34" w16cid:durableId="1830899880">
    <w:abstractNumId w:val="5"/>
  </w:num>
  <w:num w:numId="35" w16cid:durableId="571235288">
    <w:abstractNumId w:val="30"/>
  </w:num>
  <w:num w:numId="36" w16cid:durableId="1398435437">
    <w:abstractNumId w:val="18"/>
  </w:num>
  <w:num w:numId="37" w16cid:durableId="1590776217">
    <w:abstractNumId w:val="21"/>
  </w:num>
  <w:num w:numId="38" w16cid:durableId="1584335209">
    <w:abstractNumId w:val="23"/>
  </w:num>
  <w:num w:numId="39" w16cid:durableId="709571512">
    <w:abstractNumId w:val="49"/>
  </w:num>
  <w:num w:numId="40" w16cid:durableId="1864322462">
    <w:abstractNumId w:val="51"/>
  </w:num>
  <w:num w:numId="41" w16cid:durableId="496191911">
    <w:abstractNumId w:val="37"/>
  </w:num>
  <w:num w:numId="42" w16cid:durableId="1108162341">
    <w:abstractNumId w:val="36"/>
  </w:num>
  <w:num w:numId="43" w16cid:durableId="709035810">
    <w:abstractNumId w:val="41"/>
  </w:num>
  <w:num w:numId="44" w16cid:durableId="723413867">
    <w:abstractNumId w:val="24"/>
  </w:num>
  <w:num w:numId="45" w16cid:durableId="1086267273">
    <w:abstractNumId w:val="7"/>
  </w:num>
  <w:num w:numId="46" w16cid:durableId="1800108236">
    <w:abstractNumId w:val="53"/>
  </w:num>
  <w:num w:numId="47" w16cid:durableId="1309431375">
    <w:abstractNumId w:val="46"/>
  </w:num>
  <w:num w:numId="48" w16cid:durableId="1913854092">
    <w:abstractNumId w:val="47"/>
  </w:num>
  <w:num w:numId="49" w16cid:durableId="1204364445">
    <w:abstractNumId w:val="32"/>
  </w:num>
  <w:num w:numId="50" w16cid:durableId="1447458269">
    <w:abstractNumId w:val="48"/>
  </w:num>
  <w:num w:numId="51" w16cid:durableId="1783915730">
    <w:abstractNumId w:val="38"/>
  </w:num>
  <w:num w:numId="52" w16cid:durableId="824275902">
    <w:abstractNumId w:val="11"/>
  </w:num>
  <w:num w:numId="53" w16cid:durableId="1162502334">
    <w:abstractNumId w:val="14"/>
  </w:num>
  <w:num w:numId="54" w16cid:durableId="224336622">
    <w:abstractNumId w:val="35"/>
  </w:num>
  <w:num w:numId="55" w16cid:durableId="486476958">
    <w:abstractNumId w:val="25"/>
  </w:num>
  <w:num w:numId="56" w16cid:durableId="1486118184">
    <w:abstractNumId w:val="13"/>
  </w:num>
  <w:num w:numId="57" w16cid:durableId="35786555">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21F"/>
    <w:rsid w:val="00000067"/>
    <w:rsid w:val="000000BA"/>
    <w:rsid w:val="0000013A"/>
    <w:rsid w:val="0000019F"/>
    <w:rsid w:val="000001A1"/>
    <w:rsid w:val="00000303"/>
    <w:rsid w:val="000007A5"/>
    <w:rsid w:val="00000930"/>
    <w:rsid w:val="0000095F"/>
    <w:rsid w:val="00000A19"/>
    <w:rsid w:val="00000CF9"/>
    <w:rsid w:val="00000EB1"/>
    <w:rsid w:val="00000F09"/>
    <w:rsid w:val="00000F6D"/>
    <w:rsid w:val="00000FDA"/>
    <w:rsid w:val="00001335"/>
    <w:rsid w:val="00001369"/>
    <w:rsid w:val="000013A5"/>
    <w:rsid w:val="0000146B"/>
    <w:rsid w:val="00001514"/>
    <w:rsid w:val="0000153F"/>
    <w:rsid w:val="00001556"/>
    <w:rsid w:val="0000156A"/>
    <w:rsid w:val="00001589"/>
    <w:rsid w:val="0000158E"/>
    <w:rsid w:val="000016D4"/>
    <w:rsid w:val="00001772"/>
    <w:rsid w:val="00001790"/>
    <w:rsid w:val="000017FE"/>
    <w:rsid w:val="000018AF"/>
    <w:rsid w:val="000018DB"/>
    <w:rsid w:val="00001B3F"/>
    <w:rsid w:val="00001BCE"/>
    <w:rsid w:val="00001C89"/>
    <w:rsid w:val="00001D0B"/>
    <w:rsid w:val="00001D54"/>
    <w:rsid w:val="00001DBD"/>
    <w:rsid w:val="00001DF4"/>
    <w:rsid w:val="00001F50"/>
    <w:rsid w:val="00001FAC"/>
    <w:rsid w:val="0000202E"/>
    <w:rsid w:val="0000206F"/>
    <w:rsid w:val="000020A0"/>
    <w:rsid w:val="0000213D"/>
    <w:rsid w:val="00002164"/>
    <w:rsid w:val="000021EA"/>
    <w:rsid w:val="00002229"/>
    <w:rsid w:val="00002510"/>
    <w:rsid w:val="0000255B"/>
    <w:rsid w:val="00002662"/>
    <w:rsid w:val="000027DA"/>
    <w:rsid w:val="00002925"/>
    <w:rsid w:val="00002A6D"/>
    <w:rsid w:val="00002B49"/>
    <w:rsid w:val="00002BD7"/>
    <w:rsid w:val="00002BEE"/>
    <w:rsid w:val="00002D66"/>
    <w:rsid w:val="00002DA3"/>
    <w:rsid w:val="00002F12"/>
    <w:rsid w:val="00002F3A"/>
    <w:rsid w:val="00002FA6"/>
    <w:rsid w:val="00002FB1"/>
    <w:rsid w:val="0000302C"/>
    <w:rsid w:val="00003131"/>
    <w:rsid w:val="0000313C"/>
    <w:rsid w:val="00003171"/>
    <w:rsid w:val="000032A9"/>
    <w:rsid w:val="00003578"/>
    <w:rsid w:val="0000365E"/>
    <w:rsid w:val="0000381F"/>
    <w:rsid w:val="00003A8F"/>
    <w:rsid w:val="00003B1B"/>
    <w:rsid w:val="00003B1E"/>
    <w:rsid w:val="00003C33"/>
    <w:rsid w:val="00003CF1"/>
    <w:rsid w:val="00003E3E"/>
    <w:rsid w:val="00003E7E"/>
    <w:rsid w:val="00003F30"/>
    <w:rsid w:val="00003FAA"/>
    <w:rsid w:val="000040F6"/>
    <w:rsid w:val="00004149"/>
    <w:rsid w:val="0000414A"/>
    <w:rsid w:val="0000418A"/>
    <w:rsid w:val="000041C1"/>
    <w:rsid w:val="00004283"/>
    <w:rsid w:val="0000429D"/>
    <w:rsid w:val="000044AD"/>
    <w:rsid w:val="000045EA"/>
    <w:rsid w:val="00004608"/>
    <w:rsid w:val="000046D1"/>
    <w:rsid w:val="00004BC3"/>
    <w:rsid w:val="00004BD9"/>
    <w:rsid w:val="00004C88"/>
    <w:rsid w:val="00004DB1"/>
    <w:rsid w:val="00004EDA"/>
    <w:rsid w:val="00005174"/>
    <w:rsid w:val="0000518D"/>
    <w:rsid w:val="0000523A"/>
    <w:rsid w:val="0000527C"/>
    <w:rsid w:val="000053BA"/>
    <w:rsid w:val="000053D1"/>
    <w:rsid w:val="000054C2"/>
    <w:rsid w:val="000055BA"/>
    <w:rsid w:val="000055D9"/>
    <w:rsid w:val="00005631"/>
    <w:rsid w:val="00005DB5"/>
    <w:rsid w:val="00005ECF"/>
    <w:rsid w:val="00005EE6"/>
    <w:rsid w:val="00006106"/>
    <w:rsid w:val="00006190"/>
    <w:rsid w:val="000061F0"/>
    <w:rsid w:val="00006297"/>
    <w:rsid w:val="000062BB"/>
    <w:rsid w:val="0000631A"/>
    <w:rsid w:val="000065D8"/>
    <w:rsid w:val="000065E5"/>
    <w:rsid w:val="00006655"/>
    <w:rsid w:val="0000666E"/>
    <w:rsid w:val="00006691"/>
    <w:rsid w:val="000066BA"/>
    <w:rsid w:val="00006798"/>
    <w:rsid w:val="00006882"/>
    <w:rsid w:val="000069DD"/>
    <w:rsid w:val="000069FE"/>
    <w:rsid w:val="00006A76"/>
    <w:rsid w:val="00006B4F"/>
    <w:rsid w:val="00006D9D"/>
    <w:rsid w:val="00006E16"/>
    <w:rsid w:val="00006E31"/>
    <w:rsid w:val="00006EF6"/>
    <w:rsid w:val="0000704A"/>
    <w:rsid w:val="000071F2"/>
    <w:rsid w:val="00007450"/>
    <w:rsid w:val="000074B1"/>
    <w:rsid w:val="00007512"/>
    <w:rsid w:val="000076CF"/>
    <w:rsid w:val="0000776F"/>
    <w:rsid w:val="0000783E"/>
    <w:rsid w:val="0000784E"/>
    <w:rsid w:val="00007888"/>
    <w:rsid w:val="000078F9"/>
    <w:rsid w:val="00007916"/>
    <w:rsid w:val="00007A00"/>
    <w:rsid w:val="00007A13"/>
    <w:rsid w:val="00007A7A"/>
    <w:rsid w:val="0001003F"/>
    <w:rsid w:val="000100E5"/>
    <w:rsid w:val="000101A8"/>
    <w:rsid w:val="000101F6"/>
    <w:rsid w:val="00010367"/>
    <w:rsid w:val="0001038D"/>
    <w:rsid w:val="0001043F"/>
    <w:rsid w:val="0001055F"/>
    <w:rsid w:val="000105B7"/>
    <w:rsid w:val="00010620"/>
    <w:rsid w:val="000106FD"/>
    <w:rsid w:val="000108D3"/>
    <w:rsid w:val="0001097D"/>
    <w:rsid w:val="00010C60"/>
    <w:rsid w:val="00010C76"/>
    <w:rsid w:val="00011221"/>
    <w:rsid w:val="000112CE"/>
    <w:rsid w:val="00011422"/>
    <w:rsid w:val="000115E8"/>
    <w:rsid w:val="00011620"/>
    <w:rsid w:val="00011651"/>
    <w:rsid w:val="00011671"/>
    <w:rsid w:val="000117C5"/>
    <w:rsid w:val="0001187F"/>
    <w:rsid w:val="000119B9"/>
    <w:rsid w:val="00011A9D"/>
    <w:rsid w:val="00011B95"/>
    <w:rsid w:val="00011CF0"/>
    <w:rsid w:val="00011D0F"/>
    <w:rsid w:val="00011D23"/>
    <w:rsid w:val="00011D7F"/>
    <w:rsid w:val="00011DB4"/>
    <w:rsid w:val="00011DF1"/>
    <w:rsid w:val="00011E42"/>
    <w:rsid w:val="00011F6A"/>
    <w:rsid w:val="00012077"/>
    <w:rsid w:val="0001215D"/>
    <w:rsid w:val="0001223E"/>
    <w:rsid w:val="0001231F"/>
    <w:rsid w:val="00012448"/>
    <w:rsid w:val="00012465"/>
    <w:rsid w:val="0001248B"/>
    <w:rsid w:val="000125BC"/>
    <w:rsid w:val="0001264B"/>
    <w:rsid w:val="000126E3"/>
    <w:rsid w:val="00012788"/>
    <w:rsid w:val="000127BD"/>
    <w:rsid w:val="000128BE"/>
    <w:rsid w:val="0001293C"/>
    <w:rsid w:val="00012942"/>
    <w:rsid w:val="00012967"/>
    <w:rsid w:val="00012F4A"/>
    <w:rsid w:val="000130B6"/>
    <w:rsid w:val="000130F1"/>
    <w:rsid w:val="000131D1"/>
    <w:rsid w:val="00013405"/>
    <w:rsid w:val="000134DE"/>
    <w:rsid w:val="000135A6"/>
    <w:rsid w:val="000136D6"/>
    <w:rsid w:val="00013763"/>
    <w:rsid w:val="000137C5"/>
    <w:rsid w:val="00013895"/>
    <w:rsid w:val="000139F7"/>
    <w:rsid w:val="00013AB5"/>
    <w:rsid w:val="00013DDE"/>
    <w:rsid w:val="00013F5C"/>
    <w:rsid w:val="00013F62"/>
    <w:rsid w:val="00013FCD"/>
    <w:rsid w:val="00014168"/>
    <w:rsid w:val="0001416E"/>
    <w:rsid w:val="000141A3"/>
    <w:rsid w:val="0001422F"/>
    <w:rsid w:val="00014265"/>
    <w:rsid w:val="00014278"/>
    <w:rsid w:val="000143FC"/>
    <w:rsid w:val="000144BD"/>
    <w:rsid w:val="0001456E"/>
    <w:rsid w:val="000146B6"/>
    <w:rsid w:val="000146E9"/>
    <w:rsid w:val="00014870"/>
    <w:rsid w:val="0001499A"/>
    <w:rsid w:val="000149B8"/>
    <w:rsid w:val="00014A1D"/>
    <w:rsid w:val="00014AE6"/>
    <w:rsid w:val="00014B22"/>
    <w:rsid w:val="00014E50"/>
    <w:rsid w:val="00014EAC"/>
    <w:rsid w:val="00014FB1"/>
    <w:rsid w:val="00015227"/>
    <w:rsid w:val="00015319"/>
    <w:rsid w:val="000153EE"/>
    <w:rsid w:val="0001540E"/>
    <w:rsid w:val="0001546C"/>
    <w:rsid w:val="000154AC"/>
    <w:rsid w:val="000155DF"/>
    <w:rsid w:val="00015A07"/>
    <w:rsid w:val="00015AF6"/>
    <w:rsid w:val="00015B44"/>
    <w:rsid w:val="00015BBF"/>
    <w:rsid w:val="00015BDF"/>
    <w:rsid w:val="00015C1A"/>
    <w:rsid w:val="00015C3D"/>
    <w:rsid w:val="00015CB3"/>
    <w:rsid w:val="00015CC8"/>
    <w:rsid w:val="00015D7F"/>
    <w:rsid w:val="00015EC8"/>
    <w:rsid w:val="00015F06"/>
    <w:rsid w:val="0001601D"/>
    <w:rsid w:val="000160A7"/>
    <w:rsid w:val="000163D2"/>
    <w:rsid w:val="000163FB"/>
    <w:rsid w:val="0001641B"/>
    <w:rsid w:val="0001648B"/>
    <w:rsid w:val="000164C8"/>
    <w:rsid w:val="000166B0"/>
    <w:rsid w:val="00016806"/>
    <w:rsid w:val="00016A58"/>
    <w:rsid w:val="00016A5E"/>
    <w:rsid w:val="00016A6C"/>
    <w:rsid w:val="00016AD9"/>
    <w:rsid w:val="00016AFF"/>
    <w:rsid w:val="00016EB1"/>
    <w:rsid w:val="0001701C"/>
    <w:rsid w:val="00017028"/>
    <w:rsid w:val="000170A4"/>
    <w:rsid w:val="000170B4"/>
    <w:rsid w:val="00017129"/>
    <w:rsid w:val="000171F5"/>
    <w:rsid w:val="00017232"/>
    <w:rsid w:val="00017237"/>
    <w:rsid w:val="00017274"/>
    <w:rsid w:val="0001733A"/>
    <w:rsid w:val="000173B2"/>
    <w:rsid w:val="000173EB"/>
    <w:rsid w:val="00017796"/>
    <w:rsid w:val="00017AD6"/>
    <w:rsid w:val="00017CBA"/>
    <w:rsid w:val="00017D30"/>
    <w:rsid w:val="00017E10"/>
    <w:rsid w:val="00020024"/>
    <w:rsid w:val="00020053"/>
    <w:rsid w:val="0002005F"/>
    <w:rsid w:val="000201B3"/>
    <w:rsid w:val="00020231"/>
    <w:rsid w:val="000203A8"/>
    <w:rsid w:val="000203C7"/>
    <w:rsid w:val="00020560"/>
    <w:rsid w:val="00020574"/>
    <w:rsid w:val="00020643"/>
    <w:rsid w:val="00020663"/>
    <w:rsid w:val="000208AB"/>
    <w:rsid w:val="000208F1"/>
    <w:rsid w:val="00020942"/>
    <w:rsid w:val="00020988"/>
    <w:rsid w:val="00020A55"/>
    <w:rsid w:val="00020AC3"/>
    <w:rsid w:val="00020AC5"/>
    <w:rsid w:val="00020B2C"/>
    <w:rsid w:val="00020CBE"/>
    <w:rsid w:val="00020CE8"/>
    <w:rsid w:val="00020E3A"/>
    <w:rsid w:val="00020E41"/>
    <w:rsid w:val="00020E44"/>
    <w:rsid w:val="00020EF8"/>
    <w:rsid w:val="00020F36"/>
    <w:rsid w:val="00021103"/>
    <w:rsid w:val="00021219"/>
    <w:rsid w:val="0002123A"/>
    <w:rsid w:val="00021402"/>
    <w:rsid w:val="00021421"/>
    <w:rsid w:val="0002143F"/>
    <w:rsid w:val="00021565"/>
    <w:rsid w:val="000218D9"/>
    <w:rsid w:val="0002192A"/>
    <w:rsid w:val="00021B6D"/>
    <w:rsid w:val="00021D38"/>
    <w:rsid w:val="00021DAD"/>
    <w:rsid w:val="00021DB6"/>
    <w:rsid w:val="00021E20"/>
    <w:rsid w:val="00021E41"/>
    <w:rsid w:val="00022131"/>
    <w:rsid w:val="00022160"/>
    <w:rsid w:val="00022323"/>
    <w:rsid w:val="00022482"/>
    <w:rsid w:val="00022534"/>
    <w:rsid w:val="0002257C"/>
    <w:rsid w:val="0002259F"/>
    <w:rsid w:val="00022687"/>
    <w:rsid w:val="000226AC"/>
    <w:rsid w:val="000227E5"/>
    <w:rsid w:val="000227FF"/>
    <w:rsid w:val="00022809"/>
    <w:rsid w:val="00022813"/>
    <w:rsid w:val="0002283D"/>
    <w:rsid w:val="0002295E"/>
    <w:rsid w:val="00022B39"/>
    <w:rsid w:val="00022B46"/>
    <w:rsid w:val="00022ECC"/>
    <w:rsid w:val="00022FA4"/>
    <w:rsid w:val="00022FF9"/>
    <w:rsid w:val="0002300C"/>
    <w:rsid w:val="00023044"/>
    <w:rsid w:val="00023335"/>
    <w:rsid w:val="0002339A"/>
    <w:rsid w:val="000235FF"/>
    <w:rsid w:val="00023696"/>
    <w:rsid w:val="000236BE"/>
    <w:rsid w:val="0002370A"/>
    <w:rsid w:val="0002374B"/>
    <w:rsid w:val="00023873"/>
    <w:rsid w:val="00023898"/>
    <w:rsid w:val="00023942"/>
    <w:rsid w:val="00023962"/>
    <w:rsid w:val="00023AD8"/>
    <w:rsid w:val="00023B57"/>
    <w:rsid w:val="00023B93"/>
    <w:rsid w:val="00023CC0"/>
    <w:rsid w:val="00023F44"/>
    <w:rsid w:val="00023F7A"/>
    <w:rsid w:val="000241D6"/>
    <w:rsid w:val="00024288"/>
    <w:rsid w:val="0002453B"/>
    <w:rsid w:val="000248D7"/>
    <w:rsid w:val="00024944"/>
    <w:rsid w:val="00024B5D"/>
    <w:rsid w:val="00024DC6"/>
    <w:rsid w:val="00024EE5"/>
    <w:rsid w:val="00024FE4"/>
    <w:rsid w:val="00025053"/>
    <w:rsid w:val="0002509F"/>
    <w:rsid w:val="0002515D"/>
    <w:rsid w:val="00025170"/>
    <w:rsid w:val="00025191"/>
    <w:rsid w:val="000251F3"/>
    <w:rsid w:val="00025284"/>
    <w:rsid w:val="000252B8"/>
    <w:rsid w:val="00025305"/>
    <w:rsid w:val="0002531B"/>
    <w:rsid w:val="00025584"/>
    <w:rsid w:val="000258D3"/>
    <w:rsid w:val="000259CB"/>
    <w:rsid w:val="00025BE7"/>
    <w:rsid w:val="00025C4C"/>
    <w:rsid w:val="00025E70"/>
    <w:rsid w:val="00025E88"/>
    <w:rsid w:val="00025E98"/>
    <w:rsid w:val="00025EEC"/>
    <w:rsid w:val="00025FC3"/>
    <w:rsid w:val="0002625C"/>
    <w:rsid w:val="0002645A"/>
    <w:rsid w:val="00026527"/>
    <w:rsid w:val="00026713"/>
    <w:rsid w:val="000268C7"/>
    <w:rsid w:val="0002693C"/>
    <w:rsid w:val="00026964"/>
    <w:rsid w:val="000269A0"/>
    <w:rsid w:val="000269CC"/>
    <w:rsid w:val="00026E19"/>
    <w:rsid w:val="00026E3D"/>
    <w:rsid w:val="00026F48"/>
    <w:rsid w:val="000270B2"/>
    <w:rsid w:val="00027136"/>
    <w:rsid w:val="00027210"/>
    <w:rsid w:val="00027322"/>
    <w:rsid w:val="000273EF"/>
    <w:rsid w:val="00027721"/>
    <w:rsid w:val="00027A6E"/>
    <w:rsid w:val="00027AC3"/>
    <w:rsid w:val="00027C26"/>
    <w:rsid w:val="00027C54"/>
    <w:rsid w:val="00027E12"/>
    <w:rsid w:val="00027EA5"/>
    <w:rsid w:val="000301F1"/>
    <w:rsid w:val="0003023F"/>
    <w:rsid w:val="0003025E"/>
    <w:rsid w:val="000302B6"/>
    <w:rsid w:val="000304C9"/>
    <w:rsid w:val="000304FB"/>
    <w:rsid w:val="000305CE"/>
    <w:rsid w:val="00030634"/>
    <w:rsid w:val="000306CE"/>
    <w:rsid w:val="00030993"/>
    <w:rsid w:val="00030A79"/>
    <w:rsid w:val="00030AEF"/>
    <w:rsid w:val="00030BF9"/>
    <w:rsid w:val="00030C02"/>
    <w:rsid w:val="00030C69"/>
    <w:rsid w:val="00030CAC"/>
    <w:rsid w:val="00030D73"/>
    <w:rsid w:val="00030FFC"/>
    <w:rsid w:val="00031007"/>
    <w:rsid w:val="000310D1"/>
    <w:rsid w:val="0003110D"/>
    <w:rsid w:val="000311DA"/>
    <w:rsid w:val="000312A1"/>
    <w:rsid w:val="00031304"/>
    <w:rsid w:val="000313B5"/>
    <w:rsid w:val="00031518"/>
    <w:rsid w:val="00031667"/>
    <w:rsid w:val="000316B8"/>
    <w:rsid w:val="000316C5"/>
    <w:rsid w:val="0003179E"/>
    <w:rsid w:val="000318A1"/>
    <w:rsid w:val="000318BB"/>
    <w:rsid w:val="000318C9"/>
    <w:rsid w:val="0003198F"/>
    <w:rsid w:val="00031A90"/>
    <w:rsid w:val="00031AAB"/>
    <w:rsid w:val="00031B45"/>
    <w:rsid w:val="00031D46"/>
    <w:rsid w:val="00031F13"/>
    <w:rsid w:val="00032005"/>
    <w:rsid w:val="000321DD"/>
    <w:rsid w:val="000322EA"/>
    <w:rsid w:val="00032340"/>
    <w:rsid w:val="0003248B"/>
    <w:rsid w:val="00032500"/>
    <w:rsid w:val="0003250F"/>
    <w:rsid w:val="00032591"/>
    <w:rsid w:val="00032681"/>
    <w:rsid w:val="00032902"/>
    <w:rsid w:val="0003295F"/>
    <w:rsid w:val="00032B38"/>
    <w:rsid w:val="00032C46"/>
    <w:rsid w:val="00032C81"/>
    <w:rsid w:val="00032CFE"/>
    <w:rsid w:val="00032D1E"/>
    <w:rsid w:val="00032D7D"/>
    <w:rsid w:val="00032ECF"/>
    <w:rsid w:val="00032FD2"/>
    <w:rsid w:val="0003320C"/>
    <w:rsid w:val="00033331"/>
    <w:rsid w:val="000335D0"/>
    <w:rsid w:val="0003361E"/>
    <w:rsid w:val="0003373C"/>
    <w:rsid w:val="0003378B"/>
    <w:rsid w:val="000337A7"/>
    <w:rsid w:val="00033868"/>
    <w:rsid w:val="00033A1A"/>
    <w:rsid w:val="00033A83"/>
    <w:rsid w:val="00033AD4"/>
    <w:rsid w:val="00033AFE"/>
    <w:rsid w:val="00033C73"/>
    <w:rsid w:val="00033DBF"/>
    <w:rsid w:val="00033DD1"/>
    <w:rsid w:val="00033E40"/>
    <w:rsid w:val="00033EC0"/>
    <w:rsid w:val="00034080"/>
    <w:rsid w:val="0003412E"/>
    <w:rsid w:val="00034218"/>
    <w:rsid w:val="00034230"/>
    <w:rsid w:val="0003423E"/>
    <w:rsid w:val="00034266"/>
    <w:rsid w:val="00034287"/>
    <w:rsid w:val="00034356"/>
    <w:rsid w:val="0003437B"/>
    <w:rsid w:val="00034710"/>
    <w:rsid w:val="00034816"/>
    <w:rsid w:val="0003489C"/>
    <w:rsid w:val="00034986"/>
    <w:rsid w:val="000349AA"/>
    <w:rsid w:val="00034A3D"/>
    <w:rsid w:val="00034A64"/>
    <w:rsid w:val="00034B36"/>
    <w:rsid w:val="00034B8A"/>
    <w:rsid w:val="00034E67"/>
    <w:rsid w:val="0003510A"/>
    <w:rsid w:val="00035183"/>
    <w:rsid w:val="000355D0"/>
    <w:rsid w:val="00035691"/>
    <w:rsid w:val="000356BA"/>
    <w:rsid w:val="000358AA"/>
    <w:rsid w:val="00035A3B"/>
    <w:rsid w:val="00035D2D"/>
    <w:rsid w:val="00035D72"/>
    <w:rsid w:val="00035F28"/>
    <w:rsid w:val="00035F31"/>
    <w:rsid w:val="00035F96"/>
    <w:rsid w:val="00035FAD"/>
    <w:rsid w:val="00036010"/>
    <w:rsid w:val="00036050"/>
    <w:rsid w:val="000360C0"/>
    <w:rsid w:val="000360D4"/>
    <w:rsid w:val="00036108"/>
    <w:rsid w:val="000361DE"/>
    <w:rsid w:val="00036378"/>
    <w:rsid w:val="0003638B"/>
    <w:rsid w:val="000364AA"/>
    <w:rsid w:val="000364BE"/>
    <w:rsid w:val="0003666F"/>
    <w:rsid w:val="000367A5"/>
    <w:rsid w:val="00036838"/>
    <w:rsid w:val="00036875"/>
    <w:rsid w:val="00036894"/>
    <w:rsid w:val="000368AE"/>
    <w:rsid w:val="00036A8E"/>
    <w:rsid w:val="00036DA1"/>
    <w:rsid w:val="00036E0A"/>
    <w:rsid w:val="00036EE5"/>
    <w:rsid w:val="000370DD"/>
    <w:rsid w:val="0003738F"/>
    <w:rsid w:val="000375C9"/>
    <w:rsid w:val="000375D7"/>
    <w:rsid w:val="0003783C"/>
    <w:rsid w:val="0003787B"/>
    <w:rsid w:val="000378F0"/>
    <w:rsid w:val="00037A8E"/>
    <w:rsid w:val="00037BE7"/>
    <w:rsid w:val="00037C90"/>
    <w:rsid w:val="00037D0A"/>
    <w:rsid w:val="00037DA7"/>
    <w:rsid w:val="00037E52"/>
    <w:rsid w:val="00037E99"/>
    <w:rsid w:val="00037F02"/>
    <w:rsid w:val="00037F05"/>
    <w:rsid w:val="00037F1E"/>
    <w:rsid w:val="00037F33"/>
    <w:rsid w:val="00037FB5"/>
    <w:rsid w:val="00040070"/>
    <w:rsid w:val="00040106"/>
    <w:rsid w:val="0004018A"/>
    <w:rsid w:val="0004035F"/>
    <w:rsid w:val="0004039F"/>
    <w:rsid w:val="000403EC"/>
    <w:rsid w:val="00040430"/>
    <w:rsid w:val="000404F0"/>
    <w:rsid w:val="000406CE"/>
    <w:rsid w:val="0004086A"/>
    <w:rsid w:val="0004090E"/>
    <w:rsid w:val="0004094D"/>
    <w:rsid w:val="00040A2A"/>
    <w:rsid w:val="00040B1A"/>
    <w:rsid w:val="00040CEE"/>
    <w:rsid w:val="00040E15"/>
    <w:rsid w:val="00040E86"/>
    <w:rsid w:val="00040EBE"/>
    <w:rsid w:val="00040F23"/>
    <w:rsid w:val="000410DD"/>
    <w:rsid w:val="000411FB"/>
    <w:rsid w:val="00041260"/>
    <w:rsid w:val="000413BF"/>
    <w:rsid w:val="0004147E"/>
    <w:rsid w:val="000415D0"/>
    <w:rsid w:val="00041758"/>
    <w:rsid w:val="00041814"/>
    <w:rsid w:val="0004191B"/>
    <w:rsid w:val="000419E1"/>
    <w:rsid w:val="00041A2C"/>
    <w:rsid w:val="00041B69"/>
    <w:rsid w:val="00041D7B"/>
    <w:rsid w:val="00041D7F"/>
    <w:rsid w:val="00041ECB"/>
    <w:rsid w:val="00042073"/>
    <w:rsid w:val="00042087"/>
    <w:rsid w:val="0004220B"/>
    <w:rsid w:val="00042299"/>
    <w:rsid w:val="000422E6"/>
    <w:rsid w:val="0004242B"/>
    <w:rsid w:val="000424B9"/>
    <w:rsid w:val="000424DD"/>
    <w:rsid w:val="000426AB"/>
    <w:rsid w:val="00042717"/>
    <w:rsid w:val="000427A6"/>
    <w:rsid w:val="00042835"/>
    <w:rsid w:val="0004283F"/>
    <w:rsid w:val="00042867"/>
    <w:rsid w:val="000428A0"/>
    <w:rsid w:val="000428A1"/>
    <w:rsid w:val="00042AF2"/>
    <w:rsid w:val="00042AFB"/>
    <w:rsid w:val="00042B63"/>
    <w:rsid w:val="00042D7E"/>
    <w:rsid w:val="00042DBC"/>
    <w:rsid w:val="000431C1"/>
    <w:rsid w:val="00043217"/>
    <w:rsid w:val="0004322B"/>
    <w:rsid w:val="00043255"/>
    <w:rsid w:val="000432A7"/>
    <w:rsid w:val="000432B9"/>
    <w:rsid w:val="00043452"/>
    <w:rsid w:val="0004349E"/>
    <w:rsid w:val="000434E7"/>
    <w:rsid w:val="0004356F"/>
    <w:rsid w:val="000435F5"/>
    <w:rsid w:val="000437D7"/>
    <w:rsid w:val="000437F3"/>
    <w:rsid w:val="0004389F"/>
    <w:rsid w:val="00043980"/>
    <w:rsid w:val="00043B95"/>
    <w:rsid w:val="00043BEA"/>
    <w:rsid w:val="00043C38"/>
    <w:rsid w:val="00043CD9"/>
    <w:rsid w:val="00043CF0"/>
    <w:rsid w:val="00043CF4"/>
    <w:rsid w:val="00043CF7"/>
    <w:rsid w:val="00043F0E"/>
    <w:rsid w:val="00043F75"/>
    <w:rsid w:val="0004418A"/>
    <w:rsid w:val="000442E1"/>
    <w:rsid w:val="0004430B"/>
    <w:rsid w:val="000443B1"/>
    <w:rsid w:val="00044496"/>
    <w:rsid w:val="00044504"/>
    <w:rsid w:val="000448F8"/>
    <w:rsid w:val="00044A16"/>
    <w:rsid w:val="00044A9F"/>
    <w:rsid w:val="00044B5C"/>
    <w:rsid w:val="00044CBD"/>
    <w:rsid w:val="00044D82"/>
    <w:rsid w:val="00044DBF"/>
    <w:rsid w:val="00044E03"/>
    <w:rsid w:val="00044E29"/>
    <w:rsid w:val="00044F14"/>
    <w:rsid w:val="00045064"/>
    <w:rsid w:val="00045086"/>
    <w:rsid w:val="00045173"/>
    <w:rsid w:val="0004527D"/>
    <w:rsid w:val="000452A5"/>
    <w:rsid w:val="000453D3"/>
    <w:rsid w:val="000457C5"/>
    <w:rsid w:val="000458BB"/>
    <w:rsid w:val="000459A0"/>
    <w:rsid w:val="000459B6"/>
    <w:rsid w:val="00045ADF"/>
    <w:rsid w:val="00045CC7"/>
    <w:rsid w:val="00045E50"/>
    <w:rsid w:val="00045ED0"/>
    <w:rsid w:val="00045F2D"/>
    <w:rsid w:val="00046005"/>
    <w:rsid w:val="00046038"/>
    <w:rsid w:val="0004632E"/>
    <w:rsid w:val="00046508"/>
    <w:rsid w:val="0004656D"/>
    <w:rsid w:val="00046602"/>
    <w:rsid w:val="000466AD"/>
    <w:rsid w:val="000466D6"/>
    <w:rsid w:val="00046816"/>
    <w:rsid w:val="0004684F"/>
    <w:rsid w:val="0004687A"/>
    <w:rsid w:val="00046AD9"/>
    <w:rsid w:val="00046BBE"/>
    <w:rsid w:val="00046BFA"/>
    <w:rsid w:val="00046D58"/>
    <w:rsid w:val="00046D9A"/>
    <w:rsid w:val="00047025"/>
    <w:rsid w:val="000471F3"/>
    <w:rsid w:val="000472E5"/>
    <w:rsid w:val="000473BA"/>
    <w:rsid w:val="000474E9"/>
    <w:rsid w:val="0004766B"/>
    <w:rsid w:val="00047684"/>
    <w:rsid w:val="00047685"/>
    <w:rsid w:val="000476DD"/>
    <w:rsid w:val="00047979"/>
    <w:rsid w:val="00047AB0"/>
    <w:rsid w:val="00047BFB"/>
    <w:rsid w:val="00047CF7"/>
    <w:rsid w:val="00047D72"/>
    <w:rsid w:val="00047DA0"/>
    <w:rsid w:val="00047E2C"/>
    <w:rsid w:val="00047F64"/>
    <w:rsid w:val="00047F6C"/>
    <w:rsid w:val="00050017"/>
    <w:rsid w:val="00050034"/>
    <w:rsid w:val="000500DC"/>
    <w:rsid w:val="000504EF"/>
    <w:rsid w:val="00050636"/>
    <w:rsid w:val="00050943"/>
    <w:rsid w:val="000509C1"/>
    <w:rsid w:val="00050A2E"/>
    <w:rsid w:val="00050A51"/>
    <w:rsid w:val="00050BBC"/>
    <w:rsid w:val="00050BDA"/>
    <w:rsid w:val="00050D69"/>
    <w:rsid w:val="00050E72"/>
    <w:rsid w:val="00050E8D"/>
    <w:rsid w:val="00050F92"/>
    <w:rsid w:val="000511DB"/>
    <w:rsid w:val="000511DC"/>
    <w:rsid w:val="00051216"/>
    <w:rsid w:val="000514C3"/>
    <w:rsid w:val="00051645"/>
    <w:rsid w:val="000517F6"/>
    <w:rsid w:val="000518A3"/>
    <w:rsid w:val="00051A0C"/>
    <w:rsid w:val="00051B37"/>
    <w:rsid w:val="00051CB7"/>
    <w:rsid w:val="00051D89"/>
    <w:rsid w:val="00051E3C"/>
    <w:rsid w:val="00051E4D"/>
    <w:rsid w:val="00051F21"/>
    <w:rsid w:val="0005200A"/>
    <w:rsid w:val="00052053"/>
    <w:rsid w:val="000521D1"/>
    <w:rsid w:val="000521F5"/>
    <w:rsid w:val="000522EC"/>
    <w:rsid w:val="00052388"/>
    <w:rsid w:val="0005248F"/>
    <w:rsid w:val="00052509"/>
    <w:rsid w:val="000525B5"/>
    <w:rsid w:val="00052672"/>
    <w:rsid w:val="00052732"/>
    <w:rsid w:val="000527AC"/>
    <w:rsid w:val="000527E8"/>
    <w:rsid w:val="000529B5"/>
    <w:rsid w:val="00052A4F"/>
    <w:rsid w:val="00052BD8"/>
    <w:rsid w:val="00053133"/>
    <w:rsid w:val="000532AD"/>
    <w:rsid w:val="00053355"/>
    <w:rsid w:val="0005337B"/>
    <w:rsid w:val="00053389"/>
    <w:rsid w:val="00053715"/>
    <w:rsid w:val="00053740"/>
    <w:rsid w:val="000537E8"/>
    <w:rsid w:val="0005396C"/>
    <w:rsid w:val="0005396F"/>
    <w:rsid w:val="000539DE"/>
    <w:rsid w:val="00053AAA"/>
    <w:rsid w:val="00054042"/>
    <w:rsid w:val="0005407E"/>
    <w:rsid w:val="000540F5"/>
    <w:rsid w:val="00054164"/>
    <w:rsid w:val="00054311"/>
    <w:rsid w:val="00054398"/>
    <w:rsid w:val="00054746"/>
    <w:rsid w:val="000548A2"/>
    <w:rsid w:val="000548DC"/>
    <w:rsid w:val="00054979"/>
    <w:rsid w:val="00054A25"/>
    <w:rsid w:val="00054AA5"/>
    <w:rsid w:val="00054CDA"/>
    <w:rsid w:val="00054DAC"/>
    <w:rsid w:val="00054E6F"/>
    <w:rsid w:val="00054ED6"/>
    <w:rsid w:val="00054F08"/>
    <w:rsid w:val="00054F5B"/>
    <w:rsid w:val="00054FB6"/>
    <w:rsid w:val="00055035"/>
    <w:rsid w:val="000550BF"/>
    <w:rsid w:val="00055173"/>
    <w:rsid w:val="00055347"/>
    <w:rsid w:val="0005535B"/>
    <w:rsid w:val="0005544B"/>
    <w:rsid w:val="00055454"/>
    <w:rsid w:val="000554AC"/>
    <w:rsid w:val="00055670"/>
    <w:rsid w:val="000557C5"/>
    <w:rsid w:val="0005587A"/>
    <w:rsid w:val="000558EB"/>
    <w:rsid w:val="00055B12"/>
    <w:rsid w:val="00055C09"/>
    <w:rsid w:val="00055C35"/>
    <w:rsid w:val="00055D46"/>
    <w:rsid w:val="00055D57"/>
    <w:rsid w:val="00055D68"/>
    <w:rsid w:val="00056067"/>
    <w:rsid w:val="000560BA"/>
    <w:rsid w:val="00056180"/>
    <w:rsid w:val="000561F0"/>
    <w:rsid w:val="000561F6"/>
    <w:rsid w:val="00056285"/>
    <w:rsid w:val="000562DB"/>
    <w:rsid w:val="00056555"/>
    <w:rsid w:val="000565A5"/>
    <w:rsid w:val="000566C3"/>
    <w:rsid w:val="00056961"/>
    <w:rsid w:val="000569DB"/>
    <w:rsid w:val="00056C5C"/>
    <w:rsid w:val="00056D1A"/>
    <w:rsid w:val="00056DF6"/>
    <w:rsid w:val="00056E56"/>
    <w:rsid w:val="00056EA3"/>
    <w:rsid w:val="00057109"/>
    <w:rsid w:val="0005719A"/>
    <w:rsid w:val="000573FA"/>
    <w:rsid w:val="000574AC"/>
    <w:rsid w:val="000574C0"/>
    <w:rsid w:val="000574C7"/>
    <w:rsid w:val="0005752C"/>
    <w:rsid w:val="000579AA"/>
    <w:rsid w:val="00057B1E"/>
    <w:rsid w:val="00057BAA"/>
    <w:rsid w:val="00057C18"/>
    <w:rsid w:val="00057C6C"/>
    <w:rsid w:val="00057E03"/>
    <w:rsid w:val="00057FC1"/>
    <w:rsid w:val="00060141"/>
    <w:rsid w:val="0006020D"/>
    <w:rsid w:val="0006044E"/>
    <w:rsid w:val="0006055F"/>
    <w:rsid w:val="000606A6"/>
    <w:rsid w:val="000606D9"/>
    <w:rsid w:val="000607DE"/>
    <w:rsid w:val="00060819"/>
    <w:rsid w:val="000608BC"/>
    <w:rsid w:val="000608E5"/>
    <w:rsid w:val="00060928"/>
    <w:rsid w:val="00060A29"/>
    <w:rsid w:val="00060BF8"/>
    <w:rsid w:val="00060C39"/>
    <w:rsid w:val="00060D4C"/>
    <w:rsid w:val="00060D7E"/>
    <w:rsid w:val="00060D9F"/>
    <w:rsid w:val="00060E1A"/>
    <w:rsid w:val="00060E6F"/>
    <w:rsid w:val="00060EAF"/>
    <w:rsid w:val="00060F38"/>
    <w:rsid w:val="00061086"/>
    <w:rsid w:val="00061106"/>
    <w:rsid w:val="00061118"/>
    <w:rsid w:val="0006115F"/>
    <w:rsid w:val="0006117F"/>
    <w:rsid w:val="00061285"/>
    <w:rsid w:val="0006129C"/>
    <w:rsid w:val="0006130D"/>
    <w:rsid w:val="00061389"/>
    <w:rsid w:val="000614C1"/>
    <w:rsid w:val="000614ED"/>
    <w:rsid w:val="00061507"/>
    <w:rsid w:val="00061659"/>
    <w:rsid w:val="00061702"/>
    <w:rsid w:val="0006190E"/>
    <w:rsid w:val="0006198F"/>
    <w:rsid w:val="00061A34"/>
    <w:rsid w:val="00061A77"/>
    <w:rsid w:val="00061A92"/>
    <w:rsid w:val="00061B1B"/>
    <w:rsid w:val="00061B1F"/>
    <w:rsid w:val="00061BC3"/>
    <w:rsid w:val="00061D06"/>
    <w:rsid w:val="00061ECC"/>
    <w:rsid w:val="00061F98"/>
    <w:rsid w:val="00062028"/>
    <w:rsid w:val="00062031"/>
    <w:rsid w:val="00062247"/>
    <w:rsid w:val="00062365"/>
    <w:rsid w:val="00062468"/>
    <w:rsid w:val="000625AE"/>
    <w:rsid w:val="00062651"/>
    <w:rsid w:val="000626A3"/>
    <w:rsid w:val="00062732"/>
    <w:rsid w:val="000627CE"/>
    <w:rsid w:val="00062835"/>
    <w:rsid w:val="0006287F"/>
    <w:rsid w:val="00062B4C"/>
    <w:rsid w:val="00062B9E"/>
    <w:rsid w:val="00062BA8"/>
    <w:rsid w:val="00062CA6"/>
    <w:rsid w:val="00062DB0"/>
    <w:rsid w:val="00062EA0"/>
    <w:rsid w:val="00063216"/>
    <w:rsid w:val="000632F5"/>
    <w:rsid w:val="00063304"/>
    <w:rsid w:val="0006343E"/>
    <w:rsid w:val="00063551"/>
    <w:rsid w:val="00063684"/>
    <w:rsid w:val="000637DC"/>
    <w:rsid w:val="0006393F"/>
    <w:rsid w:val="00063B45"/>
    <w:rsid w:val="00063C2F"/>
    <w:rsid w:val="00063E7F"/>
    <w:rsid w:val="00063E9E"/>
    <w:rsid w:val="00063ED7"/>
    <w:rsid w:val="00063F3F"/>
    <w:rsid w:val="00064062"/>
    <w:rsid w:val="0006411A"/>
    <w:rsid w:val="00064140"/>
    <w:rsid w:val="000641BB"/>
    <w:rsid w:val="00064205"/>
    <w:rsid w:val="0006443D"/>
    <w:rsid w:val="0006444B"/>
    <w:rsid w:val="0006451C"/>
    <w:rsid w:val="0006456A"/>
    <w:rsid w:val="0006460F"/>
    <w:rsid w:val="00064679"/>
    <w:rsid w:val="0006467F"/>
    <w:rsid w:val="000646E2"/>
    <w:rsid w:val="00064761"/>
    <w:rsid w:val="0006481A"/>
    <w:rsid w:val="00064871"/>
    <w:rsid w:val="000648F7"/>
    <w:rsid w:val="00064924"/>
    <w:rsid w:val="00064A4D"/>
    <w:rsid w:val="00064C0B"/>
    <w:rsid w:val="00064CF6"/>
    <w:rsid w:val="00064DDD"/>
    <w:rsid w:val="00064FB1"/>
    <w:rsid w:val="00064FD9"/>
    <w:rsid w:val="00065130"/>
    <w:rsid w:val="00065171"/>
    <w:rsid w:val="00065200"/>
    <w:rsid w:val="00065471"/>
    <w:rsid w:val="0006547B"/>
    <w:rsid w:val="000654F7"/>
    <w:rsid w:val="000655EA"/>
    <w:rsid w:val="0006561A"/>
    <w:rsid w:val="00065683"/>
    <w:rsid w:val="000656CD"/>
    <w:rsid w:val="00065739"/>
    <w:rsid w:val="00065790"/>
    <w:rsid w:val="00065AA5"/>
    <w:rsid w:val="00065AE4"/>
    <w:rsid w:val="00065BCA"/>
    <w:rsid w:val="00065C7E"/>
    <w:rsid w:val="00065D07"/>
    <w:rsid w:val="00065DFC"/>
    <w:rsid w:val="00065EBE"/>
    <w:rsid w:val="00065F19"/>
    <w:rsid w:val="00065F65"/>
    <w:rsid w:val="0006602D"/>
    <w:rsid w:val="000660BC"/>
    <w:rsid w:val="00066396"/>
    <w:rsid w:val="000663EC"/>
    <w:rsid w:val="0006645F"/>
    <w:rsid w:val="00066478"/>
    <w:rsid w:val="0006648E"/>
    <w:rsid w:val="000664BB"/>
    <w:rsid w:val="00066541"/>
    <w:rsid w:val="00066545"/>
    <w:rsid w:val="00066570"/>
    <w:rsid w:val="000665AF"/>
    <w:rsid w:val="000665E3"/>
    <w:rsid w:val="00066691"/>
    <w:rsid w:val="000666E5"/>
    <w:rsid w:val="00066812"/>
    <w:rsid w:val="000668A5"/>
    <w:rsid w:val="000668D3"/>
    <w:rsid w:val="0006693F"/>
    <w:rsid w:val="00066942"/>
    <w:rsid w:val="000669AA"/>
    <w:rsid w:val="00066A81"/>
    <w:rsid w:val="00066ADC"/>
    <w:rsid w:val="00066B3C"/>
    <w:rsid w:val="00066F0E"/>
    <w:rsid w:val="00067021"/>
    <w:rsid w:val="00067084"/>
    <w:rsid w:val="0006713B"/>
    <w:rsid w:val="00067270"/>
    <w:rsid w:val="000672F5"/>
    <w:rsid w:val="000672FE"/>
    <w:rsid w:val="000673A3"/>
    <w:rsid w:val="000675CE"/>
    <w:rsid w:val="000675E2"/>
    <w:rsid w:val="00067621"/>
    <w:rsid w:val="0006773E"/>
    <w:rsid w:val="000677A3"/>
    <w:rsid w:val="000678E9"/>
    <w:rsid w:val="00067B15"/>
    <w:rsid w:val="00067C16"/>
    <w:rsid w:val="00067C19"/>
    <w:rsid w:val="00067DA6"/>
    <w:rsid w:val="00067DE0"/>
    <w:rsid w:val="00067EAE"/>
    <w:rsid w:val="00067EF2"/>
    <w:rsid w:val="00067F3A"/>
    <w:rsid w:val="00070042"/>
    <w:rsid w:val="000701C6"/>
    <w:rsid w:val="000701DA"/>
    <w:rsid w:val="000701F0"/>
    <w:rsid w:val="00070298"/>
    <w:rsid w:val="00070458"/>
    <w:rsid w:val="000704A4"/>
    <w:rsid w:val="0007052D"/>
    <w:rsid w:val="0007061D"/>
    <w:rsid w:val="000706EC"/>
    <w:rsid w:val="00070757"/>
    <w:rsid w:val="000707ED"/>
    <w:rsid w:val="00070B54"/>
    <w:rsid w:val="00070C35"/>
    <w:rsid w:val="00070C7B"/>
    <w:rsid w:val="00070CB0"/>
    <w:rsid w:val="00070D13"/>
    <w:rsid w:val="00070DB3"/>
    <w:rsid w:val="00070E49"/>
    <w:rsid w:val="00070EFE"/>
    <w:rsid w:val="00070F3B"/>
    <w:rsid w:val="00070F79"/>
    <w:rsid w:val="00071009"/>
    <w:rsid w:val="0007100D"/>
    <w:rsid w:val="0007106E"/>
    <w:rsid w:val="000711CC"/>
    <w:rsid w:val="0007122F"/>
    <w:rsid w:val="000712BC"/>
    <w:rsid w:val="000712CC"/>
    <w:rsid w:val="000712EA"/>
    <w:rsid w:val="00071348"/>
    <w:rsid w:val="00071427"/>
    <w:rsid w:val="000714D3"/>
    <w:rsid w:val="00071534"/>
    <w:rsid w:val="00071549"/>
    <w:rsid w:val="0007170E"/>
    <w:rsid w:val="000717D1"/>
    <w:rsid w:val="00071814"/>
    <w:rsid w:val="00071A3B"/>
    <w:rsid w:val="00071AE0"/>
    <w:rsid w:val="00071AEA"/>
    <w:rsid w:val="00071B47"/>
    <w:rsid w:val="00071B8E"/>
    <w:rsid w:val="00071C6A"/>
    <w:rsid w:val="00071E05"/>
    <w:rsid w:val="00071FD4"/>
    <w:rsid w:val="00072180"/>
    <w:rsid w:val="000722E3"/>
    <w:rsid w:val="0007256A"/>
    <w:rsid w:val="000726F0"/>
    <w:rsid w:val="0007275E"/>
    <w:rsid w:val="000727A5"/>
    <w:rsid w:val="000727C1"/>
    <w:rsid w:val="00072896"/>
    <w:rsid w:val="000728AA"/>
    <w:rsid w:val="000728B2"/>
    <w:rsid w:val="00072A6B"/>
    <w:rsid w:val="00072BAE"/>
    <w:rsid w:val="00072C11"/>
    <w:rsid w:val="00072E3C"/>
    <w:rsid w:val="00072E49"/>
    <w:rsid w:val="000730A1"/>
    <w:rsid w:val="000730A7"/>
    <w:rsid w:val="0007319B"/>
    <w:rsid w:val="000731C7"/>
    <w:rsid w:val="0007320B"/>
    <w:rsid w:val="000732F4"/>
    <w:rsid w:val="00073400"/>
    <w:rsid w:val="0007340D"/>
    <w:rsid w:val="0007359B"/>
    <w:rsid w:val="0007368F"/>
    <w:rsid w:val="000736C1"/>
    <w:rsid w:val="000736E2"/>
    <w:rsid w:val="00073757"/>
    <w:rsid w:val="0007387E"/>
    <w:rsid w:val="00073952"/>
    <w:rsid w:val="000739B4"/>
    <w:rsid w:val="00073AAE"/>
    <w:rsid w:val="00073AC2"/>
    <w:rsid w:val="00073B1C"/>
    <w:rsid w:val="00073B23"/>
    <w:rsid w:val="00073BD0"/>
    <w:rsid w:val="00073BDC"/>
    <w:rsid w:val="00073C2E"/>
    <w:rsid w:val="00073E65"/>
    <w:rsid w:val="00073FF3"/>
    <w:rsid w:val="00074463"/>
    <w:rsid w:val="000744A7"/>
    <w:rsid w:val="000745F9"/>
    <w:rsid w:val="00074619"/>
    <w:rsid w:val="000746B4"/>
    <w:rsid w:val="00074864"/>
    <w:rsid w:val="000748B1"/>
    <w:rsid w:val="00074A77"/>
    <w:rsid w:val="00074A9B"/>
    <w:rsid w:val="00074AA4"/>
    <w:rsid w:val="00074DDE"/>
    <w:rsid w:val="00074E62"/>
    <w:rsid w:val="000752D5"/>
    <w:rsid w:val="00075483"/>
    <w:rsid w:val="00075549"/>
    <w:rsid w:val="00075552"/>
    <w:rsid w:val="0007562E"/>
    <w:rsid w:val="000757A5"/>
    <w:rsid w:val="00075847"/>
    <w:rsid w:val="0007586F"/>
    <w:rsid w:val="00075CB6"/>
    <w:rsid w:val="00075CB8"/>
    <w:rsid w:val="00075D65"/>
    <w:rsid w:val="00075EC6"/>
    <w:rsid w:val="00075F2A"/>
    <w:rsid w:val="00076100"/>
    <w:rsid w:val="00076225"/>
    <w:rsid w:val="000762E7"/>
    <w:rsid w:val="000766A7"/>
    <w:rsid w:val="00076757"/>
    <w:rsid w:val="00076780"/>
    <w:rsid w:val="000769B9"/>
    <w:rsid w:val="000769D0"/>
    <w:rsid w:val="00076A8F"/>
    <w:rsid w:val="00076AB1"/>
    <w:rsid w:val="00076ADA"/>
    <w:rsid w:val="00076B8A"/>
    <w:rsid w:val="00076CE9"/>
    <w:rsid w:val="00076F18"/>
    <w:rsid w:val="00076F44"/>
    <w:rsid w:val="00076F58"/>
    <w:rsid w:val="000770B4"/>
    <w:rsid w:val="000770FF"/>
    <w:rsid w:val="000772B4"/>
    <w:rsid w:val="000773F3"/>
    <w:rsid w:val="00077412"/>
    <w:rsid w:val="0007756A"/>
    <w:rsid w:val="0007764C"/>
    <w:rsid w:val="000777F2"/>
    <w:rsid w:val="0007782F"/>
    <w:rsid w:val="000778CB"/>
    <w:rsid w:val="00077AA5"/>
    <w:rsid w:val="00077BBA"/>
    <w:rsid w:val="00077CBD"/>
    <w:rsid w:val="00077CCB"/>
    <w:rsid w:val="00077D46"/>
    <w:rsid w:val="00077EAE"/>
    <w:rsid w:val="00077F29"/>
    <w:rsid w:val="00077F3E"/>
    <w:rsid w:val="000800EB"/>
    <w:rsid w:val="000801B8"/>
    <w:rsid w:val="00080224"/>
    <w:rsid w:val="000802B0"/>
    <w:rsid w:val="0008047E"/>
    <w:rsid w:val="000804AA"/>
    <w:rsid w:val="000804D7"/>
    <w:rsid w:val="000805CB"/>
    <w:rsid w:val="00080925"/>
    <w:rsid w:val="00080AB0"/>
    <w:rsid w:val="00080CCE"/>
    <w:rsid w:val="00080D7E"/>
    <w:rsid w:val="00080ECD"/>
    <w:rsid w:val="000810DB"/>
    <w:rsid w:val="000811A9"/>
    <w:rsid w:val="000813D8"/>
    <w:rsid w:val="000813DD"/>
    <w:rsid w:val="00081435"/>
    <w:rsid w:val="0008169F"/>
    <w:rsid w:val="000817D0"/>
    <w:rsid w:val="00081860"/>
    <w:rsid w:val="000818DA"/>
    <w:rsid w:val="000819F1"/>
    <w:rsid w:val="00081A88"/>
    <w:rsid w:val="00081AB6"/>
    <w:rsid w:val="00081B2C"/>
    <w:rsid w:val="00081EAD"/>
    <w:rsid w:val="00081EEF"/>
    <w:rsid w:val="00081F50"/>
    <w:rsid w:val="00081F54"/>
    <w:rsid w:val="00081FF0"/>
    <w:rsid w:val="00082169"/>
    <w:rsid w:val="0008216E"/>
    <w:rsid w:val="00082338"/>
    <w:rsid w:val="0008239A"/>
    <w:rsid w:val="0008250A"/>
    <w:rsid w:val="0008259D"/>
    <w:rsid w:val="00082627"/>
    <w:rsid w:val="000828AE"/>
    <w:rsid w:val="00082BFF"/>
    <w:rsid w:val="00082E14"/>
    <w:rsid w:val="00082E53"/>
    <w:rsid w:val="00082E64"/>
    <w:rsid w:val="00082EBE"/>
    <w:rsid w:val="00082F35"/>
    <w:rsid w:val="00083158"/>
    <w:rsid w:val="000831AE"/>
    <w:rsid w:val="00083211"/>
    <w:rsid w:val="000835DF"/>
    <w:rsid w:val="0008367F"/>
    <w:rsid w:val="000837E9"/>
    <w:rsid w:val="00083873"/>
    <w:rsid w:val="00083968"/>
    <w:rsid w:val="00083977"/>
    <w:rsid w:val="00083AB3"/>
    <w:rsid w:val="00083C0A"/>
    <w:rsid w:val="00083C21"/>
    <w:rsid w:val="00083CBD"/>
    <w:rsid w:val="00083DD9"/>
    <w:rsid w:val="00083E35"/>
    <w:rsid w:val="00083E9D"/>
    <w:rsid w:val="00084151"/>
    <w:rsid w:val="000842F0"/>
    <w:rsid w:val="000843E0"/>
    <w:rsid w:val="0008488A"/>
    <w:rsid w:val="000849B2"/>
    <w:rsid w:val="000849DC"/>
    <w:rsid w:val="00084B48"/>
    <w:rsid w:val="00084B61"/>
    <w:rsid w:val="00084BF9"/>
    <w:rsid w:val="00084D36"/>
    <w:rsid w:val="00084E6D"/>
    <w:rsid w:val="00084E9E"/>
    <w:rsid w:val="00084F85"/>
    <w:rsid w:val="0008535E"/>
    <w:rsid w:val="00085396"/>
    <w:rsid w:val="00085466"/>
    <w:rsid w:val="000854B2"/>
    <w:rsid w:val="000854C5"/>
    <w:rsid w:val="0008550B"/>
    <w:rsid w:val="00085639"/>
    <w:rsid w:val="0008566B"/>
    <w:rsid w:val="000856B3"/>
    <w:rsid w:val="0008581F"/>
    <w:rsid w:val="00085838"/>
    <w:rsid w:val="00085917"/>
    <w:rsid w:val="00085981"/>
    <w:rsid w:val="00085BB6"/>
    <w:rsid w:val="00085BFA"/>
    <w:rsid w:val="00085C6F"/>
    <w:rsid w:val="00085CCB"/>
    <w:rsid w:val="00085EB7"/>
    <w:rsid w:val="00085ED5"/>
    <w:rsid w:val="00085F54"/>
    <w:rsid w:val="00085FD1"/>
    <w:rsid w:val="00086040"/>
    <w:rsid w:val="00086221"/>
    <w:rsid w:val="00086330"/>
    <w:rsid w:val="00086476"/>
    <w:rsid w:val="00086567"/>
    <w:rsid w:val="00086699"/>
    <w:rsid w:val="0008669E"/>
    <w:rsid w:val="00086722"/>
    <w:rsid w:val="000867A3"/>
    <w:rsid w:val="000867BE"/>
    <w:rsid w:val="00086883"/>
    <w:rsid w:val="00086993"/>
    <w:rsid w:val="00086C19"/>
    <w:rsid w:val="00086C77"/>
    <w:rsid w:val="00086EA6"/>
    <w:rsid w:val="00086EEE"/>
    <w:rsid w:val="00087142"/>
    <w:rsid w:val="000871DE"/>
    <w:rsid w:val="000873C9"/>
    <w:rsid w:val="00087493"/>
    <w:rsid w:val="000874F1"/>
    <w:rsid w:val="00087629"/>
    <w:rsid w:val="000876A0"/>
    <w:rsid w:val="000876D8"/>
    <w:rsid w:val="00087722"/>
    <w:rsid w:val="000877A8"/>
    <w:rsid w:val="00087850"/>
    <w:rsid w:val="00087889"/>
    <w:rsid w:val="00087986"/>
    <w:rsid w:val="00087C51"/>
    <w:rsid w:val="00087D02"/>
    <w:rsid w:val="00087D52"/>
    <w:rsid w:val="00087D62"/>
    <w:rsid w:val="00087F37"/>
    <w:rsid w:val="0009001E"/>
    <w:rsid w:val="0009002E"/>
    <w:rsid w:val="000900FF"/>
    <w:rsid w:val="000901DF"/>
    <w:rsid w:val="000901EC"/>
    <w:rsid w:val="000903B1"/>
    <w:rsid w:val="000903B2"/>
    <w:rsid w:val="000903BA"/>
    <w:rsid w:val="000903F5"/>
    <w:rsid w:val="0009040F"/>
    <w:rsid w:val="0009041F"/>
    <w:rsid w:val="00090427"/>
    <w:rsid w:val="0009047D"/>
    <w:rsid w:val="000904FB"/>
    <w:rsid w:val="00090500"/>
    <w:rsid w:val="00090635"/>
    <w:rsid w:val="00090664"/>
    <w:rsid w:val="00090683"/>
    <w:rsid w:val="000906CF"/>
    <w:rsid w:val="00090807"/>
    <w:rsid w:val="00090870"/>
    <w:rsid w:val="000908DF"/>
    <w:rsid w:val="000909BE"/>
    <w:rsid w:val="00090A0B"/>
    <w:rsid w:val="00090B43"/>
    <w:rsid w:val="00090E0B"/>
    <w:rsid w:val="00090FC7"/>
    <w:rsid w:val="0009107F"/>
    <w:rsid w:val="00091210"/>
    <w:rsid w:val="00091378"/>
    <w:rsid w:val="0009137E"/>
    <w:rsid w:val="00091416"/>
    <w:rsid w:val="0009143E"/>
    <w:rsid w:val="000915CB"/>
    <w:rsid w:val="0009178C"/>
    <w:rsid w:val="00091815"/>
    <w:rsid w:val="000918E3"/>
    <w:rsid w:val="00091A13"/>
    <w:rsid w:val="00091AF1"/>
    <w:rsid w:val="00091CBA"/>
    <w:rsid w:val="00091D7C"/>
    <w:rsid w:val="00091E50"/>
    <w:rsid w:val="0009201B"/>
    <w:rsid w:val="00092059"/>
    <w:rsid w:val="0009211B"/>
    <w:rsid w:val="00092169"/>
    <w:rsid w:val="00092211"/>
    <w:rsid w:val="00092238"/>
    <w:rsid w:val="0009233B"/>
    <w:rsid w:val="000923A6"/>
    <w:rsid w:val="0009252B"/>
    <w:rsid w:val="00092831"/>
    <w:rsid w:val="00092A0E"/>
    <w:rsid w:val="00092A4B"/>
    <w:rsid w:val="00092A53"/>
    <w:rsid w:val="00092AB7"/>
    <w:rsid w:val="00092AE1"/>
    <w:rsid w:val="00092B8B"/>
    <w:rsid w:val="00092CF2"/>
    <w:rsid w:val="00092D10"/>
    <w:rsid w:val="00092D15"/>
    <w:rsid w:val="00092F04"/>
    <w:rsid w:val="00092FD6"/>
    <w:rsid w:val="00093125"/>
    <w:rsid w:val="000931E4"/>
    <w:rsid w:val="0009324A"/>
    <w:rsid w:val="00093288"/>
    <w:rsid w:val="000935D7"/>
    <w:rsid w:val="00093706"/>
    <w:rsid w:val="000937F3"/>
    <w:rsid w:val="00093805"/>
    <w:rsid w:val="000938BD"/>
    <w:rsid w:val="00093981"/>
    <w:rsid w:val="00093A23"/>
    <w:rsid w:val="00093A55"/>
    <w:rsid w:val="00093B23"/>
    <w:rsid w:val="00093B4F"/>
    <w:rsid w:val="00093B62"/>
    <w:rsid w:val="00093B9C"/>
    <w:rsid w:val="00093C71"/>
    <w:rsid w:val="00093C81"/>
    <w:rsid w:val="00093D13"/>
    <w:rsid w:val="00093D20"/>
    <w:rsid w:val="00093DAB"/>
    <w:rsid w:val="00093DFE"/>
    <w:rsid w:val="00093EBA"/>
    <w:rsid w:val="00093F52"/>
    <w:rsid w:val="000940C7"/>
    <w:rsid w:val="00094106"/>
    <w:rsid w:val="00094215"/>
    <w:rsid w:val="000944C7"/>
    <w:rsid w:val="0009451B"/>
    <w:rsid w:val="000945F8"/>
    <w:rsid w:val="00094660"/>
    <w:rsid w:val="00094721"/>
    <w:rsid w:val="00094781"/>
    <w:rsid w:val="000948AF"/>
    <w:rsid w:val="00094AC4"/>
    <w:rsid w:val="00094B57"/>
    <w:rsid w:val="00094FBE"/>
    <w:rsid w:val="000950DF"/>
    <w:rsid w:val="00095157"/>
    <w:rsid w:val="00095237"/>
    <w:rsid w:val="00095261"/>
    <w:rsid w:val="0009543F"/>
    <w:rsid w:val="000956FA"/>
    <w:rsid w:val="00095713"/>
    <w:rsid w:val="00095815"/>
    <w:rsid w:val="00095857"/>
    <w:rsid w:val="000958C3"/>
    <w:rsid w:val="0009591C"/>
    <w:rsid w:val="00095938"/>
    <w:rsid w:val="0009593A"/>
    <w:rsid w:val="00095986"/>
    <w:rsid w:val="00095B3A"/>
    <w:rsid w:val="00095BFF"/>
    <w:rsid w:val="00095C85"/>
    <w:rsid w:val="00095E5A"/>
    <w:rsid w:val="0009637D"/>
    <w:rsid w:val="00096457"/>
    <w:rsid w:val="0009647F"/>
    <w:rsid w:val="00096620"/>
    <w:rsid w:val="00096718"/>
    <w:rsid w:val="000967F7"/>
    <w:rsid w:val="0009685E"/>
    <w:rsid w:val="00096962"/>
    <w:rsid w:val="00096B61"/>
    <w:rsid w:val="00096B99"/>
    <w:rsid w:val="00096BBC"/>
    <w:rsid w:val="00096C2C"/>
    <w:rsid w:val="00096D1E"/>
    <w:rsid w:val="00096E30"/>
    <w:rsid w:val="00096EDA"/>
    <w:rsid w:val="00097029"/>
    <w:rsid w:val="00097045"/>
    <w:rsid w:val="000970F6"/>
    <w:rsid w:val="00097163"/>
    <w:rsid w:val="000971A9"/>
    <w:rsid w:val="000971C8"/>
    <w:rsid w:val="00097202"/>
    <w:rsid w:val="000974BC"/>
    <w:rsid w:val="0009762A"/>
    <w:rsid w:val="000976FD"/>
    <w:rsid w:val="000977B2"/>
    <w:rsid w:val="0009787D"/>
    <w:rsid w:val="00097A6B"/>
    <w:rsid w:val="00097ACD"/>
    <w:rsid w:val="00097BCF"/>
    <w:rsid w:val="00097C16"/>
    <w:rsid w:val="00097C79"/>
    <w:rsid w:val="00097E93"/>
    <w:rsid w:val="00097FE9"/>
    <w:rsid w:val="000A0145"/>
    <w:rsid w:val="000A049B"/>
    <w:rsid w:val="000A0558"/>
    <w:rsid w:val="000A085E"/>
    <w:rsid w:val="000A0A0B"/>
    <w:rsid w:val="000A0BF3"/>
    <w:rsid w:val="000A0C04"/>
    <w:rsid w:val="000A0D40"/>
    <w:rsid w:val="000A0EA4"/>
    <w:rsid w:val="000A0EC2"/>
    <w:rsid w:val="000A0F7D"/>
    <w:rsid w:val="000A1130"/>
    <w:rsid w:val="000A149D"/>
    <w:rsid w:val="000A1588"/>
    <w:rsid w:val="000A165F"/>
    <w:rsid w:val="000A179B"/>
    <w:rsid w:val="000A17E2"/>
    <w:rsid w:val="000A1830"/>
    <w:rsid w:val="000A189A"/>
    <w:rsid w:val="000A1935"/>
    <w:rsid w:val="000A1982"/>
    <w:rsid w:val="000A19A8"/>
    <w:rsid w:val="000A1A15"/>
    <w:rsid w:val="000A1A34"/>
    <w:rsid w:val="000A1AC9"/>
    <w:rsid w:val="000A1AF3"/>
    <w:rsid w:val="000A1B08"/>
    <w:rsid w:val="000A1B29"/>
    <w:rsid w:val="000A1C60"/>
    <w:rsid w:val="000A1CD3"/>
    <w:rsid w:val="000A1D15"/>
    <w:rsid w:val="000A1D53"/>
    <w:rsid w:val="000A1D62"/>
    <w:rsid w:val="000A1F0B"/>
    <w:rsid w:val="000A1F45"/>
    <w:rsid w:val="000A2043"/>
    <w:rsid w:val="000A2261"/>
    <w:rsid w:val="000A226E"/>
    <w:rsid w:val="000A2295"/>
    <w:rsid w:val="000A2384"/>
    <w:rsid w:val="000A25F6"/>
    <w:rsid w:val="000A2665"/>
    <w:rsid w:val="000A2693"/>
    <w:rsid w:val="000A2775"/>
    <w:rsid w:val="000A2872"/>
    <w:rsid w:val="000A28AA"/>
    <w:rsid w:val="000A28CA"/>
    <w:rsid w:val="000A2900"/>
    <w:rsid w:val="000A29DB"/>
    <w:rsid w:val="000A2A1E"/>
    <w:rsid w:val="000A2A9C"/>
    <w:rsid w:val="000A2C14"/>
    <w:rsid w:val="000A2D6E"/>
    <w:rsid w:val="000A2D76"/>
    <w:rsid w:val="000A2D8B"/>
    <w:rsid w:val="000A30D4"/>
    <w:rsid w:val="000A319D"/>
    <w:rsid w:val="000A31A1"/>
    <w:rsid w:val="000A331C"/>
    <w:rsid w:val="000A33AB"/>
    <w:rsid w:val="000A3718"/>
    <w:rsid w:val="000A3859"/>
    <w:rsid w:val="000A3937"/>
    <w:rsid w:val="000A397B"/>
    <w:rsid w:val="000A39EC"/>
    <w:rsid w:val="000A3B23"/>
    <w:rsid w:val="000A3B27"/>
    <w:rsid w:val="000A3B34"/>
    <w:rsid w:val="000A3B9D"/>
    <w:rsid w:val="000A3E2A"/>
    <w:rsid w:val="000A3E5C"/>
    <w:rsid w:val="000A3E76"/>
    <w:rsid w:val="000A3EFB"/>
    <w:rsid w:val="000A3FBF"/>
    <w:rsid w:val="000A441A"/>
    <w:rsid w:val="000A4477"/>
    <w:rsid w:val="000A4501"/>
    <w:rsid w:val="000A4520"/>
    <w:rsid w:val="000A467F"/>
    <w:rsid w:val="000A4752"/>
    <w:rsid w:val="000A47F1"/>
    <w:rsid w:val="000A4850"/>
    <w:rsid w:val="000A49AD"/>
    <w:rsid w:val="000A4B5C"/>
    <w:rsid w:val="000A4B82"/>
    <w:rsid w:val="000A4C36"/>
    <w:rsid w:val="000A4D0D"/>
    <w:rsid w:val="000A4F19"/>
    <w:rsid w:val="000A4F30"/>
    <w:rsid w:val="000A4FDD"/>
    <w:rsid w:val="000A5167"/>
    <w:rsid w:val="000A5313"/>
    <w:rsid w:val="000A53CF"/>
    <w:rsid w:val="000A5460"/>
    <w:rsid w:val="000A55E1"/>
    <w:rsid w:val="000A564E"/>
    <w:rsid w:val="000A5758"/>
    <w:rsid w:val="000A57AE"/>
    <w:rsid w:val="000A57F0"/>
    <w:rsid w:val="000A58C3"/>
    <w:rsid w:val="000A599D"/>
    <w:rsid w:val="000A5B0F"/>
    <w:rsid w:val="000A5B46"/>
    <w:rsid w:val="000A5B76"/>
    <w:rsid w:val="000A5B7A"/>
    <w:rsid w:val="000A5BAD"/>
    <w:rsid w:val="000A5C4D"/>
    <w:rsid w:val="000A5C4E"/>
    <w:rsid w:val="000A5C58"/>
    <w:rsid w:val="000A5D5D"/>
    <w:rsid w:val="000A5DA3"/>
    <w:rsid w:val="000A6005"/>
    <w:rsid w:val="000A608E"/>
    <w:rsid w:val="000A60B9"/>
    <w:rsid w:val="000A6190"/>
    <w:rsid w:val="000A6215"/>
    <w:rsid w:val="000A638C"/>
    <w:rsid w:val="000A6782"/>
    <w:rsid w:val="000A6838"/>
    <w:rsid w:val="000A6851"/>
    <w:rsid w:val="000A69BE"/>
    <w:rsid w:val="000A6A5D"/>
    <w:rsid w:val="000A6B83"/>
    <w:rsid w:val="000A6C88"/>
    <w:rsid w:val="000A6E32"/>
    <w:rsid w:val="000A7007"/>
    <w:rsid w:val="000A7025"/>
    <w:rsid w:val="000A71EE"/>
    <w:rsid w:val="000A73D5"/>
    <w:rsid w:val="000A73E8"/>
    <w:rsid w:val="000A7571"/>
    <w:rsid w:val="000A7644"/>
    <w:rsid w:val="000A7676"/>
    <w:rsid w:val="000A76F1"/>
    <w:rsid w:val="000A781B"/>
    <w:rsid w:val="000A7849"/>
    <w:rsid w:val="000A78AE"/>
    <w:rsid w:val="000A79F8"/>
    <w:rsid w:val="000A7C52"/>
    <w:rsid w:val="000A7CD7"/>
    <w:rsid w:val="000A7D44"/>
    <w:rsid w:val="000A7F62"/>
    <w:rsid w:val="000B00BE"/>
    <w:rsid w:val="000B00BF"/>
    <w:rsid w:val="000B01D9"/>
    <w:rsid w:val="000B0239"/>
    <w:rsid w:val="000B02F2"/>
    <w:rsid w:val="000B063D"/>
    <w:rsid w:val="000B0773"/>
    <w:rsid w:val="000B07E9"/>
    <w:rsid w:val="000B0914"/>
    <w:rsid w:val="000B09CB"/>
    <w:rsid w:val="000B09D6"/>
    <w:rsid w:val="000B0A4B"/>
    <w:rsid w:val="000B0C5F"/>
    <w:rsid w:val="000B0E66"/>
    <w:rsid w:val="000B0EE2"/>
    <w:rsid w:val="000B0F90"/>
    <w:rsid w:val="000B1125"/>
    <w:rsid w:val="000B11AD"/>
    <w:rsid w:val="000B12C9"/>
    <w:rsid w:val="000B13B8"/>
    <w:rsid w:val="000B1578"/>
    <w:rsid w:val="000B165C"/>
    <w:rsid w:val="000B181C"/>
    <w:rsid w:val="000B198C"/>
    <w:rsid w:val="000B1B26"/>
    <w:rsid w:val="000B1B2C"/>
    <w:rsid w:val="000B1C18"/>
    <w:rsid w:val="000B1CB1"/>
    <w:rsid w:val="000B1CBD"/>
    <w:rsid w:val="000B1DB4"/>
    <w:rsid w:val="000B1E39"/>
    <w:rsid w:val="000B1ED4"/>
    <w:rsid w:val="000B1F1F"/>
    <w:rsid w:val="000B1F3A"/>
    <w:rsid w:val="000B1F7F"/>
    <w:rsid w:val="000B2669"/>
    <w:rsid w:val="000B27BA"/>
    <w:rsid w:val="000B27D3"/>
    <w:rsid w:val="000B27FC"/>
    <w:rsid w:val="000B2818"/>
    <w:rsid w:val="000B284E"/>
    <w:rsid w:val="000B299C"/>
    <w:rsid w:val="000B2B7B"/>
    <w:rsid w:val="000B2B9B"/>
    <w:rsid w:val="000B2CA8"/>
    <w:rsid w:val="000B2CB4"/>
    <w:rsid w:val="000B2D89"/>
    <w:rsid w:val="000B2F1E"/>
    <w:rsid w:val="000B304C"/>
    <w:rsid w:val="000B30DC"/>
    <w:rsid w:val="000B3123"/>
    <w:rsid w:val="000B3150"/>
    <w:rsid w:val="000B3195"/>
    <w:rsid w:val="000B31C3"/>
    <w:rsid w:val="000B31E9"/>
    <w:rsid w:val="000B32F9"/>
    <w:rsid w:val="000B36CC"/>
    <w:rsid w:val="000B38DE"/>
    <w:rsid w:val="000B3976"/>
    <w:rsid w:val="000B3A5B"/>
    <w:rsid w:val="000B3AC9"/>
    <w:rsid w:val="000B3B82"/>
    <w:rsid w:val="000B3BEA"/>
    <w:rsid w:val="000B3C80"/>
    <w:rsid w:val="000B3CF4"/>
    <w:rsid w:val="000B3E7A"/>
    <w:rsid w:val="000B3EFF"/>
    <w:rsid w:val="000B3FE3"/>
    <w:rsid w:val="000B40EA"/>
    <w:rsid w:val="000B423C"/>
    <w:rsid w:val="000B428C"/>
    <w:rsid w:val="000B42D3"/>
    <w:rsid w:val="000B42F4"/>
    <w:rsid w:val="000B432F"/>
    <w:rsid w:val="000B43BA"/>
    <w:rsid w:val="000B45A5"/>
    <w:rsid w:val="000B45DA"/>
    <w:rsid w:val="000B4667"/>
    <w:rsid w:val="000B4673"/>
    <w:rsid w:val="000B4802"/>
    <w:rsid w:val="000B4949"/>
    <w:rsid w:val="000B4D17"/>
    <w:rsid w:val="000B4D61"/>
    <w:rsid w:val="000B4DAF"/>
    <w:rsid w:val="000B4F67"/>
    <w:rsid w:val="000B4FAE"/>
    <w:rsid w:val="000B4FD7"/>
    <w:rsid w:val="000B506B"/>
    <w:rsid w:val="000B50AC"/>
    <w:rsid w:val="000B5157"/>
    <w:rsid w:val="000B528E"/>
    <w:rsid w:val="000B5502"/>
    <w:rsid w:val="000B565B"/>
    <w:rsid w:val="000B5684"/>
    <w:rsid w:val="000B58A1"/>
    <w:rsid w:val="000B5943"/>
    <w:rsid w:val="000B5AF5"/>
    <w:rsid w:val="000B5BDA"/>
    <w:rsid w:val="000B5D38"/>
    <w:rsid w:val="000B5E58"/>
    <w:rsid w:val="000B5F56"/>
    <w:rsid w:val="000B5FDF"/>
    <w:rsid w:val="000B6001"/>
    <w:rsid w:val="000B60E6"/>
    <w:rsid w:val="000B6119"/>
    <w:rsid w:val="000B6311"/>
    <w:rsid w:val="000B6390"/>
    <w:rsid w:val="000B6405"/>
    <w:rsid w:val="000B6575"/>
    <w:rsid w:val="000B65F3"/>
    <w:rsid w:val="000B6664"/>
    <w:rsid w:val="000B67EE"/>
    <w:rsid w:val="000B6818"/>
    <w:rsid w:val="000B68BC"/>
    <w:rsid w:val="000B692E"/>
    <w:rsid w:val="000B69A0"/>
    <w:rsid w:val="000B6AD9"/>
    <w:rsid w:val="000B6BE9"/>
    <w:rsid w:val="000B6C53"/>
    <w:rsid w:val="000B6ECD"/>
    <w:rsid w:val="000B70CC"/>
    <w:rsid w:val="000B70D1"/>
    <w:rsid w:val="000B712E"/>
    <w:rsid w:val="000B72A1"/>
    <w:rsid w:val="000B749F"/>
    <w:rsid w:val="000B75F7"/>
    <w:rsid w:val="000B7829"/>
    <w:rsid w:val="000B78D4"/>
    <w:rsid w:val="000B78E1"/>
    <w:rsid w:val="000B7BA1"/>
    <w:rsid w:val="000B7CB9"/>
    <w:rsid w:val="000B7CE4"/>
    <w:rsid w:val="000B7EF2"/>
    <w:rsid w:val="000BF722"/>
    <w:rsid w:val="000C0078"/>
    <w:rsid w:val="000C00DC"/>
    <w:rsid w:val="000C025D"/>
    <w:rsid w:val="000C033B"/>
    <w:rsid w:val="000C0600"/>
    <w:rsid w:val="000C06E7"/>
    <w:rsid w:val="000C07BE"/>
    <w:rsid w:val="000C08FF"/>
    <w:rsid w:val="000C0A19"/>
    <w:rsid w:val="000C0A1A"/>
    <w:rsid w:val="000C0A38"/>
    <w:rsid w:val="000C0B79"/>
    <w:rsid w:val="000C0B91"/>
    <w:rsid w:val="000C0BC5"/>
    <w:rsid w:val="000C0CBA"/>
    <w:rsid w:val="000C0D41"/>
    <w:rsid w:val="000C0D84"/>
    <w:rsid w:val="000C0DE0"/>
    <w:rsid w:val="000C1034"/>
    <w:rsid w:val="000C11AE"/>
    <w:rsid w:val="000C1221"/>
    <w:rsid w:val="000C184A"/>
    <w:rsid w:val="000C18FC"/>
    <w:rsid w:val="000C1A2A"/>
    <w:rsid w:val="000C1AAB"/>
    <w:rsid w:val="000C1B53"/>
    <w:rsid w:val="000C1B8B"/>
    <w:rsid w:val="000C1BE1"/>
    <w:rsid w:val="000C202D"/>
    <w:rsid w:val="000C203F"/>
    <w:rsid w:val="000C2085"/>
    <w:rsid w:val="000C21A1"/>
    <w:rsid w:val="000C21E3"/>
    <w:rsid w:val="000C222D"/>
    <w:rsid w:val="000C23F1"/>
    <w:rsid w:val="000C244C"/>
    <w:rsid w:val="000C247B"/>
    <w:rsid w:val="000C24A6"/>
    <w:rsid w:val="000C24D0"/>
    <w:rsid w:val="000C2557"/>
    <w:rsid w:val="000C25E9"/>
    <w:rsid w:val="000C2999"/>
    <w:rsid w:val="000C2AD5"/>
    <w:rsid w:val="000C2AFC"/>
    <w:rsid w:val="000C2B78"/>
    <w:rsid w:val="000C2C1C"/>
    <w:rsid w:val="000C2D67"/>
    <w:rsid w:val="000C2E7E"/>
    <w:rsid w:val="000C2EDE"/>
    <w:rsid w:val="000C3278"/>
    <w:rsid w:val="000C3320"/>
    <w:rsid w:val="000C333C"/>
    <w:rsid w:val="000C3361"/>
    <w:rsid w:val="000C360A"/>
    <w:rsid w:val="000C3683"/>
    <w:rsid w:val="000C36B9"/>
    <w:rsid w:val="000C37BA"/>
    <w:rsid w:val="000C37E8"/>
    <w:rsid w:val="000C386A"/>
    <w:rsid w:val="000C388A"/>
    <w:rsid w:val="000C394E"/>
    <w:rsid w:val="000C3AE4"/>
    <w:rsid w:val="000C3BC7"/>
    <w:rsid w:val="000C3C6A"/>
    <w:rsid w:val="000C3C8F"/>
    <w:rsid w:val="000C3CEE"/>
    <w:rsid w:val="000C3D2A"/>
    <w:rsid w:val="000C3DD6"/>
    <w:rsid w:val="000C3E5F"/>
    <w:rsid w:val="000C3EB1"/>
    <w:rsid w:val="000C3F93"/>
    <w:rsid w:val="000C3FAB"/>
    <w:rsid w:val="000C412C"/>
    <w:rsid w:val="000C4226"/>
    <w:rsid w:val="000C42EF"/>
    <w:rsid w:val="000C4B92"/>
    <w:rsid w:val="000C4CC6"/>
    <w:rsid w:val="000C4CFE"/>
    <w:rsid w:val="000C4E06"/>
    <w:rsid w:val="000C4FA4"/>
    <w:rsid w:val="000C4FFF"/>
    <w:rsid w:val="000C50AE"/>
    <w:rsid w:val="000C5299"/>
    <w:rsid w:val="000C54A5"/>
    <w:rsid w:val="000C54B1"/>
    <w:rsid w:val="000C568F"/>
    <w:rsid w:val="000C5715"/>
    <w:rsid w:val="000C57A4"/>
    <w:rsid w:val="000C58BE"/>
    <w:rsid w:val="000C59D3"/>
    <w:rsid w:val="000C5A23"/>
    <w:rsid w:val="000C5A6D"/>
    <w:rsid w:val="000C5BE5"/>
    <w:rsid w:val="000C5C12"/>
    <w:rsid w:val="000C5D97"/>
    <w:rsid w:val="000C5E00"/>
    <w:rsid w:val="000C5F3A"/>
    <w:rsid w:val="000C5F42"/>
    <w:rsid w:val="000C5F68"/>
    <w:rsid w:val="000C5F7F"/>
    <w:rsid w:val="000C6442"/>
    <w:rsid w:val="000C65D9"/>
    <w:rsid w:val="000C671B"/>
    <w:rsid w:val="000C67B4"/>
    <w:rsid w:val="000C68B5"/>
    <w:rsid w:val="000C6A23"/>
    <w:rsid w:val="000C6BAE"/>
    <w:rsid w:val="000C6C05"/>
    <w:rsid w:val="000C6C14"/>
    <w:rsid w:val="000C6D03"/>
    <w:rsid w:val="000C6D73"/>
    <w:rsid w:val="000C6F82"/>
    <w:rsid w:val="000C705D"/>
    <w:rsid w:val="000C72AF"/>
    <w:rsid w:val="000C73EE"/>
    <w:rsid w:val="000C75A4"/>
    <w:rsid w:val="000C777B"/>
    <w:rsid w:val="000C781B"/>
    <w:rsid w:val="000C783C"/>
    <w:rsid w:val="000C78A2"/>
    <w:rsid w:val="000C78B3"/>
    <w:rsid w:val="000C7A0F"/>
    <w:rsid w:val="000C7A87"/>
    <w:rsid w:val="000C7C36"/>
    <w:rsid w:val="000C7CEA"/>
    <w:rsid w:val="000C7D10"/>
    <w:rsid w:val="000C7E9E"/>
    <w:rsid w:val="000C7F00"/>
    <w:rsid w:val="000C7FFD"/>
    <w:rsid w:val="000D000B"/>
    <w:rsid w:val="000D014A"/>
    <w:rsid w:val="000D0666"/>
    <w:rsid w:val="000D075B"/>
    <w:rsid w:val="000D08A8"/>
    <w:rsid w:val="000D08F4"/>
    <w:rsid w:val="000D0BFB"/>
    <w:rsid w:val="000D0EFA"/>
    <w:rsid w:val="000D0F6D"/>
    <w:rsid w:val="000D1017"/>
    <w:rsid w:val="000D107F"/>
    <w:rsid w:val="000D11B7"/>
    <w:rsid w:val="000D11EA"/>
    <w:rsid w:val="000D12B4"/>
    <w:rsid w:val="000D13F1"/>
    <w:rsid w:val="000D15C8"/>
    <w:rsid w:val="000D172C"/>
    <w:rsid w:val="000D1943"/>
    <w:rsid w:val="000D1A4D"/>
    <w:rsid w:val="000D1AAC"/>
    <w:rsid w:val="000D1AEA"/>
    <w:rsid w:val="000D1C33"/>
    <w:rsid w:val="000D1CDA"/>
    <w:rsid w:val="000D1E42"/>
    <w:rsid w:val="000D1F68"/>
    <w:rsid w:val="000D1FBD"/>
    <w:rsid w:val="000D1FCD"/>
    <w:rsid w:val="000D1FCE"/>
    <w:rsid w:val="000D204A"/>
    <w:rsid w:val="000D20CA"/>
    <w:rsid w:val="000D2134"/>
    <w:rsid w:val="000D2260"/>
    <w:rsid w:val="000D2292"/>
    <w:rsid w:val="000D22C6"/>
    <w:rsid w:val="000D2341"/>
    <w:rsid w:val="000D236A"/>
    <w:rsid w:val="000D23B5"/>
    <w:rsid w:val="000D2433"/>
    <w:rsid w:val="000D2470"/>
    <w:rsid w:val="000D24B8"/>
    <w:rsid w:val="000D2504"/>
    <w:rsid w:val="000D2533"/>
    <w:rsid w:val="000D2807"/>
    <w:rsid w:val="000D2839"/>
    <w:rsid w:val="000D2876"/>
    <w:rsid w:val="000D29DE"/>
    <w:rsid w:val="000D2A9C"/>
    <w:rsid w:val="000D2B55"/>
    <w:rsid w:val="000D2C54"/>
    <w:rsid w:val="000D2D36"/>
    <w:rsid w:val="000D2E1D"/>
    <w:rsid w:val="000D2E4E"/>
    <w:rsid w:val="000D2FCA"/>
    <w:rsid w:val="000D2FEB"/>
    <w:rsid w:val="000D3098"/>
    <w:rsid w:val="000D31B1"/>
    <w:rsid w:val="000D3335"/>
    <w:rsid w:val="000D3541"/>
    <w:rsid w:val="000D3640"/>
    <w:rsid w:val="000D38EA"/>
    <w:rsid w:val="000D39A1"/>
    <w:rsid w:val="000D39E4"/>
    <w:rsid w:val="000D3A72"/>
    <w:rsid w:val="000D3BF6"/>
    <w:rsid w:val="000D3DEA"/>
    <w:rsid w:val="000D3F45"/>
    <w:rsid w:val="000D3F4E"/>
    <w:rsid w:val="000D3F8C"/>
    <w:rsid w:val="000D403E"/>
    <w:rsid w:val="000D4057"/>
    <w:rsid w:val="000D420F"/>
    <w:rsid w:val="000D44DA"/>
    <w:rsid w:val="000D4515"/>
    <w:rsid w:val="000D4781"/>
    <w:rsid w:val="000D4896"/>
    <w:rsid w:val="000D48A7"/>
    <w:rsid w:val="000D4974"/>
    <w:rsid w:val="000D49F8"/>
    <w:rsid w:val="000D4A68"/>
    <w:rsid w:val="000D4AA6"/>
    <w:rsid w:val="000D4C85"/>
    <w:rsid w:val="000D4CCC"/>
    <w:rsid w:val="000D4D40"/>
    <w:rsid w:val="000D4D50"/>
    <w:rsid w:val="000D4D54"/>
    <w:rsid w:val="000D4EC4"/>
    <w:rsid w:val="000D4F2C"/>
    <w:rsid w:val="000D4F5E"/>
    <w:rsid w:val="000D4F94"/>
    <w:rsid w:val="000D5115"/>
    <w:rsid w:val="000D518D"/>
    <w:rsid w:val="000D51D0"/>
    <w:rsid w:val="000D52E4"/>
    <w:rsid w:val="000D5374"/>
    <w:rsid w:val="000D53A0"/>
    <w:rsid w:val="000D5565"/>
    <w:rsid w:val="000D5764"/>
    <w:rsid w:val="000D5973"/>
    <w:rsid w:val="000D5978"/>
    <w:rsid w:val="000D5B0D"/>
    <w:rsid w:val="000D5BE0"/>
    <w:rsid w:val="000D5C23"/>
    <w:rsid w:val="000D5CC6"/>
    <w:rsid w:val="000D5D48"/>
    <w:rsid w:val="000D5D5E"/>
    <w:rsid w:val="000D5DE4"/>
    <w:rsid w:val="000D5EF1"/>
    <w:rsid w:val="000D5F23"/>
    <w:rsid w:val="000D5F4E"/>
    <w:rsid w:val="000D5F96"/>
    <w:rsid w:val="000D607A"/>
    <w:rsid w:val="000D60D6"/>
    <w:rsid w:val="000D63C5"/>
    <w:rsid w:val="000D64EA"/>
    <w:rsid w:val="000D6623"/>
    <w:rsid w:val="000D6660"/>
    <w:rsid w:val="000D677C"/>
    <w:rsid w:val="000D6855"/>
    <w:rsid w:val="000D6AA2"/>
    <w:rsid w:val="000D6B01"/>
    <w:rsid w:val="000D6B09"/>
    <w:rsid w:val="000D6C57"/>
    <w:rsid w:val="000D6D95"/>
    <w:rsid w:val="000D6E50"/>
    <w:rsid w:val="000D6FDE"/>
    <w:rsid w:val="000D71CC"/>
    <w:rsid w:val="000D7299"/>
    <w:rsid w:val="000D7307"/>
    <w:rsid w:val="000D737C"/>
    <w:rsid w:val="000D7419"/>
    <w:rsid w:val="000D7592"/>
    <w:rsid w:val="000D75FF"/>
    <w:rsid w:val="000D7634"/>
    <w:rsid w:val="000D77F9"/>
    <w:rsid w:val="000D7809"/>
    <w:rsid w:val="000D7840"/>
    <w:rsid w:val="000D78D3"/>
    <w:rsid w:val="000D7924"/>
    <w:rsid w:val="000D7A3D"/>
    <w:rsid w:val="000D7B03"/>
    <w:rsid w:val="000D7C1B"/>
    <w:rsid w:val="000D7D82"/>
    <w:rsid w:val="000D7DB5"/>
    <w:rsid w:val="000D7DF1"/>
    <w:rsid w:val="000D7E76"/>
    <w:rsid w:val="000E0116"/>
    <w:rsid w:val="000E0164"/>
    <w:rsid w:val="000E02F2"/>
    <w:rsid w:val="000E03A5"/>
    <w:rsid w:val="000E06CD"/>
    <w:rsid w:val="000E06F5"/>
    <w:rsid w:val="000E0758"/>
    <w:rsid w:val="000E0785"/>
    <w:rsid w:val="000E0823"/>
    <w:rsid w:val="000E0841"/>
    <w:rsid w:val="000E0A9C"/>
    <w:rsid w:val="000E0B93"/>
    <w:rsid w:val="000E0CC4"/>
    <w:rsid w:val="000E0CDE"/>
    <w:rsid w:val="000E0E2C"/>
    <w:rsid w:val="000E0EFC"/>
    <w:rsid w:val="000E1046"/>
    <w:rsid w:val="000E1183"/>
    <w:rsid w:val="000E11D0"/>
    <w:rsid w:val="000E15EC"/>
    <w:rsid w:val="000E176D"/>
    <w:rsid w:val="000E19A9"/>
    <w:rsid w:val="000E1A3F"/>
    <w:rsid w:val="000E1A79"/>
    <w:rsid w:val="000E1B04"/>
    <w:rsid w:val="000E1B6A"/>
    <w:rsid w:val="000E1CC1"/>
    <w:rsid w:val="000E1D11"/>
    <w:rsid w:val="000E2074"/>
    <w:rsid w:val="000E2099"/>
    <w:rsid w:val="000E214C"/>
    <w:rsid w:val="000E231A"/>
    <w:rsid w:val="000E2442"/>
    <w:rsid w:val="000E253B"/>
    <w:rsid w:val="000E270B"/>
    <w:rsid w:val="000E2728"/>
    <w:rsid w:val="000E2789"/>
    <w:rsid w:val="000E27A9"/>
    <w:rsid w:val="000E27F1"/>
    <w:rsid w:val="000E27F8"/>
    <w:rsid w:val="000E281E"/>
    <w:rsid w:val="000E2823"/>
    <w:rsid w:val="000E28C9"/>
    <w:rsid w:val="000E2933"/>
    <w:rsid w:val="000E297B"/>
    <w:rsid w:val="000E2B2F"/>
    <w:rsid w:val="000E2C01"/>
    <w:rsid w:val="000E2CBD"/>
    <w:rsid w:val="000E2DA3"/>
    <w:rsid w:val="000E2EE6"/>
    <w:rsid w:val="000E302B"/>
    <w:rsid w:val="000E30DD"/>
    <w:rsid w:val="000E3166"/>
    <w:rsid w:val="000E31E0"/>
    <w:rsid w:val="000E3223"/>
    <w:rsid w:val="000E3243"/>
    <w:rsid w:val="000E35CE"/>
    <w:rsid w:val="000E35E7"/>
    <w:rsid w:val="000E36B4"/>
    <w:rsid w:val="000E388C"/>
    <w:rsid w:val="000E38C8"/>
    <w:rsid w:val="000E39B0"/>
    <w:rsid w:val="000E39B4"/>
    <w:rsid w:val="000E3A6B"/>
    <w:rsid w:val="000E3BA8"/>
    <w:rsid w:val="000E3BE7"/>
    <w:rsid w:val="000E3C01"/>
    <w:rsid w:val="000E3E2C"/>
    <w:rsid w:val="000E3EE0"/>
    <w:rsid w:val="000E405D"/>
    <w:rsid w:val="000E40FD"/>
    <w:rsid w:val="000E4236"/>
    <w:rsid w:val="000E43D9"/>
    <w:rsid w:val="000E447B"/>
    <w:rsid w:val="000E4500"/>
    <w:rsid w:val="000E4551"/>
    <w:rsid w:val="000E4552"/>
    <w:rsid w:val="000E4699"/>
    <w:rsid w:val="000E46CD"/>
    <w:rsid w:val="000E471A"/>
    <w:rsid w:val="000E47E9"/>
    <w:rsid w:val="000E47ED"/>
    <w:rsid w:val="000E47F4"/>
    <w:rsid w:val="000E48DF"/>
    <w:rsid w:val="000E491C"/>
    <w:rsid w:val="000E49D2"/>
    <w:rsid w:val="000E49EC"/>
    <w:rsid w:val="000E4BE9"/>
    <w:rsid w:val="000E4C1A"/>
    <w:rsid w:val="000E4D30"/>
    <w:rsid w:val="000E4E6F"/>
    <w:rsid w:val="000E4E7D"/>
    <w:rsid w:val="000E4F60"/>
    <w:rsid w:val="000E4FD3"/>
    <w:rsid w:val="000E50CE"/>
    <w:rsid w:val="000E5265"/>
    <w:rsid w:val="000E52A0"/>
    <w:rsid w:val="000E5411"/>
    <w:rsid w:val="000E5426"/>
    <w:rsid w:val="000E54F1"/>
    <w:rsid w:val="000E5561"/>
    <w:rsid w:val="000E55D0"/>
    <w:rsid w:val="000E57AA"/>
    <w:rsid w:val="000E57D1"/>
    <w:rsid w:val="000E57E2"/>
    <w:rsid w:val="000E5939"/>
    <w:rsid w:val="000E59B0"/>
    <w:rsid w:val="000E5B5D"/>
    <w:rsid w:val="000E5BE1"/>
    <w:rsid w:val="000E5CDF"/>
    <w:rsid w:val="000E5D7E"/>
    <w:rsid w:val="000E5DA4"/>
    <w:rsid w:val="000E60B7"/>
    <w:rsid w:val="000E6191"/>
    <w:rsid w:val="000E6487"/>
    <w:rsid w:val="000E65B2"/>
    <w:rsid w:val="000E65DC"/>
    <w:rsid w:val="000E678E"/>
    <w:rsid w:val="000E6793"/>
    <w:rsid w:val="000E6797"/>
    <w:rsid w:val="000E6805"/>
    <w:rsid w:val="000E68A4"/>
    <w:rsid w:val="000E6990"/>
    <w:rsid w:val="000E69EE"/>
    <w:rsid w:val="000E6A73"/>
    <w:rsid w:val="000E6B4C"/>
    <w:rsid w:val="000E6F5A"/>
    <w:rsid w:val="000E6F98"/>
    <w:rsid w:val="000E712E"/>
    <w:rsid w:val="000E7274"/>
    <w:rsid w:val="000E7343"/>
    <w:rsid w:val="000E74B3"/>
    <w:rsid w:val="000E751F"/>
    <w:rsid w:val="000E7925"/>
    <w:rsid w:val="000E796D"/>
    <w:rsid w:val="000E7A4B"/>
    <w:rsid w:val="000E7A86"/>
    <w:rsid w:val="000E7AEF"/>
    <w:rsid w:val="000E7BE4"/>
    <w:rsid w:val="000E7D4F"/>
    <w:rsid w:val="000E7EFB"/>
    <w:rsid w:val="000E7F99"/>
    <w:rsid w:val="000E7FED"/>
    <w:rsid w:val="000F0109"/>
    <w:rsid w:val="000F0144"/>
    <w:rsid w:val="000F01DC"/>
    <w:rsid w:val="000F02E1"/>
    <w:rsid w:val="000F02E4"/>
    <w:rsid w:val="000F037D"/>
    <w:rsid w:val="000F0428"/>
    <w:rsid w:val="000F064B"/>
    <w:rsid w:val="000F064C"/>
    <w:rsid w:val="000F06E9"/>
    <w:rsid w:val="000F0727"/>
    <w:rsid w:val="000F07DB"/>
    <w:rsid w:val="000F08D7"/>
    <w:rsid w:val="000F0987"/>
    <w:rsid w:val="000F0B1D"/>
    <w:rsid w:val="000F0B35"/>
    <w:rsid w:val="000F0DBE"/>
    <w:rsid w:val="000F0E6A"/>
    <w:rsid w:val="000F0E9F"/>
    <w:rsid w:val="000F0EEE"/>
    <w:rsid w:val="000F0F10"/>
    <w:rsid w:val="000F104F"/>
    <w:rsid w:val="000F115B"/>
    <w:rsid w:val="000F132D"/>
    <w:rsid w:val="000F1356"/>
    <w:rsid w:val="000F13B1"/>
    <w:rsid w:val="000F13B5"/>
    <w:rsid w:val="000F1439"/>
    <w:rsid w:val="000F148C"/>
    <w:rsid w:val="000F1669"/>
    <w:rsid w:val="000F194F"/>
    <w:rsid w:val="000F1961"/>
    <w:rsid w:val="000F1A32"/>
    <w:rsid w:val="000F1AF7"/>
    <w:rsid w:val="000F1B0D"/>
    <w:rsid w:val="000F1B47"/>
    <w:rsid w:val="000F1C00"/>
    <w:rsid w:val="000F1E31"/>
    <w:rsid w:val="000F1F19"/>
    <w:rsid w:val="000F1FEA"/>
    <w:rsid w:val="000F1FF3"/>
    <w:rsid w:val="000F2054"/>
    <w:rsid w:val="000F212A"/>
    <w:rsid w:val="000F21AF"/>
    <w:rsid w:val="000F2283"/>
    <w:rsid w:val="000F22B2"/>
    <w:rsid w:val="000F22CF"/>
    <w:rsid w:val="000F23BF"/>
    <w:rsid w:val="000F240B"/>
    <w:rsid w:val="000F2441"/>
    <w:rsid w:val="000F245B"/>
    <w:rsid w:val="000F24D2"/>
    <w:rsid w:val="000F25BD"/>
    <w:rsid w:val="000F2601"/>
    <w:rsid w:val="000F26A3"/>
    <w:rsid w:val="000F26AE"/>
    <w:rsid w:val="000F2852"/>
    <w:rsid w:val="000F291C"/>
    <w:rsid w:val="000F2A97"/>
    <w:rsid w:val="000F2BB4"/>
    <w:rsid w:val="000F2C18"/>
    <w:rsid w:val="000F2C58"/>
    <w:rsid w:val="000F2C9F"/>
    <w:rsid w:val="000F2CE9"/>
    <w:rsid w:val="000F2CEC"/>
    <w:rsid w:val="000F2D49"/>
    <w:rsid w:val="000F2DB9"/>
    <w:rsid w:val="000F2EDD"/>
    <w:rsid w:val="000F2F25"/>
    <w:rsid w:val="000F3133"/>
    <w:rsid w:val="000F33B8"/>
    <w:rsid w:val="000F343F"/>
    <w:rsid w:val="000F36D5"/>
    <w:rsid w:val="000F372A"/>
    <w:rsid w:val="000F3800"/>
    <w:rsid w:val="000F3803"/>
    <w:rsid w:val="000F394E"/>
    <w:rsid w:val="000F3A0A"/>
    <w:rsid w:val="000F3A8F"/>
    <w:rsid w:val="000F3D0C"/>
    <w:rsid w:val="000F3EB3"/>
    <w:rsid w:val="000F3EDF"/>
    <w:rsid w:val="000F3F01"/>
    <w:rsid w:val="000F3F0F"/>
    <w:rsid w:val="000F3FCB"/>
    <w:rsid w:val="000F4134"/>
    <w:rsid w:val="000F4209"/>
    <w:rsid w:val="000F423B"/>
    <w:rsid w:val="000F42AE"/>
    <w:rsid w:val="000F42C6"/>
    <w:rsid w:val="000F42EA"/>
    <w:rsid w:val="000F4509"/>
    <w:rsid w:val="000F4531"/>
    <w:rsid w:val="000F45E0"/>
    <w:rsid w:val="000F481F"/>
    <w:rsid w:val="000F4A1C"/>
    <w:rsid w:val="000F4A5F"/>
    <w:rsid w:val="000F4BD4"/>
    <w:rsid w:val="000F4D86"/>
    <w:rsid w:val="000F4E1A"/>
    <w:rsid w:val="000F4E32"/>
    <w:rsid w:val="000F4E70"/>
    <w:rsid w:val="000F4FCC"/>
    <w:rsid w:val="000F50FE"/>
    <w:rsid w:val="000F51B0"/>
    <w:rsid w:val="000F5204"/>
    <w:rsid w:val="000F52A7"/>
    <w:rsid w:val="000F54C9"/>
    <w:rsid w:val="000F5515"/>
    <w:rsid w:val="000F58AB"/>
    <w:rsid w:val="000F59F8"/>
    <w:rsid w:val="000F5A58"/>
    <w:rsid w:val="000F5B4B"/>
    <w:rsid w:val="000F5C28"/>
    <w:rsid w:val="000F5C70"/>
    <w:rsid w:val="000F5D11"/>
    <w:rsid w:val="000F5DB1"/>
    <w:rsid w:val="000F600F"/>
    <w:rsid w:val="000F6041"/>
    <w:rsid w:val="000F614C"/>
    <w:rsid w:val="000F6396"/>
    <w:rsid w:val="000F6490"/>
    <w:rsid w:val="000F651D"/>
    <w:rsid w:val="000F65E6"/>
    <w:rsid w:val="000F6696"/>
    <w:rsid w:val="000F66D2"/>
    <w:rsid w:val="000F67A1"/>
    <w:rsid w:val="000F6848"/>
    <w:rsid w:val="000F68E1"/>
    <w:rsid w:val="000F6901"/>
    <w:rsid w:val="000F6908"/>
    <w:rsid w:val="000F691A"/>
    <w:rsid w:val="000F69DC"/>
    <w:rsid w:val="000F69F1"/>
    <w:rsid w:val="000F6AD5"/>
    <w:rsid w:val="000F6BA3"/>
    <w:rsid w:val="000F6C56"/>
    <w:rsid w:val="000F6CB7"/>
    <w:rsid w:val="000F6CE0"/>
    <w:rsid w:val="000F6CF9"/>
    <w:rsid w:val="000F7056"/>
    <w:rsid w:val="000F7100"/>
    <w:rsid w:val="000F7101"/>
    <w:rsid w:val="000F7179"/>
    <w:rsid w:val="000F73A2"/>
    <w:rsid w:val="000F7463"/>
    <w:rsid w:val="000F752A"/>
    <w:rsid w:val="000F754F"/>
    <w:rsid w:val="000F76B4"/>
    <w:rsid w:val="000F76CC"/>
    <w:rsid w:val="000F77A9"/>
    <w:rsid w:val="000F7814"/>
    <w:rsid w:val="000F7909"/>
    <w:rsid w:val="000F7942"/>
    <w:rsid w:val="000F795E"/>
    <w:rsid w:val="000F7978"/>
    <w:rsid w:val="000F7A5E"/>
    <w:rsid w:val="000F7BC6"/>
    <w:rsid w:val="000F7CA1"/>
    <w:rsid w:val="000F7D56"/>
    <w:rsid w:val="000F7EDC"/>
    <w:rsid w:val="000FD4F8"/>
    <w:rsid w:val="00100119"/>
    <w:rsid w:val="00100179"/>
    <w:rsid w:val="0010017D"/>
    <w:rsid w:val="001001C3"/>
    <w:rsid w:val="00100230"/>
    <w:rsid w:val="0010037A"/>
    <w:rsid w:val="00100585"/>
    <w:rsid w:val="001005F0"/>
    <w:rsid w:val="0010073B"/>
    <w:rsid w:val="0010090C"/>
    <w:rsid w:val="0010091C"/>
    <w:rsid w:val="00100B66"/>
    <w:rsid w:val="00100C14"/>
    <w:rsid w:val="00100CC4"/>
    <w:rsid w:val="00100D01"/>
    <w:rsid w:val="00100D36"/>
    <w:rsid w:val="00100D73"/>
    <w:rsid w:val="00100F46"/>
    <w:rsid w:val="00101000"/>
    <w:rsid w:val="00101086"/>
    <w:rsid w:val="00101094"/>
    <w:rsid w:val="0010109A"/>
    <w:rsid w:val="001010F4"/>
    <w:rsid w:val="001011E0"/>
    <w:rsid w:val="0010136D"/>
    <w:rsid w:val="0010143F"/>
    <w:rsid w:val="00101790"/>
    <w:rsid w:val="00101802"/>
    <w:rsid w:val="00101810"/>
    <w:rsid w:val="00101AB1"/>
    <w:rsid w:val="00101D33"/>
    <w:rsid w:val="00101F96"/>
    <w:rsid w:val="0010201C"/>
    <w:rsid w:val="0010202D"/>
    <w:rsid w:val="001020BC"/>
    <w:rsid w:val="001020F6"/>
    <w:rsid w:val="00102145"/>
    <w:rsid w:val="0010229A"/>
    <w:rsid w:val="0010240D"/>
    <w:rsid w:val="00102459"/>
    <w:rsid w:val="001026BA"/>
    <w:rsid w:val="0010272D"/>
    <w:rsid w:val="001027EC"/>
    <w:rsid w:val="00102832"/>
    <w:rsid w:val="00102A35"/>
    <w:rsid w:val="00102C16"/>
    <w:rsid w:val="00102C48"/>
    <w:rsid w:val="00102CA4"/>
    <w:rsid w:val="00102EF1"/>
    <w:rsid w:val="00103057"/>
    <w:rsid w:val="001031A7"/>
    <w:rsid w:val="001031D6"/>
    <w:rsid w:val="00103241"/>
    <w:rsid w:val="00103297"/>
    <w:rsid w:val="0010329C"/>
    <w:rsid w:val="001032A5"/>
    <w:rsid w:val="001032DE"/>
    <w:rsid w:val="00103368"/>
    <w:rsid w:val="00103403"/>
    <w:rsid w:val="00103430"/>
    <w:rsid w:val="00103488"/>
    <w:rsid w:val="00103513"/>
    <w:rsid w:val="00103704"/>
    <w:rsid w:val="00103720"/>
    <w:rsid w:val="00103828"/>
    <w:rsid w:val="00103893"/>
    <w:rsid w:val="001038C7"/>
    <w:rsid w:val="00103931"/>
    <w:rsid w:val="0010395C"/>
    <w:rsid w:val="00103BC6"/>
    <w:rsid w:val="00103C5A"/>
    <w:rsid w:val="00103DCC"/>
    <w:rsid w:val="00103F30"/>
    <w:rsid w:val="0010400C"/>
    <w:rsid w:val="00104013"/>
    <w:rsid w:val="001044CA"/>
    <w:rsid w:val="00104505"/>
    <w:rsid w:val="00104555"/>
    <w:rsid w:val="00104557"/>
    <w:rsid w:val="00104755"/>
    <w:rsid w:val="0010478B"/>
    <w:rsid w:val="00104798"/>
    <w:rsid w:val="0010482D"/>
    <w:rsid w:val="00104858"/>
    <w:rsid w:val="00104A5A"/>
    <w:rsid w:val="00104AD7"/>
    <w:rsid w:val="00104C1A"/>
    <w:rsid w:val="00104C5A"/>
    <w:rsid w:val="00104E0A"/>
    <w:rsid w:val="001052DD"/>
    <w:rsid w:val="001052F0"/>
    <w:rsid w:val="001054E3"/>
    <w:rsid w:val="001055AD"/>
    <w:rsid w:val="001055EC"/>
    <w:rsid w:val="0010565C"/>
    <w:rsid w:val="00105675"/>
    <w:rsid w:val="001056A6"/>
    <w:rsid w:val="001056CA"/>
    <w:rsid w:val="001056E0"/>
    <w:rsid w:val="0010573D"/>
    <w:rsid w:val="0010577A"/>
    <w:rsid w:val="00105792"/>
    <w:rsid w:val="00105820"/>
    <w:rsid w:val="0010582E"/>
    <w:rsid w:val="00105AB4"/>
    <w:rsid w:val="00105E71"/>
    <w:rsid w:val="00105EB2"/>
    <w:rsid w:val="00105F06"/>
    <w:rsid w:val="00105F1C"/>
    <w:rsid w:val="00106020"/>
    <w:rsid w:val="00106307"/>
    <w:rsid w:val="001063FC"/>
    <w:rsid w:val="001065A1"/>
    <w:rsid w:val="00106662"/>
    <w:rsid w:val="0010669C"/>
    <w:rsid w:val="001066FE"/>
    <w:rsid w:val="001067D2"/>
    <w:rsid w:val="001068C8"/>
    <w:rsid w:val="001068D4"/>
    <w:rsid w:val="0010696D"/>
    <w:rsid w:val="00106AB6"/>
    <w:rsid w:val="00106BCC"/>
    <w:rsid w:val="00106BFE"/>
    <w:rsid w:val="00106CE0"/>
    <w:rsid w:val="00106D8B"/>
    <w:rsid w:val="00106E46"/>
    <w:rsid w:val="001070B8"/>
    <w:rsid w:val="0010713C"/>
    <w:rsid w:val="00107207"/>
    <w:rsid w:val="00107321"/>
    <w:rsid w:val="0010741A"/>
    <w:rsid w:val="0010749E"/>
    <w:rsid w:val="001074D5"/>
    <w:rsid w:val="0010756B"/>
    <w:rsid w:val="0010765F"/>
    <w:rsid w:val="001076AC"/>
    <w:rsid w:val="00107726"/>
    <w:rsid w:val="001078A0"/>
    <w:rsid w:val="001078E4"/>
    <w:rsid w:val="001078E5"/>
    <w:rsid w:val="001079F8"/>
    <w:rsid w:val="00107A3E"/>
    <w:rsid w:val="00107A40"/>
    <w:rsid w:val="00107B3E"/>
    <w:rsid w:val="00107C22"/>
    <w:rsid w:val="00107DF0"/>
    <w:rsid w:val="00107E67"/>
    <w:rsid w:val="00107F0C"/>
    <w:rsid w:val="00107F57"/>
    <w:rsid w:val="00107FB2"/>
    <w:rsid w:val="0011001E"/>
    <w:rsid w:val="0011002F"/>
    <w:rsid w:val="001101AA"/>
    <w:rsid w:val="00110461"/>
    <w:rsid w:val="001106BE"/>
    <w:rsid w:val="00110726"/>
    <w:rsid w:val="00110776"/>
    <w:rsid w:val="0011087D"/>
    <w:rsid w:val="001108F0"/>
    <w:rsid w:val="00110955"/>
    <w:rsid w:val="001109B9"/>
    <w:rsid w:val="00110A56"/>
    <w:rsid w:val="00110BE9"/>
    <w:rsid w:val="00110CBF"/>
    <w:rsid w:val="00110E0C"/>
    <w:rsid w:val="00110E57"/>
    <w:rsid w:val="00110EED"/>
    <w:rsid w:val="00111021"/>
    <w:rsid w:val="001110AA"/>
    <w:rsid w:val="00111184"/>
    <w:rsid w:val="00111219"/>
    <w:rsid w:val="001112D7"/>
    <w:rsid w:val="00111335"/>
    <w:rsid w:val="001113CB"/>
    <w:rsid w:val="001113DB"/>
    <w:rsid w:val="00111488"/>
    <w:rsid w:val="001114E4"/>
    <w:rsid w:val="001114F0"/>
    <w:rsid w:val="00111561"/>
    <w:rsid w:val="001116CB"/>
    <w:rsid w:val="0011178C"/>
    <w:rsid w:val="001117F0"/>
    <w:rsid w:val="00111813"/>
    <w:rsid w:val="001119D8"/>
    <w:rsid w:val="00111A73"/>
    <w:rsid w:val="00111AE0"/>
    <w:rsid w:val="00111CEA"/>
    <w:rsid w:val="00111D01"/>
    <w:rsid w:val="00111E9C"/>
    <w:rsid w:val="00111FDF"/>
    <w:rsid w:val="00112197"/>
    <w:rsid w:val="001121F4"/>
    <w:rsid w:val="00112415"/>
    <w:rsid w:val="0011256F"/>
    <w:rsid w:val="00112587"/>
    <w:rsid w:val="0011265C"/>
    <w:rsid w:val="00112969"/>
    <w:rsid w:val="001129AC"/>
    <w:rsid w:val="001129B1"/>
    <w:rsid w:val="001129B7"/>
    <w:rsid w:val="001129EC"/>
    <w:rsid w:val="00112DC3"/>
    <w:rsid w:val="001131AD"/>
    <w:rsid w:val="001131D5"/>
    <w:rsid w:val="001131DB"/>
    <w:rsid w:val="001132AD"/>
    <w:rsid w:val="001132BC"/>
    <w:rsid w:val="00113393"/>
    <w:rsid w:val="001138AB"/>
    <w:rsid w:val="001138C4"/>
    <w:rsid w:val="00113921"/>
    <w:rsid w:val="00113985"/>
    <w:rsid w:val="00113A59"/>
    <w:rsid w:val="00113B63"/>
    <w:rsid w:val="00113C9E"/>
    <w:rsid w:val="00113CDF"/>
    <w:rsid w:val="00113E8D"/>
    <w:rsid w:val="00113FDC"/>
    <w:rsid w:val="0011407B"/>
    <w:rsid w:val="001140BC"/>
    <w:rsid w:val="00114141"/>
    <w:rsid w:val="00114149"/>
    <w:rsid w:val="001141CE"/>
    <w:rsid w:val="00114360"/>
    <w:rsid w:val="00114441"/>
    <w:rsid w:val="001145F9"/>
    <w:rsid w:val="0011461A"/>
    <w:rsid w:val="001146DE"/>
    <w:rsid w:val="001147B9"/>
    <w:rsid w:val="0011495C"/>
    <w:rsid w:val="00114995"/>
    <w:rsid w:val="00114AB7"/>
    <w:rsid w:val="00114B6F"/>
    <w:rsid w:val="00114C53"/>
    <w:rsid w:val="00114D9C"/>
    <w:rsid w:val="00114E40"/>
    <w:rsid w:val="00114F50"/>
    <w:rsid w:val="00115161"/>
    <w:rsid w:val="001151D9"/>
    <w:rsid w:val="00115205"/>
    <w:rsid w:val="001152A7"/>
    <w:rsid w:val="00115353"/>
    <w:rsid w:val="001153BB"/>
    <w:rsid w:val="00115440"/>
    <w:rsid w:val="00115496"/>
    <w:rsid w:val="0011557A"/>
    <w:rsid w:val="00115644"/>
    <w:rsid w:val="001158A7"/>
    <w:rsid w:val="001158B7"/>
    <w:rsid w:val="00115919"/>
    <w:rsid w:val="00115A40"/>
    <w:rsid w:val="00115B07"/>
    <w:rsid w:val="00115CCD"/>
    <w:rsid w:val="00115D8D"/>
    <w:rsid w:val="00115DB9"/>
    <w:rsid w:val="00115E02"/>
    <w:rsid w:val="00115E4A"/>
    <w:rsid w:val="00115ED9"/>
    <w:rsid w:val="00115F4B"/>
    <w:rsid w:val="00115FF1"/>
    <w:rsid w:val="00116430"/>
    <w:rsid w:val="001164F0"/>
    <w:rsid w:val="001164F1"/>
    <w:rsid w:val="00116520"/>
    <w:rsid w:val="00116525"/>
    <w:rsid w:val="00116545"/>
    <w:rsid w:val="00116681"/>
    <w:rsid w:val="001168B7"/>
    <w:rsid w:val="001168E1"/>
    <w:rsid w:val="00116B42"/>
    <w:rsid w:val="00116C71"/>
    <w:rsid w:val="00116C8A"/>
    <w:rsid w:val="00116DF3"/>
    <w:rsid w:val="00116F21"/>
    <w:rsid w:val="00116F2C"/>
    <w:rsid w:val="00117006"/>
    <w:rsid w:val="0011721B"/>
    <w:rsid w:val="0011731A"/>
    <w:rsid w:val="0011750D"/>
    <w:rsid w:val="00117549"/>
    <w:rsid w:val="001175DE"/>
    <w:rsid w:val="0011770B"/>
    <w:rsid w:val="0011770D"/>
    <w:rsid w:val="00117864"/>
    <w:rsid w:val="001178A7"/>
    <w:rsid w:val="001179B9"/>
    <w:rsid w:val="00117A48"/>
    <w:rsid w:val="00117B14"/>
    <w:rsid w:val="00117E3A"/>
    <w:rsid w:val="00117E98"/>
    <w:rsid w:val="00120109"/>
    <w:rsid w:val="0012013D"/>
    <w:rsid w:val="0012020C"/>
    <w:rsid w:val="001204BD"/>
    <w:rsid w:val="001204D9"/>
    <w:rsid w:val="001204F8"/>
    <w:rsid w:val="001204FA"/>
    <w:rsid w:val="00120502"/>
    <w:rsid w:val="00120723"/>
    <w:rsid w:val="00120747"/>
    <w:rsid w:val="001209D7"/>
    <w:rsid w:val="00120AAC"/>
    <w:rsid w:val="00120AC2"/>
    <w:rsid w:val="00120B67"/>
    <w:rsid w:val="00120C06"/>
    <w:rsid w:val="00120C62"/>
    <w:rsid w:val="00120C71"/>
    <w:rsid w:val="00120D32"/>
    <w:rsid w:val="00120D71"/>
    <w:rsid w:val="00120DBB"/>
    <w:rsid w:val="00120DD3"/>
    <w:rsid w:val="00120E08"/>
    <w:rsid w:val="00120E16"/>
    <w:rsid w:val="00120E46"/>
    <w:rsid w:val="00121017"/>
    <w:rsid w:val="00121141"/>
    <w:rsid w:val="00121295"/>
    <w:rsid w:val="00121341"/>
    <w:rsid w:val="0012148C"/>
    <w:rsid w:val="00121532"/>
    <w:rsid w:val="0012166A"/>
    <w:rsid w:val="00121897"/>
    <w:rsid w:val="001218A3"/>
    <w:rsid w:val="001218BB"/>
    <w:rsid w:val="001218D0"/>
    <w:rsid w:val="00121964"/>
    <w:rsid w:val="001219B4"/>
    <w:rsid w:val="001219ED"/>
    <w:rsid w:val="00121B28"/>
    <w:rsid w:val="00121C15"/>
    <w:rsid w:val="00121EB2"/>
    <w:rsid w:val="00121FE4"/>
    <w:rsid w:val="00122075"/>
    <w:rsid w:val="001220A6"/>
    <w:rsid w:val="001221A7"/>
    <w:rsid w:val="001221D6"/>
    <w:rsid w:val="0012240D"/>
    <w:rsid w:val="0012244E"/>
    <w:rsid w:val="00122462"/>
    <w:rsid w:val="001224D2"/>
    <w:rsid w:val="0012256A"/>
    <w:rsid w:val="001225E1"/>
    <w:rsid w:val="001225F9"/>
    <w:rsid w:val="00122615"/>
    <w:rsid w:val="0012263C"/>
    <w:rsid w:val="001226A2"/>
    <w:rsid w:val="001227C8"/>
    <w:rsid w:val="00122835"/>
    <w:rsid w:val="001228FB"/>
    <w:rsid w:val="00122956"/>
    <w:rsid w:val="001229DC"/>
    <w:rsid w:val="00122A46"/>
    <w:rsid w:val="00122AEE"/>
    <w:rsid w:val="00122BE7"/>
    <w:rsid w:val="00122D0C"/>
    <w:rsid w:val="00122E83"/>
    <w:rsid w:val="00123309"/>
    <w:rsid w:val="00123527"/>
    <w:rsid w:val="00123536"/>
    <w:rsid w:val="00123616"/>
    <w:rsid w:val="00123674"/>
    <w:rsid w:val="00123760"/>
    <w:rsid w:val="00123823"/>
    <w:rsid w:val="00123867"/>
    <w:rsid w:val="00123962"/>
    <w:rsid w:val="00123ACF"/>
    <w:rsid w:val="00123B3A"/>
    <w:rsid w:val="00123CBE"/>
    <w:rsid w:val="00123D57"/>
    <w:rsid w:val="00123E7D"/>
    <w:rsid w:val="00123ECA"/>
    <w:rsid w:val="00123F4B"/>
    <w:rsid w:val="00123FE0"/>
    <w:rsid w:val="00123FF3"/>
    <w:rsid w:val="0012408A"/>
    <w:rsid w:val="00124094"/>
    <w:rsid w:val="001241C5"/>
    <w:rsid w:val="001242AE"/>
    <w:rsid w:val="00124482"/>
    <w:rsid w:val="00124635"/>
    <w:rsid w:val="00124644"/>
    <w:rsid w:val="001246D9"/>
    <w:rsid w:val="0012472A"/>
    <w:rsid w:val="001247FB"/>
    <w:rsid w:val="00124840"/>
    <w:rsid w:val="001248AB"/>
    <w:rsid w:val="00124A1C"/>
    <w:rsid w:val="00124A55"/>
    <w:rsid w:val="00124A69"/>
    <w:rsid w:val="00124B63"/>
    <w:rsid w:val="00124C1E"/>
    <w:rsid w:val="00124C44"/>
    <w:rsid w:val="00124CB3"/>
    <w:rsid w:val="00124D44"/>
    <w:rsid w:val="00124DE9"/>
    <w:rsid w:val="00124E5B"/>
    <w:rsid w:val="00124FD7"/>
    <w:rsid w:val="0012510F"/>
    <w:rsid w:val="00125181"/>
    <w:rsid w:val="001251E4"/>
    <w:rsid w:val="00125211"/>
    <w:rsid w:val="001252A5"/>
    <w:rsid w:val="00125475"/>
    <w:rsid w:val="001254BF"/>
    <w:rsid w:val="001254D7"/>
    <w:rsid w:val="001255BF"/>
    <w:rsid w:val="0012577D"/>
    <w:rsid w:val="00125849"/>
    <w:rsid w:val="0012589D"/>
    <w:rsid w:val="00125902"/>
    <w:rsid w:val="0012595A"/>
    <w:rsid w:val="001259AE"/>
    <w:rsid w:val="00125AF5"/>
    <w:rsid w:val="00125B4C"/>
    <w:rsid w:val="00125CCF"/>
    <w:rsid w:val="00125D51"/>
    <w:rsid w:val="00125E60"/>
    <w:rsid w:val="00125F5A"/>
    <w:rsid w:val="001260AC"/>
    <w:rsid w:val="00126218"/>
    <w:rsid w:val="0012626A"/>
    <w:rsid w:val="0012657C"/>
    <w:rsid w:val="001265CE"/>
    <w:rsid w:val="001265D2"/>
    <w:rsid w:val="001267FC"/>
    <w:rsid w:val="001269E9"/>
    <w:rsid w:val="00126A1A"/>
    <w:rsid w:val="00126AA6"/>
    <w:rsid w:val="00126C07"/>
    <w:rsid w:val="00126C3D"/>
    <w:rsid w:val="00126FEF"/>
    <w:rsid w:val="0012700D"/>
    <w:rsid w:val="00127149"/>
    <w:rsid w:val="0012724C"/>
    <w:rsid w:val="001273F2"/>
    <w:rsid w:val="001274A2"/>
    <w:rsid w:val="001274F6"/>
    <w:rsid w:val="00127518"/>
    <w:rsid w:val="001275ED"/>
    <w:rsid w:val="00127740"/>
    <w:rsid w:val="0012783B"/>
    <w:rsid w:val="001279E1"/>
    <w:rsid w:val="00127A76"/>
    <w:rsid w:val="00127B58"/>
    <w:rsid w:val="00127EB4"/>
    <w:rsid w:val="00127FA1"/>
    <w:rsid w:val="00130036"/>
    <w:rsid w:val="00130149"/>
    <w:rsid w:val="001301E4"/>
    <w:rsid w:val="001301EE"/>
    <w:rsid w:val="00130339"/>
    <w:rsid w:val="00130352"/>
    <w:rsid w:val="001303F6"/>
    <w:rsid w:val="00130493"/>
    <w:rsid w:val="0013058B"/>
    <w:rsid w:val="00130769"/>
    <w:rsid w:val="0013080F"/>
    <w:rsid w:val="00130878"/>
    <w:rsid w:val="00130950"/>
    <w:rsid w:val="00130B0C"/>
    <w:rsid w:val="00130B1A"/>
    <w:rsid w:val="00130B95"/>
    <w:rsid w:val="00130C7C"/>
    <w:rsid w:val="00130D88"/>
    <w:rsid w:val="00130DF7"/>
    <w:rsid w:val="00130F31"/>
    <w:rsid w:val="00130F38"/>
    <w:rsid w:val="001310FE"/>
    <w:rsid w:val="00131250"/>
    <w:rsid w:val="00131344"/>
    <w:rsid w:val="001313C7"/>
    <w:rsid w:val="0013140A"/>
    <w:rsid w:val="001317CF"/>
    <w:rsid w:val="00131930"/>
    <w:rsid w:val="001319FB"/>
    <w:rsid w:val="00131AB4"/>
    <w:rsid w:val="00131B8A"/>
    <w:rsid w:val="00131CC4"/>
    <w:rsid w:val="00131D50"/>
    <w:rsid w:val="00131D94"/>
    <w:rsid w:val="00131DB0"/>
    <w:rsid w:val="001320A6"/>
    <w:rsid w:val="0013223E"/>
    <w:rsid w:val="00132545"/>
    <w:rsid w:val="00132788"/>
    <w:rsid w:val="00132846"/>
    <w:rsid w:val="001328E1"/>
    <w:rsid w:val="00132959"/>
    <w:rsid w:val="0013298F"/>
    <w:rsid w:val="001329F9"/>
    <w:rsid w:val="00132DA4"/>
    <w:rsid w:val="00132DD5"/>
    <w:rsid w:val="00132E70"/>
    <w:rsid w:val="00132EE2"/>
    <w:rsid w:val="00132FEE"/>
    <w:rsid w:val="001330F9"/>
    <w:rsid w:val="00133224"/>
    <w:rsid w:val="00133495"/>
    <w:rsid w:val="001334A1"/>
    <w:rsid w:val="001334B9"/>
    <w:rsid w:val="00133512"/>
    <w:rsid w:val="00133634"/>
    <w:rsid w:val="001336D9"/>
    <w:rsid w:val="001336DA"/>
    <w:rsid w:val="00133923"/>
    <w:rsid w:val="00133A25"/>
    <w:rsid w:val="00133AD8"/>
    <w:rsid w:val="00133C85"/>
    <w:rsid w:val="00133C9D"/>
    <w:rsid w:val="00133CC0"/>
    <w:rsid w:val="00133D35"/>
    <w:rsid w:val="00133DF0"/>
    <w:rsid w:val="00133E1E"/>
    <w:rsid w:val="00133EC3"/>
    <w:rsid w:val="00133ED1"/>
    <w:rsid w:val="00133F11"/>
    <w:rsid w:val="00133FF1"/>
    <w:rsid w:val="001340E4"/>
    <w:rsid w:val="00134138"/>
    <w:rsid w:val="0013415D"/>
    <w:rsid w:val="00134354"/>
    <w:rsid w:val="00134395"/>
    <w:rsid w:val="00134587"/>
    <w:rsid w:val="001346E0"/>
    <w:rsid w:val="0013474E"/>
    <w:rsid w:val="00134765"/>
    <w:rsid w:val="001347F2"/>
    <w:rsid w:val="001347FA"/>
    <w:rsid w:val="00134817"/>
    <w:rsid w:val="001348E9"/>
    <w:rsid w:val="001349B7"/>
    <w:rsid w:val="00134BAB"/>
    <w:rsid w:val="00134C03"/>
    <w:rsid w:val="00134C04"/>
    <w:rsid w:val="00134D63"/>
    <w:rsid w:val="00134F5C"/>
    <w:rsid w:val="00135026"/>
    <w:rsid w:val="00135304"/>
    <w:rsid w:val="00135306"/>
    <w:rsid w:val="0013530E"/>
    <w:rsid w:val="001354C2"/>
    <w:rsid w:val="0013558F"/>
    <w:rsid w:val="001355FA"/>
    <w:rsid w:val="00135625"/>
    <w:rsid w:val="00135632"/>
    <w:rsid w:val="00135684"/>
    <w:rsid w:val="00135752"/>
    <w:rsid w:val="0013597A"/>
    <w:rsid w:val="001359DC"/>
    <w:rsid w:val="00135A45"/>
    <w:rsid w:val="00135A82"/>
    <w:rsid w:val="00135B95"/>
    <w:rsid w:val="00135CA3"/>
    <w:rsid w:val="00135CB2"/>
    <w:rsid w:val="00136085"/>
    <w:rsid w:val="00136088"/>
    <w:rsid w:val="0013624B"/>
    <w:rsid w:val="00136356"/>
    <w:rsid w:val="0013637D"/>
    <w:rsid w:val="001363ED"/>
    <w:rsid w:val="00136430"/>
    <w:rsid w:val="001364BA"/>
    <w:rsid w:val="001364D6"/>
    <w:rsid w:val="00136544"/>
    <w:rsid w:val="001366C5"/>
    <w:rsid w:val="00136723"/>
    <w:rsid w:val="00136737"/>
    <w:rsid w:val="00136773"/>
    <w:rsid w:val="0013683D"/>
    <w:rsid w:val="001368BB"/>
    <w:rsid w:val="001368DD"/>
    <w:rsid w:val="00136A00"/>
    <w:rsid w:val="00136D31"/>
    <w:rsid w:val="00136D3F"/>
    <w:rsid w:val="00136DDF"/>
    <w:rsid w:val="00136E2E"/>
    <w:rsid w:val="00136E6C"/>
    <w:rsid w:val="00136EB7"/>
    <w:rsid w:val="00136EF1"/>
    <w:rsid w:val="00136F3C"/>
    <w:rsid w:val="00136F56"/>
    <w:rsid w:val="00137081"/>
    <w:rsid w:val="0013708F"/>
    <w:rsid w:val="0013722A"/>
    <w:rsid w:val="00137340"/>
    <w:rsid w:val="001373B7"/>
    <w:rsid w:val="0013749E"/>
    <w:rsid w:val="00137579"/>
    <w:rsid w:val="0013766C"/>
    <w:rsid w:val="001376C6"/>
    <w:rsid w:val="00137760"/>
    <w:rsid w:val="00137779"/>
    <w:rsid w:val="001377D2"/>
    <w:rsid w:val="001377DE"/>
    <w:rsid w:val="001378A0"/>
    <w:rsid w:val="00137945"/>
    <w:rsid w:val="00137C97"/>
    <w:rsid w:val="00137D61"/>
    <w:rsid w:val="00137D66"/>
    <w:rsid w:val="00137EB3"/>
    <w:rsid w:val="00137EF1"/>
    <w:rsid w:val="00137F2E"/>
    <w:rsid w:val="00140004"/>
    <w:rsid w:val="001400D7"/>
    <w:rsid w:val="001405AD"/>
    <w:rsid w:val="001406A4"/>
    <w:rsid w:val="001406A5"/>
    <w:rsid w:val="00140712"/>
    <w:rsid w:val="00140741"/>
    <w:rsid w:val="001407B1"/>
    <w:rsid w:val="001407DB"/>
    <w:rsid w:val="00140956"/>
    <w:rsid w:val="00140B33"/>
    <w:rsid w:val="00140BAB"/>
    <w:rsid w:val="00140C03"/>
    <w:rsid w:val="00140EAE"/>
    <w:rsid w:val="00140F5E"/>
    <w:rsid w:val="00140F67"/>
    <w:rsid w:val="0014102D"/>
    <w:rsid w:val="00141032"/>
    <w:rsid w:val="001410BC"/>
    <w:rsid w:val="0014117B"/>
    <w:rsid w:val="001411C9"/>
    <w:rsid w:val="00141207"/>
    <w:rsid w:val="001412E6"/>
    <w:rsid w:val="0014133F"/>
    <w:rsid w:val="001414E4"/>
    <w:rsid w:val="00141576"/>
    <w:rsid w:val="0014158E"/>
    <w:rsid w:val="00141597"/>
    <w:rsid w:val="001415C9"/>
    <w:rsid w:val="001416D0"/>
    <w:rsid w:val="0014173C"/>
    <w:rsid w:val="0014174B"/>
    <w:rsid w:val="001417FC"/>
    <w:rsid w:val="00141A16"/>
    <w:rsid w:val="00141A90"/>
    <w:rsid w:val="00141AFA"/>
    <w:rsid w:val="00141C09"/>
    <w:rsid w:val="00141C2E"/>
    <w:rsid w:val="00141CA0"/>
    <w:rsid w:val="00141D71"/>
    <w:rsid w:val="00141DF2"/>
    <w:rsid w:val="00141E32"/>
    <w:rsid w:val="00141EAC"/>
    <w:rsid w:val="00141FEE"/>
    <w:rsid w:val="001421A3"/>
    <w:rsid w:val="00142236"/>
    <w:rsid w:val="00142601"/>
    <w:rsid w:val="00142683"/>
    <w:rsid w:val="00142772"/>
    <w:rsid w:val="00142822"/>
    <w:rsid w:val="00142AE0"/>
    <w:rsid w:val="00142B79"/>
    <w:rsid w:val="00142D1A"/>
    <w:rsid w:val="00142D7B"/>
    <w:rsid w:val="00142F07"/>
    <w:rsid w:val="00142F14"/>
    <w:rsid w:val="0014317B"/>
    <w:rsid w:val="00143268"/>
    <w:rsid w:val="001434F1"/>
    <w:rsid w:val="0014359C"/>
    <w:rsid w:val="00143691"/>
    <w:rsid w:val="00143709"/>
    <w:rsid w:val="00143773"/>
    <w:rsid w:val="001437B0"/>
    <w:rsid w:val="00143849"/>
    <w:rsid w:val="00143885"/>
    <w:rsid w:val="001439E8"/>
    <w:rsid w:val="00143A07"/>
    <w:rsid w:val="00143D4D"/>
    <w:rsid w:val="00143D74"/>
    <w:rsid w:val="00143FA0"/>
    <w:rsid w:val="00144038"/>
    <w:rsid w:val="001440EC"/>
    <w:rsid w:val="00144135"/>
    <w:rsid w:val="0014416C"/>
    <w:rsid w:val="00144209"/>
    <w:rsid w:val="00144248"/>
    <w:rsid w:val="00144463"/>
    <w:rsid w:val="001444FB"/>
    <w:rsid w:val="00144548"/>
    <w:rsid w:val="00144825"/>
    <w:rsid w:val="0014490E"/>
    <w:rsid w:val="00144911"/>
    <w:rsid w:val="001449E2"/>
    <w:rsid w:val="00144AC5"/>
    <w:rsid w:val="00144AEE"/>
    <w:rsid w:val="00144C29"/>
    <w:rsid w:val="00144E6B"/>
    <w:rsid w:val="001450C8"/>
    <w:rsid w:val="00145270"/>
    <w:rsid w:val="001453F0"/>
    <w:rsid w:val="0014553B"/>
    <w:rsid w:val="00145740"/>
    <w:rsid w:val="00145809"/>
    <w:rsid w:val="00145840"/>
    <w:rsid w:val="00145B57"/>
    <w:rsid w:val="00145BA2"/>
    <w:rsid w:val="00145BA9"/>
    <w:rsid w:val="00145DB0"/>
    <w:rsid w:val="00145EFD"/>
    <w:rsid w:val="00145FD3"/>
    <w:rsid w:val="0014601D"/>
    <w:rsid w:val="00146114"/>
    <w:rsid w:val="00146170"/>
    <w:rsid w:val="001461B7"/>
    <w:rsid w:val="00146207"/>
    <w:rsid w:val="0014625A"/>
    <w:rsid w:val="001462D6"/>
    <w:rsid w:val="001463B5"/>
    <w:rsid w:val="001463B8"/>
    <w:rsid w:val="00146404"/>
    <w:rsid w:val="001464EB"/>
    <w:rsid w:val="00146519"/>
    <w:rsid w:val="001466BE"/>
    <w:rsid w:val="0014694B"/>
    <w:rsid w:val="00146B15"/>
    <w:rsid w:val="00146B2B"/>
    <w:rsid w:val="00146BA1"/>
    <w:rsid w:val="00146C8E"/>
    <w:rsid w:val="00146CC8"/>
    <w:rsid w:val="00147025"/>
    <w:rsid w:val="001470BB"/>
    <w:rsid w:val="00147107"/>
    <w:rsid w:val="0014747D"/>
    <w:rsid w:val="001474C4"/>
    <w:rsid w:val="0014753C"/>
    <w:rsid w:val="00147649"/>
    <w:rsid w:val="001476FF"/>
    <w:rsid w:val="0014770F"/>
    <w:rsid w:val="001477AE"/>
    <w:rsid w:val="0014795A"/>
    <w:rsid w:val="00147A14"/>
    <w:rsid w:val="00147ABD"/>
    <w:rsid w:val="00147BC6"/>
    <w:rsid w:val="00147C4E"/>
    <w:rsid w:val="00147C57"/>
    <w:rsid w:val="00147C6E"/>
    <w:rsid w:val="00147E8C"/>
    <w:rsid w:val="00147F0C"/>
    <w:rsid w:val="00147F9E"/>
    <w:rsid w:val="00150354"/>
    <w:rsid w:val="001504C1"/>
    <w:rsid w:val="001505BE"/>
    <w:rsid w:val="0015081E"/>
    <w:rsid w:val="00150914"/>
    <w:rsid w:val="001509B2"/>
    <w:rsid w:val="00150A07"/>
    <w:rsid w:val="00150A13"/>
    <w:rsid w:val="00150A27"/>
    <w:rsid w:val="00150A8E"/>
    <w:rsid w:val="00150D60"/>
    <w:rsid w:val="00150ED3"/>
    <w:rsid w:val="00150F49"/>
    <w:rsid w:val="00151003"/>
    <w:rsid w:val="001511CE"/>
    <w:rsid w:val="001512D2"/>
    <w:rsid w:val="00151357"/>
    <w:rsid w:val="0015135E"/>
    <w:rsid w:val="0015149F"/>
    <w:rsid w:val="0015152C"/>
    <w:rsid w:val="001516B8"/>
    <w:rsid w:val="001517C7"/>
    <w:rsid w:val="00151928"/>
    <w:rsid w:val="00151945"/>
    <w:rsid w:val="001519D1"/>
    <w:rsid w:val="00151A72"/>
    <w:rsid w:val="00151AAA"/>
    <w:rsid w:val="00151AE1"/>
    <w:rsid w:val="00151B36"/>
    <w:rsid w:val="00151C0C"/>
    <w:rsid w:val="00151C80"/>
    <w:rsid w:val="00151D46"/>
    <w:rsid w:val="00151D96"/>
    <w:rsid w:val="00151E22"/>
    <w:rsid w:val="00151F26"/>
    <w:rsid w:val="001520D8"/>
    <w:rsid w:val="0015245C"/>
    <w:rsid w:val="00152752"/>
    <w:rsid w:val="0015276B"/>
    <w:rsid w:val="001528D5"/>
    <w:rsid w:val="001529A4"/>
    <w:rsid w:val="001529C7"/>
    <w:rsid w:val="00152A95"/>
    <w:rsid w:val="00152B71"/>
    <w:rsid w:val="00152BA6"/>
    <w:rsid w:val="00152C04"/>
    <w:rsid w:val="00152E0B"/>
    <w:rsid w:val="00152E15"/>
    <w:rsid w:val="00152EAC"/>
    <w:rsid w:val="00152EFA"/>
    <w:rsid w:val="00152F8F"/>
    <w:rsid w:val="00153066"/>
    <w:rsid w:val="00153067"/>
    <w:rsid w:val="0015334F"/>
    <w:rsid w:val="0015345B"/>
    <w:rsid w:val="0015352A"/>
    <w:rsid w:val="001535DB"/>
    <w:rsid w:val="001535F4"/>
    <w:rsid w:val="001536D1"/>
    <w:rsid w:val="0015373C"/>
    <w:rsid w:val="001537A6"/>
    <w:rsid w:val="001539AE"/>
    <w:rsid w:val="00153A7D"/>
    <w:rsid w:val="00153B23"/>
    <w:rsid w:val="00153BCA"/>
    <w:rsid w:val="00153C95"/>
    <w:rsid w:val="00153D4E"/>
    <w:rsid w:val="00153E9A"/>
    <w:rsid w:val="00153F45"/>
    <w:rsid w:val="00153F54"/>
    <w:rsid w:val="0015409E"/>
    <w:rsid w:val="00154289"/>
    <w:rsid w:val="0015439D"/>
    <w:rsid w:val="0015447F"/>
    <w:rsid w:val="0015458D"/>
    <w:rsid w:val="001546CD"/>
    <w:rsid w:val="001546F1"/>
    <w:rsid w:val="0015486B"/>
    <w:rsid w:val="00154A3A"/>
    <w:rsid w:val="00154A77"/>
    <w:rsid w:val="00154B03"/>
    <w:rsid w:val="00154B7C"/>
    <w:rsid w:val="00154BCF"/>
    <w:rsid w:val="00154C2F"/>
    <w:rsid w:val="00154EBE"/>
    <w:rsid w:val="00154EF1"/>
    <w:rsid w:val="00155012"/>
    <w:rsid w:val="0015507D"/>
    <w:rsid w:val="00155225"/>
    <w:rsid w:val="001552AA"/>
    <w:rsid w:val="001553C2"/>
    <w:rsid w:val="0015549B"/>
    <w:rsid w:val="00155558"/>
    <w:rsid w:val="00155584"/>
    <w:rsid w:val="001555CB"/>
    <w:rsid w:val="001557CD"/>
    <w:rsid w:val="001557EB"/>
    <w:rsid w:val="0015590C"/>
    <w:rsid w:val="00155A14"/>
    <w:rsid w:val="00155AC3"/>
    <w:rsid w:val="00155AE6"/>
    <w:rsid w:val="00155E83"/>
    <w:rsid w:val="00155FEA"/>
    <w:rsid w:val="0015602A"/>
    <w:rsid w:val="001560F4"/>
    <w:rsid w:val="001561F4"/>
    <w:rsid w:val="0015627B"/>
    <w:rsid w:val="0015658A"/>
    <w:rsid w:val="0015659B"/>
    <w:rsid w:val="001566DC"/>
    <w:rsid w:val="00156738"/>
    <w:rsid w:val="00156770"/>
    <w:rsid w:val="001567A7"/>
    <w:rsid w:val="001567FD"/>
    <w:rsid w:val="0015690F"/>
    <w:rsid w:val="00156921"/>
    <w:rsid w:val="00156960"/>
    <w:rsid w:val="00156B6E"/>
    <w:rsid w:val="00156C4D"/>
    <w:rsid w:val="00156D6C"/>
    <w:rsid w:val="00156FD5"/>
    <w:rsid w:val="0015702A"/>
    <w:rsid w:val="00157033"/>
    <w:rsid w:val="0015707E"/>
    <w:rsid w:val="001571DC"/>
    <w:rsid w:val="0015733E"/>
    <w:rsid w:val="001573D9"/>
    <w:rsid w:val="00157574"/>
    <w:rsid w:val="001575CC"/>
    <w:rsid w:val="0015799C"/>
    <w:rsid w:val="001579B8"/>
    <w:rsid w:val="00157A7A"/>
    <w:rsid w:val="00157AF0"/>
    <w:rsid w:val="00157AFC"/>
    <w:rsid w:val="00157B50"/>
    <w:rsid w:val="00157BA9"/>
    <w:rsid w:val="00157C06"/>
    <w:rsid w:val="00157DB0"/>
    <w:rsid w:val="00157F4F"/>
    <w:rsid w:val="00160030"/>
    <w:rsid w:val="0016012C"/>
    <w:rsid w:val="001601F3"/>
    <w:rsid w:val="00160281"/>
    <w:rsid w:val="00160599"/>
    <w:rsid w:val="001607A5"/>
    <w:rsid w:val="0016083F"/>
    <w:rsid w:val="00160984"/>
    <w:rsid w:val="0016099A"/>
    <w:rsid w:val="00160A09"/>
    <w:rsid w:val="00160B13"/>
    <w:rsid w:val="00160D99"/>
    <w:rsid w:val="0016123E"/>
    <w:rsid w:val="00161379"/>
    <w:rsid w:val="00161571"/>
    <w:rsid w:val="0016175F"/>
    <w:rsid w:val="0016197E"/>
    <w:rsid w:val="00161BD4"/>
    <w:rsid w:val="00161BE1"/>
    <w:rsid w:val="00161CB5"/>
    <w:rsid w:val="00161D85"/>
    <w:rsid w:val="00162163"/>
    <w:rsid w:val="001621AB"/>
    <w:rsid w:val="001621B2"/>
    <w:rsid w:val="001622E1"/>
    <w:rsid w:val="0016237A"/>
    <w:rsid w:val="001624EF"/>
    <w:rsid w:val="00162504"/>
    <w:rsid w:val="0016257E"/>
    <w:rsid w:val="001627D8"/>
    <w:rsid w:val="001627E9"/>
    <w:rsid w:val="00162879"/>
    <w:rsid w:val="00162A86"/>
    <w:rsid w:val="00162AD9"/>
    <w:rsid w:val="00162B12"/>
    <w:rsid w:val="00162CB3"/>
    <w:rsid w:val="00162CCC"/>
    <w:rsid w:val="00162D70"/>
    <w:rsid w:val="0016304F"/>
    <w:rsid w:val="001631E1"/>
    <w:rsid w:val="00163214"/>
    <w:rsid w:val="001632DC"/>
    <w:rsid w:val="001633E2"/>
    <w:rsid w:val="001635CC"/>
    <w:rsid w:val="001637AA"/>
    <w:rsid w:val="00163BFD"/>
    <w:rsid w:val="00163CB8"/>
    <w:rsid w:val="00163D91"/>
    <w:rsid w:val="00163DA5"/>
    <w:rsid w:val="00163DB5"/>
    <w:rsid w:val="00163DC2"/>
    <w:rsid w:val="00163EF4"/>
    <w:rsid w:val="00163FB9"/>
    <w:rsid w:val="00164016"/>
    <w:rsid w:val="001643D4"/>
    <w:rsid w:val="00164514"/>
    <w:rsid w:val="00164693"/>
    <w:rsid w:val="001647AA"/>
    <w:rsid w:val="0016488E"/>
    <w:rsid w:val="001648CB"/>
    <w:rsid w:val="00164985"/>
    <w:rsid w:val="00164B1C"/>
    <w:rsid w:val="00164CEA"/>
    <w:rsid w:val="00164D24"/>
    <w:rsid w:val="00164E02"/>
    <w:rsid w:val="00164E4F"/>
    <w:rsid w:val="00164EA6"/>
    <w:rsid w:val="00164FD3"/>
    <w:rsid w:val="00165085"/>
    <w:rsid w:val="00165509"/>
    <w:rsid w:val="00165544"/>
    <w:rsid w:val="001656FD"/>
    <w:rsid w:val="00165702"/>
    <w:rsid w:val="00165706"/>
    <w:rsid w:val="0016577F"/>
    <w:rsid w:val="001657A6"/>
    <w:rsid w:val="0016586C"/>
    <w:rsid w:val="00165A51"/>
    <w:rsid w:val="00165B2F"/>
    <w:rsid w:val="00165C45"/>
    <w:rsid w:val="00165E6F"/>
    <w:rsid w:val="00165F01"/>
    <w:rsid w:val="00165F30"/>
    <w:rsid w:val="00165F69"/>
    <w:rsid w:val="00166020"/>
    <w:rsid w:val="0016605E"/>
    <w:rsid w:val="0016605F"/>
    <w:rsid w:val="001660EF"/>
    <w:rsid w:val="0016622A"/>
    <w:rsid w:val="001662D0"/>
    <w:rsid w:val="0016634A"/>
    <w:rsid w:val="00166371"/>
    <w:rsid w:val="001663A4"/>
    <w:rsid w:val="00166463"/>
    <w:rsid w:val="001664A6"/>
    <w:rsid w:val="00166501"/>
    <w:rsid w:val="001665ED"/>
    <w:rsid w:val="00166618"/>
    <w:rsid w:val="001666AD"/>
    <w:rsid w:val="0016673E"/>
    <w:rsid w:val="0016676C"/>
    <w:rsid w:val="001667D5"/>
    <w:rsid w:val="0016691E"/>
    <w:rsid w:val="00166D53"/>
    <w:rsid w:val="00166FD1"/>
    <w:rsid w:val="00166FF5"/>
    <w:rsid w:val="00167031"/>
    <w:rsid w:val="001670C1"/>
    <w:rsid w:val="0016717F"/>
    <w:rsid w:val="0016719E"/>
    <w:rsid w:val="00167220"/>
    <w:rsid w:val="0016738E"/>
    <w:rsid w:val="001674AF"/>
    <w:rsid w:val="00167675"/>
    <w:rsid w:val="00167685"/>
    <w:rsid w:val="001677D7"/>
    <w:rsid w:val="00167A38"/>
    <w:rsid w:val="00167AB8"/>
    <w:rsid w:val="00167CC0"/>
    <w:rsid w:val="00167E48"/>
    <w:rsid w:val="00167E49"/>
    <w:rsid w:val="00167F3A"/>
    <w:rsid w:val="001699DF"/>
    <w:rsid w:val="0017006F"/>
    <w:rsid w:val="001700B8"/>
    <w:rsid w:val="00170238"/>
    <w:rsid w:val="00170244"/>
    <w:rsid w:val="001702FF"/>
    <w:rsid w:val="0017037B"/>
    <w:rsid w:val="00170467"/>
    <w:rsid w:val="001704D0"/>
    <w:rsid w:val="00170650"/>
    <w:rsid w:val="001706C4"/>
    <w:rsid w:val="00170729"/>
    <w:rsid w:val="00170849"/>
    <w:rsid w:val="00170961"/>
    <w:rsid w:val="00170986"/>
    <w:rsid w:val="00170A15"/>
    <w:rsid w:val="00170AE5"/>
    <w:rsid w:val="00170B21"/>
    <w:rsid w:val="00170EEA"/>
    <w:rsid w:val="00170EF9"/>
    <w:rsid w:val="00170FB3"/>
    <w:rsid w:val="00170FDE"/>
    <w:rsid w:val="00171057"/>
    <w:rsid w:val="0017109E"/>
    <w:rsid w:val="001711A6"/>
    <w:rsid w:val="0017122B"/>
    <w:rsid w:val="00171381"/>
    <w:rsid w:val="0017145A"/>
    <w:rsid w:val="00171639"/>
    <w:rsid w:val="001716DE"/>
    <w:rsid w:val="00171701"/>
    <w:rsid w:val="00171730"/>
    <w:rsid w:val="001717A0"/>
    <w:rsid w:val="00171859"/>
    <w:rsid w:val="00171932"/>
    <w:rsid w:val="001719C2"/>
    <w:rsid w:val="00171A25"/>
    <w:rsid w:val="00171A4F"/>
    <w:rsid w:val="00171A54"/>
    <w:rsid w:val="00171D4D"/>
    <w:rsid w:val="00171E0E"/>
    <w:rsid w:val="00171EF2"/>
    <w:rsid w:val="00171F2C"/>
    <w:rsid w:val="00172008"/>
    <w:rsid w:val="001720A0"/>
    <w:rsid w:val="001722C6"/>
    <w:rsid w:val="00172303"/>
    <w:rsid w:val="0017253F"/>
    <w:rsid w:val="001725F5"/>
    <w:rsid w:val="001725FE"/>
    <w:rsid w:val="0017264D"/>
    <w:rsid w:val="00172733"/>
    <w:rsid w:val="00172823"/>
    <w:rsid w:val="0017288C"/>
    <w:rsid w:val="001728D5"/>
    <w:rsid w:val="00172B38"/>
    <w:rsid w:val="00172BD4"/>
    <w:rsid w:val="00172C5C"/>
    <w:rsid w:val="00172D38"/>
    <w:rsid w:val="00172D88"/>
    <w:rsid w:val="00172E84"/>
    <w:rsid w:val="00172F34"/>
    <w:rsid w:val="00173036"/>
    <w:rsid w:val="001730A1"/>
    <w:rsid w:val="001730A6"/>
    <w:rsid w:val="00173115"/>
    <w:rsid w:val="001731E8"/>
    <w:rsid w:val="001731EF"/>
    <w:rsid w:val="0017325C"/>
    <w:rsid w:val="00173366"/>
    <w:rsid w:val="0017357D"/>
    <w:rsid w:val="001735B4"/>
    <w:rsid w:val="001735FB"/>
    <w:rsid w:val="001736CA"/>
    <w:rsid w:val="00173748"/>
    <w:rsid w:val="00173986"/>
    <w:rsid w:val="0017398E"/>
    <w:rsid w:val="00173BE3"/>
    <w:rsid w:val="00173FB7"/>
    <w:rsid w:val="00173FCF"/>
    <w:rsid w:val="00174288"/>
    <w:rsid w:val="00174295"/>
    <w:rsid w:val="0017441A"/>
    <w:rsid w:val="00174461"/>
    <w:rsid w:val="001745D3"/>
    <w:rsid w:val="0017464A"/>
    <w:rsid w:val="001746E3"/>
    <w:rsid w:val="00174824"/>
    <w:rsid w:val="0017482D"/>
    <w:rsid w:val="00174A26"/>
    <w:rsid w:val="00174C39"/>
    <w:rsid w:val="00174C70"/>
    <w:rsid w:val="00174C9F"/>
    <w:rsid w:val="00174D95"/>
    <w:rsid w:val="00174EEA"/>
    <w:rsid w:val="00174EF0"/>
    <w:rsid w:val="00174F31"/>
    <w:rsid w:val="00174FAC"/>
    <w:rsid w:val="001750E9"/>
    <w:rsid w:val="00175144"/>
    <w:rsid w:val="00175145"/>
    <w:rsid w:val="0017522B"/>
    <w:rsid w:val="00175265"/>
    <w:rsid w:val="001753B8"/>
    <w:rsid w:val="001753F5"/>
    <w:rsid w:val="00175438"/>
    <w:rsid w:val="0017559C"/>
    <w:rsid w:val="00175633"/>
    <w:rsid w:val="001756D8"/>
    <w:rsid w:val="00175887"/>
    <w:rsid w:val="0017599E"/>
    <w:rsid w:val="00175A06"/>
    <w:rsid w:val="00176024"/>
    <w:rsid w:val="00176174"/>
    <w:rsid w:val="001761F1"/>
    <w:rsid w:val="00176230"/>
    <w:rsid w:val="0017625C"/>
    <w:rsid w:val="00176268"/>
    <w:rsid w:val="0017626D"/>
    <w:rsid w:val="0017664F"/>
    <w:rsid w:val="00176658"/>
    <w:rsid w:val="00176707"/>
    <w:rsid w:val="001768F6"/>
    <w:rsid w:val="00176A16"/>
    <w:rsid w:val="00176E21"/>
    <w:rsid w:val="00176E27"/>
    <w:rsid w:val="00176E90"/>
    <w:rsid w:val="00176EF0"/>
    <w:rsid w:val="00176EFC"/>
    <w:rsid w:val="00176F78"/>
    <w:rsid w:val="00176FC8"/>
    <w:rsid w:val="001771F8"/>
    <w:rsid w:val="00177208"/>
    <w:rsid w:val="00177221"/>
    <w:rsid w:val="001772D2"/>
    <w:rsid w:val="0017733F"/>
    <w:rsid w:val="0017738E"/>
    <w:rsid w:val="001773EB"/>
    <w:rsid w:val="0017740E"/>
    <w:rsid w:val="001774CD"/>
    <w:rsid w:val="001774DD"/>
    <w:rsid w:val="0017797E"/>
    <w:rsid w:val="00177C6C"/>
    <w:rsid w:val="00177D3B"/>
    <w:rsid w:val="00177D93"/>
    <w:rsid w:val="00177DED"/>
    <w:rsid w:val="00177E58"/>
    <w:rsid w:val="00177F0D"/>
    <w:rsid w:val="00177FEA"/>
    <w:rsid w:val="0018018F"/>
    <w:rsid w:val="0018029B"/>
    <w:rsid w:val="00180383"/>
    <w:rsid w:val="001803D5"/>
    <w:rsid w:val="00180498"/>
    <w:rsid w:val="001804ED"/>
    <w:rsid w:val="00180506"/>
    <w:rsid w:val="00180573"/>
    <w:rsid w:val="0018058F"/>
    <w:rsid w:val="0018064A"/>
    <w:rsid w:val="00180689"/>
    <w:rsid w:val="0018072D"/>
    <w:rsid w:val="0018084A"/>
    <w:rsid w:val="00180948"/>
    <w:rsid w:val="00180998"/>
    <w:rsid w:val="00180A04"/>
    <w:rsid w:val="00180A96"/>
    <w:rsid w:val="00180BB7"/>
    <w:rsid w:val="00180BFC"/>
    <w:rsid w:val="00180C65"/>
    <w:rsid w:val="00180D62"/>
    <w:rsid w:val="00180ECF"/>
    <w:rsid w:val="00180FB1"/>
    <w:rsid w:val="00181120"/>
    <w:rsid w:val="00181218"/>
    <w:rsid w:val="00181585"/>
    <w:rsid w:val="0018158D"/>
    <w:rsid w:val="00181608"/>
    <w:rsid w:val="00181647"/>
    <w:rsid w:val="001816B8"/>
    <w:rsid w:val="001817C4"/>
    <w:rsid w:val="00181986"/>
    <w:rsid w:val="00181A7B"/>
    <w:rsid w:val="00181BBB"/>
    <w:rsid w:val="00181DA2"/>
    <w:rsid w:val="00181FC0"/>
    <w:rsid w:val="00182029"/>
    <w:rsid w:val="001820A5"/>
    <w:rsid w:val="001821CE"/>
    <w:rsid w:val="001821D9"/>
    <w:rsid w:val="001821E4"/>
    <w:rsid w:val="001821E9"/>
    <w:rsid w:val="00182265"/>
    <w:rsid w:val="001823E0"/>
    <w:rsid w:val="00182488"/>
    <w:rsid w:val="001825B2"/>
    <w:rsid w:val="0018262E"/>
    <w:rsid w:val="00182836"/>
    <w:rsid w:val="001828BE"/>
    <w:rsid w:val="00182910"/>
    <w:rsid w:val="00182977"/>
    <w:rsid w:val="00182B00"/>
    <w:rsid w:val="00182C06"/>
    <w:rsid w:val="00182C5F"/>
    <w:rsid w:val="00182C87"/>
    <w:rsid w:val="00182EFB"/>
    <w:rsid w:val="001830C5"/>
    <w:rsid w:val="00183234"/>
    <w:rsid w:val="00183370"/>
    <w:rsid w:val="001833EC"/>
    <w:rsid w:val="001833FC"/>
    <w:rsid w:val="00183471"/>
    <w:rsid w:val="001834EF"/>
    <w:rsid w:val="00183633"/>
    <w:rsid w:val="001838A7"/>
    <w:rsid w:val="001839D4"/>
    <w:rsid w:val="00183A23"/>
    <w:rsid w:val="00183A6D"/>
    <w:rsid w:val="00183C38"/>
    <w:rsid w:val="00183C39"/>
    <w:rsid w:val="00183CD0"/>
    <w:rsid w:val="00183D95"/>
    <w:rsid w:val="00183D96"/>
    <w:rsid w:val="00183EF5"/>
    <w:rsid w:val="00183F4F"/>
    <w:rsid w:val="00183FC6"/>
    <w:rsid w:val="00183FE5"/>
    <w:rsid w:val="00183FFC"/>
    <w:rsid w:val="00183FFD"/>
    <w:rsid w:val="001840E5"/>
    <w:rsid w:val="001841BE"/>
    <w:rsid w:val="00184329"/>
    <w:rsid w:val="0018455C"/>
    <w:rsid w:val="00184696"/>
    <w:rsid w:val="001846BA"/>
    <w:rsid w:val="00184A38"/>
    <w:rsid w:val="00184BE2"/>
    <w:rsid w:val="00184CCB"/>
    <w:rsid w:val="00184D18"/>
    <w:rsid w:val="00184D55"/>
    <w:rsid w:val="00184D94"/>
    <w:rsid w:val="00184DEF"/>
    <w:rsid w:val="00184FA3"/>
    <w:rsid w:val="00184FE0"/>
    <w:rsid w:val="00185370"/>
    <w:rsid w:val="0018538F"/>
    <w:rsid w:val="001853CB"/>
    <w:rsid w:val="00185432"/>
    <w:rsid w:val="00185444"/>
    <w:rsid w:val="0018563C"/>
    <w:rsid w:val="001856A1"/>
    <w:rsid w:val="00185813"/>
    <w:rsid w:val="001858C3"/>
    <w:rsid w:val="00185938"/>
    <w:rsid w:val="001859D0"/>
    <w:rsid w:val="00185A2E"/>
    <w:rsid w:val="00185A80"/>
    <w:rsid w:val="00185ACB"/>
    <w:rsid w:val="00185AEC"/>
    <w:rsid w:val="00185AFC"/>
    <w:rsid w:val="00185B70"/>
    <w:rsid w:val="00185B9B"/>
    <w:rsid w:val="00185D59"/>
    <w:rsid w:val="00185DA3"/>
    <w:rsid w:val="00185EDA"/>
    <w:rsid w:val="00185F40"/>
    <w:rsid w:val="001861E6"/>
    <w:rsid w:val="001862EC"/>
    <w:rsid w:val="001865F0"/>
    <w:rsid w:val="001866B8"/>
    <w:rsid w:val="001866D1"/>
    <w:rsid w:val="00186891"/>
    <w:rsid w:val="001868FC"/>
    <w:rsid w:val="00186A5C"/>
    <w:rsid w:val="00186B47"/>
    <w:rsid w:val="00186B76"/>
    <w:rsid w:val="00186C4C"/>
    <w:rsid w:val="00186CA3"/>
    <w:rsid w:val="00186CD7"/>
    <w:rsid w:val="00186DBD"/>
    <w:rsid w:val="00186FE6"/>
    <w:rsid w:val="00187036"/>
    <w:rsid w:val="0018703D"/>
    <w:rsid w:val="001870DB"/>
    <w:rsid w:val="001871FF"/>
    <w:rsid w:val="00187318"/>
    <w:rsid w:val="001874B6"/>
    <w:rsid w:val="0018750D"/>
    <w:rsid w:val="00187654"/>
    <w:rsid w:val="0018773F"/>
    <w:rsid w:val="001878C4"/>
    <w:rsid w:val="00187B12"/>
    <w:rsid w:val="00187C1E"/>
    <w:rsid w:val="00187C74"/>
    <w:rsid w:val="00187CCD"/>
    <w:rsid w:val="00187D51"/>
    <w:rsid w:val="00187DBE"/>
    <w:rsid w:val="00187E15"/>
    <w:rsid w:val="00187F2A"/>
    <w:rsid w:val="00187F4F"/>
    <w:rsid w:val="00187FC1"/>
    <w:rsid w:val="001901A4"/>
    <w:rsid w:val="001902A2"/>
    <w:rsid w:val="001903AB"/>
    <w:rsid w:val="001904CE"/>
    <w:rsid w:val="001904DF"/>
    <w:rsid w:val="00190630"/>
    <w:rsid w:val="001907BE"/>
    <w:rsid w:val="001907EF"/>
    <w:rsid w:val="0019089B"/>
    <w:rsid w:val="001909A8"/>
    <w:rsid w:val="001909F7"/>
    <w:rsid w:val="00190A2F"/>
    <w:rsid w:val="00190ABF"/>
    <w:rsid w:val="00190AD9"/>
    <w:rsid w:val="00190C84"/>
    <w:rsid w:val="00190CC3"/>
    <w:rsid w:val="00190DA8"/>
    <w:rsid w:val="00190E2F"/>
    <w:rsid w:val="00190EAC"/>
    <w:rsid w:val="00191080"/>
    <w:rsid w:val="001910AB"/>
    <w:rsid w:val="00191138"/>
    <w:rsid w:val="00191219"/>
    <w:rsid w:val="00191271"/>
    <w:rsid w:val="0019133F"/>
    <w:rsid w:val="001913AC"/>
    <w:rsid w:val="00191632"/>
    <w:rsid w:val="00191644"/>
    <w:rsid w:val="001917A8"/>
    <w:rsid w:val="0019190D"/>
    <w:rsid w:val="00191B8C"/>
    <w:rsid w:val="00191CAD"/>
    <w:rsid w:val="00191D9C"/>
    <w:rsid w:val="00191DC7"/>
    <w:rsid w:val="00191E56"/>
    <w:rsid w:val="00191EA7"/>
    <w:rsid w:val="00191EC9"/>
    <w:rsid w:val="00191F04"/>
    <w:rsid w:val="00192067"/>
    <w:rsid w:val="0019219F"/>
    <w:rsid w:val="00192250"/>
    <w:rsid w:val="00192416"/>
    <w:rsid w:val="001924B4"/>
    <w:rsid w:val="001926DC"/>
    <w:rsid w:val="0019272B"/>
    <w:rsid w:val="00192841"/>
    <w:rsid w:val="00192DCF"/>
    <w:rsid w:val="00192F66"/>
    <w:rsid w:val="00192F98"/>
    <w:rsid w:val="00192FDE"/>
    <w:rsid w:val="001930FF"/>
    <w:rsid w:val="001931CF"/>
    <w:rsid w:val="00193434"/>
    <w:rsid w:val="00193490"/>
    <w:rsid w:val="00193522"/>
    <w:rsid w:val="001937AA"/>
    <w:rsid w:val="00193820"/>
    <w:rsid w:val="00193A39"/>
    <w:rsid w:val="00193BEF"/>
    <w:rsid w:val="00193E0C"/>
    <w:rsid w:val="00193E4A"/>
    <w:rsid w:val="00193FD0"/>
    <w:rsid w:val="00194129"/>
    <w:rsid w:val="001941C4"/>
    <w:rsid w:val="00194399"/>
    <w:rsid w:val="001943B5"/>
    <w:rsid w:val="00194657"/>
    <w:rsid w:val="0019470F"/>
    <w:rsid w:val="00194762"/>
    <w:rsid w:val="001947E9"/>
    <w:rsid w:val="00194914"/>
    <w:rsid w:val="001949D1"/>
    <w:rsid w:val="001949DA"/>
    <w:rsid w:val="00194AF4"/>
    <w:rsid w:val="00194D88"/>
    <w:rsid w:val="00194DF2"/>
    <w:rsid w:val="00195028"/>
    <w:rsid w:val="0019522B"/>
    <w:rsid w:val="001952CC"/>
    <w:rsid w:val="001952D9"/>
    <w:rsid w:val="00195353"/>
    <w:rsid w:val="0019541F"/>
    <w:rsid w:val="00195671"/>
    <w:rsid w:val="001957D0"/>
    <w:rsid w:val="001958CB"/>
    <w:rsid w:val="00195935"/>
    <w:rsid w:val="001959DC"/>
    <w:rsid w:val="00195B69"/>
    <w:rsid w:val="00195B74"/>
    <w:rsid w:val="00195BB7"/>
    <w:rsid w:val="00195C57"/>
    <w:rsid w:val="00195D37"/>
    <w:rsid w:val="00195E4F"/>
    <w:rsid w:val="00195F7B"/>
    <w:rsid w:val="0019613C"/>
    <w:rsid w:val="0019621A"/>
    <w:rsid w:val="00196276"/>
    <w:rsid w:val="001962A1"/>
    <w:rsid w:val="001962DC"/>
    <w:rsid w:val="001962E2"/>
    <w:rsid w:val="0019648C"/>
    <w:rsid w:val="00196570"/>
    <w:rsid w:val="0019689B"/>
    <w:rsid w:val="00196900"/>
    <w:rsid w:val="00196A5D"/>
    <w:rsid w:val="00196A74"/>
    <w:rsid w:val="00196B4D"/>
    <w:rsid w:val="00196CE2"/>
    <w:rsid w:val="00196D6F"/>
    <w:rsid w:val="00196DD3"/>
    <w:rsid w:val="00196DE5"/>
    <w:rsid w:val="00196DE8"/>
    <w:rsid w:val="00196E56"/>
    <w:rsid w:val="00196ECD"/>
    <w:rsid w:val="00196F0B"/>
    <w:rsid w:val="00196F22"/>
    <w:rsid w:val="00197033"/>
    <w:rsid w:val="0019709B"/>
    <w:rsid w:val="00197544"/>
    <w:rsid w:val="001975AD"/>
    <w:rsid w:val="00197629"/>
    <w:rsid w:val="00197651"/>
    <w:rsid w:val="00197684"/>
    <w:rsid w:val="0019772A"/>
    <w:rsid w:val="00197768"/>
    <w:rsid w:val="00197907"/>
    <w:rsid w:val="00197998"/>
    <w:rsid w:val="001979AC"/>
    <w:rsid w:val="00197A74"/>
    <w:rsid w:val="00197ABA"/>
    <w:rsid w:val="00197B4C"/>
    <w:rsid w:val="00197BD3"/>
    <w:rsid w:val="00197D12"/>
    <w:rsid w:val="001A0073"/>
    <w:rsid w:val="001A0367"/>
    <w:rsid w:val="001A0395"/>
    <w:rsid w:val="001A03A7"/>
    <w:rsid w:val="001A05B2"/>
    <w:rsid w:val="001A06E6"/>
    <w:rsid w:val="001A07CA"/>
    <w:rsid w:val="001A0825"/>
    <w:rsid w:val="001A0828"/>
    <w:rsid w:val="001A0881"/>
    <w:rsid w:val="001A0929"/>
    <w:rsid w:val="001A0B30"/>
    <w:rsid w:val="001A0C00"/>
    <w:rsid w:val="001A0D12"/>
    <w:rsid w:val="001A0DB6"/>
    <w:rsid w:val="001A0E01"/>
    <w:rsid w:val="001A0F42"/>
    <w:rsid w:val="001A0F83"/>
    <w:rsid w:val="001A1159"/>
    <w:rsid w:val="001A11A6"/>
    <w:rsid w:val="001A11CF"/>
    <w:rsid w:val="001A1344"/>
    <w:rsid w:val="001A1677"/>
    <w:rsid w:val="001A18A4"/>
    <w:rsid w:val="001A1912"/>
    <w:rsid w:val="001A1929"/>
    <w:rsid w:val="001A19B2"/>
    <w:rsid w:val="001A19CE"/>
    <w:rsid w:val="001A1C1A"/>
    <w:rsid w:val="001A1D09"/>
    <w:rsid w:val="001A1DB1"/>
    <w:rsid w:val="001A1DBC"/>
    <w:rsid w:val="001A1E6B"/>
    <w:rsid w:val="001A1E6E"/>
    <w:rsid w:val="001A1F0F"/>
    <w:rsid w:val="001A1FA4"/>
    <w:rsid w:val="001A203D"/>
    <w:rsid w:val="001A214F"/>
    <w:rsid w:val="001A21CD"/>
    <w:rsid w:val="001A221F"/>
    <w:rsid w:val="001A2289"/>
    <w:rsid w:val="001A23AF"/>
    <w:rsid w:val="001A23EE"/>
    <w:rsid w:val="001A2446"/>
    <w:rsid w:val="001A26F6"/>
    <w:rsid w:val="001A2861"/>
    <w:rsid w:val="001A2912"/>
    <w:rsid w:val="001A292C"/>
    <w:rsid w:val="001A29A2"/>
    <w:rsid w:val="001A29E9"/>
    <w:rsid w:val="001A2C9A"/>
    <w:rsid w:val="001A2FE0"/>
    <w:rsid w:val="001A310D"/>
    <w:rsid w:val="001A324E"/>
    <w:rsid w:val="001A332D"/>
    <w:rsid w:val="001A33F1"/>
    <w:rsid w:val="001A3478"/>
    <w:rsid w:val="001A360C"/>
    <w:rsid w:val="001A370C"/>
    <w:rsid w:val="001A38F6"/>
    <w:rsid w:val="001A3911"/>
    <w:rsid w:val="001A3936"/>
    <w:rsid w:val="001A3937"/>
    <w:rsid w:val="001A3A16"/>
    <w:rsid w:val="001A3B9B"/>
    <w:rsid w:val="001A3C1C"/>
    <w:rsid w:val="001A3C4B"/>
    <w:rsid w:val="001A3C66"/>
    <w:rsid w:val="001A3CF8"/>
    <w:rsid w:val="001A3D48"/>
    <w:rsid w:val="001A3D55"/>
    <w:rsid w:val="001A3DBE"/>
    <w:rsid w:val="001A3E86"/>
    <w:rsid w:val="001A3EC4"/>
    <w:rsid w:val="001A3F0A"/>
    <w:rsid w:val="001A4035"/>
    <w:rsid w:val="001A40E0"/>
    <w:rsid w:val="001A41C7"/>
    <w:rsid w:val="001A4333"/>
    <w:rsid w:val="001A43EE"/>
    <w:rsid w:val="001A45E3"/>
    <w:rsid w:val="001A4604"/>
    <w:rsid w:val="001A46BF"/>
    <w:rsid w:val="001A47B6"/>
    <w:rsid w:val="001A4B12"/>
    <w:rsid w:val="001A4B19"/>
    <w:rsid w:val="001A4BFD"/>
    <w:rsid w:val="001A4C3A"/>
    <w:rsid w:val="001A4D40"/>
    <w:rsid w:val="001A4F3E"/>
    <w:rsid w:val="001A5100"/>
    <w:rsid w:val="001A52BA"/>
    <w:rsid w:val="001A52CD"/>
    <w:rsid w:val="001A52E6"/>
    <w:rsid w:val="001A53C9"/>
    <w:rsid w:val="001A54D6"/>
    <w:rsid w:val="001A54EA"/>
    <w:rsid w:val="001A556F"/>
    <w:rsid w:val="001A55F1"/>
    <w:rsid w:val="001A55F5"/>
    <w:rsid w:val="001A5697"/>
    <w:rsid w:val="001A5777"/>
    <w:rsid w:val="001A5AD2"/>
    <w:rsid w:val="001A5B16"/>
    <w:rsid w:val="001A5B4F"/>
    <w:rsid w:val="001A5B95"/>
    <w:rsid w:val="001A5BA2"/>
    <w:rsid w:val="001A5C4B"/>
    <w:rsid w:val="001A5DFA"/>
    <w:rsid w:val="001A6017"/>
    <w:rsid w:val="001A6118"/>
    <w:rsid w:val="001A6187"/>
    <w:rsid w:val="001A61B7"/>
    <w:rsid w:val="001A6234"/>
    <w:rsid w:val="001A6291"/>
    <w:rsid w:val="001A62D8"/>
    <w:rsid w:val="001A6306"/>
    <w:rsid w:val="001A6384"/>
    <w:rsid w:val="001A655C"/>
    <w:rsid w:val="001A65D5"/>
    <w:rsid w:val="001A65EC"/>
    <w:rsid w:val="001A66AC"/>
    <w:rsid w:val="001A6796"/>
    <w:rsid w:val="001A6A21"/>
    <w:rsid w:val="001A6A47"/>
    <w:rsid w:val="001A6B54"/>
    <w:rsid w:val="001A6BBF"/>
    <w:rsid w:val="001A6BF7"/>
    <w:rsid w:val="001A6C3F"/>
    <w:rsid w:val="001A6E60"/>
    <w:rsid w:val="001A6EB3"/>
    <w:rsid w:val="001A6F66"/>
    <w:rsid w:val="001A6F76"/>
    <w:rsid w:val="001A6FCE"/>
    <w:rsid w:val="001A70AE"/>
    <w:rsid w:val="001A710B"/>
    <w:rsid w:val="001A72F2"/>
    <w:rsid w:val="001A755D"/>
    <w:rsid w:val="001A75C5"/>
    <w:rsid w:val="001A7634"/>
    <w:rsid w:val="001A7661"/>
    <w:rsid w:val="001A7720"/>
    <w:rsid w:val="001A7830"/>
    <w:rsid w:val="001A7862"/>
    <w:rsid w:val="001A7872"/>
    <w:rsid w:val="001A78BD"/>
    <w:rsid w:val="001A7A57"/>
    <w:rsid w:val="001A7C46"/>
    <w:rsid w:val="001A7CB5"/>
    <w:rsid w:val="001A7D17"/>
    <w:rsid w:val="001A7E1A"/>
    <w:rsid w:val="001A7E5E"/>
    <w:rsid w:val="001B0051"/>
    <w:rsid w:val="001B0086"/>
    <w:rsid w:val="001B0279"/>
    <w:rsid w:val="001B02B2"/>
    <w:rsid w:val="001B032D"/>
    <w:rsid w:val="001B037F"/>
    <w:rsid w:val="001B03DD"/>
    <w:rsid w:val="001B0455"/>
    <w:rsid w:val="001B049E"/>
    <w:rsid w:val="001B0522"/>
    <w:rsid w:val="001B0612"/>
    <w:rsid w:val="001B06BA"/>
    <w:rsid w:val="001B07F3"/>
    <w:rsid w:val="001B0B29"/>
    <w:rsid w:val="001B0CAD"/>
    <w:rsid w:val="001B0D06"/>
    <w:rsid w:val="001B0E6B"/>
    <w:rsid w:val="001B0FCE"/>
    <w:rsid w:val="001B105F"/>
    <w:rsid w:val="001B1080"/>
    <w:rsid w:val="001B11ED"/>
    <w:rsid w:val="001B12E8"/>
    <w:rsid w:val="001B13B3"/>
    <w:rsid w:val="001B13EB"/>
    <w:rsid w:val="001B14C4"/>
    <w:rsid w:val="001B14DB"/>
    <w:rsid w:val="001B162B"/>
    <w:rsid w:val="001B172C"/>
    <w:rsid w:val="001B177E"/>
    <w:rsid w:val="001B17BD"/>
    <w:rsid w:val="001B17DF"/>
    <w:rsid w:val="001B18AA"/>
    <w:rsid w:val="001B1AE2"/>
    <w:rsid w:val="001B1B0E"/>
    <w:rsid w:val="001B1BCD"/>
    <w:rsid w:val="001B1C24"/>
    <w:rsid w:val="001B1C3D"/>
    <w:rsid w:val="001B1D6A"/>
    <w:rsid w:val="001B1E2B"/>
    <w:rsid w:val="001B1F8B"/>
    <w:rsid w:val="001B217F"/>
    <w:rsid w:val="001B21D4"/>
    <w:rsid w:val="001B21E1"/>
    <w:rsid w:val="001B2301"/>
    <w:rsid w:val="001B231A"/>
    <w:rsid w:val="001B2367"/>
    <w:rsid w:val="001B23CB"/>
    <w:rsid w:val="001B24C3"/>
    <w:rsid w:val="001B2660"/>
    <w:rsid w:val="001B26CD"/>
    <w:rsid w:val="001B28EB"/>
    <w:rsid w:val="001B294A"/>
    <w:rsid w:val="001B2A7B"/>
    <w:rsid w:val="001B2A97"/>
    <w:rsid w:val="001B2C9F"/>
    <w:rsid w:val="001B2CEE"/>
    <w:rsid w:val="001B2DFB"/>
    <w:rsid w:val="001B2E76"/>
    <w:rsid w:val="001B2EAE"/>
    <w:rsid w:val="001B33E0"/>
    <w:rsid w:val="001B3417"/>
    <w:rsid w:val="001B3478"/>
    <w:rsid w:val="001B3524"/>
    <w:rsid w:val="001B35C1"/>
    <w:rsid w:val="001B3633"/>
    <w:rsid w:val="001B3674"/>
    <w:rsid w:val="001B376A"/>
    <w:rsid w:val="001B3A78"/>
    <w:rsid w:val="001B3A91"/>
    <w:rsid w:val="001B3B1E"/>
    <w:rsid w:val="001B3DAC"/>
    <w:rsid w:val="001B3E7D"/>
    <w:rsid w:val="001B3EAC"/>
    <w:rsid w:val="001B3FDA"/>
    <w:rsid w:val="001B40EF"/>
    <w:rsid w:val="001B42F0"/>
    <w:rsid w:val="001B4407"/>
    <w:rsid w:val="001B442F"/>
    <w:rsid w:val="001B44CA"/>
    <w:rsid w:val="001B4689"/>
    <w:rsid w:val="001B4805"/>
    <w:rsid w:val="001B4850"/>
    <w:rsid w:val="001B4895"/>
    <w:rsid w:val="001B49CA"/>
    <w:rsid w:val="001B4B1A"/>
    <w:rsid w:val="001B4B40"/>
    <w:rsid w:val="001B4B57"/>
    <w:rsid w:val="001B4DCB"/>
    <w:rsid w:val="001B5388"/>
    <w:rsid w:val="001B546E"/>
    <w:rsid w:val="001B5610"/>
    <w:rsid w:val="001B5863"/>
    <w:rsid w:val="001B5868"/>
    <w:rsid w:val="001B5941"/>
    <w:rsid w:val="001B5ADD"/>
    <w:rsid w:val="001B5B17"/>
    <w:rsid w:val="001B5D71"/>
    <w:rsid w:val="001B5E4F"/>
    <w:rsid w:val="001B5EE3"/>
    <w:rsid w:val="001B5FFC"/>
    <w:rsid w:val="001B6000"/>
    <w:rsid w:val="001B60BF"/>
    <w:rsid w:val="001B618E"/>
    <w:rsid w:val="001B6235"/>
    <w:rsid w:val="001B630E"/>
    <w:rsid w:val="001B631B"/>
    <w:rsid w:val="001B638E"/>
    <w:rsid w:val="001B63A1"/>
    <w:rsid w:val="001B643C"/>
    <w:rsid w:val="001B648E"/>
    <w:rsid w:val="001B64C4"/>
    <w:rsid w:val="001B67A4"/>
    <w:rsid w:val="001B6881"/>
    <w:rsid w:val="001B6892"/>
    <w:rsid w:val="001B68CF"/>
    <w:rsid w:val="001B69E0"/>
    <w:rsid w:val="001B69E3"/>
    <w:rsid w:val="001B69FC"/>
    <w:rsid w:val="001B6A6B"/>
    <w:rsid w:val="001B6B15"/>
    <w:rsid w:val="001B6BD3"/>
    <w:rsid w:val="001B6C05"/>
    <w:rsid w:val="001B6C20"/>
    <w:rsid w:val="001B6CBB"/>
    <w:rsid w:val="001B6CD6"/>
    <w:rsid w:val="001B6F41"/>
    <w:rsid w:val="001B703E"/>
    <w:rsid w:val="001B71D5"/>
    <w:rsid w:val="001B71EB"/>
    <w:rsid w:val="001B744C"/>
    <w:rsid w:val="001B7590"/>
    <w:rsid w:val="001B76F9"/>
    <w:rsid w:val="001B78BC"/>
    <w:rsid w:val="001B7A26"/>
    <w:rsid w:val="001B7D30"/>
    <w:rsid w:val="001B7D44"/>
    <w:rsid w:val="001B7E13"/>
    <w:rsid w:val="001B7F44"/>
    <w:rsid w:val="001C00A7"/>
    <w:rsid w:val="001C00BE"/>
    <w:rsid w:val="001C01FF"/>
    <w:rsid w:val="001C02A1"/>
    <w:rsid w:val="001C02CB"/>
    <w:rsid w:val="001C02F4"/>
    <w:rsid w:val="001C0329"/>
    <w:rsid w:val="001C0359"/>
    <w:rsid w:val="001C03FD"/>
    <w:rsid w:val="001C045E"/>
    <w:rsid w:val="001C04FB"/>
    <w:rsid w:val="001C0554"/>
    <w:rsid w:val="001C065F"/>
    <w:rsid w:val="001C07EA"/>
    <w:rsid w:val="001C07F4"/>
    <w:rsid w:val="001C08CE"/>
    <w:rsid w:val="001C0900"/>
    <w:rsid w:val="001C09D1"/>
    <w:rsid w:val="001C0A00"/>
    <w:rsid w:val="001C0A23"/>
    <w:rsid w:val="001C0AEF"/>
    <w:rsid w:val="001C0B1C"/>
    <w:rsid w:val="001C0B62"/>
    <w:rsid w:val="001C0C5A"/>
    <w:rsid w:val="001C0DF9"/>
    <w:rsid w:val="001C0E22"/>
    <w:rsid w:val="001C1031"/>
    <w:rsid w:val="001C10C0"/>
    <w:rsid w:val="001C12C9"/>
    <w:rsid w:val="001C12F5"/>
    <w:rsid w:val="001C1373"/>
    <w:rsid w:val="001C13B4"/>
    <w:rsid w:val="001C146B"/>
    <w:rsid w:val="001C15C1"/>
    <w:rsid w:val="001C1786"/>
    <w:rsid w:val="001C1799"/>
    <w:rsid w:val="001C18A2"/>
    <w:rsid w:val="001C1907"/>
    <w:rsid w:val="001C19AE"/>
    <w:rsid w:val="001C1A39"/>
    <w:rsid w:val="001C1AE2"/>
    <w:rsid w:val="001C1BDB"/>
    <w:rsid w:val="001C1C52"/>
    <w:rsid w:val="001C1EC4"/>
    <w:rsid w:val="001C1EC9"/>
    <w:rsid w:val="001C1F6B"/>
    <w:rsid w:val="001C1F6D"/>
    <w:rsid w:val="001C1FD6"/>
    <w:rsid w:val="001C2215"/>
    <w:rsid w:val="001C2379"/>
    <w:rsid w:val="001C248B"/>
    <w:rsid w:val="001C24A1"/>
    <w:rsid w:val="001C2636"/>
    <w:rsid w:val="001C264C"/>
    <w:rsid w:val="001C280D"/>
    <w:rsid w:val="001C28B3"/>
    <w:rsid w:val="001C29D3"/>
    <w:rsid w:val="001C2AA2"/>
    <w:rsid w:val="001C2AE5"/>
    <w:rsid w:val="001C2B54"/>
    <w:rsid w:val="001C2BC6"/>
    <w:rsid w:val="001C2DC7"/>
    <w:rsid w:val="001C2E50"/>
    <w:rsid w:val="001C31BA"/>
    <w:rsid w:val="001C325E"/>
    <w:rsid w:val="001C32FF"/>
    <w:rsid w:val="001C3452"/>
    <w:rsid w:val="001C34A0"/>
    <w:rsid w:val="001C3607"/>
    <w:rsid w:val="001C36B0"/>
    <w:rsid w:val="001C3768"/>
    <w:rsid w:val="001C3867"/>
    <w:rsid w:val="001C38B8"/>
    <w:rsid w:val="001C3A0C"/>
    <w:rsid w:val="001C3AB9"/>
    <w:rsid w:val="001C3CDE"/>
    <w:rsid w:val="001C3D30"/>
    <w:rsid w:val="001C3E67"/>
    <w:rsid w:val="001C3E84"/>
    <w:rsid w:val="001C3EF5"/>
    <w:rsid w:val="001C3F75"/>
    <w:rsid w:val="001C3F9F"/>
    <w:rsid w:val="001C3FD6"/>
    <w:rsid w:val="001C41E4"/>
    <w:rsid w:val="001C4349"/>
    <w:rsid w:val="001C43A6"/>
    <w:rsid w:val="001C442C"/>
    <w:rsid w:val="001C445C"/>
    <w:rsid w:val="001C4461"/>
    <w:rsid w:val="001C4500"/>
    <w:rsid w:val="001C4576"/>
    <w:rsid w:val="001C461D"/>
    <w:rsid w:val="001C466B"/>
    <w:rsid w:val="001C46FE"/>
    <w:rsid w:val="001C4783"/>
    <w:rsid w:val="001C48CF"/>
    <w:rsid w:val="001C48E4"/>
    <w:rsid w:val="001C4907"/>
    <w:rsid w:val="001C494E"/>
    <w:rsid w:val="001C4A54"/>
    <w:rsid w:val="001C4B75"/>
    <w:rsid w:val="001C4CC9"/>
    <w:rsid w:val="001C4D63"/>
    <w:rsid w:val="001C4DC1"/>
    <w:rsid w:val="001C4DC2"/>
    <w:rsid w:val="001C4F98"/>
    <w:rsid w:val="001C4FC2"/>
    <w:rsid w:val="001C502E"/>
    <w:rsid w:val="001C50C5"/>
    <w:rsid w:val="001C51EF"/>
    <w:rsid w:val="001C5245"/>
    <w:rsid w:val="001C53CE"/>
    <w:rsid w:val="001C567F"/>
    <w:rsid w:val="001C5BE4"/>
    <w:rsid w:val="001C5C3D"/>
    <w:rsid w:val="001C5D7E"/>
    <w:rsid w:val="001C5DF9"/>
    <w:rsid w:val="001C5E0D"/>
    <w:rsid w:val="001C5E9D"/>
    <w:rsid w:val="001C5F08"/>
    <w:rsid w:val="001C5F81"/>
    <w:rsid w:val="001C60D8"/>
    <w:rsid w:val="001C6146"/>
    <w:rsid w:val="001C6347"/>
    <w:rsid w:val="001C64D5"/>
    <w:rsid w:val="001C6591"/>
    <w:rsid w:val="001C6661"/>
    <w:rsid w:val="001C67A3"/>
    <w:rsid w:val="001C6904"/>
    <w:rsid w:val="001C6AC3"/>
    <w:rsid w:val="001C6CB7"/>
    <w:rsid w:val="001C6CC1"/>
    <w:rsid w:val="001C6CDA"/>
    <w:rsid w:val="001C6F6A"/>
    <w:rsid w:val="001C6FA5"/>
    <w:rsid w:val="001C7136"/>
    <w:rsid w:val="001C7219"/>
    <w:rsid w:val="001C7279"/>
    <w:rsid w:val="001C7295"/>
    <w:rsid w:val="001C7394"/>
    <w:rsid w:val="001C73AC"/>
    <w:rsid w:val="001C74B2"/>
    <w:rsid w:val="001C7510"/>
    <w:rsid w:val="001C77CE"/>
    <w:rsid w:val="001C77D9"/>
    <w:rsid w:val="001C783C"/>
    <w:rsid w:val="001C7885"/>
    <w:rsid w:val="001C78A1"/>
    <w:rsid w:val="001C78B8"/>
    <w:rsid w:val="001C7B78"/>
    <w:rsid w:val="001C7C6A"/>
    <w:rsid w:val="001C7C81"/>
    <w:rsid w:val="001C7E19"/>
    <w:rsid w:val="001CFF56"/>
    <w:rsid w:val="001D00CC"/>
    <w:rsid w:val="001D00E1"/>
    <w:rsid w:val="001D0148"/>
    <w:rsid w:val="001D0406"/>
    <w:rsid w:val="001D0440"/>
    <w:rsid w:val="001D0481"/>
    <w:rsid w:val="001D061B"/>
    <w:rsid w:val="001D063F"/>
    <w:rsid w:val="001D0760"/>
    <w:rsid w:val="001D079A"/>
    <w:rsid w:val="001D07D7"/>
    <w:rsid w:val="001D07ED"/>
    <w:rsid w:val="001D08C2"/>
    <w:rsid w:val="001D08E4"/>
    <w:rsid w:val="001D08FD"/>
    <w:rsid w:val="001D096C"/>
    <w:rsid w:val="001D0A7B"/>
    <w:rsid w:val="001D0A96"/>
    <w:rsid w:val="001D0AB3"/>
    <w:rsid w:val="001D0C00"/>
    <w:rsid w:val="001D0D81"/>
    <w:rsid w:val="001D0DBF"/>
    <w:rsid w:val="001D0F15"/>
    <w:rsid w:val="001D0F16"/>
    <w:rsid w:val="001D10FC"/>
    <w:rsid w:val="001D112C"/>
    <w:rsid w:val="001D120F"/>
    <w:rsid w:val="001D127C"/>
    <w:rsid w:val="001D12B3"/>
    <w:rsid w:val="001D1354"/>
    <w:rsid w:val="001D14B4"/>
    <w:rsid w:val="001D14E5"/>
    <w:rsid w:val="001D1715"/>
    <w:rsid w:val="001D1762"/>
    <w:rsid w:val="001D17E3"/>
    <w:rsid w:val="001D188F"/>
    <w:rsid w:val="001D1BC8"/>
    <w:rsid w:val="001D1CF2"/>
    <w:rsid w:val="001D1D01"/>
    <w:rsid w:val="001D1D98"/>
    <w:rsid w:val="001D1DCB"/>
    <w:rsid w:val="001D1EFD"/>
    <w:rsid w:val="001D1FF8"/>
    <w:rsid w:val="001D2253"/>
    <w:rsid w:val="001D2321"/>
    <w:rsid w:val="001D2522"/>
    <w:rsid w:val="001D25A8"/>
    <w:rsid w:val="001D2733"/>
    <w:rsid w:val="001D2837"/>
    <w:rsid w:val="001D2A07"/>
    <w:rsid w:val="001D2ACD"/>
    <w:rsid w:val="001D2AEC"/>
    <w:rsid w:val="001D2E65"/>
    <w:rsid w:val="001D2F56"/>
    <w:rsid w:val="001D315A"/>
    <w:rsid w:val="001D341E"/>
    <w:rsid w:val="001D354C"/>
    <w:rsid w:val="001D3593"/>
    <w:rsid w:val="001D367C"/>
    <w:rsid w:val="001D3697"/>
    <w:rsid w:val="001D38D6"/>
    <w:rsid w:val="001D3910"/>
    <w:rsid w:val="001D3975"/>
    <w:rsid w:val="001D39C6"/>
    <w:rsid w:val="001D39FF"/>
    <w:rsid w:val="001D3A08"/>
    <w:rsid w:val="001D3A71"/>
    <w:rsid w:val="001D3AC2"/>
    <w:rsid w:val="001D3CA1"/>
    <w:rsid w:val="001D3CD7"/>
    <w:rsid w:val="001D3D59"/>
    <w:rsid w:val="001D3E70"/>
    <w:rsid w:val="001D3ECF"/>
    <w:rsid w:val="001D4026"/>
    <w:rsid w:val="001D40AF"/>
    <w:rsid w:val="001D4213"/>
    <w:rsid w:val="001D4237"/>
    <w:rsid w:val="001D434B"/>
    <w:rsid w:val="001D4439"/>
    <w:rsid w:val="001D44FB"/>
    <w:rsid w:val="001D455D"/>
    <w:rsid w:val="001D46D1"/>
    <w:rsid w:val="001D4764"/>
    <w:rsid w:val="001D47BD"/>
    <w:rsid w:val="001D4B2F"/>
    <w:rsid w:val="001D4C3B"/>
    <w:rsid w:val="001D4E74"/>
    <w:rsid w:val="001D4EA0"/>
    <w:rsid w:val="001D50DC"/>
    <w:rsid w:val="001D50E2"/>
    <w:rsid w:val="001D515E"/>
    <w:rsid w:val="001D52DE"/>
    <w:rsid w:val="001D54A7"/>
    <w:rsid w:val="001D5590"/>
    <w:rsid w:val="001D55FF"/>
    <w:rsid w:val="001D5B23"/>
    <w:rsid w:val="001D5B45"/>
    <w:rsid w:val="001D5B4D"/>
    <w:rsid w:val="001D5BFC"/>
    <w:rsid w:val="001D5D57"/>
    <w:rsid w:val="001D5E00"/>
    <w:rsid w:val="001D5E33"/>
    <w:rsid w:val="001D5ED4"/>
    <w:rsid w:val="001D5EF8"/>
    <w:rsid w:val="001D5F14"/>
    <w:rsid w:val="001D5F1B"/>
    <w:rsid w:val="001D5F49"/>
    <w:rsid w:val="001D5F66"/>
    <w:rsid w:val="001D5F8E"/>
    <w:rsid w:val="001D6095"/>
    <w:rsid w:val="001D6132"/>
    <w:rsid w:val="001D61FC"/>
    <w:rsid w:val="001D62EC"/>
    <w:rsid w:val="001D6378"/>
    <w:rsid w:val="001D641D"/>
    <w:rsid w:val="001D649D"/>
    <w:rsid w:val="001D6746"/>
    <w:rsid w:val="001D696C"/>
    <w:rsid w:val="001D6A37"/>
    <w:rsid w:val="001D6D48"/>
    <w:rsid w:val="001D6D6C"/>
    <w:rsid w:val="001D6E4C"/>
    <w:rsid w:val="001D712C"/>
    <w:rsid w:val="001D72A4"/>
    <w:rsid w:val="001D748E"/>
    <w:rsid w:val="001D75B4"/>
    <w:rsid w:val="001D764D"/>
    <w:rsid w:val="001D7939"/>
    <w:rsid w:val="001D7A91"/>
    <w:rsid w:val="001D7B0D"/>
    <w:rsid w:val="001D7D55"/>
    <w:rsid w:val="001D7E45"/>
    <w:rsid w:val="001E0188"/>
    <w:rsid w:val="001E019F"/>
    <w:rsid w:val="001E01F8"/>
    <w:rsid w:val="001E02C5"/>
    <w:rsid w:val="001E036B"/>
    <w:rsid w:val="001E06B3"/>
    <w:rsid w:val="001E07CC"/>
    <w:rsid w:val="001E088A"/>
    <w:rsid w:val="001E0919"/>
    <w:rsid w:val="001E0941"/>
    <w:rsid w:val="001E09B6"/>
    <w:rsid w:val="001E0AF7"/>
    <w:rsid w:val="001E0BA1"/>
    <w:rsid w:val="001E0C43"/>
    <w:rsid w:val="001E0D69"/>
    <w:rsid w:val="001E0EC1"/>
    <w:rsid w:val="001E0F8A"/>
    <w:rsid w:val="001E0FB8"/>
    <w:rsid w:val="001E1011"/>
    <w:rsid w:val="001E118A"/>
    <w:rsid w:val="001E1237"/>
    <w:rsid w:val="001E1354"/>
    <w:rsid w:val="001E1400"/>
    <w:rsid w:val="001E1427"/>
    <w:rsid w:val="001E14A9"/>
    <w:rsid w:val="001E1521"/>
    <w:rsid w:val="001E15A1"/>
    <w:rsid w:val="001E185C"/>
    <w:rsid w:val="001E1997"/>
    <w:rsid w:val="001E1B22"/>
    <w:rsid w:val="001E1C5C"/>
    <w:rsid w:val="001E1CAB"/>
    <w:rsid w:val="001E1EBD"/>
    <w:rsid w:val="001E1EC3"/>
    <w:rsid w:val="001E1ECE"/>
    <w:rsid w:val="001E1FB4"/>
    <w:rsid w:val="001E20CB"/>
    <w:rsid w:val="001E20F0"/>
    <w:rsid w:val="001E2175"/>
    <w:rsid w:val="001E2316"/>
    <w:rsid w:val="001E233E"/>
    <w:rsid w:val="001E2632"/>
    <w:rsid w:val="001E2740"/>
    <w:rsid w:val="001E27DE"/>
    <w:rsid w:val="001E28AF"/>
    <w:rsid w:val="001E2942"/>
    <w:rsid w:val="001E29B0"/>
    <w:rsid w:val="001E2A5D"/>
    <w:rsid w:val="001E2D76"/>
    <w:rsid w:val="001E2EBF"/>
    <w:rsid w:val="001E2EEA"/>
    <w:rsid w:val="001E2F78"/>
    <w:rsid w:val="001E2FB6"/>
    <w:rsid w:val="001E307F"/>
    <w:rsid w:val="001E3094"/>
    <w:rsid w:val="001E32DF"/>
    <w:rsid w:val="001E338A"/>
    <w:rsid w:val="001E341A"/>
    <w:rsid w:val="001E3725"/>
    <w:rsid w:val="001E3763"/>
    <w:rsid w:val="001E3798"/>
    <w:rsid w:val="001E38A3"/>
    <w:rsid w:val="001E38C1"/>
    <w:rsid w:val="001E392D"/>
    <w:rsid w:val="001E397F"/>
    <w:rsid w:val="001E3A31"/>
    <w:rsid w:val="001E3BB5"/>
    <w:rsid w:val="001E3BF1"/>
    <w:rsid w:val="001E3C85"/>
    <w:rsid w:val="001E3C9D"/>
    <w:rsid w:val="001E3D0D"/>
    <w:rsid w:val="001E3E42"/>
    <w:rsid w:val="001E3EC4"/>
    <w:rsid w:val="001E3F0F"/>
    <w:rsid w:val="001E3FD1"/>
    <w:rsid w:val="001E40DB"/>
    <w:rsid w:val="001E446E"/>
    <w:rsid w:val="001E44C0"/>
    <w:rsid w:val="001E457B"/>
    <w:rsid w:val="001E47EB"/>
    <w:rsid w:val="001E47FD"/>
    <w:rsid w:val="001E4A06"/>
    <w:rsid w:val="001E4AD3"/>
    <w:rsid w:val="001E4AE7"/>
    <w:rsid w:val="001E4C8A"/>
    <w:rsid w:val="001E4CF8"/>
    <w:rsid w:val="001E4CFF"/>
    <w:rsid w:val="001E4D47"/>
    <w:rsid w:val="001E4FBD"/>
    <w:rsid w:val="001E513C"/>
    <w:rsid w:val="001E519A"/>
    <w:rsid w:val="001E5291"/>
    <w:rsid w:val="001E54F0"/>
    <w:rsid w:val="001E572F"/>
    <w:rsid w:val="001E594B"/>
    <w:rsid w:val="001E5A00"/>
    <w:rsid w:val="001E5A1C"/>
    <w:rsid w:val="001E5CDD"/>
    <w:rsid w:val="001E5D96"/>
    <w:rsid w:val="001E5E1C"/>
    <w:rsid w:val="001E5E52"/>
    <w:rsid w:val="001E6047"/>
    <w:rsid w:val="001E613D"/>
    <w:rsid w:val="001E61F9"/>
    <w:rsid w:val="001E621E"/>
    <w:rsid w:val="001E6223"/>
    <w:rsid w:val="001E62A1"/>
    <w:rsid w:val="001E630A"/>
    <w:rsid w:val="001E6361"/>
    <w:rsid w:val="001E6446"/>
    <w:rsid w:val="001E65CC"/>
    <w:rsid w:val="001E663F"/>
    <w:rsid w:val="001E6758"/>
    <w:rsid w:val="001E680A"/>
    <w:rsid w:val="001E68CF"/>
    <w:rsid w:val="001E6AFC"/>
    <w:rsid w:val="001E6B29"/>
    <w:rsid w:val="001E6B7F"/>
    <w:rsid w:val="001E6C24"/>
    <w:rsid w:val="001E6DE3"/>
    <w:rsid w:val="001E6DEE"/>
    <w:rsid w:val="001E6EC7"/>
    <w:rsid w:val="001E6EF6"/>
    <w:rsid w:val="001E701C"/>
    <w:rsid w:val="001E7215"/>
    <w:rsid w:val="001E734A"/>
    <w:rsid w:val="001E735E"/>
    <w:rsid w:val="001E7434"/>
    <w:rsid w:val="001E758F"/>
    <w:rsid w:val="001E763E"/>
    <w:rsid w:val="001E796D"/>
    <w:rsid w:val="001E7A02"/>
    <w:rsid w:val="001E7AA3"/>
    <w:rsid w:val="001E7AC4"/>
    <w:rsid w:val="001E7BC9"/>
    <w:rsid w:val="001E7C2C"/>
    <w:rsid w:val="001E7C34"/>
    <w:rsid w:val="001E7C77"/>
    <w:rsid w:val="001E7DB9"/>
    <w:rsid w:val="001E7F53"/>
    <w:rsid w:val="001E7F7F"/>
    <w:rsid w:val="001E7FFB"/>
    <w:rsid w:val="001F0114"/>
    <w:rsid w:val="001F012D"/>
    <w:rsid w:val="001F01E0"/>
    <w:rsid w:val="001F0315"/>
    <w:rsid w:val="001F0348"/>
    <w:rsid w:val="001F0417"/>
    <w:rsid w:val="001F049D"/>
    <w:rsid w:val="001F062A"/>
    <w:rsid w:val="001F0716"/>
    <w:rsid w:val="001F0717"/>
    <w:rsid w:val="001F0876"/>
    <w:rsid w:val="001F08E6"/>
    <w:rsid w:val="001F094C"/>
    <w:rsid w:val="001F0A16"/>
    <w:rsid w:val="001F0AB0"/>
    <w:rsid w:val="001F0BA8"/>
    <w:rsid w:val="001F0C65"/>
    <w:rsid w:val="001F0CBF"/>
    <w:rsid w:val="001F0CFE"/>
    <w:rsid w:val="001F0FB3"/>
    <w:rsid w:val="001F136D"/>
    <w:rsid w:val="001F13D2"/>
    <w:rsid w:val="001F14A6"/>
    <w:rsid w:val="001F15E9"/>
    <w:rsid w:val="001F171C"/>
    <w:rsid w:val="001F1720"/>
    <w:rsid w:val="001F172F"/>
    <w:rsid w:val="001F17AB"/>
    <w:rsid w:val="001F17EA"/>
    <w:rsid w:val="001F1923"/>
    <w:rsid w:val="001F1A69"/>
    <w:rsid w:val="001F1B0F"/>
    <w:rsid w:val="001F1BC0"/>
    <w:rsid w:val="001F1CAF"/>
    <w:rsid w:val="001F1E1E"/>
    <w:rsid w:val="001F1E33"/>
    <w:rsid w:val="001F1E71"/>
    <w:rsid w:val="001F1ED9"/>
    <w:rsid w:val="001F2034"/>
    <w:rsid w:val="001F20AB"/>
    <w:rsid w:val="001F2135"/>
    <w:rsid w:val="001F21BF"/>
    <w:rsid w:val="001F2325"/>
    <w:rsid w:val="001F25D2"/>
    <w:rsid w:val="001F27D6"/>
    <w:rsid w:val="001F2A63"/>
    <w:rsid w:val="001F2A8F"/>
    <w:rsid w:val="001F2B42"/>
    <w:rsid w:val="001F2DA2"/>
    <w:rsid w:val="001F2F7A"/>
    <w:rsid w:val="001F32C8"/>
    <w:rsid w:val="001F34B1"/>
    <w:rsid w:val="001F34D9"/>
    <w:rsid w:val="001F3573"/>
    <w:rsid w:val="001F3644"/>
    <w:rsid w:val="001F36E6"/>
    <w:rsid w:val="001F36EF"/>
    <w:rsid w:val="001F372E"/>
    <w:rsid w:val="001F3754"/>
    <w:rsid w:val="001F375C"/>
    <w:rsid w:val="001F3813"/>
    <w:rsid w:val="001F397A"/>
    <w:rsid w:val="001F39D0"/>
    <w:rsid w:val="001F3A1D"/>
    <w:rsid w:val="001F3C23"/>
    <w:rsid w:val="001F3DC3"/>
    <w:rsid w:val="001F3F99"/>
    <w:rsid w:val="001F41DD"/>
    <w:rsid w:val="001F435A"/>
    <w:rsid w:val="001F4480"/>
    <w:rsid w:val="001F457D"/>
    <w:rsid w:val="001F4616"/>
    <w:rsid w:val="001F478A"/>
    <w:rsid w:val="001F4906"/>
    <w:rsid w:val="001F4A18"/>
    <w:rsid w:val="001F4D5C"/>
    <w:rsid w:val="001F4DFF"/>
    <w:rsid w:val="001F4E5D"/>
    <w:rsid w:val="001F50BF"/>
    <w:rsid w:val="001F514E"/>
    <w:rsid w:val="001F52B2"/>
    <w:rsid w:val="001F52BD"/>
    <w:rsid w:val="001F5341"/>
    <w:rsid w:val="001F538F"/>
    <w:rsid w:val="001F5502"/>
    <w:rsid w:val="001F553E"/>
    <w:rsid w:val="001F55CC"/>
    <w:rsid w:val="001F55F8"/>
    <w:rsid w:val="001F570D"/>
    <w:rsid w:val="001F5841"/>
    <w:rsid w:val="001F585C"/>
    <w:rsid w:val="001F59B2"/>
    <w:rsid w:val="001F59D4"/>
    <w:rsid w:val="001F5A32"/>
    <w:rsid w:val="001F5A6F"/>
    <w:rsid w:val="001F5D00"/>
    <w:rsid w:val="001F5D32"/>
    <w:rsid w:val="001F60CC"/>
    <w:rsid w:val="001F6229"/>
    <w:rsid w:val="001F6280"/>
    <w:rsid w:val="001F63AD"/>
    <w:rsid w:val="001F64F4"/>
    <w:rsid w:val="001F668E"/>
    <w:rsid w:val="001F66A3"/>
    <w:rsid w:val="001F674D"/>
    <w:rsid w:val="001F678B"/>
    <w:rsid w:val="001F6845"/>
    <w:rsid w:val="001F685B"/>
    <w:rsid w:val="001F6895"/>
    <w:rsid w:val="001F6896"/>
    <w:rsid w:val="001F6A29"/>
    <w:rsid w:val="001F6B3C"/>
    <w:rsid w:val="001F6BC5"/>
    <w:rsid w:val="001F6BE8"/>
    <w:rsid w:val="001F6DCE"/>
    <w:rsid w:val="001F6EB5"/>
    <w:rsid w:val="001F6F12"/>
    <w:rsid w:val="001F6F3B"/>
    <w:rsid w:val="001F6F99"/>
    <w:rsid w:val="001F6FAC"/>
    <w:rsid w:val="001F709E"/>
    <w:rsid w:val="001F70CB"/>
    <w:rsid w:val="001F712D"/>
    <w:rsid w:val="001F716D"/>
    <w:rsid w:val="001F717F"/>
    <w:rsid w:val="001F719E"/>
    <w:rsid w:val="001F71D7"/>
    <w:rsid w:val="001F729F"/>
    <w:rsid w:val="001F72AB"/>
    <w:rsid w:val="001F7494"/>
    <w:rsid w:val="001F7533"/>
    <w:rsid w:val="001F76CA"/>
    <w:rsid w:val="001F79E1"/>
    <w:rsid w:val="001F7C9D"/>
    <w:rsid w:val="001F7DF2"/>
    <w:rsid w:val="001F7E17"/>
    <w:rsid w:val="001F7EA2"/>
    <w:rsid w:val="001F7ECE"/>
    <w:rsid w:val="002000E5"/>
    <w:rsid w:val="002002F1"/>
    <w:rsid w:val="002003A4"/>
    <w:rsid w:val="002003E8"/>
    <w:rsid w:val="002005B5"/>
    <w:rsid w:val="00200A8C"/>
    <w:rsid w:val="00200AA5"/>
    <w:rsid w:val="00200B6F"/>
    <w:rsid w:val="00200CBA"/>
    <w:rsid w:val="00200F91"/>
    <w:rsid w:val="002010B5"/>
    <w:rsid w:val="0020112B"/>
    <w:rsid w:val="00201363"/>
    <w:rsid w:val="00201577"/>
    <w:rsid w:val="002015A0"/>
    <w:rsid w:val="0020163B"/>
    <w:rsid w:val="00201658"/>
    <w:rsid w:val="00201866"/>
    <w:rsid w:val="00201A24"/>
    <w:rsid w:val="00201B2C"/>
    <w:rsid w:val="00201B3C"/>
    <w:rsid w:val="00201C1E"/>
    <w:rsid w:val="00201E02"/>
    <w:rsid w:val="00201E04"/>
    <w:rsid w:val="002021C2"/>
    <w:rsid w:val="002022A5"/>
    <w:rsid w:val="002022F0"/>
    <w:rsid w:val="002023E3"/>
    <w:rsid w:val="002023EC"/>
    <w:rsid w:val="00202503"/>
    <w:rsid w:val="002025B5"/>
    <w:rsid w:val="002025E9"/>
    <w:rsid w:val="002027B5"/>
    <w:rsid w:val="002028A8"/>
    <w:rsid w:val="0020296F"/>
    <w:rsid w:val="0020298E"/>
    <w:rsid w:val="00202B06"/>
    <w:rsid w:val="00202B8B"/>
    <w:rsid w:val="00202D60"/>
    <w:rsid w:val="00202E3D"/>
    <w:rsid w:val="00202E7D"/>
    <w:rsid w:val="00202F7D"/>
    <w:rsid w:val="00202FC4"/>
    <w:rsid w:val="0020309E"/>
    <w:rsid w:val="002030EB"/>
    <w:rsid w:val="002033BF"/>
    <w:rsid w:val="00203413"/>
    <w:rsid w:val="002034AE"/>
    <w:rsid w:val="00203550"/>
    <w:rsid w:val="002036DC"/>
    <w:rsid w:val="002036DD"/>
    <w:rsid w:val="0020372F"/>
    <w:rsid w:val="0020397F"/>
    <w:rsid w:val="00203AEE"/>
    <w:rsid w:val="00203B15"/>
    <w:rsid w:val="00203D5C"/>
    <w:rsid w:val="00203E41"/>
    <w:rsid w:val="00204457"/>
    <w:rsid w:val="002044C9"/>
    <w:rsid w:val="002045D2"/>
    <w:rsid w:val="00204662"/>
    <w:rsid w:val="0020467B"/>
    <w:rsid w:val="0020478D"/>
    <w:rsid w:val="002047AF"/>
    <w:rsid w:val="00204864"/>
    <w:rsid w:val="00204B59"/>
    <w:rsid w:val="00204B85"/>
    <w:rsid w:val="00204C3C"/>
    <w:rsid w:val="00204C61"/>
    <w:rsid w:val="00204CD7"/>
    <w:rsid w:val="00204DD8"/>
    <w:rsid w:val="00204E9F"/>
    <w:rsid w:val="00204EF3"/>
    <w:rsid w:val="00204F98"/>
    <w:rsid w:val="00204FF2"/>
    <w:rsid w:val="00205025"/>
    <w:rsid w:val="0020506B"/>
    <w:rsid w:val="00205093"/>
    <w:rsid w:val="00205161"/>
    <w:rsid w:val="002051F0"/>
    <w:rsid w:val="002051FA"/>
    <w:rsid w:val="0020536F"/>
    <w:rsid w:val="00205642"/>
    <w:rsid w:val="00205799"/>
    <w:rsid w:val="00205875"/>
    <w:rsid w:val="0020589F"/>
    <w:rsid w:val="002058EC"/>
    <w:rsid w:val="00205B6B"/>
    <w:rsid w:val="00205C31"/>
    <w:rsid w:val="00205CE6"/>
    <w:rsid w:val="00205D82"/>
    <w:rsid w:val="00205ECF"/>
    <w:rsid w:val="00205F92"/>
    <w:rsid w:val="00206027"/>
    <w:rsid w:val="00206096"/>
    <w:rsid w:val="0020616C"/>
    <w:rsid w:val="0020644A"/>
    <w:rsid w:val="0020647B"/>
    <w:rsid w:val="002065C5"/>
    <w:rsid w:val="002066ED"/>
    <w:rsid w:val="0020683C"/>
    <w:rsid w:val="0020692A"/>
    <w:rsid w:val="00206997"/>
    <w:rsid w:val="00206A76"/>
    <w:rsid w:val="00206F3F"/>
    <w:rsid w:val="0020704D"/>
    <w:rsid w:val="002070DE"/>
    <w:rsid w:val="0020712B"/>
    <w:rsid w:val="00207171"/>
    <w:rsid w:val="002071B1"/>
    <w:rsid w:val="00207206"/>
    <w:rsid w:val="0020746D"/>
    <w:rsid w:val="002075B7"/>
    <w:rsid w:val="0020765C"/>
    <w:rsid w:val="00207667"/>
    <w:rsid w:val="0020768C"/>
    <w:rsid w:val="002078D5"/>
    <w:rsid w:val="0020790A"/>
    <w:rsid w:val="002079BE"/>
    <w:rsid w:val="00207A36"/>
    <w:rsid w:val="00207B62"/>
    <w:rsid w:val="00207DC1"/>
    <w:rsid w:val="00207DC5"/>
    <w:rsid w:val="00207E83"/>
    <w:rsid w:val="00207EE9"/>
    <w:rsid w:val="00207F2E"/>
    <w:rsid w:val="00207FA6"/>
    <w:rsid w:val="0021008E"/>
    <w:rsid w:val="00210226"/>
    <w:rsid w:val="002102B1"/>
    <w:rsid w:val="002102D7"/>
    <w:rsid w:val="002103D0"/>
    <w:rsid w:val="00210671"/>
    <w:rsid w:val="002106A3"/>
    <w:rsid w:val="0021071D"/>
    <w:rsid w:val="00210722"/>
    <w:rsid w:val="002108CF"/>
    <w:rsid w:val="0021091D"/>
    <w:rsid w:val="00210956"/>
    <w:rsid w:val="00210A0E"/>
    <w:rsid w:val="00210BB7"/>
    <w:rsid w:val="00210C23"/>
    <w:rsid w:val="00210D9E"/>
    <w:rsid w:val="00210DCC"/>
    <w:rsid w:val="00210DE4"/>
    <w:rsid w:val="00210DE8"/>
    <w:rsid w:val="00210E32"/>
    <w:rsid w:val="00210F75"/>
    <w:rsid w:val="00210FD4"/>
    <w:rsid w:val="00211207"/>
    <w:rsid w:val="0021134D"/>
    <w:rsid w:val="00211389"/>
    <w:rsid w:val="00211462"/>
    <w:rsid w:val="002114C3"/>
    <w:rsid w:val="0021176B"/>
    <w:rsid w:val="00211833"/>
    <w:rsid w:val="00211919"/>
    <w:rsid w:val="0021191B"/>
    <w:rsid w:val="00211935"/>
    <w:rsid w:val="00211993"/>
    <w:rsid w:val="00211BD4"/>
    <w:rsid w:val="00211C1F"/>
    <w:rsid w:val="00211DA5"/>
    <w:rsid w:val="00211E9B"/>
    <w:rsid w:val="00211ED2"/>
    <w:rsid w:val="00212009"/>
    <w:rsid w:val="00212023"/>
    <w:rsid w:val="002121A0"/>
    <w:rsid w:val="002121DA"/>
    <w:rsid w:val="0021225F"/>
    <w:rsid w:val="0021260F"/>
    <w:rsid w:val="002126C3"/>
    <w:rsid w:val="00212736"/>
    <w:rsid w:val="002127AF"/>
    <w:rsid w:val="0021280E"/>
    <w:rsid w:val="002128CC"/>
    <w:rsid w:val="00212933"/>
    <w:rsid w:val="002129E3"/>
    <w:rsid w:val="00212A34"/>
    <w:rsid w:val="00212A3C"/>
    <w:rsid w:val="00212AC6"/>
    <w:rsid w:val="00212BAD"/>
    <w:rsid w:val="00212BEE"/>
    <w:rsid w:val="00212C29"/>
    <w:rsid w:val="00212D5C"/>
    <w:rsid w:val="00212E5F"/>
    <w:rsid w:val="00212E82"/>
    <w:rsid w:val="00212EFF"/>
    <w:rsid w:val="00212F1A"/>
    <w:rsid w:val="00212F43"/>
    <w:rsid w:val="00213045"/>
    <w:rsid w:val="002132CB"/>
    <w:rsid w:val="00213416"/>
    <w:rsid w:val="002134F2"/>
    <w:rsid w:val="00213697"/>
    <w:rsid w:val="00213702"/>
    <w:rsid w:val="00213B6C"/>
    <w:rsid w:val="00213CF6"/>
    <w:rsid w:val="00213EAA"/>
    <w:rsid w:val="00213F97"/>
    <w:rsid w:val="00213F9C"/>
    <w:rsid w:val="0021400B"/>
    <w:rsid w:val="00214064"/>
    <w:rsid w:val="002141A8"/>
    <w:rsid w:val="0021426D"/>
    <w:rsid w:val="002142EE"/>
    <w:rsid w:val="00214366"/>
    <w:rsid w:val="002144DA"/>
    <w:rsid w:val="00214581"/>
    <w:rsid w:val="002145B2"/>
    <w:rsid w:val="0021465E"/>
    <w:rsid w:val="0021474E"/>
    <w:rsid w:val="0021478D"/>
    <w:rsid w:val="002147AA"/>
    <w:rsid w:val="002147AF"/>
    <w:rsid w:val="002147EB"/>
    <w:rsid w:val="00214B22"/>
    <w:rsid w:val="00214B3A"/>
    <w:rsid w:val="00214D1C"/>
    <w:rsid w:val="00214F57"/>
    <w:rsid w:val="00214F61"/>
    <w:rsid w:val="0021505C"/>
    <w:rsid w:val="0021513F"/>
    <w:rsid w:val="00215170"/>
    <w:rsid w:val="002152D6"/>
    <w:rsid w:val="002153F3"/>
    <w:rsid w:val="00215417"/>
    <w:rsid w:val="002154C9"/>
    <w:rsid w:val="0021561C"/>
    <w:rsid w:val="00215652"/>
    <w:rsid w:val="0021567B"/>
    <w:rsid w:val="002156EE"/>
    <w:rsid w:val="002157DD"/>
    <w:rsid w:val="00215A93"/>
    <w:rsid w:val="00215AFC"/>
    <w:rsid w:val="00215B3B"/>
    <w:rsid w:val="00215BEA"/>
    <w:rsid w:val="00215D92"/>
    <w:rsid w:val="00215E7B"/>
    <w:rsid w:val="00215ED4"/>
    <w:rsid w:val="00215FDB"/>
    <w:rsid w:val="0021606A"/>
    <w:rsid w:val="0021615E"/>
    <w:rsid w:val="002161C3"/>
    <w:rsid w:val="0021639B"/>
    <w:rsid w:val="00216539"/>
    <w:rsid w:val="00216675"/>
    <w:rsid w:val="002169BB"/>
    <w:rsid w:val="00216A79"/>
    <w:rsid w:val="00216B7B"/>
    <w:rsid w:val="00216C29"/>
    <w:rsid w:val="00216C8E"/>
    <w:rsid w:val="00216CA8"/>
    <w:rsid w:val="00216CC4"/>
    <w:rsid w:val="00216DA4"/>
    <w:rsid w:val="00216E41"/>
    <w:rsid w:val="00216F46"/>
    <w:rsid w:val="00216FC9"/>
    <w:rsid w:val="0021723E"/>
    <w:rsid w:val="00217268"/>
    <w:rsid w:val="00217313"/>
    <w:rsid w:val="00217790"/>
    <w:rsid w:val="002178F7"/>
    <w:rsid w:val="002179DF"/>
    <w:rsid w:val="00217AF9"/>
    <w:rsid w:val="00217B92"/>
    <w:rsid w:val="00220004"/>
    <w:rsid w:val="00220041"/>
    <w:rsid w:val="002200D4"/>
    <w:rsid w:val="002201BC"/>
    <w:rsid w:val="00220267"/>
    <w:rsid w:val="002202F8"/>
    <w:rsid w:val="0022040E"/>
    <w:rsid w:val="002205B0"/>
    <w:rsid w:val="0022064E"/>
    <w:rsid w:val="00220796"/>
    <w:rsid w:val="00220C7E"/>
    <w:rsid w:val="00220CE8"/>
    <w:rsid w:val="00220E15"/>
    <w:rsid w:val="00220E42"/>
    <w:rsid w:val="00220E6B"/>
    <w:rsid w:val="00220E84"/>
    <w:rsid w:val="00220EEB"/>
    <w:rsid w:val="00220FA3"/>
    <w:rsid w:val="00221017"/>
    <w:rsid w:val="0022102B"/>
    <w:rsid w:val="0022123F"/>
    <w:rsid w:val="00221257"/>
    <w:rsid w:val="0022125E"/>
    <w:rsid w:val="002212FD"/>
    <w:rsid w:val="0022135B"/>
    <w:rsid w:val="0022136C"/>
    <w:rsid w:val="0022138D"/>
    <w:rsid w:val="00221461"/>
    <w:rsid w:val="00221525"/>
    <w:rsid w:val="002216D8"/>
    <w:rsid w:val="0022176B"/>
    <w:rsid w:val="0022180D"/>
    <w:rsid w:val="002218FE"/>
    <w:rsid w:val="0022193D"/>
    <w:rsid w:val="0022194B"/>
    <w:rsid w:val="00221989"/>
    <w:rsid w:val="00221AE9"/>
    <w:rsid w:val="00221B79"/>
    <w:rsid w:val="00221BA3"/>
    <w:rsid w:val="00221BD2"/>
    <w:rsid w:val="00221E42"/>
    <w:rsid w:val="00221E5B"/>
    <w:rsid w:val="0022200C"/>
    <w:rsid w:val="002220CA"/>
    <w:rsid w:val="002220EB"/>
    <w:rsid w:val="002220EE"/>
    <w:rsid w:val="002222D0"/>
    <w:rsid w:val="002222DA"/>
    <w:rsid w:val="002223E3"/>
    <w:rsid w:val="00222437"/>
    <w:rsid w:val="00222456"/>
    <w:rsid w:val="00222471"/>
    <w:rsid w:val="00222473"/>
    <w:rsid w:val="0022247C"/>
    <w:rsid w:val="0022254F"/>
    <w:rsid w:val="00222555"/>
    <w:rsid w:val="002225A3"/>
    <w:rsid w:val="00222653"/>
    <w:rsid w:val="002226C3"/>
    <w:rsid w:val="002226FD"/>
    <w:rsid w:val="002227E7"/>
    <w:rsid w:val="00222835"/>
    <w:rsid w:val="00222AC0"/>
    <w:rsid w:val="00222D56"/>
    <w:rsid w:val="00222E50"/>
    <w:rsid w:val="00222EA6"/>
    <w:rsid w:val="00222EDA"/>
    <w:rsid w:val="00222F71"/>
    <w:rsid w:val="0022300C"/>
    <w:rsid w:val="0022301B"/>
    <w:rsid w:val="00223171"/>
    <w:rsid w:val="0022319C"/>
    <w:rsid w:val="002231D6"/>
    <w:rsid w:val="00223236"/>
    <w:rsid w:val="002232F7"/>
    <w:rsid w:val="002233DF"/>
    <w:rsid w:val="0022342C"/>
    <w:rsid w:val="00223692"/>
    <w:rsid w:val="0022394B"/>
    <w:rsid w:val="00223D7D"/>
    <w:rsid w:val="00223E49"/>
    <w:rsid w:val="00223E98"/>
    <w:rsid w:val="00223F6D"/>
    <w:rsid w:val="002240E7"/>
    <w:rsid w:val="00224280"/>
    <w:rsid w:val="002244B7"/>
    <w:rsid w:val="00224562"/>
    <w:rsid w:val="002245A3"/>
    <w:rsid w:val="002246BF"/>
    <w:rsid w:val="00224830"/>
    <w:rsid w:val="0022497B"/>
    <w:rsid w:val="00224AFE"/>
    <w:rsid w:val="00224B31"/>
    <w:rsid w:val="00224D63"/>
    <w:rsid w:val="00224DB7"/>
    <w:rsid w:val="00224DFA"/>
    <w:rsid w:val="00224E6E"/>
    <w:rsid w:val="00224E86"/>
    <w:rsid w:val="00224F42"/>
    <w:rsid w:val="00225081"/>
    <w:rsid w:val="0022513D"/>
    <w:rsid w:val="0022533F"/>
    <w:rsid w:val="00225377"/>
    <w:rsid w:val="00225413"/>
    <w:rsid w:val="00225450"/>
    <w:rsid w:val="002254D8"/>
    <w:rsid w:val="00225560"/>
    <w:rsid w:val="00225703"/>
    <w:rsid w:val="0022597C"/>
    <w:rsid w:val="00225A6C"/>
    <w:rsid w:val="00225AA5"/>
    <w:rsid w:val="00225AEB"/>
    <w:rsid w:val="00225AF7"/>
    <w:rsid w:val="00225B96"/>
    <w:rsid w:val="00225B9B"/>
    <w:rsid w:val="00225D0B"/>
    <w:rsid w:val="00225F64"/>
    <w:rsid w:val="00225F6F"/>
    <w:rsid w:val="00226014"/>
    <w:rsid w:val="002261EF"/>
    <w:rsid w:val="002265EB"/>
    <w:rsid w:val="00226642"/>
    <w:rsid w:val="0022675A"/>
    <w:rsid w:val="002268FA"/>
    <w:rsid w:val="002269DE"/>
    <w:rsid w:val="00226B58"/>
    <w:rsid w:val="00226B89"/>
    <w:rsid w:val="00226C75"/>
    <w:rsid w:val="00226D20"/>
    <w:rsid w:val="00226E7E"/>
    <w:rsid w:val="00226F17"/>
    <w:rsid w:val="00226F3F"/>
    <w:rsid w:val="00226F90"/>
    <w:rsid w:val="00226FA2"/>
    <w:rsid w:val="0022705C"/>
    <w:rsid w:val="002270CB"/>
    <w:rsid w:val="002271DC"/>
    <w:rsid w:val="0022735B"/>
    <w:rsid w:val="00227430"/>
    <w:rsid w:val="0022743C"/>
    <w:rsid w:val="00227474"/>
    <w:rsid w:val="002274FA"/>
    <w:rsid w:val="002278F8"/>
    <w:rsid w:val="00227927"/>
    <w:rsid w:val="002279A6"/>
    <w:rsid w:val="00227A9A"/>
    <w:rsid w:val="00227AC4"/>
    <w:rsid w:val="00227D0F"/>
    <w:rsid w:val="00227DA3"/>
    <w:rsid w:val="00227E97"/>
    <w:rsid w:val="00227FEB"/>
    <w:rsid w:val="002301B6"/>
    <w:rsid w:val="00230386"/>
    <w:rsid w:val="002303D5"/>
    <w:rsid w:val="002303E2"/>
    <w:rsid w:val="00230482"/>
    <w:rsid w:val="002305A8"/>
    <w:rsid w:val="002305F3"/>
    <w:rsid w:val="002307D8"/>
    <w:rsid w:val="00230810"/>
    <w:rsid w:val="00230827"/>
    <w:rsid w:val="00230909"/>
    <w:rsid w:val="00230956"/>
    <w:rsid w:val="00230A60"/>
    <w:rsid w:val="00230AB3"/>
    <w:rsid w:val="00230B07"/>
    <w:rsid w:val="00230B6F"/>
    <w:rsid w:val="00230BE9"/>
    <w:rsid w:val="00230C2F"/>
    <w:rsid w:val="00230C4E"/>
    <w:rsid w:val="00230C55"/>
    <w:rsid w:val="00230D8E"/>
    <w:rsid w:val="00230F2E"/>
    <w:rsid w:val="002312C2"/>
    <w:rsid w:val="002313A2"/>
    <w:rsid w:val="0023142F"/>
    <w:rsid w:val="0023151C"/>
    <w:rsid w:val="002315A7"/>
    <w:rsid w:val="002315C7"/>
    <w:rsid w:val="002315DF"/>
    <w:rsid w:val="00231612"/>
    <w:rsid w:val="00231693"/>
    <w:rsid w:val="002316F6"/>
    <w:rsid w:val="0023173C"/>
    <w:rsid w:val="00231856"/>
    <w:rsid w:val="002318E9"/>
    <w:rsid w:val="00231AF8"/>
    <w:rsid w:val="00231B63"/>
    <w:rsid w:val="00231C27"/>
    <w:rsid w:val="00231C86"/>
    <w:rsid w:val="00231CDB"/>
    <w:rsid w:val="00231D16"/>
    <w:rsid w:val="00231D7F"/>
    <w:rsid w:val="00231D9E"/>
    <w:rsid w:val="00231DA3"/>
    <w:rsid w:val="00231F08"/>
    <w:rsid w:val="00231F9D"/>
    <w:rsid w:val="00232069"/>
    <w:rsid w:val="00232400"/>
    <w:rsid w:val="0023249E"/>
    <w:rsid w:val="00232530"/>
    <w:rsid w:val="00232746"/>
    <w:rsid w:val="00232B13"/>
    <w:rsid w:val="00232BEA"/>
    <w:rsid w:val="00232C1C"/>
    <w:rsid w:val="00232D0B"/>
    <w:rsid w:val="00232D9E"/>
    <w:rsid w:val="00232E67"/>
    <w:rsid w:val="00232F9F"/>
    <w:rsid w:val="00233158"/>
    <w:rsid w:val="0023315D"/>
    <w:rsid w:val="002331ED"/>
    <w:rsid w:val="0023338A"/>
    <w:rsid w:val="00233398"/>
    <w:rsid w:val="00233459"/>
    <w:rsid w:val="002335A5"/>
    <w:rsid w:val="0023361A"/>
    <w:rsid w:val="002337FB"/>
    <w:rsid w:val="00233863"/>
    <w:rsid w:val="00233904"/>
    <w:rsid w:val="00233906"/>
    <w:rsid w:val="00233971"/>
    <w:rsid w:val="002339AC"/>
    <w:rsid w:val="002339E5"/>
    <w:rsid w:val="00233CAC"/>
    <w:rsid w:val="00233CC9"/>
    <w:rsid w:val="00233DD2"/>
    <w:rsid w:val="00233DDD"/>
    <w:rsid w:val="00233E4B"/>
    <w:rsid w:val="00233E86"/>
    <w:rsid w:val="00233F2A"/>
    <w:rsid w:val="002340B7"/>
    <w:rsid w:val="002342D7"/>
    <w:rsid w:val="00234343"/>
    <w:rsid w:val="00234468"/>
    <w:rsid w:val="0023468B"/>
    <w:rsid w:val="00234718"/>
    <w:rsid w:val="00234825"/>
    <w:rsid w:val="0023484C"/>
    <w:rsid w:val="002349E1"/>
    <w:rsid w:val="00234B03"/>
    <w:rsid w:val="00234B8B"/>
    <w:rsid w:val="00234C24"/>
    <w:rsid w:val="00234C30"/>
    <w:rsid w:val="00234C46"/>
    <w:rsid w:val="00234CDC"/>
    <w:rsid w:val="00234D4D"/>
    <w:rsid w:val="00234E5B"/>
    <w:rsid w:val="00234E60"/>
    <w:rsid w:val="00234F65"/>
    <w:rsid w:val="00234FB6"/>
    <w:rsid w:val="0023509B"/>
    <w:rsid w:val="0023520E"/>
    <w:rsid w:val="00235314"/>
    <w:rsid w:val="0023544D"/>
    <w:rsid w:val="002355E0"/>
    <w:rsid w:val="00235718"/>
    <w:rsid w:val="002357DA"/>
    <w:rsid w:val="002358D4"/>
    <w:rsid w:val="0023591C"/>
    <w:rsid w:val="00235924"/>
    <w:rsid w:val="00235934"/>
    <w:rsid w:val="002359AC"/>
    <w:rsid w:val="00235B33"/>
    <w:rsid w:val="00235D03"/>
    <w:rsid w:val="00235E0F"/>
    <w:rsid w:val="00235F13"/>
    <w:rsid w:val="002360DD"/>
    <w:rsid w:val="00236179"/>
    <w:rsid w:val="00236335"/>
    <w:rsid w:val="00236450"/>
    <w:rsid w:val="002364D1"/>
    <w:rsid w:val="0023665D"/>
    <w:rsid w:val="002366ED"/>
    <w:rsid w:val="00236727"/>
    <w:rsid w:val="00236768"/>
    <w:rsid w:val="002367E6"/>
    <w:rsid w:val="00236802"/>
    <w:rsid w:val="00236A28"/>
    <w:rsid w:val="00236B8D"/>
    <w:rsid w:val="00236BB7"/>
    <w:rsid w:val="00236C87"/>
    <w:rsid w:val="00236CAA"/>
    <w:rsid w:val="00236CD4"/>
    <w:rsid w:val="00236DC9"/>
    <w:rsid w:val="00236E49"/>
    <w:rsid w:val="00236E58"/>
    <w:rsid w:val="00236E8B"/>
    <w:rsid w:val="00236FEB"/>
    <w:rsid w:val="002370A5"/>
    <w:rsid w:val="002370AC"/>
    <w:rsid w:val="00237110"/>
    <w:rsid w:val="002372FA"/>
    <w:rsid w:val="00237468"/>
    <w:rsid w:val="002376C2"/>
    <w:rsid w:val="00237747"/>
    <w:rsid w:val="00237762"/>
    <w:rsid w:val="002377B4"/>
    <w:rsid w:val="002377C6"/>
    <w:rsid w:val="002377E0"/>
    <w:rsid w:val="00237982"/>
    <w:rsid w:val="002379A4"/>
    <w:rsid w:val="00237C02"/>
    <w:rsid w:val="00237C5B"/>
    <w:rsid w:val="00237CF2"/>
    <w:rsid w:val="00237F7F"/>
    <w:rsid w:val="0024000F"/>
    <w:rsid w:val="002400DE"/>
    <w:rsid w:val="0024015C"/>
    <w:rsid w:val="002401F7"/>
    <w:rsid w:val="0024027C"/>
    <w:rsid w:val="002402A8"/>
    <w:rsid w:val="002402AB"/>
    <w:rsid w:val="0024055B"/>
    <w:rsid w:val="002405B9"/>
    <w:rsid w:val="00240617"/>
    <w:rsid w:val="00240819"/>
    <w:rsid w:val="002408CC"/>
    <w:rsid w:val="00240940"/>
    <w:rsid w:val="00240A23"/>
    <w:rsid w:val="00240A48"/>
    <w:rsid w:val="00240A82"/>
    <w:rsid w:val="00240AA9"/>
    <w:rsid w:val="00240B22"/>
    <w:rsid w:val="00240CE3"/>
    <w:rsid w:val="00240CED"/>
    <w:rsid w:val="00240D91"/>
    <w:rsid w:val="00240DE2"/>
    <w:rsid w:val="00240EFA"/>
    <w:rsid w:val="0024113F"/>
    <w:rsid w:val="00241333"/>
    <w:rsid w:val="0024135C"/>
    <w:rsid w:val="0024136A"/>
    <w:rsid w:val="00241610"/>
    <w:rsid w:val="00241651"/>
    <w:rsid w:val="002416A1"/>
    <w:rsid w:val="002417E1"/>
    <w:rsid w:val="002419F2"/>
    <w:rsid w:val="00241B07"/>
    <w:rsid w:val="00241CEE"/>
    <w:rsid w:val="00241FB7"/>
    <w:rsid w:val="00241FD5"/>
    <w:rsid w:val="00242294"/>
    <w:rsid w:val="002423D3"/>
    <w:rsid w:val="0024241A"/>
    <w:rsid w:val="00242442"/>
    <w:rsid w:val="00242453"/>
    <w:rsid w:val="002425B4"/>
    <w:rsid w:val="00242657"/>
    <w:rsid w:val="0024270D"/>
    <w:rsid w:val="00242A6C"/>
    <w:rsid w:val="00242B3A"/>
    <w:rsid w:val="00242B48"/>
    <w:rsid w:val="00242BBB"/>
    <w:rsid w:val="00242C43"/>
    <w:rsid w:val="00242E36"/>
    <w:rsid w:val="00242F4F"/>
    <w:rsid w:val="00242FE6"/>
    <w:rsid w:val="002432F3"/>
    <w:rsid w:val="0024346D"/>
    <w:rsid w:val="002436AD"/>
    <w:rsid w:val="0024382A"/>
    <w:rsid w:val="0024386D"/>
    <w:rsid w:val="00243A2A"/>
    <w:rsid w:val="00243AAA"/>
    <w:rsid w:val="00243B57"/>
    <w:rsid w:val="00243CBB"/>
    <w:rsid w:val="00243CEB"/>
    <w:rsid w:val="00243D93"/>
    <w:rsid w:val="00243F0A"/>
    <w:rsid w:val="00243FE2"/>
    <w:rsid w:val="00244114"/>
    <w:rsid w:val="00244187"/>
    <w:rsid w:val="0024427F"/>
    <w:rsid w:val="002442C1"/>
    <w:rsid w:val="00244358"/>
    <w:rsid w:val="0024437D"/>
    <w:rsid w:val="002444D1"/>
    <w:rsid w:val="002444DB"/>
    <w:rsid w:val="002444FE"/>
    <w:rsid w:val="002445D9"/>
    <w:rsid w:val="002445DF"/>
    <w:rsid w:val="00244636"/>
    <w:rsid w:val="0024466E"/>
    <w:rsid w:val="002448FB"/>
    <w:rsid w:val="00244AC0"/>
    <w:rsid w:val="00244AE7"/>
    <w:rsid w:val="00244B2A"/>
    <w:rsid w:val="00244B42"/>
    <w:rsid w:val="00244C3A"/>
    <w:rsid w:val="00244D07"/>
    <w:rsid w:val="00244DF9"/>
    <w:rsid w:val="00244F14"/>
    <w:rsid w:val="00244F24"/>
    <w:rsid w:val="00244F75"/>
    <w:rsid w:val="00244FA2"/>
    <w:rsid w:val="00245117"/>
    <w:rsid w:val="0024514F"/>
    <w:rsid w:val="0024518F"/>
    <w:rsid w:val="00245196"/>
    <w:rsid w:val="002452AB"/>
    <w:rsid w:val="00245409"/>
    <w:rsid w:val="00245832"/>
    <w:rsid w:val="002458D0"/>
    <w:rsid w:val="002458FC"/>
    <w:rsid w:val="00245AC4"/>
    <w:rsid w:val="00245B82"/>
    <w:rsid w:val="00245B9A"/>
    <w:rsid w:val="00245C20"/>
    <w:rsid w:val="00245C24"/>
    <w:rsid w:val="00245C3E"/>
    <w:rsid w:val="00245D07"/>
    <w:rsid w:val="00245E23"/>
    <w:rsid w:val="002460D4"/>
    <w:rsid w:val="002461D2"/>
    <w:rsid w:val="00246219"/>
    <w:rsid w:val="00246241"/>
    <w:rsid w:val="002463F4"/>
    <w:rsid w:val="002464AF"/>
    <w:rsid w:val="002467C7"/>
    <w:rsid w:val="002469A6"/>
    <w:rsid w:val="00246A41"/>
    <w:rsid w:val="00246A7A"/>
    <w:rsid w:val="00246C75"/>
    <w:rsid w:val="00246DC8"/>
    <w:rsid w:val="00246E06"/>
    <w:rsid w:val="00246F67"/>
    <w:rsid w:val="00247022"/>
    <w:rsid w:val="0024727A"/>
    <w:rsid w:val="002472BC"/>
    <w:rsid w:val="00247461"/>
    <w:rsid w:val="002475CA"/>
    <w:rsid w:val="0024789A"/>
    <w:rsid w:val="00247A08"/>
    <w:rsid w:val="00247B27"/>
    <w:rsid w:val="00247B8C"/>
    <w:rsid w:val="00247C07"/>
    <w:rsid w:val="00247DF4"/>
    <w:rsid w:val="00250061"/>
    <w:rsid w:val="002501AB"/>
    <w:rsid w:val="0025058C"/>
    <w:rsid w:val="0025080F"/>
    <w:rsid w:val="0025083F"/>
    <w:rsid w:val="0025084D"/>
    <w:rsid w:val="002508E7"/>
    <w:rsid w:val="002508F3"/>
    <w:rsid w:val="00250A12"/>
    <w:rsid w:val="00250B40"/>
    <w:rsid w:val="00250C5E"/>
    <w:rsid w:val="00250C6A"/>
    <w:rsid w:val="00250D67"/>
    <w:rsid w:val="00250DA7"/>
    <w:rsid w:val="00250E40"/>
    <w:rsid w:val="00250F1D"/>
    <w:rsid w:val="00250F59"/>
    <w:rsid w:val="00251167"/>
    <w:rsid w:val="0025117D"/>
    <w:rsid w:val="00251318"/>
    <w:rsid w:val="00251479"/>
    <w:rsid w:val="002514D5"/>
    <w:rsid w:val="002514E8"/>
    <w:rsid w:val="00251506"/>
    <w:rsid w:val="002515C1"/>
    <w:rsid w:val="00251624"/>
    <w:rsid w:val="0025187E"/>
    <w:rsid w:val="0025189E"/>
    <w:rsid w:val="00251A2A"/>
    <w:rsid w:val="00251D0A"/>
    <w:rsid w:val="00251D63"/>
    <w:rsid w:val="00251E61"/>
    <w:rsid w:val="00251E79"/>
    <w:rsid w:val="00251EC8"/>
    <w:rsid w:val="00251F5B"/>
    <w:rsid w:val="0025202D"/>
    <w:rsid w:val="002522A8"/>
    <w:rsid w:val="002523EC"/>
    <w:rsid w:val="0025241C"/>
    <w:rsid w:val="002525D2"/>
    <w:rsid w:val="00252638"/>
    <w:rsid w:val="0025263F"/>
    <w:rsid w:val="0025267C"/>
    <w:rsid w:val="0025289B"/>
    <w:rsid w:val="002529FE"/>
    <w:rsid w:val="00252AC3"/>
    <w:rsid w:val="00252B0C"/>
    <w:rsid w:val="00252BED"/>
    <w:rsid w:val="00252C91"/>
    <w:rsid w:val="00252CB7"/>
    <w:rsid w:val="00252CC5"/>
    <w:rsid w:val="00252CCF"/>
    <w:rsid w:val="00252DDB"/>
    <w:rsid w:val="00252EC2"/>
    <w:rsid w:val="00252F15"/>
    <w:rsid w:val="00253020"/>
    <w:rsid w:val="0025308D"/>
    <w:rsid w:val="00253195"/>
    <w:rsid w:val="00253222"/>
    <w:rsid w:val="002533CD"/>
    <w:rsid w:val="002534E7"/>
    <w:rsid w:val="0025360E"/>
    <w:rsid w:val="002536A2"/>
    <w:rsid w:val="002537FC"/>
    <w:rsid w:val="00253807"/>
    <w:rsid w:val="0025383E"/>
    <w:rsid w:val="00253840"/>
    <w:rsid w:val="00253961"/>
    <w:rsid w:val="00253985"/>
    <w:rsid w:val="00253992"/>
    <w:rsid w:val="00253A24"/>
    <w:rsid w:val="00253B32"/>
    <w:rsid w:val="00253C98"/>
    <w:rsid w:val="00253DD3"/>
    <w:rsid w:val="00253FA4"/>
    <w:rsid w:val="00254187"/>
    <w:rsid w:val="0025434E"/>
    <w:rsid w:val="0025443F"/>
    <w:rsid w:val="00254545"/>
    <w:rsid w:val="002546FC"/>
    <w:rsid w:val="00254719"/>
    <w:rsid w:val="00254829"/>
    <w:rsid w:val="0025489F"/>
    <w:rsid w:val="00254A5C"/>
    <w:rsid w:val="00254B1D"/>
    <w:rsid w:val="00254BA5"/>
    <w:rsid w:val="00254BE9"/>
    <w:rsid w:val="00254C3F"/>
    <w:rsid w:val="00254D3A"/>
    <w:rsid w:val="00254D6B"/>
    <w:rsid w:val="00254E44"/>
    <w:rsid w:val="00254F71"/>
    <w:rsid w:val="0025500F"/>
    <w:rsid w:val="002550CB"/>
    <w:rsid w:val="002551EA"/>
    <w:rsid w:val="00255361"/>
    <w:rsid w:val="002554E7"/>
    <w:rsid w:val="0025597B"/>
    <w:rsid w:val="00255993"/>
    <w:rsid w:val="002559B6"/>
    <w:rsid w:val="00255A6C"/>
    <w:rsid w:val="00255D63"/>
    <w:rsid w:val="00255E3E"/>
    <w:rsid w:val="00255E8D"/>
    <w:rsid w:val="0025608B"/>
    <w:rsid w:val="00256222"/>
    <w:rsid w:val="00256264"/>
    <w:rsid w:val="0025629F"/>
    <w:rsid w:val="002563FC"/>
    <w:rsid w:val="00256415"/>
    <w:rsid w:val="0025648C"/>
    <w:rsid w:val="002566C8"/>
    <w:rsid w:val="002566DA"/>
    <w:rsid w:val="002566E2"/>
    <w:rsid w:val="0025673A"/>
    <w:rsid w:val="00256774"/>
    <w:rsid w:val="002567DD"/>
    <w:rsid w:val="00256959"/>
    <w:rsid w:val="00256C10"/>
    <w:rsid w:val="00256C32"/>
    <w:rsid w:val="00256D02"/>
    <w:rsid w:val="00256D78"/>
    <w:rsid w:val="00256F1C"/>
    <w:rsid w:val="0025712C"/>
    <w:rsid w:val="002573A9"/>
    <w:rsid w:val="0025760A"/>
    <w:rsid w:val="0025771A"/>
    <w:rsid w:val="0025785C"/>
    <w:rsid w:val="0025794F"/>
    <w:rsid w:val="00257D91"/>
    <w:rsid w:val="00257F97"/>
    <w:rsid w:val="0025E7B3"/>
    <w:rsid w:val="00260003"/>
    <w:rsid w:val="002600BE"/>
    <w:rsid w:val="002600F2"/>
    <w:rsid w:val="00260238"/>
    <w:rsid w:val="00260268"/>
    <w:rsid w:val="0026029B"/>
    <w:rsid w:val="002602CB"/>
    <w:rsid w:val="00260339"/>
    <w:rsid w:val="00260397"/>
    <w:rsid w:val="00260586"/>
    <w:rsid w:val="0026070A"/>
    <w:rsid w:val="002608BA"/>
    <w:rsid w:val="00260AAD"/>
    <w:rsid w:val="00260B5D"/>
    <w:rsid w:val="00260BDF"/>
    <w:rsid w:val="00260C56"/>
    <w:rsid w:val="00260CF8"/>
    <w:rsid w:val="00260ED6"/>
    <w:rsid w:val="00260ED8"/>
    <w:rsid w:val="00260FB7"/>
    <w:rsid w:val="002610A7"/>
    <w:rsid w:val="002611B5"/>
    <w:rsid w:val="00261229"/>
    <w:rsid w:val="00261322"/>
    <w:rsid w:val="002616A0"/>
    <w:rsid w:val="002616DB"/>
    <w:rsid w:val="00261767"/>
    <w:rsid w:val="0026180B"/>
    <w:rsid w:val="00261865"/>
    <w:rsid w:val="00261878"/>
    <w:rsid w:val="002618D8"/>
    <w:rsid w:val="00261A2B"/>
    <w:rsid w:val="00261C59"/>
    <w:rsid w:val="00261C89"/>
    <w:rsid w:val="00261C8F"/>
    <w:rsid w:val="00261CEC"/>
    <w:rsid w:val="00261E7C"/>
    <w:rsid w:val="00261E8F"/>
    <w:rsid w:val="00261FFD"/>
    <w:rsid w:val="0026203B"/>
    <w:rsid w:val="00262106"/>
    <w:rsid w:val="0026211D"/>
    <w:rsid w:val="00262153"/>
    <w:rsid w:val="00262357"/>
    <w:rsid w:val="00262538"/>
    <w:rsid w:val="002625A8"/>
    <w:rsid w:val="00262650"/>
    <w:rsid w:val="002626E8"/>
    <w:rsid w:val="00262712"/>
    <w:rsid w:val="0026271C"/>
    <w:rsid w:val="0026277D"/>
    <w:rsid w:val="002627B7"/>
    <w:rsid w:val="002627BB"/>
    <w:rsid w:val="002627D3"/>
    <w:rsid w:val="0026288F"/>
    <w:rsid w:val="002629A6"/>
    <w:rsid w:val="00262B04"/>
    <w:rsid w:val="00262C1E"/>
    <w:rsid w:val="00262C95"/>
    <w:rsid w:val="00262CC5"/>
    <w:rsid w:val="00262D06"/>
    <w:rsid w:val="00262FF4"/>
    <w:rsid w:val="00263030"/>
    <w:rsid w:val="0026305A"/>
    <w:rsid w:val="002633BA"/>
    <w:rsid w:val="00263490"/>
    <w:rsid w:val="002634E0"/>
    <w:rsid w:val="0026352C"/>
    <w:rsid w:val="00263544"/>
    <w:rsid w:val="002636F3"/>
    <w:rsid w:val="00263764"/>
    <w:rsid w:val="0026376A"/>
    <w:rsid w:val="0026377D"/>
    <w:rsid w:val="0026379D"/>
    <w:rsid w:val="00263B06"/>
    <w:rsid w:val="00263B31"/>
    <w:rsid w:val="00263CB6"/>
    <w:rsid w:val="00263D66"/>
    <w:rsid w:val="00263DF1"/>
    <w:rsid w:val="00263E60"/>
    <w:rsid w:val="00263EA4"/>
    <w:rsid w:val="00263EF7"/>
    <w:rsid w:val="00263F2F"/>
    <w:rsid w:val="00263FC4"/>
    <w:rsid w:val="002641CF"/>
    <w:rsid w:val="00264231"/>
    <w:rsid w:val="0026428A"/>
    <w:rsid w:val="002642FE"/>
    <w:rsid w:val="00264494"/>
    <w:rsid w:val="002644CF"/>
    <w:rsid w:val="00264600"/>
    <w:rsid w:val="0026461C"/>
    <w:rsid w:val="00264702"/>
    <w:rsid w:val="00264820"/>
    <w:rsid w:val="0026488B"/>
    <w:rsid w:val="00264893"/>
    <w:rsid w:val="00264AB9"/>
    <w:rsid w:val="00264AEF"/>
    <w:rsid w:val="00264B3F"/>
    <w:rsid w:val="00264B43"/>
    <w:rsid w:val="00264BAD"/>
    <w:rsid w:val="00264CF3"/>
    <w:rsid w:val="00264D0E"/>
    <w:rsid w:val="00264FEA"/>
    <w:rsid w:val="00265080"/>
    <w:rsid w:val="0026545C"/>
    <w:rsid w:val="002654FC"/>
    <w:rsid w:val="002655F4"/>
    <w:rsid w:val="00265603"/>
    <w:rsid w:val="0026576A"/>
    <w:rsid w:val="00265A63"/>
    <w:rsid w:val="00265AB6"/>
    <w:rsid w:val="00265B0A"/>
    <w:rsid w:val="00265CA0"/>
    <w:rsid w:val="00265CB6"/>
    <w:rsid w:val="00265E55"/>
    <w:rsid w:val="00265EBF"/>
    <w:rsid w:val="00265EC8"/>
    <w:rsid w:val="00265EE0"/>
    <w:rsid w:val="00265F2D"/>
    <w:rsid w:val="00266051"/>
    <w:rsid w:val="002661BA"/>
    <w:rsid w:val="00266243"/>
    <w:rsid w:val="002663A3"/>
    <w:rsid w:val="00266584"/>
    <w:rsid w:val="002665B0"/>
    <w:rsid w:val="002665E5"/>
    <w:rsid w:val="00266618"/>
    <w:rsid w:val="00266852"/>
    <w:rsid w:val="0026687E"/>
    <w:rsid w:val="00266922"/>
    <w:rsid w:val="00266A15"/>
    <w:rsid w:val="00267029"/>
    <w:rsid w:val="002670FA"/>
    <w:rsid w:val="002671ED"/>
    <w:rsid w:val="00267226"/>
    <w:rsid w:val="002672DE"/>
    <w:rsid w:val="00267379"/>
    <w:rsid w:val="00267413"/>
    <w:rsid w:val="00267443"/>
    <w:rsid w:val="0026748D"/>
    <w:rsid w:val="002674D5"/>
    <w:rsid w:val="002674F2"/>
    <w:rsid w:val="00267558"/>
    <w:rsid w:val="00267597"/>
    <w:rsid w:val="00267785"/>
    <w:rsid w:val="00267C82"/>
    <w:rsid w:val="00267D60"/>
    <w:rsid w:val="00267DCE"/>
    <w:rsid w:val="00270185"/>
    <w:rsid w:val="00270255"/>
    <w:rsid w:val="0027044F"/>
    <w:rsid w:val="002704D7"/>
    <w:rsid w:val="00270509"/>
    <w:rsid w:val="002705F1"/>
    <w:rsid w:val="002708A1"/>
    <w:rsid w:val="00270939"/>
    <w:rsid w:val="0027093E"/>
    <w:rsid w:val="00270BBD"/>
    <w:rsid w:val="00270BD9"/>
    <w:rsid w:val="00270C6D"/>
    <w:rsid w:val="00270C70"/>
    <w:rsid w:val="00270C79"/>
    <w:rsid w:val="00270D58"/>
    <w:rsid w:val="00270ED9"/>
    <w:rsid w:val="00271045"/>
    <w:rsid w:val="00271153"/>
    <w:rsid w:val="002711B2"/>
    <w:rsid w:val="00271235"/>
    <w:rsid w:val="0027125B"/>
    <w:rsid w:val="00271268"/>
    <w:rsid w:val="00271384"/>
    <w:rsid w:val="002715BA"/>
    <w:rsid w:val="00271685"/>
    <w:rsid w:val="002717B4"/>
    <w:rsid w:val="00271854"/>
    <w:rsid w:val="00271921"/>
    <w:rsid w:val="0027195C"/>
    <w:rsid w:val="002719A4"/>
    <w:rsid w:val="002719CF"/>
    <w:rsid w:val="00271A64"/>
    <w:rsid w:val="00271BFB"/>
    <w:rsid w:val="00271CA1"/>
    <w:rsid w:val="00271D2F"/>
    <w:rsid w:val="00271ECE"/>
    <w:rsid w:val="00271FCC"/>
    <w:rsid w:val="00272074"/>
    <w:rsid w:val="00272246"/>
    <w:rsid w:val="0027227A"/>
    <w:rsid w:val="0027235B"/>
    <w:rsid w:val="00272374"/>
    <w:rsid w:val="002724E3"/>
    <w:rsid w:val="0027252B"/>
    <w:rsid w:val="00272747"/>
    <w:rsid w:val="002727CE"/>
    <w:rsid w:val="002727EA"/>
    <w:rsid w:val="00272A4C"/>
    <w:rsid w:val="00272AB1"/>
    <w:rsid w:val="00272D43"/>
    <w:rsid w:val="00272D97"/>
    <w:rsid w:val="00272EF3"/>
    <w:rsid w:val="00272FD6"/>
    <w:rsid w:val="00273053"/>
    <w:rsid w:val="00273086"/>
    <w:rsid w:val="002730CE"/>
    <w:rsid w:val="00273180"/>
    <w:rsid w:val="002731B1"/>
    <w:rsid w:val="002733A6"/>
    <w:rsid w:val="002733F2"/>
    <w:rsid w:val="0027356B"/>
    <w:rsid w:val="002735BF"/>
    <w:rsid w:val="002736B4"/>
    <w:rsid w:val="0027378B"/>
    <w:rsid w:val="00273818"/>
    <w:rsid w:val="0027386C"/>
    <w:rsid w:val="0027392A"/>
    <w:rsid w:val="00273A18"/>
    <w:rsid w:val="00273C3B"/>
    <w:rsid w:val="00273C5B"/>
    <w:rsid w:val="00273CB3"/>
    <w:rsid w:val="00273DC0"/>
    <w:rsid w:val="00273DC9"/>
    <w:rsid w:val="00273DED"/>
    <w:rsid w:val="00273FD4"/>
    <w:rsid w:val="0027403B"/>
    <w:rsid w:val="002740FB"/>
    <w:rsid w:val="00274172"/>
    <w:rsid w:val="00274683"/>
    <w:rsid w:val="002746A2"/>
    <w:rsid w:val="00274808"/>
    <w:rsid w:val="0027487C"/>
    <w:rsid w:val="002748F3"/>
    <w:rsid w:val="00274A0A"/>
    <w:rsid w:val="00274CB7"/>
    <w:rsid w:val="00274CD0"/>
    <w:rsid w:val="00274D00"/>
    <w:rsid w:val="00274D89"/>
    <w:rsid w:val="00274E18"/>
    <w:rsid w:val="00274E7A"/>
    <w:rsid w:val="00274F18"/>
    <w:rsid w:val="00274FEF"/>
    <w:rsid w:val="00275064"/>
    <w:rsid w:val="00275121"/>
    <w:rsid w:val="00275140"/>
    <w:rsid w:val="00275267"/>
    <w:rsid w:val="0027526F"/>
    <w:rsid w:val="0027529B"/>
    <w:rsid w:val="002752D8"/>
    <w:rsid w:val="002752F6"/>
    <w:rsid w:val="00275428"/>
    <w:rsid w:val="00275501"/>
    <w:rsid w:val="0027552A"/>
    <w:rsid w:val="0027567E"/>
    <w:rsid w:val="00275943"/>
    <w:rsid w:val="00275973"/>
    <w:rsid w:val="00275BF9"/>
    <w:rsid w:val="00275C81"/>
    <w:rsid w:val="00275D50"/>
    <w:rsid w:val="00275E04"/>
    <w:rsid w:val="00275E93"/>
    <w:rsid w:val="00275FBB"/>
    <w:rsid w:val="00275FF1"/>
    <w:rsid w:val="00276089"/>
    <w:rsid w:val="002760A4"/>
    <w:rsid w:val="002760B0"/>
    <w:rsid w:val="0027614D"/>
    <w:rsid w:val="00276162"/>
    <w:rsid w:val="002766BD"/>
    <w:rsid w:val="002767D2"/>
    <w:rsid w:val="00276857"/>
    <w:rsid w:val="00276971"/>
    <w:rsid w:val="00276B32"/>
    <w:rsid w:val="00276FC4"/>
    <w:rsid w:val="00276FEF"/>
    <w:rsid w:val="0027700B"/>
    <w:rsid w:val="0027703A"/>
    <w:rsid w:val="002770DD"/>
    <w:rsid w:val="0027710E"/>
    <w:rsid w:val="00277156"/>
    <w:rsid w:val="00277182"/>
    <w:rsid w:val="00277193"/>
    <w:rsid w:val="002771A6"/>
    <w:rsid w:val="0027728A"/>
    <w:rsid w:val="00277300"/>
    <w:rsid w:val="00277331"/>
    <w:rsid w:val="00277351"/>
    <w:rsid w:val="00277546"/>
    <w:rsid w:val="00277550"/>
    <w:rsid w:val="00277586"/>
    <w:rsid w:val="002776F1"/>
    <w:rsid w:val="00277745"/>
    <w:rsid w:val="0027781B"/>
    <w:rsid w:val="0027795F"/>
    <w:rsid w:val="00277993"/>
    <w:rsid w:val="00277A17"/>
    <w:rsid w:val="00277A4C"/>
    <w:rsid w:val="00277B52"/>
    <w:rsid w:val="00277D2D"/>
    <w:rsid w:val="00277DAF"/>
    <w:rsid w:val="0027A769"/>
    <w:rsid w:val="0027F33D"/>
    <w:rsid w:val="0028010D"/>
    <w:rsid w:val="002801C0"/>
    <w:rsid w:val="00280214"/>
    <w:rsid w:val="00280269"/>
    <w:rsid w:val="00280273"/>
    <w:rsid w:val="002802D4"/>
    <w:rsid w:val="002802FB"/>
    <w:rsid w:val="002803EE"/>
    <w:rsid w:val="0028056E"/>
    <w:rsid w:val="00280AB5"/>
    <w:rsid w:val="00280BF1"/>
    <w:rsid w:val="00280CB2"/>
    <w:rsid w:val="00280E41"/>
    <w:rsid w:val="00280F49"/>
    <w:rsid w:val="00281084"/>
    <w:rsid w:val="002810E4"/>
    <w:rsid w:val="002810F5"/>
    <w:rsid w:val="0028113E"/>
    <w:rsid w:val="00281179"/>
    <w:rsid w:val="00281228"/>
    <w:rsid w:val="0028125A"/>
    <w:rsid w:val="0028129B"/>
    <w:rsid w:val="002812A5"/>
    <w:rsid w:val="00281369"/>
    <w:rsid w:val="00281661"/>
    <w:rsid w:val="00281733"/>
    <w:rsid w:val="002817F8"/>
    <w:rsid w:val="00281AFB"/>
    <w:rsid w:val="00281BE4"/>
    <w:rsid w:val="00281C7F"/>
    <w:rsid w:val="00281D77"/>
    <w:rsid w:val="00281D83"/>
    <w:rsid w:val="0028214F"/>
    <w:rsid w:val="0028234A"/>
    <w:rsid w:val="002823F8"/>
    <w:rsid w:val="00282474"/>
    <w:rsid w:val="002824C2"/>
    <w:rsid w:val="002825C5"/>
    <w:rsid w:val="002826AD"/>
    <w:rsid w:val="0028276D"/>
    <w:rsid w:val="00282882"/>
    <w:rsid w:val="002828BC"/>
    <w:rsid w:val="00282A37"/>
    <w:rsid w:val="00282A3F"/>
    <w:rsid w:val="00282A7F"/>
    <w:rsid w:val="00282D33"/>
    <w:rsid w:val="00282D57"/>
    <w:rsid w:val="002830B4"/>
    <w:rsid w:val="002831B1"/>
    <w:rsid w:val="002832B2"/>
    <w:rsid w:val="002834D0"/>
    <w:rsid w:val="002834DD"/>
    <w:rsid w:val="00283591"/>
    <w:rsid w:val="002836FF"/>
    <w:rsid w:val="00283730"/>
    <w:rsid w:val="002837BF"/>
    <w:rsid w:val="0028381F"/>
    <w:rsid w:val="00283833"/>
    <w:rsid w:val="0028390C"/>
    <w:rsid w:val="00283945"/>
    <w:rsid w:val="00283AA7"/>
    <w:rsid w:val="00283B85"/>
    <w:rsid w:val="00283C20"/>
    <w:rsid w:val="00283CF3"/>
    <w:rsid w:val="00283DBD"/>
    <w:rsid w:val="00283F66"/>
    <w:rsid w:val="00284068"/>
    <w:rsid w:val="002840BE"/>
    <w:rsid w:val="002840FD"/>
    <w:rsid w:val="002841EE"/>
    <w:rsid w:val="002841F2"/>
    <w:rsid w:val="0028445C"/>
    <w:rsid w:val="002845C6"/>
    <w:rsid w:val="002846B7"/>
    <w:rsid w:val="00284717"/>
    <w:rsid w:val="00284920"/>
    <w:rsid w:val="00284B78"/>
    <w:rsid w:val="00284BD6"/>
    <w:rsid w:val="00284E30"/>
    <w:rsid w:val="00285023"/>
    <w:rsid w:val="0028521D"/>
    <w:rsid w:val="002852BE"/>
    <w:rsid w:val="0028539E"/>
    <w:rsid w:val="002853EF"/>
    <w:rsid w:val="00285415"/>
    <w:rsid w:val="002854DC"/>
    <w:rsid w:val="002856DB"/>
    <w:rsid w:val="00285736"/>
    <w:rsid w:val="00285838"/>
    <w:rsid w:val="0028589D"/>
    <w:rsid w:val="00285942"/>
    <w:rsid w:val="00285A0A"/>
    <w:rsid w:val="00285B01"/>
    <w:rsid w:val="00285BBA"/>
    <w:rsid w:val="00285E44"/>
    <w:rsid w:val="00285E56"/>
    <w:rsid w:val="0028614D"/>
    <w:rsid w:val="00286168"/>
    <w:rsid w:val="00286194"/>
    <w:rsid w:val="002861F8"/>
    <w:rsid w:val="00286441"/>
    <w:rsid w:val="0028649F"/>
    <w:rsid w:val="00286540"/>
    <w:rsid w:val="002866BA"/>
    <w:rsid w:val="0028672F"/>
    <w:rsid w:val="0028676F"/>
    <w:rsid w:val="002868A4"/>
    <w:rsid w:val="00286A3E"/>
    <w:rsid w:val="00286B22"/>
    <w:rsid w:val="00286B43"/>
    <w:rsid w:val="00286B76"/>
    <w:rsid w:val="00286CB7"/>
    <w:rsid w:val="00286CC3"/>
    <w:rsid w:val="00286D39"/>
    <w:rsid w:val="00286D68"/>
    <w:rsid w:val="00286F9A"/>
    <w:rsid w:val="00287074"/>
    <w:rsid w:val="00287100"/>
    <w:rsid w:val="002871CA"/>
    <w:rsid w:val="00287219"/>
    <w:rsid w:val="00287248"/>
    <w:rsid w:val="00287307"/>
    <w:rsid w:val="00287315"/>
    <w:rsid w:val="00287326"/>
    <w:rsid w:val="0028733C"/>
    <w:rsid w:val="002873BB"/>
    <w:rsid w:val="002873FB"/>
    <w:rsid w:val="002874A5"/>
    <w:rsid w:val="0028786B"/>
    <w:rsid w:val="00287B72"/>
    <w:rsid w:val="00287B8B"/>
    <w:rsid w:val="00287C4F"/>
    <w:rsid w:val="00287D32"/>
    <w:rsid w:val="00287DE1"/>
    <w:rsid w:val="00287E2A"/>
    <w:rsid w:val="00287ECA"/>
    <w:rsid w:val="00287EF1"/>
    <w:rsid w:val="00287F08"/>
    <w:rsid w:val="00287FD0"/>
    <w:rsid w:val="00290026"/>
    <w:rsid w:val="002901C3"/>
    <w:rsid w:val="0029027E"/>
    <w:rsid w:val="00290392"/>
    <w:rsid w:val="0029064B"/>
    <w:rsid w:val="00290697"/>
    <w:rsid w:val="002906F8"/>
    <w:rsid w:val="00290964"/>
    <w:rsid w:val="00290A64"/>
    <w:rsid w:val="00290A66"/>
    <w:rsid w:val="00290A8D"/>
    <w:rsid w:val="00290B26"/>
    <w:rsid w:val="00290E2B"/>
    <w:rsid w:val="00290F70"/>
    <w:rsid w:val="00290FB4"/>
    <w:rsid w:val="002910C9"/>
    <w:rsid w:val="00291139"/>
    <w:rsid w:val="00291262"/>
    <w:rsid w:val="002912A4"/>
    <w:rsid w:val="002913FF"/>
    <w:rsid w:val="002914A3"/>
    <w:rsid w:val="00291587"/>
    <w:rsid w:val="002915C1"/>
    <w:rsid w:val="002916A3"/>
    <w:rsid w:val="002916B4"/>
    <w:rsid w:val="00291804"/>
    <w:rsid w:val="00291902"/>
    <w:rsid w:val="00291972"/>
    <w:rsid w:val="002919DD"/>
    <w:rsid w:val="00291AC7"/>
    <w:rsid w:val="00291CB5"/>
    <w:rsid w:val="00291D61"/>
    <w:rsid w:val="00291E52"/>
    <w:rsid w:val="00291EF5"/>
    <w:rsid w:val="00291F03"/>
    <w:rsid w:val="0029212A"/>
    <w:rsid w:val="0029218B"/>
    <w:rsid w:val="00292238"/>
    <w:rsid w:val="002922A5"/>
    <w:rsid w:val="002922B1"/>
    <w:rsid w:val="002923CF"/>
    <w:rsid w:val="00292434"/>
    <w:rsid w:val="00292476"/>
    <w:rsid w:val="002924D4"/>
    <w:rsid w:val="002925B3"/>
    <w:rsid w:val="002925EF"/>
    <w:rsid w:val="00292757"/>
    <w:rsid w:val="00292764"/>
    <w:rsid w:val="002927D7"/>
    <w:rsid w:val="002928E2"/>
    <w:rsid w:val="0029290B"/>
    <w:rsid w:val="002929DB"/>
    <w:rsid w:val="002929EF"/>
    <w:rsid w:val="00292A38"/>
    <w:rsid w:val="00292A71"/>
    <w:rsid w:val="00292B13"/>
    <w:rsid w:val="00292B3D"/>
    <w:rsid w:val="00292D5D"/>
    <w:rsid w:val="00292DF8"/>
    <w:rsid w:val="00292EF8"/>
    <w:rsid w:val="00292F56"/>
    <w:rsid w:val="00293025"/>
    <w:rsid w:val="00293149"/>
    <w:rsid w:val="00293197"/>
    <w:rsid w:val="0029325F"/>
    <w:rsid w:val="002932CF"/>
    <w:rsid w:val="00293474"/>
    <w:rsid w:val="0029364B"/>
    <w:rsid w:val="0029381E"/>
    <w:rsid w:val="002938A1"/>
    <w:rsid w:val="00293C86"/>
    <w:rsid w:val="00293D19"/>
    <w:rsid w:val="00293DE5"/>
    <w:rsid w:val="00293F7E"/>
    <w:rsid w:val="00294090"/>
    <w:rsid w:val="00294147"/>
    <w:rsid w:val="00294308"/>
    <w:rsid w:val="00294506"/>
    <w:rsid w:val="002945E6"/>
    <w:rsid w:val="00294660"/>
    <w:rsid w:val="0029482E"/>
    <w:rsid w:val="002948D9"/>
    <w:rsid w:val="0029498C"/>
    <w:rsid w:val="00294A71"/>
    <w:rsid w:val="00294B2D"/>
    <w:rsid w:val="00294C54"/>
    <w:rsid w:val="00294D19"/>
    <w:rsid w:val="00294E41"/>
    <w:rsid w:val="00294E89"/>
    <w:rsid w:val="00294EF4"/>
    <w:rsid w:val="00294F17"/>
    <w:rsid w:val="00294FAC"/>
    <w:rsid w:val="002950B4"/>
    <w:rsid w:val="002950CF"/>
    <w:rsid w:val="00295164"/>
    <w:rsid w:val="00295212"/>
    <w:rsid w:val="00295291"/>
    <w:rsid w:val="002952D7"/>
    <w:rsid w:val="002952F7"/>
    <w:rsid w:val="002952F9"/>
    <w:rsid w:val="0029530C"/>
    <w:rsid w:val="002953B2"/>
    <w:rsid w:val="002953C2"/>
    <w:rsid w:val="0029547B"/>
    <w:rsid w:val="002954E9"/>
    <w:rsid w:val="00295818"/>
    <w:rsid w:val="0029581F"/>
    <w:rsid w:val="0029592A"/>
    <w:rsid w:val="00295A1D"/>
    <w:rsid w:val="00295A72"/>
    <w:rsid w:val="00295C43"/>
    <w:rsid w:val="00295E8B"/>
    <w:rsid w:val="00295EEF"/>
    <w:rsid w:val="00295FD0"/>
    <w:rsid w:val="002960EB"/>
    <w:rsid w:val="0029615A"/>
    <w:rsid w:val="0029617E"/>
    <w:rsid w:val="00296255"/>
    <w:rsid w:val="0029627C"/>
    <w:rsid w:val="0029631A"/>
    <w:rsid w:val="002963FC"/>
    <w:rsid w:val="00296421"/>
    <w:rsid w:val="00296485"/>
    <w:rsid w:val="002964E3"/>
    <w:rsid w:val="002964FF"/>
    <w:rsid w:val="00296532"/>
    <w:rsid w:val="00296611"/>
    <w:rsid w:val="0029668B"/>
    <w:rsid w:val="00296799"/>
    <w:rsid w:val="002968D2"/>
    <w:rsid w:val="00296995"/>
    <w:rsid w:val="00296AF6"/>
    <w:rsid w:val="00296BC3"/>
    <w:rsid w:val="00296BF2"/>
    <w:rsid w:val="00296C42"/>
    <w:rsid w:val="00296CCE"/>
    <w:rsid w:val="00296D40"/>
    <w:rsid w:val="00296DA6"/>
    <w:rsid w:val="00296EA3"/>
    <w:rsid w:val="00296EAD"/>
    <w:rsid w:val="00296F5E"/>
    <w:rsid w:val="00296FBE"/>
    <w:rsid w:val="00296FE8"/>
    <w:rsid w:val="0029702C"/>
    <w:rsid w:val="00297102"/>
    <w:rsid w:val="0029712C"/>
    <w:rsid w:val="00297171"/>
    <w:rsid w:val="00297222"/>
    <w:rsid w:val="00297272"/>
    <w:rsid w:val="002972DF"/>
    <w:rsid w:val="002975A4"/>
    <w:rsid w:val="002975FE"/>
    <w:rsid w:val="002976EE"/>
    <w:rsid w:val="00297892"/>
    <w:rsid w:val="00297BF2"/>
    <w:rsid w:val="00297D93"/>
    <w:rsid w:val="00297DA1"/>
    <w:rsid w:val="00297E21"/>
    <w:rsid w:val="00297E5E"/>
    <w:rsid w:val="00297EE8"/>
    <w:rsid w:val="002A0000"/>
    <w:rsid w:val="002A0011"/>
    <w:rsid w:val="002A00D2"/>
    <w:rsid w:val="002A011E"/>
    <w:rsid w:val="002A02DE"/>
    <w:rsid w:val="002A04C5"/>
    <w:rsid w:val="002A054F"/>
    <w:rsid w:val="002A0598"/>
    <w:rsid w:val="002A05BC"/>
    <w:rsid w:val="002A071A"/>
    <w:rsid w:val="002A0745"/>
    <w:rsid w:val="002A0748"/>
    <w:rsid w:val="002A090F"/>
    <w:rsid w:val="002A0957"/>
    <w:rsid w:val="002A097C"/>
    <w:rsid w:val="002A0A1E"/>
    <w:rsid w:val="002A0C08"/>
    <w:rsid w:val="002A0D4E"/>
    <w:rsid w:val="002A0E1C"/>
    <w:rsid w:val="002A0E93"/>
    <w:rsid w:val="002A0F29"/>
    <w:rsid w:val="002A1087"/>
    <w:rsid w:val="002A10C2"/>
    <w:rsid w:val="002A114A"/>
    <w:rsid w:val="002A11B7"/>
    <w:rsid w:val="002A127E"/>
    <w:rsid w:val="002A12C4"/>
    <w:rsid w:val="002A1346"/>
    <w:rsid w:val="002A1625"/>
    <w:rsid w:val="002A16CD"/>
    <w:rsid w:val="002A175F"/>
    <w:rsid w:val="002A1807"/>
    <w:rsid w:val="002A18B0"/>
    <w:rsid w:val="002A18FB"/>
    <w:rsid w:val="002A195C"/>
    <w:rsid w:val="002A1B22"/>
    <w:rsid w:val="002A1C18"/>
    <w:rsid w:val="002A1CB4"/>
    <w:rsid w:val="002A1CF3"/>
    <w:rsid w:val="002A1D73"/>
    <w:rsid w:val="002A1E02"/>
    <w:rsid w:val="002A1E7D"/>
    <w:rsid w:val="002A1FC3"/>
    <w:rsid w:val="002A20BF"/>
    <w:rsid w:val="002A22EA"/>
    <w:rsid w:val="002A2707"/>
    <w:rsid w:val="002A2986"/>
    <w:rsid w:val="002A2A40"/>
    <w:rsid w:val="002A2B8D"/>
    <w:rsid w:val="002A2B99"/>
    <w:rsid w:val="002A2ECA"/>
    <w:rsid w:val="002A2F03"/>
    <w:rsid w:val="002A2F32"/>
    <w:rsid w:val="002A2F5B"/>
    <w:rsid w:val="002A30E0"/>
    <w:rsid w:val="002A32C8"/>
    <w:rsid w:val="002A33FA"/>
    <w:rsid w:val="002A343E"/>
    <w:rsid w:val="002A34DC"/>
    <w:rsid w:val="002A35AB"/>
    <w:rsid w:val="002A365A"/>
    <w:rsid w:val="002A383C"/>
    <w:rsid w:val="002A3BA8"/>
    <w:rsid w:val="002A3DAD"/>
    <w:rsid w:val="002A3DE1"/>
    <w:rsid w:val="002A3E7F"/>
    <w:rsid w:val="002A3F2D"/>
    <w:rsid w:val="002A3F8D"/>
    <w:rsid w:val="002A405C"/>
    <w:rsid w:val="002A4066"/>
    <w:rsid w:val="002A4091"/>
    <w:rsid w:val="002A40DC"/>
    <w:rsid w:val="002A429C"/>
    <w:rsid w:val="002A437B"/>
    <w:rsid w:val="002A4381"/>
    <w:rsid w:val="002A4386"/>
    <w:rsid w:val="002A44DD"/>
    <w:rsid w:val="002A4618"/>
    <w:rsid w:val="002A4804"/>
    <w:rsid w:val="002A49C6"/>
    <w:rsid w:val="002A4A5A"/>
    <w:rsid w:val="002A4A9C"/>
    <w:rsid w:val="002A4AD0"/>
    <w:rsid w:val="002A4B06"/>
    <w:rsid w:val="002A4B12"/>
    <w:rsid w:val="002A4B38"/>
    <w:rsid w:val="002A4B9D"/>
    <w:rsid w:val="002A4D51"/>
    <w:rsid w:val="002A4D6C"/>
    <w:rsid w:val="002A4E4E"/>
    <w:rsid w:val="002A4EC0"/>
    <w:rsid w:val="002A4F5C"/>
    <w:rsid w:val="002A4FFE"/>
    <w:rsid w:val="002A5095"/>
    <w:rsid w:val="002A51DE"/>
    <w:rsid w:val="002A5432"/>
    <w:rsid w:val="002A552E"/>
    <w:rsid w:val="002A55C3"/>
    <w:rsid w:val="002A563D"/>
    <w:rsid w:val="002A56B7"/>
    <w:rsid w:val="002A5757"/>
    <w:rsid w:val="002A5786"/>
    <w:rsid w:val="002A58B1"/>
    <w:rsid w:val="002A5A8E"/>
    <w:rsid w:val="002A5AD6"/>
    <w:rsid w:val="002A5B53"/>
    <w:rsid w:val="002A5EC3"/>
    <w:rsid w:val="002A5F27"/>
    <w:rsid w:val="002A6032"/>
    <w:rsid w:val="002A61BB"/>
    <w:rsid w:val="002A6241"/>
    <w:rsid w:val="002A64D8"/>
    <w:rsid w:val="002A655D"/>
    <w:rsid w:val="002A6651"/>
    <w:rsid w:val="002A6702"/>
    <w:rsid w:val="002A6747"/>
    <w:rsid w:val="002A6754"/>
    <w:rsid w:val="002A67B7"/>
    <w:rsid w:val="002A67F2"/>
    <w:rsid w:val="002A6964"/>
    <w:rsid w:val="002A6A67"/>
    <w:rsid w:val="002A6A6F"/>
    <w:rsid w:val="002A6B1E"/>
    <w:rsid w:val="002A6B67"/>
    <w:rsid w:val="002A6BF7"/>
    <w:rsid w:val="002A6C65"/>
    <w:rsid w:val="002A6CD9"/>
    <w:rsid w:val="002A6DA6"/>
    <w:rsid w:val="002A6E60"/>
    <w:rsid w:val="002A6F46"/>
    <w:rsid w:val="002A6FEB"/>
    <w:rsid w:val="002A70A4"/>
    <w:rsid w:val="002A70E4"/>
    <w:rsid w:val="002A711F"/>
    <w:rsid w:val="002A71A7"/>
    <w:rsid w:val="002A73CE"/>
    <w:rsid w:val="002A7400"/>
    <w:rsid w:val="002A75BB"/>
    <w:rsid w:val="002A7606"/>
    <w:rsid w:val="002A7733"/>
    <w:rsid w:val="002A7799"/>
    <w:rsid w:val="002A77BD"/>
    <w:rsid w:val="002A78D3"/>
    <w:rsid w:val="002A7937"/>
    <w:rsid w:val="002A797A"/>
    <w:rsid w:val="002A7AA3"/>
    <w:rsid w:val="002A7B52"/>
    <w:rsid w:val="002A7E1D"/>
    <w:rsid w:val="002A7E86"/>
    <w:rsid w:val="002A7F5F"/>
    <w:rsid w:val="002A7F87"/>
    <w:rsid w:val="002B0050"/>
    <w:rsid w:val="002B047B"/>
    <w:rsid w:val="002B04FB"/>
    <w:rsid w:val="002B0553"/>
    <w:rsid w:val="002B0584"/>
    <w:rsid w:val="002B06A8"/>
    <w:rsid w:val="002B07C0"/>
    <w:rsid w:val="002B08B6"/>
    <w:rsid w:val="002B08F0"/>
    <w:rsid w:val="002B08F8"/>
    <w:rsid w:val="002B0DB8"/>
    <w:rsid w:val="002B0E35"/>
    <w:rsid w:val="002B0EBB"/>
    <w:rsid w:val="002B0FBE"/>
    <w:rsid w:val="002B103A"/>
    <w:rsid w:val="002B1046"/>
    <w:rsid w:val="002B1080"/>
    <w:rsid w:val="002B133C"/>
    <w:rsid w:val="002B14E5"/>
    <w:rsid w:val="002B1577"/>
    <w:rsid w:val="002B17BD"/>
    <w:rsid w:val="002B17FB"/>
    <w:rsid w:val="002B18E4"/>
    <w:rsid w:val="002B1A17"/>
    <w:rsid w:val="002B1D71"/>
    <w:rsid w:val="002B1DB7"/>
    <w:rsid w:val="002B1F71"/>
    <w:rsid w:val="002B1FE8"/>
    <w:rsid w:val="002B2038"/>
    <w:rsid w:val="002B21AF"/>
    <w:rsid w:val="002B22C1"/>
    <w:rsid w:val="002B22F8"/>
    <w:rsid w:val="002B2305"/>
    <w:rsid w:val="002B2311"/>
    <w:rsid w:val="002B23DF"/>
    <w:rsid w:val="002B2413"/>
    <w:rsid w:val="002B2486"/>
    <w:rsid w:val="002B24B6"/>
    <w:rsid w:val="002B2521"/>
    <w:rsid w:val="002B2622"/>
    <w:rsid w:val="002B2668"/>
    <w:rsid w:val="002B2721"/>
    <w:rsid w:val="002B27B3"/>
    <w:rsid w:val="002B2835"/>
    <w:rsid w:val="002B283F"/>
    <w:rsid w:val="002B288F"/>
    <w:rsid w:val="002B28BF"/>
    <w:rsid w:val="002B2985"/>
    <w:rsid w:val="002B2B19"/>
    <w:rsid w:val="002B2B55"/>
    <w:rsid w:val="002B2B99"/>
    <w:rsid w:val="002B2CC7"/>
    <w:rsid w:val="002B2D7B"/>
    <w:rsid w:val="002B321C"/>
    <w:rsid w:val="002B3240"/>
    <w:rsid w:val="002B3668"/>
    <w:rsid w:val="002B3829"/>
    <w:rsid w:val="002B392E"/>
    <w:rsid w:val="002B3979"/>
    <w:rsid w:val="002B3AEF"/>
    <w:rsid w:val="002B3DD9"/>
    <w:rsid w:val="002B3DF7"/>
    <w:rsid w:val="002B3EAD"/>
    <w:rsid w:val="002B3EDA"/>
    <w:rsid w:val="002B3F3E"/>
    <w:rsid w:val="002B3F56"/>
    <w:rsid w:val="002B40E1"/>
    <w:rsid w:val="002B4150"/>
    <w:rsid w:val="002B416C"/>
    <w:rsid w:val="002B4201"/>
    <w:rsid w:val="002B4605"/>
    <w:rsid w:val="002B47EC"/>
    <w:rsid w:val="002B4926"/>
    <w:rsid w:val="002B494E"/>
    <w:rsid w:val="002B497A"/>
    <w:rsid w:val="002B49E9"/>
    <w:rsid w:val="002B4A0B"/>
    <w:rsid w:val="002B4A12"/>
    <w:rsid w:val="002B4BF7"/>
    <w:rsid w:val="002B4C4D"/>
    <w:rsid w:val="002B4C5D"/>
    <w:rsid w:val="002B4CEE"/>
    <w:rsid w:val="002B4D2B"/>
    <w:rsid w:val="002B4E30"/>
    <w:rsid w:val="002B500A"/>
    <w:rsid w:val="002B504A"/>
    <w:rsid w:val="002B5069"/>
    <w:rsid w:val="002B5362"/>
    <w:rsid w:val="002B539B"/>
    <w:rsid w:val="002B53DC"/>
    <w:rsid w:val="002B5566"/>
    <w:rsid w:val="002B560F"/>
    <w:rsid w:val="002B563D"/>
    <w:rsid w:val="002B56B9"/>
    <w:rsid w:val="002B5827"/>
    <w:rsid w:val="002B58C0"/>
    <w:rsid w:val="002B58F6"/>
    <w:rsid w:val="002B59C4"/>
    <w:rsid w:val="002B5B46"/>
    <w:rsid w:val="002B5CAC"/>
    <w:rsid w:val="002B5D3A"/>
    <w:rsid w:val="002B5D68"/>
    <w:rsid w:val="002B5ECA"/>
    <w:rsid w:val="002B5ED5"/>
    <w:rsid w:val="002B5F50"/>
    <w:rsid w:val="002B5F78"/>
    <w:rsid w:val="002B5F8E"/>
    <w:rsid w:val="002B6007"/>
    <w:rsid w:val="002B605D"/>
    <w:rsid w:val="002B6066"/>
    <w:rsid w:val="002B617D"/>
    <w:rsid w:val="002B6526"/>
    <w:rsid w:val="002B658A"/>
    <w:rsid w:val="002B66C0"/>
    <w:rsid w:val="002B6727"/>
    <w:rsid w:val="002B6761"/>
    <w:rsid w:val="002B6835"/>
    <w:rsid w:val="002B68AE"/>
    <w:rsid w:val="002B6954"/>
    <w:rsid w:val="002B6A2B"/>
    <w:rsid w:val="002B6AE5"/>
    <w:rsid w:val="002B6B43"/>
    <w:rsid w:val="002B6C52"/>
    <w:rsid w:val="002B6C70"/>
    <w:rsid w:val="002B6F29"/>
    <w:rsid w:val="002B6FFE"/>
    <w:rsid w:val="002B7000"/>
    <w:rsid w:val="002B70C9"/>
    <w:rsid w:val="002B711F"/>
    <w:rsid w:val="002B715C"/>
    <w:rsid w:val="002B733B"/>
    <w:rsid w:val="002B73B1"/>
    <w:rsid w:val="002B7440"/>
    <w:rsid w:val="002B7538"/>
    <w:rsid w:val="002B75D8"/>
    <w:rsid w:val="002B764A"/>
    <w:rsid w:val="002B765C"/>
    <w:rsid w:val="002B78F7"/>
    <w:rsid w:val="002B7AD1"/>
    <w:rsid w:val="002B7AE1"/>
    <w:rsid w:val="002B7B60"/>
    <w:rsid w:val="002B7BB6"/>
    <w:rsid w:val="002B7F0D"/>
    <w:rsid w:val="002B7F38"/>
    <w:rsid w:val="002B7FA0"/>
    <w:rsid w:val="002C001E"/>
    <w:rsid w:val="002C0065"/>
    <w:rsid w:val="002C020B"/>
    <w:rsid w:val="002C0247"/>
    <w:rsid w:val="002C04BE"/>
    <w:rsid w:val="002C04D9"/>
    <w:rsid w:val="002C05FF"/>
    <w:rsid w:val="002C078E"/>
    <w:rsid w:val="002C0A29"/>
    <w:rsid w:val="002C0AB1"/>
    <w:rsid w:val="002C0B3E"/>
    <w:rsid w:val="002C0D5B"/>
    <w:rsid w:val="002C0D8C"/>
    <w:rsid w:val="002C0E69"/>
    <w:rsid w:val="002C103D"/>
    <w:rsid w:val="002C10E5"/>
    <w:rsid w:val="002C1133"/>
    <w:rsid w:val="002C1358"/>
    <w:rsid w:val="002C13BB"/>
    <w:rsid w:val="002C13F7"/>
    <w:rsid w:val="002C1460"/>
    <w:rsid w:val="002C146C"/>
    <w:rsid w:val="002C1553"/>
    <w:rsid w:val="002C15DB"/>
    <w:rsid w:val="002C17CE"/>
    <w:rsid w:val="002C1860"/>
    <w:rsid w:val="002C18B3"/>
    <w:rsid w:val="002C19C1"/>
    <w:rsid w:val="002C1A56"/>
    <w:rsid w:val="002C1E76"/>
    <w:rsid w:val="002C1FAF"/>
    <w:rsid w:val="002C1FBA"/>
    <w:rsid w:val="002C201A"/>
    <w:rsid w:val="002C20B0"/>
    <w:rsid w:val="002C20DB"/>
    <w:rsid w:val="002C24B0"/>
    <w:rsid w:val="002C25B8"/>
    <w:rsid w:val="002C286F"/>
    <w:rsid w:val="002C291B"/>
    <w:rsid w:val="002C294E"/>
    <w:rsid w:val="002C29BF"/>
    <w:rsid w:val="002C2BCC"/>
    <w:rsid w:val="002C2C79"/>
    <w:rsid w:val="002C2E42"/>
    <w:rsid w:val="002C2E52"/>
    <w:rsid w:val="002C2E53"/>
    <w:rsid w:val="002C3025"/>
    <w:rsid w:val="002C3267"/>
    <w:rsid w:val="002C3399"/>
    <w:rsid w:val="002C33D6"/>
    <w:rsid w:val="002C33D8"/>
    <w:rsid w:val="002C340B"/>
    <w:rsid w:val="002C3675"/>
    <w:rsid w:val="002C390D"/>
    <w:rsid w:val="002C39E1"/>
    <w:rsid w:val="002C39F3"/>
    <w:rsid w:val="002C3A91"/>
    <w:rsid w:val="002C3AD3"/>
    <w:rsid w:val="002C3B82"/>
    <w:rsid w:val="002C3E39"/>
    <w:rsid w:val="002C3E3E"/>
    <w:rsid w:val="002C3EFF"/>
    <w:rsid w:val="002C40A1"/>
    <w:rsid w:val="002C435E"/>
    <w:rsid w:val="002C4427"/>
    <w:rsid w:val="002C448D"/>
    <w:rsid w:val="002C44A2"/>
    <w:rsid w:val="002C44E1"/>
    <w:rsid w:val="002C45E8"/>
    <w:rsid w:val="002C46C6"/>
    <w:rsid w:val="002C46DB"/>
    <w:rsid w:val="002C4845"/>
    <w:rsid w:val="002C4885"/>
    <w:rsid w:val="002C489A"/>
    <w:rsid w:val="002C4BAF"/>
    <w:rsid w:val="002C4BEE"/>
    <w:rsid w:val="002C4E6B"/>
    <w:rsid w:val="002C4EC3"/>
    <w:rsid w:val="002C4F45"/>
    <w:rsid w:val="002C4F46"/>
    <w:rsid w:val="002C500C"/>
    <w:rsid w:val="002C50D3"/>
    <w:rsid w:val="002C5102"/>
    <w:rsid w:val="002C5262"/>
    <w:rsid w:val="002C54A0"/>
    <w:rsid w:val="002C54AF"/>
    <w:rsid w:val="002C554F"/>
    <w:rsid w:val="002C55D8"/>
    <w:rsid w:val="002C56DC"/>
    <w:rsid w:val="002C57B0"/>
    <w:rsid w:val="002C590E"/>
    <w:rsid w:val="002C5B40"/>
    <w:rsid w:val="002C5B74"/>
    <w:rsid w:val="002C5CE6"/>
    <w:rsid w:val="002C5D66"/>
    <w:rsid w:val="002C5E5F"/>
    <w:rsid w:val="002C5E80"/>
    <w:rsid w:val="002C5EF2"/>
    <w:rsid w:val="002C5F12"/>
    <w:rsid w:val="002C5FFF"/>
    <w:rsid w:val="002C6194"/>
    <w:rsid w:val="002C643F"/>
    <w:rsid w:val="002C6499"/>
    <w:rsid w:val="002C65AF"/>
    <w:rsid w:val="002C661F"/>
    <w:rsid w:val="002C663D"/>
    <w:rsid w:val="002C6667"/>
    <w:rsid w:val="002C66C4"/>
    <w:rsid w:val="002C66CE"/>
    <w:rsid w:val="002C6797"/>
    <w:rsid w:val="002C6868"/>
    <w:rsid w:val="002C6B48"/>
    <w:rsid w:val="002C6B94"/>
    <w:rsid w:val="002C6BEF"/>
    <w:rsid w:val="002C6C81"/>
    <w:rsid w:val="002C6C92"/>
    <w:rsid w:val="002C6E70"/>
    <w:rsid w:val="002C6ED2"/>
    <w:rsid w:val="002C7020"/>
    <w:rsid w:val="002C7294"/>
    <w:rsid w:val="002C7328"/>
    <w:rsid w:val="002C7427"/>
    <w:rsid w:val="002C74CD"/>
    <w:rsid w:val="002C750C"/>
    <w:rsid w:val="002C7967"/>
    <w:rsid w:val="002C7C85"/>
    <w:rsid w:val="002C7CB7"/>
    <w:rsid w:val="002C7D46"/>
    <w:rsid w:val="002C7F6C"/>
    <w:rsid w:val="002C7FAF"/>
    <w:rsid w:val="002C7FF3"/>
    <w:rsid w:val="002D009B"/>
    <w:rsid w:val="002D0202"/>
    <w:rsid w:val="002D0305"/>
    <w:rsid w:val="002D04C3"/>
    <w:rsid w:val="002D04C5"/>
    <w:rsid w:val="002D05BA"/>
    <w:rsid w:val="002D06F3"/>
    <w:rsid w:val="002D073A"/>
    <w:rsid w:val="002D0749"/>
    <w:rsid w:val="002D07A1"/>
    <w:rsid w:val="002D08D9"/>
    <w:rsid w:val="002D08E0"/>
    <w:rsid w:val="002D0904"/>
    <w:rsid w:val="002D099D"/>
    <w:rsid w:val="002D0B7F"/>
    <w:rsid w:val="002D0BE1"/>
    <w:rsid w:val="002D0C39"/>
    <w:rsid w:val="002D0C6A"/>
    <w:rsid w:val="002D0CCD"/>
    <w:rsid w:val="002D0CEC"/>
    <w:rsid w:val="002D0DB8"/>
    <w:rsid w:val="002D0E7D"/>
    <w:rsid w:val="002D0F17"/>
    <w:rsid w:val="002D1271"/>
    <w:rsid w:val="002D137E"/>
    <w:rsid w:val="002D1673"/>
    <w:rsid w:val="002D1674"/>
    <w:rsid w:val="002D1781"/>
    <w:rsid w:val="002D1820"/>
    <w:rsid w:val="002D1851"/>
    <w:rsid w:val="002D18A8"/>
    <w:rsid w:val="002D1915"/>
    <w:rsid w:val="002D1A0A"/>
    <w:rsid w:val="002D1A16"/>
    <w:rsid w:val="002D1D25"/>
    <w:rsid w:val="002D1EFC"/>
    <w:rsid w:val="002D1F40"/>
    <w:rsid w:val="002D1FA2"/>
    <w:rsid w:val="002D1FBB"/>
    <w:rsid w:val="002D2058"/>
    <w:rsid w:val="002D220B"/>
    <w:rsid w:val="002D2242"/>
    <w:rsid w:val="002D23BC"/>
    <w:rsid w:val="002D26E8"/>
    <w:rsid w:val="002D2759"/>
    <w:rsid w:val="002D28E7"/>
    <w:rsid w:val="002D2923"/>
    <w:rsid w:val="002D2967"/>
    <w:rsid w:val="002D2A70"/>
    <w:rsid w:val="002D2B79"/>
    <w:rsid w:val="002D2C0D"/>
    <w:rsid w:val="002D2C28"/>
    <w:rsid w:val="002D2C5C"/>
    <w:rsid w:val="002D2DAD"/>
    <w:rsid w:val="002D2DE6"/>
    <w:rsid w:val="002D2E55"/>
    <w:rsid w:val="002D2EDD"/>
    <w:rsid w:val="002D2F70"/>
    <w:rsid w:val="002D2FB4"/>
    <w:rsid w:val="002D3031"/>
    <w:rsid w:val="002D318B"/>
    <w:rsid w:val="002D34FB"/>
    <w:rsid w:val="002D3606"/>
    <w:rsid w:val="002D3707"/>
    <w:rsid w:val="002D3797"/>
    <w:rsid w:val="002D386C"/>
    <w:rsid w:val="002D394D"/>
    <w:rsid w:val="002D39FB"/>
    <w:rsid w:val="002D3A18"/>
    <w:rsid w:val="002D3A2F"/>
    <w:rsid w:val="002D3A6A"/>
    <w:rsid w:val="002D3AE6"/>
    <w:rsid w:val="002D3D1F"/>
    <w:rsid w:val="002D3D65"/>
    <w:rsid w:val="002D3DD1"/>
    <w:rsid w:val="002D3E36"/>
    <w:rsid w:val="002D3E9C"/>
    <w:rsid w:val="002D3F0D"/>
    <w:rsid w:val="002D404F"/>
    <w:rsid w:val="002D4057"/>
    <w:rsid w:val="002D406D"/>
    <w:rsid w:val="002D4179"/>
    <w:rsid w:val="002D41B4"/>
    <w:rsid w:val="002D41D4"/>
    <w:rsid w:val="002D4374"/>
    <w:rsid w:val="002D4417"/>
    <w:rsid w:val="002D4514"/>
    <w:rsid w:val="002D45A1"/>
    <w:rsid w:val="002D47FB"/>
    <w:rsid w:val="002D497F"/>
    <w:rsid w:val="002D4BDA"/>
    <w:rsid w:val="002D4C12"/>
    <w:rsid w:val="002D4D0B"/>
    <w:rsid w:val="002D4F79"/>
    <w:rsid w:val="002D504E"/>
    <w:rsid w:val="002D5117"/>
    <w:rsid w:val="002D522F"/>
    <w:rsid w:val="002D52E9"/>
    <w:rsid w:val="002D53BB"/>
    <w:rsid w:val="002D553C"/>
    <w:rsid w:val="002D55DC"/>
    <w:rsid w:val="002D57A0"/>
    <w:rsid w:val="002D5993"/>
    <w:rsid w:val="002D59A1"/>
    <w:rsid w:val="002D59E0"/>
    <w:rsid w:val="002D5B13"/>
    <w:rsid w:val="002D5B23"/>
    <w:rsid w:val="002D5B52"/>
    <w:rsid w:val="002D5B73"/>
    <w:rsid w:val="002D5B9A"/>
    <w:rsid w:val="002D5CFF"/>
    <w:rsid w:val="002D5E4B"/>
    <w:rsid w:val="002D5F03"/>
    <w:rsid w:val="002D60F7"/>
    <w:rsid w:val="002D626C"/>
    <w:rsid w:val="002D6300"/>
    <w:rsid w:val="002D6308"/>
    <w:rsid w:val="002D6498"/>
    <w:rsid w:val="002D652C"/>
    <w:rsid w:val="002D6574"/>
    <w:rsid w:val="002D671C"/>
    <w:rsid w:val="002D672E"/>
    <w:rsid w:val="002D6792"/>
    <w:rsid w:val="002D6913"/>
    <w:rsid w:val="002D692F"/>
    <w:rsid w:val="002D69A1"/>
    <w:rsid w:val="002D6A55"/>
    <w:rsid w:val="002D6AF5"/>
    <w:rsid w:val="002D6D61"/>
    <w:rsid w:val="002D6DD5"/>
    <w:rsid w:val="002D6DD6"/>
    <w:rsid w:val="002D6F37"/>
    <w:rsid w:val="002D6FAF"/>
    <w:rsid w:val="002D7068"/>
    <w:rsid w:val="002D708D"/>
    <w:rsid w:val="002D7276"/>
    <w:rsid w:val="002D7324"/>
    <w:rsid w:val="002D738B"/>
    <w:rsid w:val="002D7513"/>
    <w:rsid w:val="002D7566"/>
    <w:rsid w:val="002D767C"/>
    <w:rsid w:val="002D77B2"/>
    <w:rsid w:val="002D793F"/>
    <w:rsid w:val="002D796A"/>
    <w:rsid w:val="002D7B6F"/>
    <w:rsid w:val="002D7FC6"/>
    <w:rsid w:val="002E0056"/>
    <w:rsid w:val="002E00AA"/>
    <w:rsid w:val="002E0116"/>
    <w:rsid w:val="002E022A"/>
    <w:rsid w:val="002E036C"/>
    <w:rsid w:val="002E0510"/>
    <w:rsid w:val="002E06C9"/>
    <w:rsid w:val="002E0721"/>
    <w:rsid w:val="002E07B4"/>
    <w:rsid w:val="002E07B9"/>
    <w:rsid w:val="002E07D5"/>
    <w:rsid w:val="002E0890"/>
    <w:rsid w:val="002E08AC"/>
    <w:rsid w:val="002E095E"/>
    <w:rsid w:val="002E09C6"/>
    <w:rsid w:val="002E0A72"/>
    <w:rsid w:val="002E0A86"/>
    <w:rsid w:val="002E0B6B"/>
    <w:rsid w:val="002E0BC6"/>
    <w:rsid w:val="002E0D53"/>
    <w:rsid w:val="002E0E11"/>
    <w:rsid w:val="002E0FBC"/>
    <w:rsid w:val="002E1017"/>
    <w:rsid w:val="002E107B"/>
    <w:rsid w:val="002E138F"/>
    <w:rsid w:val="002E13A1"/>
    <w:rsid w:val="002E1401"/>
    <w:rsid w:val="002E1587"/>
    <w:rsid w:val="002E15C9"/>
    <w:rsid w:val="002E1687"/>
    <w:rsid w:val="002E16DC"/>
    <w:rsid w:val="002E17B2"/>
    <w:rsid w:val="002E183D"/>
    <w:rsid w:val="002E1879"/>
    <w:rsid w:val="002E18D0"/>
    <w:rsid w:val="002E1908"/>
    <w:rsid w:val="002E1AA3"/>
    <w:rsid w:val="002E1B6B"/>
    <w:rsid w:val="002E1DD0"/>
    <w:rsid w:val="002E1DDB"/>
    <w:rsid w:val="002E2116"/>
    <w:rsid w:val="002E212A"/>
    <w:rsid w:val="002E2212"/>
    <w:rsid w:val="002E2240"/>
    <w:rsid w:val="002E2371"/>
    <w:rsid w:val="002E23BE"/>
    <w:rsid w:val="002E242B"/>
    <w:rsid w:val="002E242F"/>
    <w:rsid w:val="002E2447"/>
    <w:rsid w:val="002E2700"/>
    <w:rsid w:val="002E2785"/>
    <w:rsid w:val="002E2805"/>
    <w:rsid w:val="002E2A78"/>
    <w:rsid w:val="002E2B81"/>
    <w:rsid w:val="002E2D32"/>
    <w:rsid w:val="002E2DD0"/>
    <w:rsid w:val="002E2F7D"/>
    <w:rsid w:val="002E3066"/>
    <w:rsid w:val="002E30B9"/>
    <w:rsid w:val="002E3158"/>
    <w:rsid w:val="002E3209"/>
    <w:rsid w:val="002E3304"/>
    <w:rsid w:val="002E3344"/>
    <w:rsid w:val="002E3385"/>
    <w:rsid w:val="002E35F6"/>
    <w:rsid w:val="002E3682"/>
    <w:rsid w:val="002E36E9"/>
    <w:rsid w:val="002E3770"/>
    <w:rsid w:val="002E3794"/>
    <w:rsid w:val="002E37C3"/>
    <w:rsid w:val="002E3897"/>
    <w:rsid w:val="002E3A78"/>
    <w:rsid w:val="002E3AFA"/>
    <w:rsid w:val="002E3C43"/>
    <w:rsid w:val="002E3C7D"/>
    <w:rsid w:val="002E3CFB"/>
    <w:rsid w:val="002E3DCF"/>
    <w:rsid w:val="002E3F2B"/>
    <w:rsid w:val="002E4050"/>
    <w:rsid w:val="002E4069"/>
    <w:rsid w:val="002E40A3"/>
    <w:rsid w:val="002E4160"/>
    <w:rsid w:val="002E4297"/>
    <w:rsid w:val="002E42E5"/>
    <w:rsid w:val="002E432C"/>
    <w:rsid w:val="002E4336"/>
    <w:rsid w:val="002E4490"/>
    <w:rsid w:val="002E4579"/>
    <w:rsid w:val="002E4645"/>
    <w:rsid w:val="002E4668"/>
    <w:rsid w:val="002E46A7"/>
    <w:rsid w:val="002E46F1"/>
    <w:rsid w:val="002E47AC"/>
    <w:rsid w:val="002E4828"/>
    <w:rsid w:val="002E482E"/>
    <w:rsid w:val="002E48D0"/>
    <w:rsid w:val="002E4967"/>
    <w:rsid w:val="002E4998"/>
    <w:rsid w:val="002E4B15"/>
    <w:rsid w:val="002E4E2B"/>
    <w:rsid w:val="002E4ECF"/>
    <w:rsid w:val="002E4F98"/>
    <w:rsid w:val="002E4FB9"/>
    <w:rsid w:val="002E5100"/>
    <w:rsid w:val="002E5101"/>
    <w:rsid w:val="002E51E7"/>
    <w:rsid w:val="002E5279"/>
    <w:rsid w:val="002E53D2"/>
    <w:rsid w:val="002E56A0"/>
    <w:rsid w:val="002E571C"/>
    <w:rsid w:val="002E5772"/>
    <w:rsid w:val="002E579B"/>
    <w:rsid w:val="002E587D"/>
    <w:rsid w:val="002E5910"/>
    <w:rsid w:val="002E5958"/>
    <w:rsid w:val="002E59D4"/>
    <w:rsid w:val="002E59DB"/>
    <w:rsid w:val="002E5A35"/>
    <w:rsid w:val="002E5BE0"/>
    <w:rsid w:val="002E5C3F"/>
    <w:rsid w:val="002E5C86"/>
    <w:rsid w:val="002E5D1D"/>
    <w:rsid w:val="002E5D67"/>
    <w:rsid w:val="002E5E75"/>
    <w:rsid w:val="002E5E85"/>
    <w:rsid w:val="002E5F6A"/>
    <w:rsid w:val="002E5F78"/>
    <w:rsid w:val="002E5FE8"/>
    <w:rsid w:val="002E6092"/>
    <w:rsid w:val="002E60C8"/>
    <w:rsid w:val="002E6311"/>
    <w:rsid w:val="002E6349"/>
    <w:rsid w:val="002E6550"/>
    <w:rsid w:val="002E65DA"/>
    <w:rsid w:val="002E669D"/>
    <w:rsid w:val="002E66AB"/>
    <w:rsid w:val="002E6720"/>
    <w:rsid w:val="002E69D1"/>
    <w:rsid w:val="002E6B9F"/>
    <w:rsid w:val="002E6BA5"/>
    <w:rsid w:val="002E6BA8"/>
    <w:rsid w:val="002E6C35"/>
    <w:rsid w:val="002E6C62"/>
    <w:rsid w:val="002E6D28"/>
    <w:rsid w:val="002E6D44"/>
    <w:rsid w:val="002E6E0F"/>
    <w:rsid w:val="002E6FAB"/>
    <w:rsid w:val="002E71B3"/>
    <w:rsid w:val="002E7267"/>
    <w:rsid w:val="002E73DD"/>
    <w:rsid w:val="002E7509"/>
    <w:rsid w:val="002E7577"/>
    <w:rsid w:val="002E7581"/>
    <w:rsid w:val="002E7689"/>
    <w:rsid w:val="002E78F5"/>
    <w:rsid w:val="002E79D3"/>
    <w:rsid w:val="002E7B3E"/>
    <w:rsid w:val="002E7C16"/>
    <w:rsid w:val="002E7D06"/>
    <w:rsid w:val="002E7DC9"/>
    <w:rsid w:val="002E7DF2"/>
    <w:rsid w:val="002E7E61"/>
    <w:rsid w:val="002E7E80"/>
    <w:rsid w:val="002E7F0E"/>
    <w:rsid w:val="002F0041"/>
    <w:rsid w:val="002F01FD"/>
    <w:rsid w:val="002F0432"/>
    <w:rsid w:val="002F04E1"/>
    <w:rsid w:val="002F0636"/>
    <w:rsid w:val="002F06BA"/>
    <w:rsid w:val="002F073B"/>
    <w:rsid w:val="002F078E"/>
    <w:rsid w:val="002F0948"/>
    <w:rsid w:val="002F0B48"/>
    <w:rsid w:val="002F0BF2"/>
    <w:rsid w:val="002F0C5D"/>
    <w:rsid w:val="002F0E32"/>
    <w:rsid w:val="002F0F7A"/>
    <w:rsid w:val="002F10B0"/>
    <w:rsid w:val="002F11C1"/>
    <w:rsid w:val="002F1396"/>
    <w:rsid w:val="002F15E3"/>
    <w:rsid w:val="002F161D"/>
    <w:rsid w:val="002F17AF"/>
    <w:rsid w:val="002F195A"/>
    <w:rsid w:val="002F198E"/>
    <w:rsid w:val="002F199B"/>
    <w:rsid w:val="002F1B5D"/>
    <w:rsid w:val="002F1C37"/>
    <w:rsid w:val="002F1C47"/>
    <w:rsid w:val="002F1D5C"/>
    <w:rsid w:val="002F1E39"/>
    <w:rsid w:val="002F2018"/>
    <w:rsid w:val="002F20C4"/>
    <w:rsid w:val="002F220B"/>
    <w:rsid w:val="002F24E4"/>
    <w:rsid w:val="002F253C"/>
    <w:rsid w:val="002F25BA"/>
    <w:rsid w:val="002F25CA"/>
    <w:rsid w:val="002F265F"/>
    <w:rsid w:val="002F28CA"/>
    <w:rsid w:val="002F2A34"/>
    <w:rsid w:val="002F2A68"/>
    <w:rsid w:val="002F2AA4"/>
    <w:rsid w:val="002F2B84"/>
    <w:rsid w:val="002F2D03"/>
    <w:rsid w:val="002F2D96"/>
    <w:rsid w:val="002F2E91"/>
    <w:rsid w:val="002F2F3A"/>
    <w:rsid w:val="002F3104"/>
    <w:rsid w:val="002F3124"/>
    <w:rsid w:val="002F3142"/>
    <w:rsid w:val="002F32A7"/>
    <w:rsid w:val="002F32BB"/>
    <w:rsid w:val="002F33CC"/>
    <w:rsid w:val="002F3593"/>
    <w:rsid w:val="002F373D"/>
    <w:rsid w:val="002F3746"/>
    <w:rsid w:val="002F37A5"/>
    <w:rsid w:val="002F38BF"/>
    <w:rsid w:val="002F392B"/>
    <w:rsid w:val="002F3A08"/>
    <w:rsid w:val="002F3B67"/>
    <w:rsid w:val="002F3BAB"/>
    <w:rsid w:val="002F3C05"/>
    <w:rsid w:val="002F3F0A"/>
    <w:rsid w:val="002F3FF4"/>
    <w:rsid w:val="002F4031"/>
    <w:rsid w:val="002F4170"/>
    <w:rsid w:val="002F4186"/>
    <w:rsid w:val="002F41A5"/>
    <w:rsid w:val="002F4300"/>
    <w:rsid w:val="002F43C2"/>
    <w:rsid w:val="002F43D8"/>
    <w:rsid w:val="002F43F5"/>
    <w:rsid w:val="002F44FA"/>
    <w:rsid w:val="002F4734"/>
    <w:rsid w:val="002F4994"/>
    <w:rsid w:val="002F49EB"/>
    <w:rsid w:val="002F4A7D"/>
    <w:rsid w:val="002F4AA5"/>
    <w:rsid w:val="002F4BE8"/>
    <w:rsid w:val="002F4CBA"/>
    <w:rsid w:val="002F4D25"/>
    <w:rsid w:val="002F4D47"/>
    <w:rsid w:val="002F4DEC"/>
    <w:rsid w:val="002F4E1D"/>
    <w:rsid w:val="002F4F90"/>
    <w:rsid w:val="002F52FD"/>
    <w:rsid w:val="002F5347"/>
    <w:rsid w:val="002F539C"/>
    <w:rsid w:val="002F53F4"/>
    <w:rsid w:val="002F5512"/>
    <w:rsid w:val="002F5524"/>
    <w:rsid w:val="002F55C7"/>
    <w:rsid w:val="002F5673"/>
    <w:rsid w:val="002F56CA"/>
    <w:rsid w:val="002F58C9"/>
    <w:rsid w:val="002F59A1"/>
    <w:rsid w:val="002F5A43"/>
    <w:rsid w:val="002F5ABC"/>
    <w:rsid w:val="002F5CC2"/>
    <w:rsid w:val="002F5D15"/>
    <w:rsid w:val="002F5EFE"/>
    <w:rsid w:val="002F5F71"/>
    <w:rsid w:val="002F5F95"/>
    <w:rsid w:val="002F6087"/>
    <w:rsid w:val="002F60A6"/>
    <w:rsid w:val="002F60E7"/>
    <w:rsid w:val="002F6119"/>
    <w:rsid w:val="002F6249"/>
    <w:rsid w:val="002F630F"/>
    <w:rsid w:val="002F6451"/>
    <w:rsid w:val="002F6606"/>
    <w:rsid w:val="002F66F5"/>
    <w:rsid w:val="002F6704"/>
    <w:rsid w:val="002F6787"/>
    <w:rsid w:val="002F67A1"/>
    <w:rsid w:val="002F67D4"/>
    <w:rsid w:val="002F681A"/>
    <w:rsid w:val="002F692E"/>
    <w:rsid w:val="002F6AAF"/>
    <w:rsid w:val="002F6AB1"/>
    <w:rsid w:val="002F6AFA"/>
    <w:rsid w:val="002F6B90"/>
    <w:rsid w:val="002F6CCB"/>
    <w:rsid w:val="002F6D01"/>
    <w:rsid w:val="002F6D44"/>
    <w:rsid w:val="002F6ED2"/>
    <w:rsid w:val="002F7180"/>
    <w:rsid w:val="002F7304"/>
    <w:rsid w:val="002F7384"/>
    <w:rsid w:val="002F7472"/>
    <w:rsid w:val="002F74C4"/>
    <w:rsid w:val="002F7627"/>
    <w:rsid w:val="002F773D"/>
    <w:rsid w:val="002F7802"/>
    <w:rsid w:val="002F7873"/>
    <w:rsid w:val="002F79A9"/>
    <w:rsid w:val="002F79C3"/>
    <w:rsid w:val="002F79D0"/>
    <w:rsid w:val="002F7ADC"/>
    <w:rsid w:val="002F7BC0"/>
    <w:rsid w:val="002F7C08"/>
    <w:rsid w:val="002F7C17"/>
    <w:rsid w:val="002F7C31"/>
    <w:rsid w:val="002F7CF6"/>
    <w:rsid w:val="002F7D38"/>
    <w:rsid w:val="002F7E77"/>
    <w:rsid w:val="002F7ED0"/>
    <w:rsid w:val="0030004E"/>
    <w:rsid w:val="003001C2"/>
    <w:rsid w:val="00300313"/>
    <w:rsid w:val="0030031A"/>
    <w:rsid w:val="0030036B"/>
    <w:rsid w:val="00300407"/>
    <w:rsid w:val="0030040C"/>
    <w:rsid w:val="0030067F"/>
    <w:rsid w:val="003006AF"/>
    <w:rsid w:val="00300731"/>
    <w:rsid w:val="00300762"/>
    <w:rsid w:val="00300979"/>
    <w:rsid w:val="00300B68"/>
    <w:rsid w:val="00300B7B"/>
    <w:rsid w:val="00300BC3"/>
    <w:rsid w:val="00300C7A"/>
    <w:rsid w:val="00300D81"/>
    <w:rsid w:val="00300DD7"/>
    <w:rsid w:val="00300E71"/>
    <w:rsid w:val="00300ECB"/>
    <w:rsid w:val="003010D6"/>
    <w:rsid w:val="003011B9"/>
    <w:rsid w:val="003011CF"/>
    <w:rsid w:val="00301227"/>
    <w:rsid w:val="0030132E"/>
    <w:rsid w:val="00301513"/>
    <w:rsid w:val="00301563"/>
    <w:rsid w:val="00301588"/>
    <w:rsid w:val="003015AE"/>
    <w:rsid w:val="003015D3"/>
    <w:rsid w:val="0030164D"/>
    <w:rsid w:val="003018CD"/>
    <w:rsid w:val="00301B7F"/>
    <w:rsid w:val="00301C58"/>
    <w:rsid w:val="00301E93"/>
    <w:rsid w:val="00301ED4"/>
    <w:rsid w:val="00301F45"/>
    <w:rsid w:val="00301F7E"/>
    <w:rsid w:val="003020FC"/>
    <w:rsid w:val="00302195"/>
    <w:rsid w:val="00302218"/>
    <w:rsid w:val="00302380"/>
    <w:rsid w:val="003023D0"/>
    <w:rsid w:val="00302483"/>
    <w:rsid w:val="0030253D"/>
    <w:rsid w:val="0030256F"/>
    <w:rsid w:val="00302656"/>
    <w:rsid w:val="00302686"/>
    <w:rsid w:val="003027A7"/>
    <w:rsid w:val="003028A9"/>
    <w:rsid w:val="0030296C"/>
    <w:rsid w:val="00302990"/>
    <w:rsid w:val="003029C5"/>
    <w:rsid w:val="00302A1B"/>
    <w:rsid w:val="00302B4F"/>
    <w:rsid w:val="00302CFE"/>
    <w:rsid w:val="00302F5A"/>
    <w:rsid w:val="00302F7C"/>
    <w:rsid w:val="00302FD1"/>
    <w:rsid w:val="003030AA"/>
    <w:rsid w:val="00303106"/>
    <w:rsid w:val="00303179"/>
    <w:rsid w:val="00303184"/>
    <w:rsid w:val="0030328D"/>
    <w:rsid w:val="00303356"/>
    <w:rsid w:val="0030341C"/>
    <w:rsid w:val="003034AB"/>
    <w:rsid w:val="003034B5"/>
    <w:rsid w:val="00303558"/>
    <w:rsid w:val="003036E4"/>
    <w:rsid w:val="00303788"/>
    <w:rsid w:val="0030381A"/>
    <w:rsid w:val="00303CA8"/>
    <w:rsid w:val="00303DB5"/>
    <w:rsid w:val="00303DE7"/>
    <w:rsid w:val="003041E7"/>
    <w:rsid w:val="003041EE"/>
    <w:rsid w:val="003041FF"/>
    <w:rsid w:val="00304339"/>
    <w:rsid w:val="003046EE"/>
    <w:rsid w:val="003047B8"/>
    <w:rsid w:val="003047CB"/>
    <w:rsid w:val="0030484A"/>
    <w:rsid w:val="00304952"/>
    <w:rsid w:val="003049E9"/>
    <w:rsid w:val="00304AC8"/>
    <w:rsid w:val="00304B40"/>
    <w:rsid w:val="00304CD5"/>
    <w:rsid w:val="00304CE0"/>
    <w:rsid w:val="00304E2C"/>
    <w:rsid w:val="00304FFF"/>
    <w:rsid w:val="00305064"/>
    <w:rsid w:val="003050F6"/>
    <w:rsid w:val="003050FB"/>
    <w:rsid w:val="00305285"/>
    <w:rsid w:val="00305428"/>
    <w:rsid w:val="0030553D"/>
    <w:rsid w:val="003055B9"/>
    <w:rsid w:val="0030563C"/>
    <w:rsid w:val="00305778"/>
    <w:rsid w:val="00305783"/>
    <w:rsid w:val="00305890"/>
    <w:rsid w:val="003059B4"/>
    <w:rsid w:val="00305A65"/>
    <w:rsid w:val="00305A8D"/>
    <w:rsid w:val="00305C1B"/>
    <w:rsid w:val="00305CBD"/>
    <w:rsid w:val="00305CFA"/>
    <w:rsid w:val="00305DC2"/>
    <w:rsid w:val="00305E98"/>
    <w:rsid w:val="00305EED"/>
    <w:rsid w:val="00305F0F"/>
    <w:rsid w:val="00305F8E"/>
    <w:rsid w:val="00305F99"/>
    <w:rsid w:val="00305FCA"/>
    <w:rsid w:val="0030606F"/>
    <w:rsid w:val="003060B9"/>
    <w:rsid w:val="003060FC"/>
    <w:rsid w:val="0030620C"/>
    <w:rsid w:val="00306246"/>
    <w:rsid w:val="003062F6"/>
    <w:rsid w:val="00306326"/>
    <w:rsid w:val="0030645F"/>
    <w:rsid w:val="00306490"/>
    <w:rsid w:val="003064BF"/>
    <w:rsid w:val="00306545"/>
    <w:rsid w:val="0030666E"/>
    <w:rsid w:val="00306834"/>
    <w:rsid w:val="00306918"/>
    <w:rsid w:val="00306AEE"/>
    <w:rsid w:val="00306D94"/>
    <w:rsid w:val="00306DAC"/>
    <w:rsid w:val="00306E3D"/>
    <w:rsid w:val="00306EDB"/>
    <w:rsid w:val="00306F47"/>
    <w:rsid w:val="003070E0"/>
    <w:rsid w:val="003072ED"/>
    <w:rsid w:val="0030731F"/>
    <w:rsid w:val="003073D2"/>
    <w:rsid w:val="003073F5"/>
    <w:rsid w:val="00307436"/>
    <w:rsid w:val="0030743E"/>
    <w:rsid w:val="003074E5"/>
    <w:rsid w:val="00307643"/>
    <w:rsid w:val="0030765F"/>
    <w:rsid w:val="00307677"/>
    <w:rsid w:val="003076A3"/>
    <w:rsid w:val="00307713"/>
    <w:rsid w:val="00307745"/>
    <w:rsid w:val="00307777"/>
    <w:rsid w:val="0030795F"/>
    <w:rsid w:val="003079BF"/>
    <w:rsid w:val="00307B7C"/>
    <w:rsid w:val="00307B9B"/>
    <w:rsid w:val="00307BF6"/>
    <w:rsid w:val="00307C33"/>
    <w:rsid w:val="00307D0A"/>
    <w:rsid w:val="00307E0C"/>
    <w:rsid w:val="00307F4A"/>
    <w:rsid w:val="00307F52"/>
    <w:rsid w:val="00307FAC"/>
    <w:rsid w:val="003103EE"/>
    <w:rsid w:val="00310401"/>
    <w:rsid w:val="003105C6"/>
    <w:rsid w:val="00310791"/>
    <w:rsid w:val="00310917"/>
    <w:rsid w:val="00310B39"/>
    <w:rsid w:val="00310B96"/>
    <w:rsid w:val="00310C4E"/>
    <w:rsid w:val="00310C7F"/>
    <w:rsid w:val="00310D50"/>
    <w:rsid w:val="00310F62"/>
    <w:rsid w:val="00311002"/>
    <w:rsid w:val="003110D4"/>
    <w:rsid w:val="003110E2"/>
    <w:rsid w:val="00311329"/>
    <w:rsid w:val="00311336"/>
    <w:rsid w:val="003113A9"/>
    <w:rsid w:val="003113CE"/>
    <w:rsid w:val="0031167C"/>
    <w:rsid w:val="003116DB"/>
    <w:rsid w:val="0031185F"/>
    <w:rsid w:val="00311873"/>
    <w:rsid w:val="003118AE"/>
    <w:rsid w:val="00311C4C"/>
    <w:rsid w:val="00311CD2"/>
    <w:rsid w:val="00311D80"/>
    <w:rsid w:val="00311DB8"/>
    <w:rsid w:val="00311DC7"/>
    <w:rsid w:val="00311E5E"/>
    <w:rsid w:val="00311F5D"/>
    <w:rsid w:val="00311F71"/>
    <w:rsid w:val="00311FF1"/>
    <w:rsid w:val="00312078"/>
    <w:rsid w:val="0031218E"/>
    <w:rsid w:val="00312214"/>
    <w:rsid w:val="00312324"/>
    <w:rsid w:val="0031256D"/>
    <w:rsid w:val="00312631"/>
    <w:rsid w:val="00312808"/>
    <w:rsid w:val="00312A07"/>
    <w:rsid w:val="00312B98"/>
    <w:rsid w:val="00312BE4"/>
    <w:rsid w:val="00312F25"/>
    <w:rsid w:val="003130E8"/>
    <w:rsid w:val="00313131"/>
    <w:rsid w:val="0031317D"/>
    <w:rsid w:val="00313243"/>
    <w:rsid w:val="003132F1"/>
    <w:rsid w:val="0031337F"/>
    <w:rsid w:val="00313391"/>
    <w:rsid w:val="003133CC"/>
    <w:rsid w:val="00313407"/>
    <w:rsid w:val="00313433"/>
    <w:rsid w:val="003135DF"/>
    <w:rsid w:val="00313680"/>
    <w:rsid w:val="003136A6"/>
    <w:rsid w:val="003137C4"/>
    <w:rsid w:val="00313910"/>
    <w:rsid w:val="003139D3"/>
    <w:rsid w:val="00313B34"/>
    <w:rsid w:val="00313DA9"/>
    <w:rsid w:val="00313E3E"/>
    <w:rsid w:val="00313F85"/>
    <w:rsid w:val="00313FA9"/>
    <w:rsid w:val="00314065"/>
    <w:rsid w:val="00314068"/>
    <w:rsid w:val="003141A8"/>
    <w:rsid w:val="00314389"/>
    <w:rsid w:val="003144B8"/>
    <w:rsid w:val="003145E2"/>
    <w:rsid w:val="0031460B"/>
    <w:rsid w:val="0031470F"/>
    <w:rsid w:val="003147AE"/>
    <w:rsid w:val="003147D5"/>
    <w:rsid w:val="003147FA"/>
    <w:rsid w:val="0031489E"/>
    <w:rsid w:val="0031499B"/>
    <w:rsid w:val="003149C1"/>
    <w:rsid w:val="00314A9E"/>
    <w:rsid w:val="00314C27"/>
    <w:rsid w:val="00314CB2"/>
    <w:rsid w:val="00314CD8"/>
    <w:rsid w:val="00314CFF"/>
    <w:rsid w:val="00314D27"/>
    <w:rsid w:val="00314D64"/>
    <w:rsid w:val="00314D65"/>
    <w:rsid w:val="00314FA5"/>
    <w:rsid w:val="0031500A"/>
    <w:rsid w:val="00315084"/>
    <w:rsid w:val="003150C3"/>
    <w:rsid w:val="00315346"/>
    <w:rsid w:val="0031534B"/>
    <w:rsid w:val="00315435"/>
    <w:rsid w:val="0031544E"/>
    <w:rsid w:val="003154A0"/>
    <w:rsid w:val="003154BD"/>
    <w:rsid w:val="003154C2"/>
    <w:rsid w:val="00315626"/>
    <w:rsid w:val="0031564F"/>
    <w:rsid w:val="00315659"/>
    <w:rsid w:val="003156B6"/>
    <w:rsid w:val="00315740"/>
    <w:rsid w:val="00315946"/>
    <w:rsid w:val="00315AF7"/>
    <w:rsid w:val="00315D3F"/>
    <w:rsid w:val="00315D85"/>
    <w:rsid w:val="00315DFF"/>
    <w:rsid w:val="00315E2F"/>
    <w:rsid w:val="00315EA0"/>
    <w:rsid w:val="00315EB2"/>
    <w:rsid w:val="00315EFC"/>
    <w:rsid w:val="00315F61"/>
    <w:rsid w:val="00315F8D"/>
    <w:rsid w:val="00316064"/>
    <w:rsid w:val="0031609E"/>
    <w:rsid w:val="003160F1"/>
    <w:rsid w:val="00316142"/>
    <w:rsid w:val="0031614B"/>
    <w:rsid w:val="0031620D"/>
    <w:rsid w:val="0031647A"/>
    <w:rsid w:val="003164D1"/>
    <w:rsid w:val="0031657D"/>
    <w:rsid w:val="0031659B"/>
    <w:rsid w:val="003165DD"/>
    <w:rsid w:val="00316615"/>
    <w:rsid w:val="00316630"/>
    <w:rsid w:val="0031664A"/>
    <w:rsid w:val="00316652"/>
    <w:rsid w:val="00316813"/>
    <w:rsid w:val="003168E0"/>
    <w:rsid w:val="003168EA"/>
    <w:rsid w:val="00316A88"/>
    <w:rsid w:val="00316AD7"/>
    <w:rsid w:val="00316B7A"/>
    <w:rsid w:val="00316BFE"/>
    <w:rsid w:val="00316D26"/>
    <w:rsid w:val="00316DD8"/>
    <w:rsid w:val="00316E2F"/>
    <w:rsid w:val="00317048"/>
    <w:rsid w:val="00317080"/>
    <w:rsid w:val="00317134"/>
    <w:rsid w:val="00317187"/>
    <w:rsid w:val="00317445"/>
    <w:rsid w:val="003174B9"/>
    <w:rsid w:val="003174BB"/>
    <w:rsid w:val="0031756B"/>
    <w:rsid w:val="0031785F"/>
    <w:rsid w:val="00317884"/>
    <w:rsid w:val="00317C0D"/>
    <w:rsid w:val="00317D17"/>
    <w:rsid w:val="00317D4D"/>
    <w:rsid w:val="00317D61"/>
    <w:rsid w:val="00317FEB"/>
    <w:rsid w:val="00320402"/>
    <w:rsid w:val="003204BF"/>
    <w:rsid w:val="00320528"/>
    <w:rsid w:val="00320608"/>
    <w:rsid w:val="00320634"/>
    <w:rsid w:val="00320754"/>
    <w:rsid w:val="003207D8"/>
    <w:rsid w:val="00320963"/>
    <w:rsid w:val="00320985"/>
    <w:rsid w:val="00320B3A"/>
    <w:rsid w:val="00320BED"/>
    <w:rsid w:val="00320C61"/>
    <w:rsid w:val="00320C9B"/>
    <w:rsid w:val="00320EE6"/>
    <w:rsid w:val="00320EF4"/>
    <w:rsid w:val="0032106C"/>
    <w:rsid w:val="0032108B"/>
    <w:rsid w:val="00321164"/>
    <w:rsid w:val="003211CE"/>
    <w:rsid w:val="003212EF"/>
    <w:rsid w:val="003214AB"/>
    <w:rsid w:val="003214DF"/>
    <w:rsid w:val="00321571"/>
    <w:rsid w:val="00321663"/>
    <w:rsid w:val="00321669"/>
    <w:rsid w:val="0032168C"/>
    <w:rsid w:val="003217A7"/>
    <w:rsid w:val="003217F9"/>
    <w:rsid w:val="00321878"/>
    <w:rsid w:val="0032197D"/>
    <w:rsid w:val="003219CD"/>
    <w:rsid w:val="00321C25"/>
    <w:rsid w:val="00321CA0"/>
    <w:rsid w:val="00321D5D"/>
    <w:rsid w:val="00321E9E"/>
    <w:rsid w:val="00321F4C"/>
    <w:rsid w:val="00321FCF"/>
    <w:rsid w:val="003220B6"/>
    <w:rsid w:val="003223B0"/>
    <w:rsid w:val="00322441"/>
    <w:rsid w:val="003224A7"/>
    <w:rsid w:val="0032250E"/>
    <w:rsid w:val="00322653"/>
    <w:rsid w:val="00322805"/>
    <w:rsid w:val="003228AE"/>
    <w:rsid w:val="003229F2"/>
    <w:rsid w:val="00322CB8"/>
    <w:rsid w:val="00322CEF"/>
    <w:rsid w:val="00322F82"/>
    <w:rsid w:val="003231A5"/>
    <w:rsid w:val="003231DB"/>
    <w:rsid w:val="0032321B"/>
    <w:rsid w:val="00323438"/>
    <w:rsid w:val="003235EC"/>
    <w:rsid w:val="0032361F"/>
    <w:rsid w:val="0032363A"/>
    <w:rsid w:val="00323971"/>
    <w:rsid w:val="0032399F"/>
    <w:rsid w:val="00323A88"/>
    <w:rsid w:val="00323DD4"/>
    <w:rsid w:val="00323E6C"/>
    <w:rsid w:val="00323F87"/>
    <w:rsid w:val="003240DB"/>
    <w:rsid w:val="00324206"/>
    <w:rsid w:val="0032428A"/>
    <w:rsid w:val="0032431D"/>
    <w:rsid w:val="0032439D"/>
    <w:rsid w:val="0032447E"/>
    <w:rsid w:val="0032455D"/>
    <w:rsid w:val="003246CC"/>
    <w:rsid w:val="003247DC"/>
    <w:rsid w:val="003247FA"/>
    <w:rsid w:val="003249DD"/>
    <w:rsid w:val="00324CC9"/>
    <w:rsid w:val="00324D6A"/>
    <w:rsid w:val="00324E4F"/>
    <w:rsid w:val="00324E5D"/>
    <w:rsid w:val="00325023"/>
    <w:rsid w:val="00325100"/>
    <w:rsid w:val="003254C8"/>
    <w:rsid w:val="00325721"/>
    <w:rsid w:val="00325727"/>
    <w:rsid w:val="003257B4"/>
    <w:rsid w:val="00325894"/>
    <w:rsid w:val="003259F8"/>
    <w:rsid w:val="00325AE2"/>
    <w:rsid w:val="00325BF5"/>
    <w:rsid w:val="00325C36"/>
    <w:rsid w:val="00325CDA"/>
    <w:rsid w:val="00325E8F"/>
    <w:rsid w:val="00325EF8"/>
    <w:rsid w:val="00325F3B"/>
    <w:rsid w:val="003260F1"/>
    <w:rsid w:val="00326112"/>
    <w:rsid w:val="003261AF"/>
    <w:rsid w:val="0032621A"/>
    <w:rsid w:val="003262EB"/>
    <w:rsid w:val="003265E2"/>
    <w:rsid w:val="00326A1E"/>
    <w:rsid w:val="00326A25"/>
    <w:rsid w:val="00326A6E"/>
    <w:rsid w:val="00326B5F"/>
    <w:rsid w:val="00326BEC"/>
    <w:rsid w:val="00326C38"/>
    <w:rsid w:val="00326D2E"/>
    <w:rsid w:val="00326DCD"/>
    <w:rsid w:val="00326F03"/>
    <w:rsid w:val="00326F4F"/>
    <w:rsid w:val="00327203"/>
    <w:rsid w:val="003274C4"/>
    <w:rsid w:val="0032765E"/>
    <w:rsid w:val="003277E1"/>
    <w:rsid w:val="00327884"/>
    <w:rsid w:val="003278F7"/>
    <w:rsid w:val="00327980"/>
    <w:rsid w:val="00327A25"/>
    <w:rsid w:val="00327F3B"/>
    <w:rsid w:val="00327FDF"/>
    <w:rsid w:val="00327FEA"/>
    <w:rsid w:val="00330018"/>
    <w:rsid w:val="00330190"/>
    <w:rsid w:val="003302C2"/>
    <w:rsid w:val="0033030D"/>
    <w:rsid w:val="00330382"/>
    <w:rsid w:val="00330387"/>
    <w:rsid w:val="003303CB"/>
    <w:rsid w:val="0033040A"/>
    <w:rsid w:val="003305F4"/>
    <w:rsid w:val="003306BB"/>
    <w:rsid w:val="00330730"/>
    <w:rsid w:val="00330742"/>
    <w:rsid w:val="003307EC"/>
    <w:rsid w:val="003309F0"/>
    <w:rsid w:val="00330BAA"/>
    <w:rsid w:val="00330E70"/>
    <w:rsid w:val="00330F10"/>
    <w:rsid w:val="003310B9"/>
    <w:rsid w:val="00331187"/>
    <w:rsid w:val="00331267"/>
    <w:rsid w:val="003312BB"/>
    <w:rsid w:val="0033131D"/>
    <w:rsid w:val="00331892"/>
    <w:rsid w:val="003319A6"/>
    <w:rsid w:val="00331ABF"/>
    <w:rsid w:val="00331F4F"/>
    <w:rsid w:val="00332231"/>
    <w:rsid w:val="0033239C"/>
    <w:rsid w:val="0033244A"/>
    <w:rsid w:val="00332512"/>
    <w:rsid w:val="003326DF"/>
    <w:rsid w:val="00332739"/>
    <w:rsid w:val="003327EB"/>
    <w:rsid w:val="003329B0"/>
    <w:rsid w:val="00332A43"/>
    <w:rsid w:val="00332B40"/>
    <w:rsid w:val="00332B77"/>
    <w:rsid w:val="00332B78"/>
    <w:rsid w:val="00332BE7"/>
    <w:rsid w:val="00332C96"/>
    <w:rsid w:val="00332DCD"/>
    <w:rsid w:val="00333015"/>
    <w:rsid w:val="00333110"/>
    <w:rsid w:val="003331D0"/>
    <w:rsid w:val="003331DC"/>
    <w:rsid w:val="0033327A"/>
    <w:rsid w:val="003332A0"/>
    <w:rsid w:val="003332C3"/>
    <w:rsid w:val="00333402"/>
    <w:rsid w:val="00333449"/>
    <w:rsid w:val="003334AA"/>
    <w:rsid w:val="003334C6"/>
    <w:rsid w:val="00333533"/>
    <w:rsid w:val="003335F0"/>
    <w:rsid w:val="0033365B"/>
    <w:rsid w:val="0033373D"/>
    <w:rsid w:val="00333766"/>
    <w:rsid w:val="003338AE"/>
    <w:rsid w:val="003339D3"/>
    <w:rsid w:val="00333A38"/>
    <w:rsid w:val="00333A75"/>
    <w:rsid w:val="00333AA1"/>
    <w:rsid w:val="00333AD8"/>
    <w:rsid w:val="00333B5C"/>
    <w:rsid w:val="00333E3C"/>
    <w:rsid w:val="00333F4B"/>
    <w:rsid w:val="00333FFE"/>
    <w:rsid w:val="003340E3"/>
    <w:rsid w:val="00334114"/>
    <w:rsid w:val="0033436C"/>
    <w:rsid w:val="003343AE"/>
    <w:rsid w:val="00334533"/>
    <w:rsid w:val="00334563"/>
    <w:rsid w:val="003345CA"/>
    <w:rsid w:val="0033462F"/>
    <w:rsid w:val="0033481D"/>
    <w:rsid w:val="003349B9"/>
    <w:rsid w:val="00334A04"/>
    <w:rsid w:val="00334ABD"/>
    <w:rsid w:val="00334B95"/>
    <w:rsid w:val="00334CAF"/>
    <w:rsid w:val="00334D01"/>
    <w:rsid w:val="00334E52"/>
    <w:rsid w:val="00335124"/>
    <w:rsid w:val="003351B8"/>
    <w:rsid w:val="003351F8"/>
    <w:rsid w:val="0033525B"/>
    <w:rsid w:val="0033526A"/>
    <w:rsid w:val="00335516"/>
    <w:rsid w:val="0033591F"/>
    <w:rsid w:val="00335972"/>
    <w:rsid w:val="00335A26"/>
    <w:rsid w:val="00335A3F"/>
    <w:rsid w:val="00335C4C"/>
    <w:rsid w:val="00335C71"/>
    <w:rsid w:val="00335CCB"/>
    <w:rsid w:val="00335E51"/>
    <w:rsid w:val="00335F62"/>
    <w:rsid w:val="003361F3"/>
    <w:rsid w:val="0033621C"/>
    <w:rsid w:val="003362E7"/>
    <w:rsid w:val="0033657D"/>
    <w:rsid w:val="00336767"/>
    <w:rsid w:val="0033678E"/>
    <w:rsid w:val="003368A7"/>
    <w:rsid w:val="003368DA"/>
    <w:rsid w:val="00336A46"/>
    <w:rsid w:val="00336B48"/>
    <w:rsid w:val="00336B65"/>
    <w:rsid w:val="00336BD4"/>
    <w:rsid w:val="00336BD7"/>
    <w:rsid w:val="00336C76"/>
    <w:rsid w:val="00336C97"/>
    <w:rsid w:val="00336E4C"/>
    <w:rsid w:val="00337075"/>
    <w:rsid w:val="0033709C"/>
    <w:rsid w:val="003370D0"/>
    <w:rsid w:val="0033713F"/>
    <w:rsid w:val="00337213"/>
    <w:rsid w:val="00337217"/>
    <w:rsid w:val="00337243"/>
    <w:rsid w:val="00337347"/>
    <w:rsid w:val="003373CF"/>
    <w:rsid w:val="00337436"/>
    <w:rsid w:val="003376C5"/>
    <w:rsid w:val="0033771D"/>
    <w:rsid w:val="00337A4F"/>
    <w:rsid w:val="00337A67"/>
    <w:rsid w:val="00337ADC"/>
    <w:rsid w:val="00337AE9"/>
    <w:rsid w:val="00337B82"/>
    <w:rsid w:val="00337BFD"/>
    <w:rsid w:val="00337CDB"/>
    <w:rsid w:val="00337DE7"/>
    <w:rsid w:val="00337F82"/>
    <w:rsid w:val="003400AD"/>
    <w:rsid w:val="0034015E"/>
    <w:rsid w:val="003401E6"/>
    <w:rsid w:val="00340530"/>
    <w:rsid w:val="0034058A"/>
    <w:rsid w:val="00340669"/>
    <w:rsid w:val="00340724"/>
    <w:rsid w:val="0034086E"/>
    <w:rsid w:val="00340923"/>
    <w:rsid w:val="00340990"/>
    <w:rsid w:val="003409CE"/>
    <w:rsid w:val="00340A04"/>
    <w:rsid w:val="00340A23"/>
    <w:rsid w:val="00340ABE"/>
    <w:rsid w:val="00340C49"/>
    <w:rsid w:val="00340C9E"/>
    <w:rsid w:val="00340DB8"/>
    <w:rsid w:val="00340DBC"/>
    <w:rsid w:val="00340DC3"/>
    <w:rsid w:val="00340EE2"/>
    <w:rsid w:val="00340F58"/>
    <w:rsid w:val="00341099"/>
    <w:rsid w:val="0034109C"/>
    <w:rsid w:val="003411FD"/>
    <w:rsid w:val="00341385"/>
    <w:rsid w:val="003414E5"/>
    <w:rsid w:val="003415BB"/>
    <w:rsid w:val="003415C5"/>
    <w:rsid w:val="003416B3"/>
    <w:rsid w:val="00341886"/>
    <w:rsid w:val="00341891"/>
    <w:rsid w:val="003418E9"/>
    <w:rsid w:val="003419CD"/>
    <w:rsid w:val="00341ADC"/>
    <w:rsid w:val="00341B7E"/>
    <w:rsid w:val="00341CCA"/>
    <w:rsid w:val="00341CDE"/>
    <w:rsid w:val="00341D4D"/>
    <w:rsid w:val="00341D99"/>
    <w:rsid w:val="00341DE8"/>
    <w:rsid w:val="00341E1A"/>
    <w:rsid w:val="00341E55"/>
    <w:rsid w:val="00341ED2"/>
    <w:rsid w:val="00341F83"/>
    <w:rsid w:val="00342005"/>
    <w:rsid w:val="003422C3"/>
    <w:rsid w:val="003423B2"/>
    <w:rsid w:val="00342417"/>
    <w:rsid w:val="003424C5"/>
    <w:rsid w:val="00342500"/>
    <w:rsid w:val="00342502"/>
    <w:rsid w:val="00342547"/>
    <w:rsid w:val="0034263A"/>
    <w:rsid w:val="003426EB"/>
    <w:rsid w:val="003427A1"/>
    <w:rsid w:val="003427D1"/>
    <w:rsid w:val="00342928"/>
    <w:rsid w:val="00342B27"/>
    <w:rsid w:val="00342CDD"/>
    <w:rsid w:val="00342F76"/>
    <w:rsid w:val="0034312A"/>
    <w:rsid w:val="00343188"/>
    <w:rsid w:val="0034324E"/>
    <w:rsid w:val="003432D8"/>
    <w:rsid w:val="00343319"/>
    <w:rsid w:val="00343380"/>
    <w:rsid w:val="00343475"/>
    <w:rsid w:val="00343676"/>
    <w:rsid w:val="00343750"/>
    <w:rsid w:val="00343898"/>
    <w:rsid w:val="0034389E"/>
    <w:rsid w:val="00343921"/>
    <w:rsid w:val="00343926"/>
    <w:rsid w:val="00343962"/>
    <w:rsid w:val="003439AB"/>
    <w:rsid w:val="00343AB4"/>
    <w:rsid w:val="00343B6D"/>
    <w:rsid w:val="00343B95"/>
    <w:rsid w:val="00343B9E"/>
    <w:rsid w:val="00343C15"/>
    <w:rsid w:val="00343D60"/>
    <w:rsid w:val="00343D87"/>
    <w:rsid w:val="00343DCD"/>
    <w:rsid w:val="00343E2D"/>
    <w:rsid w:val="003440F4"/>
    <w:rsid w:val="003445CE"/>
    <w:rsid w:val="003447B7"/>
    <w:rsid w:val="0034480A"/>
    <w:rsid w:val="00344837"/>
    <w:rsid w:val="00344855"/>
    <w:rsid w:val="00344AB8"/>
    <w:rsid w:val="00344B12"/>
    <w:rsid w:val="00344B15"/>
    <w:rsid w:val="00344B7D"/>
    <w:rsid w:val="00344E5E"/>
    <w:rsid w:val="00344E60"/>
    <w:rsid w:val="00344E80"/>
    <w:rsid w:val="00344EA3"/>
    <w:rsid w:val="00344EB4"/>
    <w:rsid w:val="00344F7A"/>
    <w:rsid w:val="003450D2"/>
    <w:rsid w:val="003452A3"/>
    <w:rsid w:val="0034546D"/>
    <w:rsid w:val="00345559"/>
    <w:rsid w:val="0034562A"/>
    <w:rsid w:val="003456A6"/>
    <w:rsid w:val="00345710"/>
    <w:rsid w:val="00345739"/>
    <w:rsid w:val="00345883"/>
    <w:rsid w:val="003458FF"/>
    <w:rsid w:val="003459A0"/>
    <w:rsid w:val="003459C0"/>
    <w:rsid w:val="00345A5E"/>
    <w:rsid w:val="00345A6D"/>
    <w:rsid w:val="00345A7F"/>
    <w:rsid w:val="00345B41"/>
    <w:rsid w:val="00345CAF"/>
    <w:rsid w:val="00345CF8"/>
    <w:rsid w:val="00345D12"/>
    <w:rsid w:val="00345D27"/>
    <w:rsid w:val="00345D7B"/>
    <w:rsid w:val="00346000"/>
    <w:rsid w:val="0034603E"/>
    <w:rsid w:val="003461A3"/>
    <w:rsid w:val="00346270"/>
    <w:rsid w:val="003462D9"/>
    <w:rsid w:val="003463BE"/>
    <w:rsid w:val="0034653B"/>
    <w:rsid w:val="0034674C"/>
    <w:rsid w:val="0034676E"/>
    <w:rsid w:val="003467BB"/>
    <w:rsid w:val="0034683C"/>
    <w:rsid w:val="003469AB"/>
    <w:rsid w:val="00346AD2"/>
    <w:rsid w:val="00346B72"/>
    <w:rsid w:val="00346B8C"/>
    <w:rsid w:val="00346F2D"/>
    <w:rsid w:val="00346F58"/>
    <w:rsid w:val="00346F86"/>
    <w:rsid w:val="00346F8C"/>
    <w:rsid w:val="003470D4"/>
    <w:rsid w:val="003470EC"/>
    <w:rsid w:val="00347386"/>
    <w:rsid w:val="003473D6"/>
    <w:rsid w:val="003474C0"/>
    <w:rsid w:val="003475E4"/>
    <w:rsid w:val="003475FC"/>
    <w:rsid w:val="00347607"/>
    <w:rsid w:val="00347A12"/>
    <w:rsid w:val="00347A81"/>
    <w:rsid w:val="00347B72"/>
    <w:rsid w:val="00347B7C"/>
    <w:rsid w:val="00347C51"/>
    <w:rsid w:val="00347C6A"/>
    <w:rsid w:val="00347E78"/>
    <w:rsid w:val="00347E9D"/>
    <w:rsid w:val="00347EF2"/>
    <w:rsid w:val="00347EFA"/>
    <w:rsid w:val="00347F2B"/>
    <w:rsid w:val="003500CE"/>
    <w:rsid w:val="003500DD"/>
    <w:rsid w:val="00350105"/>
    <w:rsid w:val="003502E9"/>
    <w:rsid w:val="003502F1"/>
    <w:rsid w:val="00350374"/>
    <w:rsid w:val="00350464"/>
    <w:rsid w:val="00350484"/>
    <w:rsid w:val="0035059B"/>
    <w:rsid w:val="0035078E"/>
    <w:rsid w:val="00350963"/>
    <w:rsid w:val="003509EC"/>
    <w:rsid w:val="00350A7E"/>
    <w:rsid w:val="00350D3D"/>
    <w:rsid w:val="00350DDF"/>
    <w:rsid w:val="00350E2F"/>
    <w:rsid w:val="00350E5B"/>
    <w:rsid w:val="00350F21"/>
    <w:rsid w:val="00350F2F"/>
    <w:rsid w:val="00350FB1"/>
    <w:rsid w:val="00351003"/>
    <w:rsid w:val="00351043"/>
    <w:rsid w:val="0035106B"/>
    <w:rsid w:val="00351113"/>
    <w:rsid w:val="00351144"/>
    <w:rsid w:val="00351163"/>
    <w:rsid w:val="003511FD"/>
    <w:rsid w:val="00351421"/>
    <w:rsid w:val="003514E4"/>
    <w:rsid w:val="00351683"/>
    <w:rsid w:val="003517DB"/>
    <w:rsid w:val="0035182D"/>
    <w:rsid w:val="00351870"/>
    <w:rsid w:val="003518BB"/>
    <w:rsid w:val="00351927"/>
    <w:rsid w:val="0035196D"/>
    <w:rsid w:val="00351ACB"/>
    <w:rsid w:val="00351BE2"/>
    <w:rsid w:val="00351CB6"/>
    <w:rsid w:val="00351CBC"/>
    <w:rsid w:val="00351E18"/>
    <w:rsid w:val="00351E21"/>
    <w:rsid w:val="00352004"/>
    <w:rsid w:val="00352257"/>
    <w:rsid w:val="00352393"/>
    <w:rsid w:val="0035241E"/>
    <w:rsid w:val="0035257D"/>
    <w:rsid w:val="003525F8"/>
    <w:rsid w:val="00352610"/>
    <w:rsid w:val="003527BF"/>
    <w:rsid w:val="00352938"/>
    <w:rsid w:val="003529A8"/>
    <w:rsid w:val="00352A7D"/>
    <w:rsid w:val="00352AC3"/>
    <w:rsid w:val="00352B80"/>
    <w:rsid w:val="00352BA4"/>
    <w:rsid w:val="00352C6E"/>
    <w:rsid w:val="00352D04"/>
    <w:rsid w:val="00352DFC"/>
    <w:rsid w:val="00352EAE"/>
    <w:rsid w:val="00353094"/>
    <w:rsid w:val="003532CF"/>
    <w:rsid w:val="0035349B"/>
    <w:rsid w:val="003534A7"/>
    <w:rsid w:val="003534B0"/>
    <w:rsid w:val="00353625"/>
    <w:rsid w:val="003536BB"/>
    <w:rsid w:val="0035382D"/>
    <w:rsid w:val="00353A08"/>
    <w:rsid w:val="00353B29"/>
    <w:rsid w:val="00353BA6"/>
    <w:rsid w:val="00353C05"/>
    <w:rsid w:val="00353EA6"/>
    <w:rsid w:val="00353F4D"/>
    <w:rsid w:val="00353FBB"/>
    <w:rsid w:val="00353FEA"/>
    <w:rsid w:val="00354199"/>
    <w:rsid w:val="003541C0"/>
    <w:rsid w:val="00354261"/>
    <w:rsid w:val="003543E6"/>
    <w:rsid w:val="00354447"/>
    <w:rsid w:val="0035466A"/>
    <w:rsid w:val="003547BE"/>
    <w:rsid w:val="00354873"/>
    <w:rsid w:val="00354880"/>
    <w:rsid w:val="003548B6"/>
    <w:rsid w:val="00354934"/>
    <w:rsid w:val="003549C8"/>
    <w:rsid w:val="00354A27"/>
    <w:rsid w:val="00354AC6"/>
    <w:rsid w:val="00354AFB"/>
    <w:rsid w:val="00354B1A"/>
    <w:rsid w:val="00354B7B"/>
    <w:rsid w:val="00354C6D"/>
    <w:rsid w:val="00354E3D"/>
    <w:rsid w:val="00354EBA"/>
    <w:rsid w:val="003553A5"/>
    <w:rsid w:val="003553D8"/>
    <w:rsid w:val="003554A7"/>
    <w:rsid w:val="00355593"/>
    <w:rsid w:val="003556D3"/>
    <w:rsid w:val="003557DD"/>
    <w:rsid w:val="00355851"/>
    <w:rsid w:val="00355963"/>
    <w:rsid w:val="0035596C"/>
    <w:rsid w:val="00355988"/>
    <w:rsid w:val="00355A9E"/>
    <w:rsid w:val="00355B90"/>
    <w:rsid w:val="00355CBE"/>
    <w:rsid w:val="00355FFF"/>
    <w:rsid w:val="003561FA"/>
    <w:rsid w:val="003563CB"/>
    <w:rsid w:val="0035647D"/>
    <w:rsid w:val="003564E0"/>
    <w:rsid w:val="003565CE"/>
    <w:rsid w:val="003566CB"/>
    <w:rsid w:val="0035670F"/>
    <w:rsid w:val="0035675E"/>
    <w:rsid w:val="0035696B"/>
    <w:rsid w:val="0035696D"/>
    <w:rsid w:val="00356AD4"/>
    <w:rsid w:val="00356B17"/>
    <w:rsid w:val="00356C98"/>
    <w:rsid w:val="00356CDE"/>
    <w:rsid w:val="00356CE2"/>
    <w:rsid w:val="00356D0A"/>
    <w:rsid w:val="00356D4E"/>
    <w:rsid w:val="00356EBA"/>
    <w:rsid w:val="00356F15"/>
    <w:rsid w:val="00356F66"/>
    <w:rsid w:val="0035718E"/>
    <w:rsid w:val="003571CA"/>
    <w:rsid w:val="00357213"/>
    <w:rsid w:val="0035727A"/>
    <w:rsid w:val="003572EF"/>
    <w:rsid w:val="00357355"/>
    <w:rsid w:val="00357442"/>
    <w:rsid w:val="00357652"/>
    <w:rsid w:val="003576D9"/>
    <w:rsid w:val="0035774D"/>
    <w:rsid w:val="0035783B"/>
    <w:rsid w:val="0035795F"/>
    <w:rsid w:val="00357967"/>
    <w:rsid w:val="00357CB0"/>
    <w:rsid w:val="00357D3A"/>
    <w:rsid w:val="00357E39"/>
    <w:rsid w:val="00357EC7"/>
    <w:rsid w:val="00357F1B"/>
    <w:rsid w:val="0036011A"/>
    <w:rsid w:val="003601FE"/>
    <w:rsid w:val="00360220"/>
    <w:rsid w:val="0036025E"/>
    <w:rsid w:val="003603EB"/>
    <w:rsid w:val="0036043D"/>
    <w:rsid w:val="00360673"/>
    <w:rsid w:val="0036075C"/>
    <w:rsid w:val="003608C3"/>
    <w:rsid w:val="00360922"/>
    <w:rsid w:val="0036094F"/>
    <w:rsid w:val="00360A03"/>
    <w:rsid w:val="00360A5A"/>
    <w:rsid w:val="00360A6E"/>
    <w:rsid w:val="00360B2C"/>
    <w:rsid w:val="00360B99"/>
    <w:rsid w:val="00360BE5"/>
    <w:rsid w:val="00360CA8"/>
    <w:rsid w:val="00360D11"/>
    <w:rsid w:val="00360D89"/>
    <w:rsid w:val="00360E1D"/>
    <w:rsid w:val="00360E94"/>
    <w:rsid w:val="00361052"/>
    <w:rsid w:val="00361060"/>
    <w:rsid w:val="003610BB"/>
    <w:rsid w:val="00361140"/>
    <w:rsid w:val="003612F2"/>
    <w:rsid w:val="0036131A"/>
    <w:rsid w:val="0036142E"/>
    <w:rsid w:val="003617B2"/>
    <w:rsid w:val="003617EB"/>
    <w:rsid w:val="0036190D"/>
    <w:rsid w:val="00361911"/>
    <w:rsid w:val="0036193A"/>
    <w:rsid w:val="00361A14"/>
    <w:rsid w:val="00361A4E"/>
    <w:rsid w:val="00361A81"/>
    <w:rsid w:val="00361B8E"/>
    <w:rsid w:val="00361C1E"/>
    <w:rsid w:val="00361C8A"/>
    <w:rsid w:val="00361D71"/>
    <w:rsid w:val="00361F0B"/>
    <w:rsid w:val="00362094"/>
    <w:rsid w:val="003621F7"/>
    <w:rsid w:val="0036220B"/>
    <w:rsid w:val="0036244C"/>
    <w:rsid w:val="00362537"/>
    <w:rsid w:val="0036257A"/>
    <w:rsid w:val="0036266D"/>
    <w:rsid w:val="00362799"/>
    <w:rsid w:val="00362990"/>
    <w:rsid w:val="00362AE1"/>
    <w:rsid w:val="00362AFA"/>
    <w:rsid w:val="00362F40"/>
    <w:rsid w:val="00362F66"/>
    <w:rsid w:val="00362F81"/>
    <w:rsid w:val="003630CC"/>
    <w:rsid w:val="00363268"/>
    <w:rsid w:val="0036329D"/>
    <w:rsid w:val="003632AB"/>
    <w:rsid w:val="003632B1"/>
    <w:rsid w:val="003634C6"/>
    <w:rsid w:val="003635F4"/>
    <w:rsid w:val="00363614"/>
    <w:rsid w:val="00363858"/>
    <w:rsid w:val="003638EB"/>
    <w:rsid w:val="0036391C"/>
    <w:rsid w:val="003639FC"/>
    <w:rsid w:val="00363B2B"/>
    <w:rsid w:val="00363B31"/>
    <w:rsid w:val="00363B85"/>
    <w:rsid w:val="00363B9A"/>
    <w:rsid w:val="00363BC0"/>
    <w:rsid w:val="00363CF5"/>
    <w:rsid w:val="00363D2C"/>
    <w:rsid w:val="00363D2D"/>
    <w:rsid w:val="00363DCD"/>
    <w:rsid w:val="00363F43"/>
    <w:rsid w:val="00363FFB"/>
    <w:rsid w:val="00364049"/>
    <w:rsid w:val="0036406C"/>
    <w:rsid w:val="00364150"/>
    <w:rsid w:val="00364167"/>
    <w:rsid w:val="00364225"/>
    <w:rsid w:val="003642A3"/>
    <w:rsid w:val="003643F9"/>
    <w:rsid w:val="00364422"/>
    <w:rsid w:val="0036445C"/>
    <w:rsid w:val="003645E7"/>
    <w:rsid w:val="003646CA"/>
    <w:rsid w:val="0036484D"/>
    <w:rsid w:val="00364920"/>
    <w:rsid w:val="00364987"/>
    <w:rsid w:val="003649D3"/>
    <w:rsid w:val="00364A2E"/>
    <w:rsid w:val="00364C36"/>
    <w:rsid w:val="00364DC1"/>
    <w:rsid w:val="00364F4F"/>
    <w:rsid w:val="0036516B"/>
    <w:rsid w:val="003651E0"/>
    <w:rsid w:val="003652E3"/>
    <w:rsid w:val="003653B3"/>
    <w:rsid w:val="003653B6"/>
    <w:rsid w:val="00365428"/>
    <w:rsid w:val="00365448"/>
    <w:rsid w:val="003654DB"/>
    <w:rsid w:val="003655F1"/>
    <w:rsid w:val="00365803"/>
    <w:rsid w:val="00365952"/>
    <w:rsid w:val="00365A44"/>
    <w:rsid w:val="00365A5C"/>
    <w:rsid w:val="00365AF4"/>
    <w:rsid w:val="00365D7F"/>
    <w:rsid w:val="00365EAF"/>
    <w:rsid w:val="00365F59"/>
    <w:rsid w:val="0036601B"/>
    <w:rsid w:val="003661D1"/>
    <w:rsid w:val="003664FF"/>
    <w:rsid w:val="00366518"/>
    <w:rsid w:val="00366670"/>
    <w:rsid w:val="00366686"/>
    <w:rsid w:val="0036685B"/>
    <w:rsid w:val="00366936"/>
    <w:rsid w:val="00366937"/>
    <w:rsid w:val="00366983"/>
    <w:rsid w:val="00366A84"/>
    <w:rsid w:val="00366A90"/>
    <w:rsid w:val="00366B07"/>
    <w:rsid w:val="00366D59"/>
    <w:rsid w:val="00366D67"/>
    <w:rsid w:val="00366D85"/>
    <w:rsid w:val="00366D96"/>
    <w:rsid w:val="00366E43"/>
    <w:rsid w:val="00366E5B"/>
    <w:rsid w:val="00366F1D"/>
    <w:rsid w:val="00367044"/>
    <w:rsid w:val="00367082"/>
    <w:rsid w:val="003670B7"/>
    <w:rsid w:val="0036713D"/>
    <w:rsid w:val="003671A0"/>
    <w:rsid w:val="00367279"/>
    <w:rsid w:val="00367350"/>
    <w:rsid w:val="003676D8"/>
    <w:rsid w:val="003679AD"/>
    <w:rsid w:val="003679B0"/>
    <w:rsid w:val="00367A3D"/>
    <w:rsid w:val="00367A4C"/>
    <w:rsid w:val="00367A93"/>
    <w:rsid w:val="00367BB1"/>
    <w:rsid w:val="00367C8A"/>
    <w:rsid w:val="00367CF4"/>
    <w:rsid w:val="00367D09"/>
    <w:rsid w:val="00367D32"/>
    <w:rsid w:val="00367E24"/>
    <w:rsid w:val="00367F81"/>
    <w:rsid w:val="00367F86"/>
    <w:rsid w:val="00370015"/>
    <w:rsid w:val="00370098"/>
    <w:rsid w:val="00370201"/>
    <w:rsid w:val="003702A0"/>
    <w:rsid w:val="003704AB"/>
    <w:rsid w:val="003705B2"/>
    <w:rsid w:val="0037068E"/>
    <w:rsid w:val="0037069F"/>
    <w:rsid w:val="003706AB"/>
    <w:rsid w:val="00370954"/>
    <w:rsid w:val="003709BC"/>
    <w:rsid w:val="00370A19"/>
    <w:rsid w:val="00370C1F"/>
    <w:rsid w:val="00370C65"/>
    <w:rsid w:val="00370E5B"/>
    <w:rsid w:val="00370E79"/>
    <w:rsid w:val="00370E8B"/>
    <w:rsid w:val="00370EB6"/>
    <w:rsid w:val="00370F1D"/>
    <w:rsid w:val="00371141"/>
    <w:rsid w:val="003712BA"/>
    <w:rsid w:val="0037132C"/>
    <w:rsid w:val="003713C6"/>
    <w:rsid w:val="003716A9"/>
    <w:rsid w:val="00371B42"/>
    <w:rsid w:val="00371B75"/>
    <w:rsid w:val="00371D17"/>
    <w:rsid w:val="00371D24"/>
    <w:rsid w:val="00371D50"/>
    <w:rsid w:val="00371EE1"/>
    <w:rsid w:val="0037220A"/>
    <w:rsid w:val="003722D0"/>
    <w:rsid w:val="0037234C"/>
    <w:rsid w:val="00372372"/>
    <w:rsid w:val="00372586"/>
    <w:rsid w:val="00372812"/>
    <w:rsid w:val="00372874"/>
    <w:rsid w:val="0037291B"/>
    <w:rsid w:val="00372B2E"/>
    <w:rsid w:val="00372D42"/>
    <w:rsid w:val="00372D5A"/>
    <w:rsid w:val="00372F69"/>
    <w:rsid w:val="00373041"/>
    <w:rsid w:val="0037306C"/>
    <w:rsid w:val="003730CF"/>
    <w:rsid w:val="0037313E"/>
    <w:rsid w:val="003731CF"/>
    <w:rsid w:val="003731FF"/>
    <w:rsid w:val="00373443"/>
    <w:rsid w:val="00373527"/>
    <w:rsid w:val="0037352D"/>
    <w:rsid w:val="003736C4"/>
    <w:rsid w:val="00373708"/>
    <w:rsid w:val="0037381B"/>
    <w:rsid w:val="003738E5"/>
    <w:rsid w:val="003739A2"/>
    <w:rsid w:val="00373A19"/>
    <w:rsid w:val="00373A73"/>
    <w:rsid w:val="00373B3F"/>
    <w:rsid w:val="00373CC4"/>
    <w:rsid w:val="00373CFF"/>
    <w:rsid w:val="00373D93"/>
    <w:rsid w:val="00373FD0"/>
    <w:rsid w:val="00374099"/>
    <w:rsid w:val="0037415E"/>
    <w:rsid w:val="0037418F"/>
    <w:rsid w:val="0037419E"/>
    <w:rsid w:val="003741D1"/>
    <w:rsid w:val="0037425B"/>
    <w:rsid w:val="0037425D"/>
    <w:rsid w:val="00374303"/>
    <w:rsid w:val="0037430B"/>
    <w:rsid w:val="00374401"/>
    <w:rsid w:val="003744CC"/>
    <w:rsid w:val="0037452F"/>
    <w:rsid w:val="00374644"/>
    <w:rsid w:val="00374663"/>
    <w:rsid w:val="0037474B"/>
    <w:rsid w:val="003749BC"/>
    <w:rsid w:val="00374A63"/>
    <w:rsid w:val="00374AD0"/>
    <w:rsid w:val="00374B55"/>
    <w:rsid w:val="00374B80"/>
    <w:rsid w:val="00374CC8"/>
    <w:rsid w:val="00374F22"/>
    <w:rsid w:val="00375001"/>
    <w:rsid w:val="0037500D"/>
    <w:rsid w:val="003750CC"/>
    <w:rsid w:val="003751AA"/>
    <w:rsid w:val="00375344"/>
    <w:rsid w:val="00375412"/>
    <w:rsid w:val="00375543"/>
    <w:rsid w:val="0037554D"/>
    <w:rsid w:val="0037598F"/>
    <w:rsid w:val="00375A36"/>
    <w:rsid w:val="00375C46"/>
    <w:rsid w:val="00375CF9"/>
    <w:rsid w:val="00375D56"/>
    <w:rsid w:val="003760D3"/>
    <w:rsid w:val="003760FA"/>
    <w:rsid w:val="00376409"/>
    <w:rsid w:val="0037641B"/>
    <w:rsid w:val="00376461"/>
    <w:rsid w:val="00376800"/>
    <w:rsid w:val="00376944"/>
    <w:rsid w:val="00376A11"/>
    <w:rsid w:val="00376AB9"/>
    <w:rsid w:val="00376D18"/>
    <w:rsid w:val="00377052"/>
    <w:rsid w:val="00377193"/>
    <w:rsid w:val="0037729F"/>
    <w:rsid w:val="003772AB"/>
    <w:rsid w:val="00377306"/>
    <w:rsid w:val="00377399"/>
    <w:rsid w:val="003773B6"/>
    <w:rsid w:val="0037740E"/>
    <w:rsid w:val="0037751A"/>
    <w:rsid w:val="003775CD"/>
    <w:rsid w:val="0037761C"/>
    <w:rsid w:val="00377687"/>
    <w:rsid w:val="003779FE"/>
    <w:rsid w:val="00377BAA"/>
    <w:rsid w:val="00377CB5"/>
    <w:rsid w:val="00377CDF"/>
    <w:rsid w:val="00377DB3"/>
    <w:rsid w:val="00377E04"/>
    <w:rsid w:val="00377E94"/>
    <w:rsid w:val="00377EDB"/>
    <w:rsid w:val="00380067"/>
    <w:rsid w:val="00380148"/>
    <w:rsid w:val="00380202"/>
    <w:rsid w:val="003802CE"/>
    <w:rsid w:val="003802D8"/>
    <w:rsid w:val="003802E3"/>
    <w:rsid w:val="00380497"/>
    <w:rsid w:val="00380945"/>
    <w:rsid w:val="00380A06"/>
    <w:rsid w:val="00380C71"/>
    <w:rsid w:val="00380EEC"/>
    <w:rsid w:val="00380F86"/>
    <w:rsid w:val="00381067"/>
    <w:rsid w:val="00381197"/>
    <w:rsid w:val="003811CC"/>
    <w:rsid w:val="00381274"/>
    <w:rsid w:val="0038134E"/>
    <w:rsid w:val="00381674"/>
    <w:rsid w:val="003816B9"/>
    <w:rsid w:val="003818CB"/>
    <w:rsid w:val="003819CE"/>
    <w:rsid w:val="003819E9"/>
    <w:rsid w:val="00381B81"/>
    <w:rsid w:val="00381D67"/>
    <w:rsid w:val="00381E2A"/>
    <w:rsid w:val="00381F89"/>
    <w:rsid w:val="00382072"/>
    <w:rsid w:val="00382517"/>
    <w:rsid w:val="003826E9"/>
    <w:rsid w:val="0038280A"/>
    <w:rsid w:val="003828C1"/>
    <w:rsid w:val="003829DD"/>
    <w:rsid w:val="00382A37"/>
    <w:rsid w:val="00382A66"/>
    <w:rsid w:val="00382B96"/>
    <w:rsid w:val="00382C30"/>
    <w:rsid w:val="00382D4F"/>
    <w:rsid w:val="00382E3D"/>
    <w:rsid w:val="00382E75"/>
    <w:rsid w:val="0038303F"/>
    <w:rsid w:val="0038308B"/>
    <w:rsid w:val="003831DE"/>
    <w:rsid w:val="00383207"/>
    <w:rsid w:val="00383266"/>
    <w:rsid w:val="0038331D"/>
    <w:rsid w:val="0038339C"/>
    <w:rsid w:val="00383410"/>
    <w:rsid w:val="00383486"/>
    <w:rsid w:val="00383823"/>
    <w:rsid w:val="00383864"/>
    <w:rsid w:val="003839EB"/>
    <w:rsid w:val="00383A67"/>
    <w:rsid w:val="00383B5F"/>
    <w:rsid w:val="00383C19"/>
    <w:rsid w:val="00383D49"/>
    <w:rsid w:val="00383E42"/>
    <w:rsid w:val="00383EFE"/>
    <w:rsid w:val="00383FC6"/>
    <w:rsid w:val="003840B1"/>
    <w:rsid w:val="00384232"/>
    <w:rsid w:val="00384320"/>
    <w:rsid w:val="00384542"/>
    <w:rsid w:val="0038472B"/>
    <w:rsid w:val="00384808"/>
    <w:rsid w:val="00384929"/>
    <w:rsid w:val="00384943"/>
    <w:rsid w:val="00384D05"/>
    <w:rsid w:val="00384E5C"/>
    <w:rsid w:val="00384EEB"/>
    <w:rsid w:val="00384F9B"/>
    <w:rsid w:val="00384FB2"/>
    <w:rsid w:val="00385073"/>
    <w:rsid w:val="00385165"/>
    <w:rsid w:val="0038516A"/>
    <w:rsid w:val="00385203"/>
    <w:rsid w:val="003852A1"/>
    <w:rsid w:val="00385375"/>
    <w:rsid w:val="003853C6"/>
    <w:rsid w:val="00385540"/>
    <w:rsid w:val="00385583"/>
    <w:rsid w:val="003856DE"/>
    <w:rsid w:val="003856F7"/>
    <w:rsid w:val="0038591D"/>
    <w:rsid w:val="00385B4D"/>
    <w:rsid w:val="00385B9C"/>
    <w:rsid w:val="00385BA7"/>
    <w:rsid w:val="00385C50"/>
    <w:rsid w:val="00385C86"/>
    <w:rsid w:val="00385CBF"/>
    <w:rsid w:val="00385EFD"/>
    <w:rsid w:val="00385F61"/>
    <w:rsid w:val="00386112"/>
    <w:rsid w:val="00386115"/>
    <w:rsid w:val="003861A7"/>
    <w:rsid w:val="0038621F"/>
    <w:rsid w:val="003862D0"/>
    <w:rsid w:val="003863C6"/>
    <w:rsid w:val="003863C9"/>
    <w:rsid w:val="00386416"/>
    <w:rsid w:val="00386466"/>
    <w:rsid w:val="003865BA"/>
    <w:rsid w:val="003868F0"/>
    <w:rsid w:val="00386A08"/>
    <w:rsid w:val="00386AC2"/>
    <w:rsid w:val="00386B3B"/>
    <w:rsid w:val="00386C86"/>
    <w:rsid w:val="00386D35"/>
    <w:rsid w:val="00386D6B"/>
    <w:rsid w:val="00386EF9"/>
    <w:rsid w:val="00386EFB"/>
    <w:rsid w:val="003870A8"/>
    <w:rsid w:val="00387351"/>
    <w:rsid w:val="003873E3"/>
    <w:rsid w:val="00387621"/>
    <w:rsid w:val="00387643"/>
    <w:rsid w:val="003876C7"/>
    <w:rsid w:val="00387701"/>
    <w:rsid w:val="00387864"/>
    <w:rsid w:val="0038799F"/>
    <w:rsid w:val="003879D3"/>
    <w:rsid w:val="00387A78"/>
    <w:rsid w:val="00387AEB"/>
    <w:rsid w:val="00387C66"/>
    <w:rsid w:val="00387CB2"/>
    <w:rsid w:val="00387CE8"/>
    <w:rsid w:val="00387D4A"/>
    <w:rsid w:val="00387D8C"/>
    <w:rsid w:val="00387DCA"/>
    <w:rsid w:val="00387DD5"/>
    <w:rsid w:val="00387FA0"/>
    <w:rsid w:val="00387FE9"/>
    <w:rsid w:val="00390012"/>
    <w:rsid w:val="0039019B"/>
    <w:rsid w:val="00390237"/>
    <w:rsid w:val="003904CE"/>
    <w:rsid w:val="003905ED"/>
    <w:rsid w:val="0039064C"/>
    <w:rsid w:val="00390824"/>
    <w:rsid w:val="0039092B"/>
    <w:rsid w:val="003909BB"/>
    <w:rsid w:val="00390AB3"/>
    <w:rsid w:val="00390AC9"/>
    <w:rsid w:val="00390AE3"/>
    <w:rsid w:val="00390B05"/>
    <w:rsid w:val="00390BAF"/>
    <w:rsid w:val="00390CBB"/>
    <w:rsid w:val="00390F4A"/>
    <w:rsid w:val="00390F6B"/>
    <w:rsid w:val="00391120"/>
    <w:rsid w:val="003911C4"/>
    <w:rsid w:val="00391366"/>
    <w:rsid w:val="003913A6"/>
    <w:rsid w:val="00391426"/>
    <w:rsid w:val="003914D5"/>
    <w:rsid w:val="003916AD"/>
    <w:rsid w:val="0039178F"/>
    <w:rsid w:val="00391886"/>
    <w:rsid w:val="003918BB"/>
    <w:rsid w:val="00391962"/>
    <w:rsid w:val="00391A51"/>
    <w:rsid w:val="00391ACB"/>
    <w:rsid w:val="00391B0B"/>
    <w:rsid w:val="00391B35"/>
    <w:rsid w:val="00391B61"/>
    <w:rsid w:val="00391B88"/>
    <w:rsid w:val="00391C07"/>
    <w:rsid w:val="00391CED"/>
    <w:rsid w:val="00391DD6"/>
    <w:rsid w:val="00391F53"/>
    <w:rsid w:val="00391F83"/>
    <w:rsid w:val="00391FD3"/>
    <w:rsid w:val="00392233"/>
    <w:rsid w:val="0039226C"/>
    <w:rsid w:val="0039247C"/>
    <w:rsid w:val="0039248C"/>
    <w:rsid w:val="00392662"/>
    <w:rsid w:val="00392710"/>
    <w:rsid w:val="00392721"/>
    <w:rsid w:val="00392768"/>
    <w:rsid w:val="00392848"/>
    <w:rsid w:val="0039290A"/>
    <w:rsid w:val="00392918"/>
    <w:rsid w:val="0039297C"/>
    <w:rsid w:val="003929EA"/>
    <w:rsid w:val="00392B69"/>
    <w:rsid w:val="00392C3D"/>
    <w:rsid w:val="00392C62"/>
    <w:rsid w:val="00392F0E"/>
    <w:rsid w:val="00393016"/>
    <w:rsid w:val="003930F0"/>
    <w:rsid w:val="003931DD"/>
    <w:rsid w:val="0039320D"/>
    <w:rsid w:val="003932E8"/>
    <w:rsid w:val="00393518"/>
    <w:rsid w:val="0039353F"/>
    <w:rsid w:val="003935E2"/>
    <w:rsid w:val="0039395D"/>
    <w:rsid w:val="0039398F"/>
    <w:rsid w:val="00393A94"/>
    <w:rsid w:val="00393BAC"/>
    <w:rsid w:val="00393C8C"/>
    <w:rsid w:val="00393F4C"/>
    <w:rsid w:val="00394293"/>
    <w:rsid w:val="003942D3"/>
    <w:rsid w:val="00394424"/>
    <w:rsid w:val="003945D5"/>
    <w:rsid w:val="003945F9"/>
    <w:rsid w:val="00394691"/>
    <w:rsid w:val="003946B7"/>
    <w:rsid w:val="00394768"/>
    <w:rsid w:val="00394786"/>
    <w:rsid w:val="003947DB"/>
    <w:rsid w:val="00394877"/>
    <w:rsid w:val="00394A79"/>
    <w:rsid w:val="00394C26"/>
    <w:rsid w:val="00394D13"/>
    <w:rsid w:val="00394D38"/>
    <w:rsid w:val="00394E03"/>
    <w:rsid w:val="00394E22"/>
    <w:rsid w:val="00394E4D"/>
    <w:rsid w:val="00394F3D"/>
    <w:rsid w:val="00394FBB"/>
    <w:rsid w:val="003953E4"/>
    <w:rsid w:val="00395509"/>
    <w:rsid w:val="0039557C"/>
    <w:rsid w:val="0039564C"/>
    <w:rsid w:val="003957C0"/>
    <w:rsid w:val="00395B17"/>
    <w:rsid w:val="00395BCA"/>
    <w:rsid w:val="00395BFD"/>
    <w:rsid w:val="00395CE0"/>
    <w:rsid w:val="00396035"/>
    <w:rsid w:val="00396042"/>
    <w:rsid w:val="003960BF"/>
    <w:rsid w:val="00396112"/>
    <w:rsid w:val="00396303"/>
    <w:rsid w:val="00396419"/>
    <w:rsid w:val="00396435"/>
    <w:rsid w:val="0039650C"/>
    <w:rsid w:val="003965A6"/>
    <w:rsid w:val="003965B8"/>
    <w:rsid w:val="0039660E"/>
    <w:rsid w:val="003969D5"/>
    <w:rsid w:val="00396A5C"/>
    <w:rsid w:val="00396AE0"/>
    <w:rsid w:val="00396B8D"/>
    <w:rsid w:val="00396BF5"/>
    <w:rsid w:val="00396CFE"/>
    <w:rsid w:val="00396E45"/>
    <w:rsid w:val="00396EB4"/>
    <w:rsid w:val="00396F3F"/>
    <w:rsid w:val="00396FAB"/>
    <w:rsid w:val="00397050"/>
    <w:rsid w:val="0039718D"/>
    <w:rsid w:val="00397199"/>
    <w:rsid w:val="0039728D"/>
    <w:rsid w:val="003972CF"/>
    <w:rsid w:val="0039739A"/>
    <w:rsid w:val="003977D9"/>
    <w:rsid w:val="00397927"/>
    <w:rsid w:val="00397969"/>
    <w:rsid w:val="003979C9"/>
    <w:rsid w:val="00397A3C"/>
    <w:rsid w:val="00397A91"/>
    <w:rsid w:val="00397B3D"/>
    <w:rsid w:val="00397DA3"/>
    <w:rsid w:val="00397E04"/>
    <w:rsid w:val="003A0066"/>
    <w:rsid w:val="003A009B"/>
    <w:rsid w:val="003A011E"/>
    <w:rsid w:val="003A01B3"/>
    <w:rsid w:val="003A0470"/>
    <w:rsid w:val="003A057F"/>
    <w:rsid w:val="003A05A6"/>
    <w:rsid w:val="003A068E"/>
    <w:rsid w:val="003A0724"/>
    <w:rsid w:val="003A08D5"/>
    <w:rsid w:val="003A08E4"/>
    <w:rsid w:val="003A09A1"/>
    <w:rsid w:val="003A09CE"/>
    <w:rsid w:val="003A0DCE"/>
    <w:rsid w:val="003A0E5B"/>
    <w:rsid w:val="003A1108"/>
    <w:rsid w:val="003A1267"/>
    <w:rsid w:val="003A145A"/>
    <w:rsid w:val="003A14A1"/>
    <w:rsid w:val="003A16C9"/>
    <w:rsid w:val="003A1943"/>
    <w:rsid w:val="003A1A4F"/>
    <w:rsid w:val="003A1A5D"/>
    <w:rsid w:val="003A1ABB"/>
    <w:rsid w:val="003A1B97"/>
    <w:rsid w:val="003A1C1F"/>
    <w:rsid w:val="003A1C39"/>
    <w:rsid w:val="003A1C88"/>
    <w:rsid w:val="003A1D3D"/>
    <w:rsid w:val="003A1F04"/>
    <w:rsid w:val="003A2059"/>
    <w:rsid w:val="003A207B"/>
    <w:rsid w:val="003A212C"/>
    <w:rsid w:val="003A2168"/>
    <w:rsid w:val="003A233F"/>
    <w:rsid w:val="003A238B"/>
    <w:rsid w:val="003A2433"/>
    <w:rsid w:val="003A249A"/>
    <w:rsid w:val="003A24B6"/>
    <w:rsid w:val="003A24FE"/>
    <w:rsid w:val="003A253E"/>
    <w:rsid w:val="003A26F1"/>
    <w:rsid w:val="003A27BB"/>
    <w:rsid w:val="003A27F4"/>
    <w:rsid w:val="003A27FC"/>
    <w:rsid w:val="003A2861"/>
    <w:rsid w:val="003A2944"/>
    <w:rsid w:val="003A29E9"/>
    <w:rsid w:val="003A2A2B"/>
    <w:rsid w:val="003A2AE4"/>
    <w:rsid w:val="003A2B81"/>
    <w:rsid w:val="003A2BF4"/>
    <w:rsid w:val="003A2DAE"/>
    <w:rsid w:val="003A2E14"/>
    <w:rsid w:val="003A2E24"/>
    <w:rsid w:val="003A2E8A"/>
    <w:rsid w:val="003A2E96"/>
    <w:rsid w:val="003A2EC3"/>
    <w:rsid w:val="003A30B4"/>
    <w:rsid w:val="003A315E"/>
    <w:rsid w:val="003A3249"/>
    <w:rsid w:val="003A32EF"/>
    <w:rsid w:val="003A339F"/>
    <w:rsid w:val="003A3536"/>
    <w:rsid w:val="003A36A7"/>
    <w:rsid w:val="003A37A7"/>
    <w:rsid w:val="003A38AD"/>
    <w:rsid w:val="003A3A0C"/>
    <w:rsid w:val="003A3A92"/>
    <w:rsid w:val="003A3B43"/>
    <w:rsid w:val="003A3BE9"/>
    <w:rsid w:val="003A3C43"/>
    <w:rsid w:val="003A3CBF"/>
    <w:rsid w:val="003A3D4F"/>
    <w:rsid w:val="003A3E9E"/>
    <w:rsid w:val="003A4073"/>
    <w:rsid w:val="003A40E0"/>
    <w:rsid w:val="003A4163"/>
    <w:rsid w:val="003A4210"/>
    <w:rsid w:val="003A43CB"/>
    <w:rsid w:val="003A45B4"/>
    <w:rsid w:val="003A479F"/>
    <w:rsid w:val="003A47F1"/>
    <w:rsid w:val="003A4A0C"/>
    <w:rsid w:val="003A4AE3"/>
    <w:rsid w:val="003A4BA3"/>
    <w:rsid w:val="003A4C52"/>
    <w:rsid w:val="003A4CF5"/>
    <w:rsid w:val="003A4E42"/>
    <w:rsid w:val="003A5041"/>
    <w:rsid w:val="003A50E6"/>
    <w:rsid w:val="003A5117"/>
    <w:rsid w:val="003A5179"/>
    <w:rsid w:val="003A521C"/>
    <w:rsid w:val="003A52C5"/>
    <w:rsid w:val="003A53EE"/>
    <w:rsid w:val="003A5597"/>
    <w:rsid w:val="003A55BA"/>
    <w:rsid w:val="003A5696"/>
    <w:rsid w:val="003A56B2"/>
    <w:rsid w:val="003A56CA"/>
    <w:rsid w:val="003A5719"/>
    <w:rsid w:val="003A5771"/>
    <w:rsid w:val="003A57DF"/>
    <w:rsid w:val="003A592A"/>
    <w:rsid w:val="003A5BE5"/>
    <w:rsid w:val="003A5D44"/>
    <w:rsid w:val="003A5E0F"/>
    <w:rsid w:val="003A5FD3"/>
    <w:rsid w:val="003A616E"/>
    <w:rsid w:val="003A61DE"/>
    <w:rsid w:val="003A6340"/>
    <w:rsid w:val="003A6344"/>
    <w:rsid w:val="003A64F8"/>
    <w:rsid w:val="003A6586"/>
    <w:rsid w:val="003A692D"/>
    <w:rsid w:val="003A6AB5"/>
    <w:rsid w:val="003A6AC1"/>
    <w:rsid w:val="003A6C28"/>
    <w:rsid w:val="003A6D68"/>
    <w:rsid w:val="003A6F93"/>
    <w:rsid w:val="003A6FDD"/>
    <w:rsid w:val="003A7040"/>
    <w:rsid w:val="003A707B"/>
    <w:rsid w:val="003A70CD"/>
    <w:rsid w:val="003A7233"/>
    <w:rsid w:val="003A729F"/>
    <w:rsid w:val="003A7472"/>
    <w:rsid w:val="003A7555"/>
    <w:rsid w:val="003A7696"/>
    <w:rsid w:val="003A77FF"/>
    <w:rsid w:val="003A79F3"/>
    <w:rsid w:val="003A7AB0"/>
    <w:rsid w:val="003A7B58"/>
    <w:rsid w:val="003A7B6D"/>
    <w:rsid w:val="003A7D63"/>
    <w:rsid w:val="003A7FF0"/>
    <w:rsid w:val="003B036F"/>
    <w:rsid w:val="003B0494"/>
    <w:rsid w:val="003B049D"/>
    <w:rsid w:val="003B05E6"/>
    <w:rsid w:val="003B074A"/>
    <w:rsid w:val="003B07DA"/>
    <w:rsid w:val="003B07F6"/>
    <w:rsid w:val="003B08A3"/>
    <w:rsid w:val="003B08F0"/>
    <w:rsid w:val="003B0A31"/>
    <w:rsid w:val="003B0B44"/>
    <w:rsid w:val="003B0BE3"/>
    <w:rsid w:val="003B0C97"/>
    <w:rsid w:val="003B1039"/>
    <w:rsid w:val="003B11DF"/>
    <w:rsid w:val="003B12A0"/>
    <w:rsid w:val="003B130E"/>
    <w:rsid w:val="003B137B"/>
    <w:rsid w:val="003B13B6"/>
    <w:rsid w:val="003B13E7"/>
    <w:rsid w:val="003B1450"/>
    <w:rsid w:val="003B1459"/>
    <w:rsid w:val="003B1619"/>
    <w:rsid w:val="003B165B"/>
    <w:rsid w:val="003B1692"/>
    <w:rsid w:val="003B170E"/>
    <w:rsid w:val="003B1730"/>
    <w:rsid w:val="003B1735"/>
    <w:rsid w:val="003B1749"/>
    <w:rsid w:val="003B1920"/>
    <w:rsid w:val="003B194E"/>
    <w:rsid w:val="003B19A7"/>
    <w:rsid w:val="003B1A32"/>
    <w:rsid w:val="003B1A38"/>
    <w:rsid w:val="003B1A9D"/>
    <w:rsid w:val="003B1C01"/>
    <w:rsid w:val="003B1C5F"/>
    <w:rsid w:val="003B1CF6"/>
    <w:rsid w:val="003B1D14"/>
    <w:rsid w:val="003B1E5A"/>
    <w:rsid w:val="003B1EFD"/>
    <w:rsid w:val="003B1F62"/>
    <w:rsid w:val="003B2056"/>
    <w:rsid w:val="003B21A3"/>
    <w:rsid w:val="003B220E"/>
    <w:rsid w:val="003B22F3"/>
    <w:rsid w:val="003B23F6"/>
    <w:rsid w:val="003B2407"/>
    <w:rsid w:val="003B2431"/>
    <w:rsid w:val="003B24A5"/>
    <w:rsid w:val="003B257C"/>
    <w:rsid w:val="003B25BC"/>
    <w:rsid w:val="003B25C4"/>
    <w:rsid w:val="003B2637"/>
    <w:rsid w:val="003B2884"/>
    <w:rsid w:val="003B28C2"/>
    <w:rsid w:val="003B28E5"/>
    <w:rsid w:val="003B2997"/>
    <w:rsid w:val="003B29F3"/>
    <w:rsid w:val="003B2A24"/>
    <w:rsid w:val="003B2B13"/>
    <w:rsid w:val="003B2B7F"/>
    <w:rsid w:val="003B2CCE"/>
    <w:rsid w:val="003B2CFD"/>
    <w:rsid w:val="003B2D9F"/>
    <w:rsid w:val="003B3063"/>
    <w:rsid w:val="003B308A"/>
    <w:rsid w:val="003B3185"/>
    <w:rsid w:val="003B3571"/>
    <w:rsid w:val="003B3573"/>
    <w:rsid w:val="003B3639"/>
    <w:rsid w:val="003B36A2"/>
    <w:rsid w:val="003B37AD"/>
    <w:rsid w:val="003B37F2"/>
    <w:rsid w:val="003B384E"/>
    <w:rsid w:val="003B38CC"/>
    <w:rsid w:val="003B3A3B"/>
    <w:rsid w:val="003B3AD4"/>
    <w:rsid w:val="003B3AFB"/>
    <w:rsid w:val="003B3B00"/>
    <w:rsid w:val="003B3B06"/>
    <w:rsid w:val="003B3B08"/>
    <w:rsid w:val="003B3BF4"/>
    <w:rsid w:val="003B3C2F"/>
    <w:rsid w:val="003B3C9F"/>
    <w:rsid w:val="003B3E10"/>
    <w:rsid w:val="003B3E73"/>
    <w:rsid w:val="003B3ECC"/>
    <w:rsid w:val="003B3FFA"/>
    <w:rsid w:val="003B4115"/>
    <w:rsid w:val="003B4229"/>
    <w:rsid w:val="003B42E9"/>
    <w:rsid w:val="003B43AB"/>
    <w:rsid w:val="003B43EE"/>
    <w:rsid w:val="003B4495"/>
    <w:rsid w:val="003B4646"/>
    <w:rsid w:val="003B473B"/>
    <w:rsid w:val="003B490A"/>
    <w:rsid w:val="003B49E1"/>
    <w:rsid w:val="003B4B90"/>
    <w:rsid w:val="003B4B91"/>
    <w:rsid w:val="003B4C18"/>
    <w:rsid w:val="003B4C7F"/>
    <w:rsid w:val="003B4D51"/>
    <w:rsid w:val="003B4D64"/>
    <w:rsid w:val="003B4E3A"/>
    <w:rsid w:val="003B4EC0"/>
    <w:rsid w:val="003B518D"/>
    <w:rsid w:val="003B523C"/>
    <w:rsid w:val="003B5254"/>
    <w:rsid w:val="003B549A"/>
    <w:rsid w:val="003B587D"/>
    <w:rsid w:val="003B592B"/>
    <w:rsid w:val="003B5936"/>
    <w:rsid w:val="003B595A"/>
    <w:rsid w:val="003B599D"/>
    <w:rsid w:val="003B5B7B"/>
    <w:rsid w:val="003B5C12"/>
    <w:rsid w:val="003B5E90"/>
    <w:rsid w:val="003B5F79"/>
    <w:rsid w:val="003B5F8D"/>
    <w:rsid w:val="003B5FF1"/>
    <w:rsid w:val="003B606B"/>
    <w:rsid w:val="003B62BD"/>
    <w:rsid w:val="003B649A"/>
    <w:rsid w:val="003B65F7"/>
    <w:rsid w:val="003B669A"/>
    <w:rsid w:val="003B6723"/>
    <w:rsid w:val="003B67CD"/>
    <w:rsid w:val="003B6929"/>
    <w:rsid w:val="003B6946"/>
    <w:rsid w:val="003B6B2D"/>
    <w:rsid w:val="003B6CB6"/>
    <w:rsid w:val="003B6DAA"/>
    <w:rsid w:val="003B6E8A"/>
    <w:rsid w:val="003B6EC3"/>
    <w:rsid w:val="003B6F19"/>
    <w:rsid w:val="003B6F4A"/>
    <w:rsid w:val="003B7070"/>
    <w:rsid w:val="003B7193"/>
    <w:rsid w:val="003B71F7"/>
    <w:rsid w:val="003B7208"/>
    <w:rsid w:val="003B72CF"/>
    <w:rsid w:val="003B7354"/>
    <w:rsid w:val="003B736E"/>
    <w:rsid w:val="003B73E7"/>
    <w:rsid w:val="003B7452"/>
    <w:rsid w:val="003B7513"/>
    <w:rsid w:val="003B7531"/>
    <w:rsid w:val="003B7561"/>
    <w:rsid w:val="003B75F8"/>
    <w:rsid w:val="003B7682"/>
    <w:rsid w:val="003B7763"/>
    <w:rsid w:val="003B7840"/>
    <w:rsid w:val="003B78C6"/>
    <w:rsid w:val="003B7922"/>
    <w:rsid w:val="003B7982"/>
    <w:rsid w:val="003B7BC3"/>
    <w:rsid w:val="003B7D14"/>
    <w:rsid w:val="003B7D7B"/>
    <w:rsid w:val="003B7E24"/>
    <w:rsid w:val="003B7E3C"/>
    <w:rsid w:val="003B7EED"/>
    <w:rsid w:val="003B7EF7"/>
    <w:rsid w:val="003B7F43"/>
    <w:rsid w:val="003B7F7F"/>
    <w:rsid w:val="003C0125"/>
    <w:rsid w:val="003C0194"/>
    <w:rsid w:val="003C02CF"/>
    <w:rsid w:val="003C03DD"/>
    <w:rsid w:val="003C05E6"/>
    <w:rsid w:val="003C0627"/>
    <w:rsid w:val="003C06FA"/>
    <w:rsid w:val="003C075A"/>
    <w:rsid w:val="003C07B9"/>
    <w:rsid w:val="003C0841"/>
    <w:rsid w:val="003C090C"/>
    <w:rsid w:val="003C0915"/>
    <w:rsid w:val="003C0C3F"/>
    <w:rsid w:val="003C0EDA"/>
    <w:rsid w:val="003C0F8F"/>
    <w:rsid w:val="003C0FEB"/>
    <w:rsid w:val="003C10BD"/>
    <w:rsid w:val="003C10E3"/>
    <w:rsid w:val="003C110B"/>
    <w:rsid w:val="003C11E5"/>
    <w:rsid w:val="003C1635"/>
    <w:rsid w:val="003C1778"/>
    <w:rsid w:val="003C1832"/>
    <w:rsid w:val="003C1939"/>
    <w:rsid w:val="003C19B3"/>
    <w:rsid w:val="003C1A17"/>
    <w:rsid w:val="003C1A42"/>
    <w:rsid w:val="003C1A57"/>
    <w:rsid w:val="003C1A5C"/>
    <w:rsid w:val="003C1BD5"/>
    <w:rsid w:val="003C1D93"/>
    <w:rsid w:val="003C1DE2"/>
    <w:rsid w:val="003C1E66"/>
    <w:rsid w:val="003C1E69"/>
    <w:rsid w:val="003C20DD"/>
    <w:rsid w:val="003C213C"/>
    <w:rsid w:val="003C2161"/>
    <w:rsid w:val="003C218F"/>
    <w:rsid w:val="003C226B"/>
    <w:rsid w:val="003C231A"/>
    <w:rsid w:val="003C24FE"/>
    <w:rsid w:val="003C2715"/>
    <w:rsid w:val="003C280A"/>
    <w:rsid w:val="003C2A2B"/>
    <w:rsid w:val="003C2A6C"/>
    <w:rsid w:val="003C2BC4"/>
    <w:rsid w:val="003C2BD2"/>
    <w:rsid w:val="003C2C4B"/>
    <w:rsid w:val="003C2CA1"/>
    <w:rsid w:val="003C2CE1"/>
    <w:rsid w:val="003C2D72"/>
    <w:rsid w:val="003C2DCF"/>
    <w:rsid w:val="003C2E00"/>
    <w:rsid w:val="003C2E14"/>
    <w:rsid w:val="003C2E3B"/>
    <w:rsid w:val="003C2E89"/>
    <w:rsid w:val="003C2E98"/>
    <w:rsid w:val="003C30BD"/>
    <w:rsid w:val="003C311C"/>
    <w:rsid w:val="003C3284"/>
    <w:rsid w:val="003C34DA"/>
    <w:rsid w:val="003C350B"/>
    <w:rsid w:val="003C35BD"/>
    <w:rsid w:val="003C36DD"/>
    <w:rsid w:val="003C3733"/>
    <w:rsid w:val="003C3734"/>
    <w:rsid w:val="003C373B"/>
    <w:rsid w:val="003C3886"/>
    <w:rsid w:val="003C390F"/>
    <w:rsid w:val="003C3965"/>
    <w:rsid w:val="003C3AE2"/>
    <w:rsid w:val="003C3AF9"/>
    <w:rsid w:val="003C3C60"/>
    <w:rsid w:val="003C3CCB"/>
    <w:rsid w:val="003C3CD7"/>
    <w:rsid w:val="003C3D3A"/>
    <w:rsid w:val="003C3E68"/>
    <w:rsid w:val="003C40CF"/>
    <w:rsid w:val="003C40F8"/>
    <w:rsid w:val="003C410E"/>
    <w:rsid w:val="003C423D"/>
    <w:rsid w:val="003C42A7"/>
    <w:rsid w:val="003C4328"/>
    <w:rsid w:val="003C43FE"/>
    <w:rsid w:val="003C4445"/>
    <w:rsid w:val="003C4466"/>
    <w:rsid w:val="003C4568"/>
    <w:rsid w:val="003C456D"/>
    <w:rsid w:val="003C46E2"/>
    <w:rsid w:val="003C47DE"/>
    <w:rsid w:val="003C485F"/>
    <w:rsid w:val="003C4962"/>
    <w:rsid w:val="003C4BDC"/>
    <w:rsid w:val="003C4CA1"/>
    <w:rsid w:val="003C4E8A"/>
    <w:rsid w:val="003C4F7A"/>
    <w:rsid w:val="003C5115"/>
    <w:rsid w:val="003C512B"/>
    <w:rsid w:val="003C5148"/>
    <w:rsid w:val="003C5194"/>
    <w:rsid w:val="003C522E"/>
    <w:rsid w:val="003C5380"/>
    <w:rsid w:val="003C567C"/>
    <w:rsid w:val="003C587E"/>
    <w:rsid w:val="003C594A"/>
    <w:rsid w:val="003C59B2"/>
    <w:rsid w:val="003C5B05"/>
    <w:rsid w:val="003C5B11"/>
    <w:rsid w:val="003C5E3C"/>
    <w:rsid w:val="003C5E70"/>
    <w:rsid w:val="003C5EAE"/>
    <w:rsid w:val="003C5ED0"/>
    <w:rsid w:val="003C5F83"/>
    <w:rsid w:val="003C6183"/>
    <w:rsid w:val="003C6193"/>
    <w:rsid w:val="003C6396"/>
    <w:rsid w:val="003C65DC"/>
    <w:rsid w:val="003C65E7"/>
    <w:rsid w:val="003C66E6"/>
    <w:rsid w:val="003C6761"/>
    <w:rsid w:val="003C688F"/>
    <w:rsid w:val="003C690E"/>
    <w:rsid w:val="003C6A2E"/>
    <w:rsid w:val="003C6AC8"/>
    <w:rsid w:val="003C6B8B"/>
    <w:rsid w:val="003C6BDB"/>
    <w:rsid w:val="003C6D11"/>
    <w:rsid w:val="003C6D5B"/>
    <w:rsid w:val="003C6E01"/>
    <w:rsid w:val="003C6F2B"/>
    <w:rsid w:val="003C6F71"/>
    <w:rsid w:val="003C70B1"/>
    <w:rsid w:val="003C70B2"/>
    <w:rsid w:val="003C71B6"/>
    <w:rsid w:val="003C732F"/>
    <w:rsid w:val="003C7344"/>
    <w:rsid w:val="003C7384"/>
    <w:rsid w:val="003C7458"/>
    <w:rsid w:val="003C752F"/>
    <w:rsid w:val="003C75E4"/>
    <w:rsid w:val="003C7655"/>
    <w:rsid w:val="003C7689"/>
    <w:rsid w:val="003C7766"/>
    <w:rsid w:val="003C788B"/>
    <w:rsid w:val="003C789E"/>
    <w:rsid w:val="003C78AD"/>
    <w:rsid w:val="003C7A12"/>
    <w:rsid w:val="003C7A23"/>
    <w:rsid w:val="003C7CB1"/>
    <w:rsid w:val="003C7D46"/>
    <w:rsid w:val="003C7EE4"/>
    <w:rsid w:val="003C7EFC"/>
    <w:rsid w:val="003C7F97"/>
    <w:rsid w:val="003C7FC9"/>
    <w:rsid w:val="003C7FD9"/>
    <w:rsid w:val="003CBB2B"/>
    <w:rsid w:val="003D00F3"/>
    <w:rsid w:val="003D015E"/>
    <w:rsid w:val="003D02F9"/>
    <w:rsid w:val="003D0304"/>
    <w:rsid w:val="003D06A0"/>
    <w:rsid w:val="003D06D5"/>
    <w:rsid w:val="003D0706"/>
    <w:rsid w:val="003D070A"/>
    <w:rsid w:val="003D0719"/>
    <w:rsid w:val="003D083D"/>
    <w:rsid w:val="003D0924"/>
    <w:rsid w:val="003D09DF"/>
    <w:rsid w:val="003D0A1E"/>
    <w:rsid w:val="003D0B91"/>
    <w:rsid w:val="003D0BDE"/>
    <w:rsid w:val="003D0C3C"/>
    <w:rsid w:val="003D0D07"/>
    <w:rsid w:val="003D0D3C"/>
    <w:rsid w:val="003D0D59"/>
    <w:rsid w:val="003D0FBB"/>
    <w:rsid w:val="003D1151"/>
    <w:rsid w:val="003D11A3"/>
    <w:rsid w:val="003D1282"/>
    <w:rsid w:val="003D12FB"/>
    <w:rsid w:val="003D131B"/>
    <w:rsid w:val="003D133F"/>
    <w:rsid w:val="003D159A"/>
    <w:rsid w:val="003D1701"/>
    <w:rsid w:val="003D1724"/>
    <w:rsid w:val="003D1813"/>
    <w:rsid w:val="003D1AAB"/>
    <w:rsid w:val="003D1AD4"/>
    <w:rsid w:val="003D1BEB"/>
    <w:rsid w:val="003D1BF7"/>
    <w:rsid w:val="003D1C8B"/>
    <w:rsid w:val="003D1D1B"/>
    <w:rsid w:val="003D1D3A"/>
    <w:rsid w:val="003D1DAA"/>
    <w:rsid w:val="003D1DDD"/>
    <w:rsid w:val="003D1EE6"/>
    <w:rsid w:val="003D2323"/>
    <w:rsid w:val="003D2482"/>
    <w:rsid w:val="003D24D7"/>
    <w:rsid w:val="003D25E5"/>
    <w:rsid w:val="003D25EA"/>
    <w:rsid w:val="003D28D1"/>
    <w:rsid w:val="003D2A10"/>
    <w:rsid w:val="003D2AAC"/>
    <w:rsid w:val="003D2B43"/>
    <w:rsid w:val="003D2BFE"/>
    <w:rsid w:val="003D2C55"/>
    <w:rsid w:val="003D2CB0"/>
    <w:rsid w:val="003D2CB9"/>
    <w:rsid w:val="003D2D92"/>
    <w:rsid w:val="003D30B3"/>
    <w:rsid w:val="003D30CD"/>
    <w:rsid w:val="003D3131"/>
    <w:rsid w:val="003D338C"/>
    <w:rsid w:val="003D3417"/>
    <w:rsid w:val="003D341A"/>
    <w:rsid w:val="003D34B1"/>
    <w:rsid w:val="003D3531"/>
    <w:rsid w:val="003D38CC"/>
    <w:rsid w:val="003D3AFC"/>
    <w:rsid w:val="003D3BF7"/>
    <w:rsid w:val="003D3C95"/>
    <w:rsid w:val="003D3CCF"/>
    <w:rsid w:val="003D3D27"/>
    <w:rsid w:val="003D3D3F"/>
    <w:rsid w:val="003D3F64"/>
    <w:rsid w:val="003D416A"/>
    <w:rsid w:val="003D4294"/>
    <w:rsid w:val="003D42BA"/>
    <w:rsid w:val="003D42CC"/>
    <w:rsid w:val="003D4301"/>
    <w:rsid w:val="003D460A"/>
    <w:rsid w:val="003D46AB"/>
    <w:rsid w:val="003D4898"/>
    <w:rsid w:val="003D4919"/>
    <w:rsid w:val="003D4972"/>
    <w:rsid w:val="003D4B74"/>
    <w:rsid w:val="003D4E88"/>
    <w:rsid w:val="003D4EAD"/>
    <w:rsid w:val="003D4F3D"/>
    <w:rsid w:val="003D5017"/>
    <w:rsid w:val="003D5179"/>
    <w:rsid w:val="003D51C1"/>
    <w:rsid w:val="003D52C9"/>
    <w:rsid w:val="003D5415"/>
    <w:rsid w:val="003D56DD"/>
    <w:rsid w:val="003D575D"/>
    <w:rsid w:val="003D57B2"/>
    <w:rsid w:val="003D58FF"/>
    <w:rsid w:val="003D5966"/>
    <w:rsid w:val="003D59D4"/>
    <w:rsid w:val="003D5A88"/>
    <w:rsid w:val="003D5D66"/>
    <w:rsid w:val="003D60B2"/>
    <w:rsid w:val="003D60CF"/>
    <w:rsid w:val="003D6155"/>
    <w:rsid w:val="003D61FD"/>
    <w:rsid w:val="003D6259"/>
    <w:rsid w:val="003D62FC"/>
    <w:rsid w:val="003D631E"/>
    <w:rsid w:val="003D6629"/>
    <w:rsid w:val="003D6659"/>
    <w:rsid w:val="003D67E3"/>
    <w:rsid w:val="003D68B1"/>
    <w:rsid w:val="003D68F4"/>
    <w:rsid w:val="003D69A2"/>
    <w:rsid w:val="003D69DF"/>
    <w:rsid w:val="003D6A4C"/>
    <w:rsid w:val="003D6C58"/>
    <w:rsid w:val="003D6D2B"/>
    <w:rsid w:val="003D6D40"/>
    <w:rsid w:val="003D6D90"/>
    <w:rsid w:val="003D6DC7"/>
    <w:rsid w:val="003D6DFC"/>
    <w:rsid w:val="003D6E64"/>
    <w:rsid w:val="003D6EB8"/>
    <w:rsid w:val="003D6EEE"/>
    <w:rsid w:val="003D6F28"/>
    <w:rsid w:val="003D6F9F"/>
    <w:rsid w:val="003D704B"/>
    <w:rsid w:val="003D7094"/>
    <w:rsid w:val="003D70E2"/>
    <w:rsid w:val="003D7187"/>
    <w:rsid w:val="003D71E7"/>
    <w:rsid w:val="003D7459"/>
    <w:rsid w:val="003D74F0"/>
    <w:rsid w:val="003D7568"/>
    <w:rsid w:val="003D77AA"/>
    <w:rsid w:val="003D786E"/>
    <w:rsid w:val="003D78BB"/>
    <w:rsid w:val="003D7913"/>
    <w:rsid w:val="003D7D4B"/>
    <w:rsid w:val="003D7E60"/>
    <w:rsid w:val="003D7F28"/>
    <w:rsid w:val="003D7F66"/>
    <w:rsid w:val="003D7FB9"/>
    <w:rsid w:val="003D7FBD"/>
    <w:rsid w:val="003E043E"/>
    <w:rsid w:val="003E04C3"/>
    <w:rsid w:val="003E051E"/>
    <w:rsid w:val="003E0632"/>
    <w:rsid w:val="003E08C4"/>
    <w:rsid w:val="003E0980"/>
    <w:rsid w:val="003E0A0C"/>
    <w:rsid w:val="003E0A29"/>
    <w:rsid w:val="003E0B73"/>
    <w:rsid w:val="003E0BE5"/>
    <w:rsid w:val="003E0BF9"/>
    <w:rsid w:val="003E0CA8"/>
    <w:rsid w:val="003E0E16"/>
    <w:rsid w:val="003E0F36"/>
    <w:rsid w:val="003E0FCD"/>
    <w:rsid w:val="003E10E3"/>
    <w:rsid w:val="003E11B1"/>
    <w:rsid w:val="003E11F1"/>
    <w:rsid w:val="003E13A5"/>
    <w:rsid w:val="003E13DE"/>
    <w:rsid w:val="003E1A28"/>
    <w:rsid w:val="003E1B25"/>
    <w:rsid w:val="003E1B56"/>
    <w:rsid w:val="003E1BB2"/>
    <w:rsid w:val="003E1E39"/>
    <w:rsid w:val="003E2042"/>
    <w:rsid w:val="003E20B6"/>
    <w:rsid w:val="003E215F"/>
    <w:rsid w:val="003E2173"/>
    <w:rsid w:val="003E2273"/>
    <w:rsid w:val="003E235C"/>
    <w:rsid w:val="003E2557"/>
    <w:rsid w:val="003E25E1"/>
    <w:rsid w:val="003E26F9"/>
    <w:rsid w:val="003E274A"/>
    <w:rsid w:val="003E27A0"/>
    <w:rsid w:val="003E286E"/>
    <w:rsid w:val="003E2B58"/>
    <w:rsid w:val="003E2C12"/>
    <w:rsid w:val="003E2C37"/>
    <w:rsid w:val="003E2C7B"/>
    <w:rsid w:val="003E2EFA"/>
    <w:rsid w:val="003E2F0F"/>
    <w:rsid w:val="003E2F1A"/>
    <w:rsid w:val="003E3037"/>
    <w:rsid w:val="003E31DF"/>
    <w:rsid w:val="003E3395"/>
    <w:rsid w:val="003E33CF"/>
    <w:rsid w:val="003E33ED"/>
    <w:rsid w:val="003E342E"/>
    <w:rsid w:val="003E34BB"/>
    <w:rsid w:val="003E35CB"/>
    <w:rsid w:val="003E3729"/>
    <w:rsid w:val="003E3850"/>
    <w:rsid w:val="003E3A90"/>
    <w:rsid w:val="003E3B8D"/>
    <w:rsid w:val="003E3CBF"/>
    <w:rsid w:val="003E3D49"/>
    <w:rsid w:val="003E3D53"/>
    <w:rsid w:val="003E3E4A"/>
    <w:rsid w:val="003E3F13"/>
    <w:rsid w:val="003E4042"/>
    <w:rsid w:val="003E4073"/>
    <w:rsid w:val="003E40F5"/>
    <w:rsid w:val="003E4173"/>
    <w:rsid w:val="003E426B"/>
    <w:rsid w:val="003E4277"/>
    <w:rsid w:val="003E43F8"/>
    <w:rsid w:val="003E4506"/>
    <w:rsid w:val="003E4739"/>
    <w:rsid w:val="003E47CB"/>
    <w:rsid w:val="003E49FD"/>
    <w:rsid w:val="003E4AD9"/>
    <w:rsid w:val="003E4D57"/>
    <w:rsid w:val="003E4EF8"/>
    <w:rsid w:val="003E5066"/>
    <w:rsid w:val="003E50BF"/>
    <w:rsid w:val="003E516C"/>
    <w:rsid w:val="003E5180"/>
    <w:rsid w:val="003E51AB"/>
    <w:rsid w:val="003E5347"/>
    <w:rsid w:val="003E5476"/>
    <w:rsid w:val="003E5641"/>
    <w:rsid w:val="003E5673"/>
    <w:rsid w:val="003E56F6"/>
    <w:rsid w:val="003E56FA"/>
    <w:rsid w:val="003E5780"/>
    <w:rsid w:val="003E581E"/>
    <w:rsid w:val="003E58A6"/>
    <w:rsid w:val="003E592C"/>
    <w:rsid w:val="003E5BE2"/>
    <w:rsid w:val="003E5CE9"/>
    <w:rsid w:val="003E5DC3"/>
    <w:rsid w:val="003E5E48"/>
    <w:rsid w:val="003E5E7E"/>
    <w:rsid w:val="003E5F53"/>
    <w:rsid w:val="003E5FB0"/>
    <w:rsid w:val="003E5FE3"/>
    <w:rsid w:val="003E608C"/>
    <w:rsid w:val="003E6136"/>
    <w:rsid w:val="003E61DD"/>
    <w:rsid w:val="003E62B0"/>
    <w:rsid w:val="003E62B2"/>
    <w:rsid w:val="003E62DC"/>
    <w:rsid w:val="003E631C"/>
    <w:rsid w:val="003E6357"/>
    <w:rsid w:val="003E63F9"/>
    <w:rsid w:val="003E64B2"/>
    <w:rsid w:val="003E64FC"/>
    <w:rsid w:val="003E6531"/>
    <w:rsid w:val="003E65CC"/>
    <w:rsid w:val="003E66F0"/>
    <w:rsid w:val="003E678F"/>
    <w:rsid w:val="003E67F5"/>
    <w:rsid w:val="003E6A2B"/>
    <w:rsid w:val="003E6A93"/>
    <w:rsid w:val="003E6ACB"/>
    <w:rsid w:val="003E6CCF"/>
    <w:rsid w:val="003E6CD7"/>
    <w:rsid w:val="003E6E4C"/>
    <w:rsid w:val="003E6FA7"/>
    <w:rsid w:val="003E7074"/>
    <w:rsid w:val="003E72DE"/>
    <w:rsid w:val="003E7349"/>
    <w:rsid w:val="003E74DD"/>
    <w:rsid w:val="003E750E"/>
    <w:rsid w:val="003E7554"/>
    <w:rsid w:val="003E759B"/>
    <w:rsid w:val="003E75B0"/>
    <w:rsid w:val="003E7606"/>
    <w:rsid w:val="003E76FB"/>
    <w:rsid w:val="003E78E6"/>
    <w:rsid w:val="003E7C20"/>
    <w:rsid w:val="003E7E72"/>
    <w:rsid w:val="003F026B"/>
    <w:rsid w:val="003F0273"/>
    <w:rsid w:val="003F040A"/>
    <w:rsid w:val="003F054E"/>
    <w:rsid w:val="003F058D"/>
    <w:rsid w:val="003F05C2"/>
    <w:rsid w:val="003F06A3"/>
    <w:rsid w:val="003F0896"/>
    <w:rsid w:val="003F0AAE"/>
    <w:rsid w:val="003F0EFB"/>
    <w:rsid w:val="003F0F5A"/>
    <w:rsid w:val="003F0FDF"/>
    <w:rsid w:val="003F1070"/>
    <w:rsid w:val="003F11F7"/>
    <w:rsid w:val="003F1487"/>
    <w:rsid w:val="003F14DA"/>
    <w:rsid w:val="003F15CB"/>
    <w:rsid w:val="003F1706"/>
    <w:rsid w:val="003F1972"/>
    <w:rsid w:val="003F1983"/>
    <w:rsid w:val="003F1A53"/>
    <w:rsid w:val="003F1AD5"/>
    <w:rsid w:val="003F1BF7"/>
    <w:rsid w:val="003F1CA2"/>
    <w:rsid w:val="003F1D2C"/>
    <w:rsid w:val="003F1E81"/>
    <w:rsid w:val="003F1F56"/>
    <w:rsid w:val="003F20DE"/>
    <w:rsid w:val="003F211B"/>
    <w:rsid w:val="003F2160"/>
    <w:rsid w:val="003F2305"/>
    <w:rsid w:val="003F23BF"/>
    <w:rsid w:val="003F2572"/>
    <w:rsid w:val="003F2715"/>
    <w:rsid w:val="003F2B76"/>
    <w:rsid w:val="003F2CA8"/>
    <w:rsid w:val="003F2CEC"/>
    <w:rsid w:val="003F306A"/>
    <w:rsid w:val="003F307D"/>
    <w:rsid w:val="003F308E"/>
    <w:rsid w:val="003F30AF"/>
    <w:rsid w:val="003F31B0"/>
    <w:rsid w:val="003F3238"/>
    <w:rsid w:val="003F3308"/>
    <w:rsid w:val="003F33D1"/>
    <w:rsid w:val="003F350E"/>
    <w:rsid w:val="003F3573"/>
    <w:rsid w:val="003F362B"/>
    <w:rsid w:val="003F3848"/>
    <w:rsid w:val="003F393C"/>
    <w:rsid w:val="003F3A63"/>
    <w:rsid w:val="003F3A6B"/>
    <w:rsid w:val="003F3A77"/>
    <w:rsid w:val="003F3AB4"/>
    <w:rsid w:val="003F3EAB"/>
    <w:rsid w:val="003F3F35"/>
    <w:rsid w:val="003F40F5"/>
    <w:rsid w:val="003F414C"/>
    <w:rsid w:val="003F4283"/>
    <w:rsid w:val="003F428B"/>
    <w:rsid w:val="003F438A"/>
    <w:rsid w:val="003F4416"/>
    <w:rsid w:val="003F44CF"/>
    <w:rsid w:val="003F44F5"/>
    <w:rsid w:val="003F456E"/>
    <w:rsid w:val="003F46DD"/>
    <w:rsid w:val="003F47C1"/>
    <w:rsid w:val="003F49CB"/>
    <w:rsid w:val="003F4A2E"/>
    <w:rsid w:val="003F4AB8"/>
    <w:rsid w:val="003F4C2D"/>
    <w:rsid w:val="003F4D2F"/>
    <w:rsid w:val="003F4E08"/>
    <w:rsid w:val="003F4E1B"/>
    <w:rsid w:val="003F4F6C"/>
    <w:rsid w:val="003F4F8E"/>
    <w:rsid w:val="003F4FF2"/>
    <w:rsid w:val="003F4FFC"/>
    <w:rsid w:val="003F50A3"/>
    <w:rsid w:val="003F50B7"/>
    <w:rsid w:val="003F5180"/>
    <w:rsid w:val="003F51FD"/>
    <w:rsid w:val="003F5355"/>
    <w:rsid w:val="003F558C"/>
    <w:rsid w:val="003F55DA"/>
    <w:rsid w:val="003F55F5"/>
    <w:rsid w:val="003F562A"/>
    <w:rsid w:val="003F5653"/>
    <w:rsid w:val="003F577F"/>
    <w:rsid w:val="003F58A8"/>
    <w:rsid w:val="003F5912"/>
    <w:rsid w:val="003F5B5D"/>
    <w:rsid w:val="003F5C2A"/>
    <w:rsid w:val="003F5D4B"/>
    <w:rsid w:val="003F5D5D"/>
    <w:rsid w:val="003F5DF8"/>
    <w:rsid w:val="003F5F54"/>
    <w:rsid w:val="003F609D"/>
    <w:rsid w:val="003F60B3"/>
    <w:rsid w:val="003F60CE"/>
    <w:rsid w:val="003F62B5"/>
    <w:rsid w:val="003F6464"/>
    <w:rsid w:val="003F659A"/>
    <w:rsid w:val="003F65A7"/>
    <w:rsid w:val="003F6634"/>
    <w:rsid w:val="003F6745"/>
    <w:rsid w:val="003F67AA"/>
    <w:rsid w:val="003F6927"/>
    <w:rsid w:val="003F6956"/>
    <w:rsid w:val="003F69EA"/>
    <w:rsid w:val="003F6A49"/>
    <w:rsid w:val="003F6B28"/>
    <w:rsid w:val="003F6E7A"/>
    <w:rsid w:val="003F6E9E"/>
    <w:rsid w:val="003F70D5"/>
    <w:rsid w:val="003F70EA"/>
    <w:rsid w:val="003F7246"/>
    <w:rsid w:val="003F7337"/>
    <w:rsid w:val="003F78B1"/>
    <w:rsid w:val="003F78BB"/>
    <w:rsid w:val="003F79A2"/>
    <w:rsid w:val="003F7B2D"/>
    <w:rsid w:val="003F7B54"/>
    <w:rsid w:val="003F7CD1"/>
    <w:rsid w:val="003F7D00"/>
    <w:rsid w:val="00400027"/>
    <w:rsid w:val="004000C0"/>
    <w:rsid w:val="004000E5"/>
    <w:rsid w:val="0040014B"/>
    <w:rsid w:val="004001A8"/>
    <w:rsid w:val="004001DE"/>
    <w:rsid w:val="00400407"/>
    <w:rsid w:val="0040043D"/>
    <w:rsid w:val="0040046B"/>
    <w:rsid w:val="0040050C"/>
    <w:rsid w:val="00400566"/>
    <w:rsid w:val="00400829"/>
    <w:rsid w:val="0040085D"/>
    <w:rsid w:val="00400A14"/>
    <w:rsid w:val="00400A5B"/>
    <w:rsid w:val="00400AB1"/>
    <w:rsid w:val="00400C11"/>
    <w:rsid w:val="00400D61"/>
    <w:rsid w:val="00400DA6"/>
    <w:rsid w:val="00401019"/>
    <w:rsid w:val="00401143"/>
    <w:rsid w:val="0040116F"/>
    <w:rsid w:val="0040121A"/>
    <w:rsid w:val="004012F5"/>
    <w:rsid w:val="00401323"/>
    <w:rsid w:val="00401371"/>
    <w:rsid w:val="00401420"/>
    <w:rsid w:val="00401563"/>
    <w:rsid w:val="00401742"/>
    <w:rsid w:val="004018C2"/>
    <w:rsid w:val="00401ABA"/>
    <w:rsid w:val="00401B70"/>
    <w:rsid w:val="00401B8C"/>
    <w:rsid w:val="00401DE5"/>
    <w:rsid w:val="00401E3D"/>
    <w:rsid w:val="00401F23"/>
    <w:rsid w:val="00401F3E"/>
    <w:rsid w:val="00402143"/>
    <w:rsid w:val="00402166"/>
    <w:rsid w:val="00402193"/>
    <w:rsid w:val="00402281"/>
    <w:rsid w:val="00402287"/>
    <w:rsid w:val="0040235C"/>
    <w:rsid w:val="00402426"/>
    <w:rsid w:val="004024CA"/>
    <w:rsid w:val="004024F3"/>
    <w:rsid w:val="0040257A"/>
    <w:rsid w:val="004026DC"/>
    <w:rsid w:val="0040279E"/>
    <w:rsid w:val="00402BCF"/>
    <w:rsid w:val="00402C71"/>
    <w:rsid w:val="00402CDD"/>
    <w:rsid w:val="00402D58"/>
    <w:rsid w:val="00402E41"/>
    <w:rsid w:val="00402F65"/>
    <w:rsid w:val="004030E7"/>
    <w:rsid w:val="0040317D"/>
    <w:rsid w:val="00403220"/>
    <w:rsid w:val="00403285"/>
    <w:rsid w:val="00403294"/>
    <w:rsid w:val="004032B8"/>
    <w:rsid w:val="00403385"/>
    <w:rsid w:val="004033E1"/>
    <w:rsid w:val="00403407"/>
    <w:rsid w:val="0040344D"/>
    <w:rsid w:val="0040347B"/>
    <w:rsid w:val="00403594"/>
    <w:rsid w:val="00403595"/>
    <w:rsid w:val="004035E5"/>
    <w:rsid w:val="004037CE"/>
    <w:rsid w:val="00403951"/>
    <w:rsid w:val="00403AF1"/>
    <w:rsid w:val="00403C44"/>
    <w:rsid w:val="0040402B"/>
    <w:rsid w:val="0040407E"/>
    <w:rsid w:val="0040409E"/>
    <w:rsid w:val="00404326"/>
    <w:rsid w:val="00404384"/>
    <w:rsid w:val="004044A9"/>
    <w:rsid w:val="00404540"/>
    <w:rsid w:val="004045A7"/>
    <w:rsid w:val="004045B9"/>
    <w:rsid w:val="00404607"/>
    <w:rsid w:val="00404628"/>
    <w:rsid w:val="0040470F"/>
    <w:rsid w:val="004047AC"/>
    <w:rsid w:val="0040480E"/>
    <w:rsid w:val="004048E1"/>
    <w:rsid w:val="00404C9E"/>
    <w:rsid w:val="00404DB6"/>
    <w:rsid w:val="00404E2E"/>
    <w:rsid w:val="00404EE2"/>
    <w:rsid w:val="0040519A"/>
    <w:rsid w:val="00405257"/>
    <w:rsid w:val="0040536E"/>
    <w:rsid w:val="004053DE"/>
    <w:rsid w:val="0040548C"/>
    <w:rsid w:val="004054A1"/>
    <w:rsid w:val="004054CB"/>
    <w:rsid w:val="00405563"/>
    <w:rsid w:val="00405665"/>
    <w:rsid w:val="00405724"/>
    <w:rsid w:val="004058FD"/>
    <w:rsid w:val="00405A28"/>
    <w:rsid w:val="00405B00"/>
    <w:rsid w:val="00405BC1"/>
    <w:rsid w:val="00405C54"/>
    <w:rsid w:val="00405C93"/>
    <w:rsid w:val="00405D02"/>
    <w:rsid w:val="00405D9F"/>
    <w:rsid w:val="0040604E"/>
    <w:rsid w:val="004060D3"/>
    <w:rsid w:val="00406307"/>
    <w:rsid w:val="0040637F"/>
    <w:rsid w:val="00406380"/>
    <w:rsid w:val="004063C5"/>
    <w:rsid w:val="0040660D"/>
    <w:rsid w:val="00406668"/>
    <w:rsid w:val="004066A4"/>
    <w:rsid w:val="00406929"/>
    <w:rsid w:val="00406A2F"/>
    <w:rsid w:val="00406F2D"/>
    <w:rsid w:val="00406F2E"/>
    <w:rsid w:val="00406F90"/>
    <w:rsid w:val="00406FE7"/>
    <w:rsid w:val="0040713E"/>
    <w:rsid w:val="004071BE"/>
    <w:rsid w:val="00407389"/>
    <w:rsid w:val="0040746E"/>
    <w:rsid w:val="00407486"/>
    <w:rsid w:val="004074CD"/>
    <w:rsid w:val="00407A0D"/>
    <w:rsid w:val="00407A27"/>
    <w:rsid w:val="00407B21"/>
    <w:rsid w:val="00407B7A"/>
    <w:rsid w:val="00407D23"/>
    <w:rsid w:val="00407DE4"/>
    <w:rsid w:val="00407F77"/>
    <w:rsid w:val="00410033"/>
    <w:rsid w:val="004100F0"/>
    <w:rsid w:val="00410382"/>
    <w:rsid w:val="0041041D"/>
    <w:rsid w:val="00410534"/>
    <w:rsid w:val="004105A0"/>
    <w:rsid w:val="00410727"/>
    <w:rsid w:val="00410734"/>
    <w:rsid w:val="00410878"/>
    <w:rsid w:val="004108D8"/>
    <w:rsid w:val="00410978"/>
    <w:rsid w:val="00410A35"/>
    <w:rsid w:val="00410C3B"/>
    <w:rsid w:val="00410C8F"/>
    <w:rsid w:val="00410FCE"/>
    <w:rsid w:val="00411042"/>
    <w:rsid w:val="0041109D"/>
    <w:rsid w:val="0041124C"/>
    <w:rsid w:val="0041134B"/>
    <w:rsid w:val="004114AF"/>
    <w:rsid w:val="004114E7"/>
    <w:rsid w:val="0041160B"/>
    <w:rsid w:val="004116F8"/>
    <w:rsid w:val="0041170A"/>
    <w:rsid w:val="0041170C"/>
    <w:rsid w:val="00411713"/>
    <w:rsid w:val="00411917"/>
    <w:rsid w:val="00411A95"/>
    <w:rsid w:val="00411A96"/>
    <w:rsid w:val="00411AB8"/>
    <w:rsid w:val="00411AFA"/>
    <w:rsid w:val="00411D54"/>
    <w:rsid w:val="00411DE8"/>
    <w:rsid w:val="00411E4D"/>
    <w:rsid w:val="00411E6C"/>
    <w:rsid w:val="00411EEC"/>
    <w:rsid w:val="0041201E"/>
    <w:rsid w:val="00412089"/>
    <w:rsid w:val="004121B0"/>
    <w:rsid w:val="00412248"/>
    <w:rsid w:val="004122A9"/>
    <w:rsid w:val="004122F7"/>
    <w:rsid w:val="0041247F"/>
    <w:rsid w:val="004124D1"/>
    <w:rsid w:val="00412616"/>
    <w:rsid w:val="0041270B"/>
    <w:rsid w:val="00412793"/>
    <w:rsid w:val="004127DB"/>
    <w:rsid w:val="0041285B"/>
    <w:rsid w:val="004129C6"/>
    <w:rsid w:val="004129F0"/>
    <w:rsid w:val="00412C42"/>
    <w:rsid w:val="00412DF3"/>
    <w:rsid w:val="00412EF9"/>
    <w:rsid w:val="00412F12"/>
    <w:rsid w:val="00413170"/>
    <w:rsid w:val="0041320C"/>
    <w:rsid w:val="00413532"/>
    <w:rsid w:val="004136CC"/>
    <w:rsid w:val="004137D1"/>
    <w:rsid w:val="0041388D"/>
    <w:rsid w:val="0041392B"/>
    <w:rsid w:val="00413A25"/>
    <w:rsid w:val="00413B25"/>
    <w:rsid w:val="00413B5A"/>
    <w:rsid w:val="00413CAD"/>
    <w:rsid w:val="00413D33"/>
    <w:rsid w:val="00413EF3"/>
    <w:rsid w:val="00413F9B"/>
    <w:rsid w:val="0041408A"/>
    <w:rsid w:val="0041411D"/>
    <w:rsid w:val="00414244"/>
    <w:rsid w:val="004142A8"/>
    <w:rsid w:val="0041441F"/>
    <w:rsid w:val="00414446"/>
    <w:rsid w:val="0041449A"/>
    <w:rsid w:val="0041465A"/>
    <w:rsid w:val="00414678"/>
    <w:rsid w:val="00414694"/>
    <w:rsid w:val="004146E2"/>
    <w:rsid w:val="0041470E"/>
    <w:rsid w:val="004148E5"/>
    <w:rsid w:val="00414C48"/>
    <w:rsid w:val="00414D83"/>
    <w:rsid w:val="00414E17"/>
    <w:rsid w:val="00414EF2"/>
    <w:rsid w:val="004151BD"/>
    <w:rsid w:val="004152DA"/>
    <w:rsid w:val="00415372"/>
    <w:rsid w:val="00415423"/>
    <w:rsid w:val="00415556"/>
    <w:rsid w:val="0041555A"/>
    <w:rsid w:val="00415584"/>
    <w:rsid w:val="00415601"/>
    <w:rsid w:val="004156D0"/>
    <w:rsid w:val="00415852"/>
    <w:rsid w:val="0041598E"/>
    <w:rsid w:val="00415A80"/>
    <w:rsid w:val="00415ABC"/>
    <w:rsid w:val="00415AD3"/>
    <w:rsid w:val="00415C1E"/>
    <w:rsid w:val="00415C79"/>
    <w:rsid w:val="00415C84"/>
    <w:rsid w:val="00415C91"/>
    <w:rsid w:val="00415D5F"/>
    <w:rsid w:val="00415F62"/>
    <w:rsid w:val="00416098"/>
    <w:rsid w:val="004160DB"/>
    <w:rsid w:val="00416119"/>
    <w:rsid w:val="004162B6"/>
    <w:rsid w:val="00416321"/>
    <w:rsid w:val="0041644A"/>
    <w:rsid w:val="00416517"/>
    <w:rsid w:val="00416563"/>
    <w:rsid w:val="00416635"/>
    <w:rsid w:val="004167C5"/>
    <w:rsid w:val="00416895"/>
    <w:rsid w:val="004168B0"/>
    <w:rsid w:val="00416909"/>
    <w:rsid w:val="0041693C"/>
    <w:rsid w:val="00416996"/>
    <w:rsid w:val="00416CAD"/>
    <w:rsid w:val="00416DC1"/>
    <w:rsid w:val="00416EA2"/>
    <w:rsid w:val="00416F27"/>
    <w:rsid w:val="00417177"/>
    <w:rsid w:val="00417190"/>
    <w:rsid w:val="00417235"/>
    <w:rsid w:val="00417343"/>
    <w:rsid w:val="00417351"/>
    <w:rsid w:val="0041737B"/>
    <w:rsid w:val="0041742E"/>
    <w:rsid w:val="004176DF"/>
    <w:rsid w:val="004178DA"/>
    <w:rsid w:val="0041799B"/>
    <w:rsid w:val="00417C22"/>
    <w:rsid w:val="00417D6F"/>
    <w:rsid w:val="00417DB6"/>
    <w:rsid w:val="00417EC3"/>
    <w:rsid w:val="00417F2E"/>
    <w:rsid w:val="00420029"/>
    <w:rsid w:val="0042004E"/>
    <w:rsid w:val="004200DE"/>
    <w:rsid w:val="00420212"/>
    <w:rsid w:val="0042030E"/>
    <w:rsid w:val="00420341"/>
    <w:rsid w:val="00420459"/>
    <w:rsid w:val="004205FE"/>
    <w:rsid w:val="004206EA"/>
    <w:rsid w:val="00420716"/>
    <w:rsid w:val="004207EA"/>
    <w:rsid w:val="0042083C"/>
    <w:rsid w:val="004208D4"/>
    <w:rsid w:val="00420ABB"/>
    <w:rsid w:val="00420B45"/>
    <w:rsid w:val="00420E67"/>
    <w:rsid w:val="00420F81"/>
    <w:rsid w:val="00421374"/>
    <w:rsid w:val="0042139D"/>
    <w:rsid w:val="004215AC"/>
    <w:rsid w:val="0042167E"/>
    <w:rsid w:val="00421844"/>
    <w:rsid w:val="00421B8A"/>
    <w:rsid w:val="00421CD6"/>
    <w:rsid w:val="00421D79"/>
    <w:rsid w:val="00421DAE"/>
    <w:rsid w:val="0042216A"/>
    <w:rsid w:val="00422196"/>
    <w:rsid w:val="004221A5"/>
    <w:rsid w:val="00422495"/>
    <w:rsid w:val="00422543"/>
    <w:rsid w:val="00422741"/>
    <w:rsid w:val="0042285A"/>
    <w:rsid w:val="00422889"/>
    <w:rsid w:val="004229BA"/>
    <w:rsid w:val="00422A33"/>
    <w:rsid w:val="00422ADE"/>
    <w:rsid w:val="00422C1B"/>
    <w:rsid w:val="00422C3F"/>
    <w:rsid w:val="00422C68"/>
    <w:rsid w:val="00422DB0"/>
    <w:rsid w:val="00422E56"/>
    <w:rsid w:val="00422EA4"/>
    <w:rsid w:val="00422EE0"/>
    <w:rsid w:val="00422F42"/>
    <w:rsid w:val="0042315D"/>
    <w:rsid w:val="004231CB"/>
    <w:rsid w:val="004233AC"/>
    <w:rsid w:val="00423442"/>
    <w:rsid w:val="00423563"/>
    <w:rsid w:val="004235CD"/>
    <w:rsid w:val="00423606"/>
    <w:rsid w:val="00423638"/>
    <w:rsid w:val="00423694"/>
    <w:rsid w:val="00423763"/>
    <w:rsid w:val="004237E8"/>
    <w:rsid w:val="004237EE"/>
    <w:rsid w:val="00423922"/>
    <w:rsid w:val="00423B33"/>
    <w:rsid w:val="00423CFD"/>
    <w:rsid w:val="00423DAF"/>
    <w:rsid w:val="00423EE7"/>
    <w:rsid w:val="00423F70"/>
    <w:rsid w:val="0042411E"/>
    <w:rsid w:val="00424288"/>
    <w:rsid w:val="00424381"/>
    <w:rsid w:val="004243AD"/>
    <w:rsid w:val="0042445E"/>
    <w:rsid w:val="00424478"/>
    <w:rsid w:val="004245EA"/>
    <w:rsid w:val="00424785"/>
    <w:rsid w:val="00424821"/>
    <w:rsid w:val="00424851"/>
    <w:rsid w:val="00424988"/>
    <w:rsid w:val="00424A2B"/>
    <w:rsid w:val="00424AA6"/>
    <w:rsid w:val="00424AB9"/>
    <w:rsid w:val="00424B31"/>
    <w:rsid w:val="00424BBF"/>
    <w:rsid w:val="00424C12"/>
    <w:rsid w:val="00424C57"/>
    <w:rsid w:val="00424C75"/>
    <w:rsid w:val="00424CC1"/>
    <w:rsid w:val="00424DB5"/>
    <w:rsid w:val="00424DC7"/>
    <w:rsid w:val="00424E1D"/>
    <w:rsid w:val="00424E5D"/>
    <w:rsid w:val="00424EA4"/>
    <w:rsid w:val="00424F4C"/>
    <w:rsid w:val="00424F6E"/>
    <w:rsid w:val="00424FDC"/>
    <w:rsid w:val="0042515C"/>
    <w:rsid w:val="0042519C"/>
    <w:rsid w:val="004253B5"/>
    <w:rsid w:val="004253C2"/>
    <w:rsid w:val="0042542C"/>
    <w:rsid w:val="00425538"/>
    <w:rsid w:val="00425550"/>
    <w:rsid w:val="004255C3"/>
    <w:rsid w:val="00425836"/>
    <w:rsid w:val="004258AE"/>
    <w:rsid w:val="00425976"/>
    <w:rsid w:val="00425979"/>
    <w:rsid w:val="00425C46"/>
    <w:rsid w:val="00425CB3"/>
    <w:rsid w:val="00425DCF"/>
    <w:rsid w:val="00425E84"/>
    <w:rsid w:val="004262C4"/>
    <w:rsid w:val="004262FD"/>
    <w:rsid w:val="00426406"/>
    <w:rsid w:val="0042641C"/>
    <w:rsid w:val="0042663C"/>
    <w:rsid w:val="004266F9"/>
    <w:rsid w:val="0042673E"/>
    <w:rsid w:val="00426743"/>
    <w:rsid w:val="0042681D"/>
    <w:rsid w:val="004268ED"/>
    <w:rsid w:val="00426B31"/>
    <w:rsid w:val="00426B75"/>
    <w:rsid w:val="00426B8D"/>
    <w:rsid w:val="00426C49"/>
    <w:rsid w:val="00426CD5"/>
    <w:rsid w:val="00426EC7"/>
    <w:rsid w:val="004270EF"/>
    <w:rsid w:val="004270F8"/>
    <w:rsid w:val="00427127"/>
    <w:rsid w:val="00427151"/>
    <w:rsid w:val="004271A2"/>
    <w:rsid w:val="004271C0"/>
    <w:rsid w:val="00427355"/>
    <w:rsid w:val="004273D8"/>
    <w:rsid w:val="004273E9"/>
    <w:rsid w:val="004273F7"/>
    <w:rsid w:val="004277B4"/>
    <w:rsid w:val="004277FC"/>
    <w:rsid w:val="0042780F"/>
    <w:rsid w:val="00427827"/>
    <w:rsid w:val="00427937"/>
    <w:rsid w:val="00427A59"/>
    <w:rsid w:val="00427AEC"/>
    <w:rsid w:val="00427B41"/>
    <w:rsid w:val="00427BE6"/>
    <w:rsid w:val="00427CAE"/>
    <w:rsid w:val="00427CF3"/>
    <w:rsid w:val="00427DCC"/>
    <w:rsid w:val="00427F02"/>
    <w:rsid w:val="00427F7D"/>
    <w:rsid w:val="00430117"/>
    <w:rsid w:val="00430168"/>
    <w:rsid w:val="004301B1"/>
    <w:rsid w:val="004302B8"/>
    <w:rsid w:val="00430302"/>
    <w:rsid w:val="0043030D"/>
    <w:rsid w:val="0043048B"/>
    <w:rsid w:val="004304C1"/>
    <w:rsid w:val="004305F6"/>
    <w:rsid w:val="00430662"/>
    <w:rsid w:val="0043067A"/>
    <w:rsid w:val="0043093F"/>
    <w:rsid w:val="00430A1C"/>
    <w:rsid w:val="00430A53"/>
    <w:rsid w:val="00430A73"/>
    <w:rsid w:val="00430B46"/>
    <w:rsid w:val="00430D3A"/>
    <w:rsid w:val="00430FAD"/>
    <w:rsid w:val="0043100D"/>
    <w:rsid w:val="00431088"/>
    <w:rsid w:val="004311EA"/>
    <w:rsid w:val="00431413"/>
    <w:rsid w:val="00431463"/>
    <w:rsid w:val="004314A4"/>
    <w:rsid w:val="004315CE"/>
    <w:rsid w:val="00431612"/>
    <w:rsid w:val="00431665"/>
    <w:rsid w:val="00431681"/>
    <w:rsid w:val="0043171A"/>
    <w:rsid w:val="00431773"/>
    <w:rsid w:val="0043190F"/>
    <w:rsid w:val="00431A0B"/>
    <w:rsid w:val="00431ABE"/>
    <w:rsid w:val="00431C17"/>
    <w:rsid w:val="00431C1E"/>
    <w:rsid w:val="00431CD3"/>
    <w:rsid w:val="00431CE4"/>
    <w:rsid w:val="00431EE8"/>
    <w:rsid w:val="00431F37"/>
    <w:rsid w:val="00431FDD"/>
    <w:rsid w:val="0043206A"/>
    <w:rsid w:val="00432096"/>
    <w:rsid w:val="00432097"/>
    <w:rsid w:val="004320B7"/>
    <w:rsid w:val="00432114"/>
    <w:rsid w:val="004322AF"/>
    <w:rsid w:val="0043245E"/>
    <w:rsid w:val="00432594"/>
    <w:rsid w:val="004325F7"/>
    <w:rsid w:val="0043269A"/>
    <w:rsid w:val="004327F6"/>
    <w:rsid w:val="0043282B"/>
    <w:rsid w:val="004328FB"/>
    <w:rsid w:val="00432944"/>
    <w:rsid w:val="00432967"/>
    <w:rsid w:val="00432984"/>
    <w:rsid w:val="00432A5D"/>
    <w:rsid w:val="00432AA1"/>
    <w:rsid w:val="00432B8E"/>
    <w:rsid w:val="00432BF1"/>
    <w:rsid w:val="00432C3B"/>
    <w:rsid w:val="00432CEA"/>
    <w:rsid w:val="00432D8F"/>
    <w:rsid w:val="00432DCC"/>
    <w:rsid w:val="00432E0A"/>
    <w:rsid w:val="00432F50"/>
    <w:rsid w:val="00432FED"/>
    <w:rsid w:val="00433085"/>
    <w:rsid w:val="004333C8"/>
    <w:rsid w:val="0043357F"/>
    <w:rsid w:val="004335AD"/>
    <w:rsid w:val="00433651"/>
    <w:rsid w:val="00433728"/>
    <w:rsid w:val="0043372F"/>
    <w:rsid w:val="00433776"/>
    <w:rsid w:val="0043384B"/>
    <w:rsid w:val="00433863"/>
    <w:rsid w:val="004338BC"/>
    <w:rsid w:val="00433C01"/>
    <w:rsid w:val="00433CC6"/>
    <w:rsid w:val="00433EF1"/>
    <w:rsid w:val="00433F46"/>
    <w:rsid w:val="00434067"/>
    <w:rsid w:val="00434085"/>
    <w:rsid w:val="00434106"/>
    <w:rsid w:val="00434143"/>
    <w:rsid w:val="00434160"/>
    <w:rsid w:val="004345DC"/>
    <w:rsid w:val="0043460F"/>
    <w:rsid w:val="004346D2"/>
    <w:rsid w:val="0043475D"/>
    <w:rsid w:val="00434842"/>
    <w:rsid w:val="00434A44"/>
    <w:rsid w:val="00434A80"/>
    <w:rsid w:val="00434B02"/>
    <w:rsid w:val="00434BA1"/>
    <w:rsid w:val="00434CAC"/>
    <w:rsid w:val="00434F59"/>
    <w:rsid w:val="004350A8"/>
    <w:rsid w:val="0043513D"/>
    <w:rsid w:val="00435183"/>
    <w:rsid w:val="00435191"/>
    <w:rsid w:val="00435255"/>
    <w:rsid w:val="0043525D"/>
    <w:rsid w:val="00435321"/>
    <w:rsid w:val="0043532C"/>
    <w:rsid w:val="004357BB"/>
    <w:rsid w:val="004357D8"/>
    <w:rsid w:val="004358AD"/>
    <w:rsid w:val="00435949"/>
    <w:rsid w:val="004359EC"/>
    <w:rsid w:val="00435B89"/>
    <w:rsid w:val="00435D8F"/>
    <w:rsid w:val="00435DA9"/>
    <w:rsid w:val="00435E67"/>
    <w:rsid w:val="004360D6"/>
    <w:rsid w:val="0043610A"/>
    <w:rsid w:val="00436356"/>
    <w:rsid w:val="004364CB"/>
    <w:rsid w:val="0043660E"/>
    <w:rsid w:val="00436796"/>
    <w:rsid w:val="004367E7"/>
    <w:rsid w:val="0043682C"/>
    <w:rsid w:val="00436844"/>
    <w:rsid w:val="00436847"/>
    <w:rsid w:val="004369B2"/>
    <w:rsid w:val="00436B9D"/>
    <w:rsid w:val="00436BEE"/>
    <w:rsid w:val="00436D29"/>
    <w:rsid w:val="00436F98"/>
    <w:rsid w:val="0043717E"/>
    <w:rsid w:val="0043736C"/>
    <w:rsid w:val="0043737F"/>
    <w:rsid w:val="00437427"/>
    <w:rsid w:val="004374A4"/>
    <w:rsid w:val="00437603"/>
    <w:rsid w:val="0043760F"/>
    <w:rsid w:val="0043787C"/>
    <w:rsid w:val="00437918"/>
    <w:rsid w:val="00437952"/>
    <w:rsid w:val="00437CDF"/>
    <w:rsid w:val="00437CE0"/>
    <w:rsid w:val="00437D71"/>
    <w:rsid w:val="00437FBE"/>
    <w:rsid w:val="00437FF7"/>
    <w:rsid w:val="004401B4"/>
    <w:rsid w:val="004401B8"/>
    <w:rsid w:val="0044039E"/>
    <w:rsid w:val="004403DC"/>
    <w:rsid w:val="004403DE"/>
    <w:rsid w:val="00440402"/>
    <w:rsid w:val="004406A2"/>
    <w:rsid w:val="004406F4"/>
    <w:rsid w:val="0044079E"/>
    <w:rsid w:val="004408D6"/>
    <w:rsid w:val="00440B38"/>
    <w:rsid w:val="00440BCD"/>
    <w:rsid w:val="00440D82"/>
    <w:rsid w:val="00440E12"/>
    <w:rsid w:val="00440E2E"/>
    <w:rsid w:val="00440E4C"/>
    <w:rsid w:val="00440EDD"/>
    <w:rsid w:val="00440FC2"/>
    <w:rsid w:val="00440FE3"/>
    <w:rsid w:val="00441057"/>
    <w:rsid w:val="004410C2"/>
    <w:rsid w:val="0044111F"/>
    <w:rsid w:val="0044112C"/>
    <w:rsid w:val="00441245"/>
    <w:rsid w:val="0044129F"/>
    <w:rsid w:val="004413E0"/>
    <w:rsid w:val="004414BA"/>
    <w:rsid w:val="00441625"/>
    <w:rsid w:val="00441910"/>
    <w:rsid w:val="0044196F"/>
    <w:rsid w:val="004419F3"/>
    <w:rsid w:val="004419F9"/>
    <w:rsid w:val="00441AB7"/>
    <w:rsid w:val="00441ABC"/>
    <w:rsid w:val="00441AD1"/>
    <w:rsid w:val="00441BC6"/>
    <w:rsid w:val="00441C68"/>
    <w:rsid w:val="00441CD3"/>
    <w:rsid w:val="00441F17"/>
    <w:rsid w:val="00441F42"/>
    <w:rsid w:val="00442065"/>
    <w:rsid w:val="00442231"/>
    <w:rsid w:val="0044242D"/>
    <w:rsid w:val="00442467"/>
    <w:rsid w:val="004424DF"/>
    <w:rsid w:val="00442534"/>
    <w:rsid w:val="00442594"/>
    <w:rsid w:val="0044261D"/>
    <w:rsid w:val="0044270D"/>
    <w:rsid w:val="00442782"/>
    <w:rsid w:val="00442890"/>
    <w:rsid w:val="0044296F"/>
    <w:rsid w:val="0044299C"/>
    <w:rsid w:val="00442AC1"/>
    <w:rsid w:val="00442C56"/>
    <w:rsid w:val="00442DBE"/>
    <w:rsid w:val="00442E03"/>
    <w:rsid w:val="00442E19"/>
    <w:rsid w:val="00442EBE"/>
    <w:rsid w:val="00443042"/>
    <w:rsid w:val="0044312D"/>
    <w:rsid w:val="00443191"/>
    <w:rsid w:val="004431E3"/>
    <w:rsid w:val="00443332"/>
    <w:rsid w:val="004433BF"/>
    <w:rsid w:val="00443452"/>
    <w:rsid w:val="004436FA"/>
    <w:rsid w:val="00443881"/>
    <w:rsid w:val="004439BB"/>
    <w:rsid w:val="00443A0F"/>
    <w:rsid w:val="00443B0F"/>
    <w:rsid w:val="00443B52"/>
    <w:rsid w:val="00443B6E"/>
    <w:rsid w:val="00443D19"/>
    <w:rsid w:val="0044406A"/>
    <w:rsid w:val="004445CE"/>
    <w:rsid w:val="0044461B"/>
    <w:rsid w:val="004446FD"/>
    <w:rsid w:val="004448BB"/>
    <w:rsid w:val="004449F0"/>
    <w:rsid w:val="00444A5F"/>
    <w:rsid w:val="00444AE7"/>
    <w:rsid w:val="00444BC4"/>
    <w:rsid w:val="00444BFE"/>
    <w:rsid w:val="00444FF2"/>
    <w:rsid w:val="00445191"/>
    <w:rsid w:val="0044535B"/>
    <w:rsid w:val="00445375"/>
    <w:rsid w:val="00445417"/>
    <w:rsid w:val="0044544A"/>
    <w:rsid w:val="0044567E"/>
    <w:rsid w:val="004456A3"/>
    <w:rsid w:val="00445700"/>
    <w:rsid w:val="00445784"/>
    <w:rsid w:val="004457E1"/>
    <w:rsid w:val="00445804"/>
    <w:rsid w:val="00445832"/>
    <w:rsid w:val="004458E4"/>
    <w:rsid w:val="004459E9"/>
    <w:rsid w:val="00445A04"/>
    <w:rsid w:val="00445A91"/>
    <w:rsid w:val="00445AB4"/>
    <w:rsid w:val="00445B1C"/>
    <w:rsid w:val="00445B51"/>
    <w:rsid w:val="00445B6C"/>
    <w:rsid w:val="00445BE1"/>
    <w:rsid w:val="00445CA5"/>
    <w:rsid w:val="00445D06"/>
    <w:rsid w:val="00445D9C"/>
    <w:rsid w:val="00445E26"/>
    <w:rsid w:val="00445F56"/>
    <w:rsid w:val="004460A5"/>
    <w:rsid w:val="004460F7"/>
    <w:rsid w:val="00446104"/>
    <w:rsid w:val="004463E1"/>
    <w:rsid w:val="00446403"/>
    <w:rsid w:val="00446524"/>
    <w:rsid w:val="004465F4"/>
    <w:rsid w:val="00446624"/>
    <w:rsid w:val="00446661"/>
    <w:rsid w:val="0044667C"/>
    <w:rsid w:val="0044668B"/>
    <w:rsid w:val="00446746"/>
    <w:rsid w:val="00446779"/>
    <w:rsid w:val="00446827"/>
    <w:rsid w:val="00446952"/>
    <w:rsid w:val="004469DE"/>
    <w:rsid w:val="00446A13"/>
    <w:rsid w:val="00446A49"/>
    <w:rsid w:val="00446ABC"/>
    <w:rsid w:val="00446C3F"/>
    <w:rsid w:val="00446C96"/>
    <w:rsid w:val="00446D3C"/>
    <w:rsid w:val="00446DFC"/>
    <w:rsid w:val="00446E15"/>
    <w:rsid w:val="00446F70"/>
    <w:rsid w:val="00447030"/>
    <w:rsid w:val="00447542"/>
    <w:rsid w:val="0044764F"/>
    <w:rsid w:val="004476A7"/>
    <w:rsid w:val="00447773"/>
    <w:rsid w:val="00447AD9"/>
    <w:rsid w:val="00447CC9"/>
    <w:rsid w:val="00447DD7"/>
    <w:rsid w:val="00450136"/>
    <w:rsid w:val="004503DE"/>
    <w:rsid w:val="004504F4"/>
    <w:rsid w:val="0045051F"/>
    <w:rsid w:val="0045068F"/>
    <w:rsid w:val="004506B1"/>
    <w:rsid w:val="004506E9"/>
    <w:rsid w:val="00450734"/>
    <w:rsid w:val="00450775"/>
    <w:rsid w:val="00450816"/>
    <w:rsid w:val="0045085B"/>
    <w:rsid w:val="0045088F"/>
    <w:rsid w:val="00450949"/>
    <w:rsid w:val="004509FF"/>
    <w:rsid w:val="00450D59"/>
    <w:rsid w:val="00450E23"/>
    <w:rsid w:val="00450E57"/>
    <w:rsid w:val="00450E6C"/>
    <w:rsid w:val="00450F1B"/>
    <w:rsid w:val="004511BF"/>
    <w:rsid w:val="004511F0"/>
    <w:rsid w:val="004511FD"/>
    <w:rsid w:val="0045125A"/>
    <w:rsid w:val="004512CB"/>
    <w:rsid w:val="004512D9"/>
    <w:rsid w:val="00451476"/>
    <w:rsid w:val="004515AF"/>
    <w:rsid w:val="0045173E"/>
    <w:rsid w:val="0045179A"/>
    <w:rsid w:val="0045191C"/>
    <w:rsid w:val="00451942"/>
    <w:rsid w:val="00451B9D"/>
    <w:rsid w:val="00451BF8"/>
    <w:rsid w:val="00451CA1"/>
    <w:rsid w:val="00451CB3"/>
    <w:rsid w:val="00451CBD"/>
    <w:rsid w:val="00451E17"/>
    <w:rsid w:val="00451E50"/>
    <w:rsid w:val="004521F0"/>
    <w:rsid w:val="004523DD"/>
    <w:rsid w:val="00452411"/>
    <w:rsid w:val="0045244B"/>
    <w:rsid w:val="004524D2"/>
    <w:rsid w:val="004526F8"/>
    <w:rsid w:val="004526FE"/>
    <w:rsid w:val="0045276B"/>
    <w:rsid w:val="004528DD"/>
    <w:rsid w:val="004529B5"/>
    <w:rsid w:val="00452A3A"/>
    <w:rsid w:val="00452B35"/>
    <w:rsid w:val="00452CC1"/>
    <w:rsid w:val="00452D7C"/>
    <w:rsid w:val="00452DB5"/>
    <w:rsid w:val="00452F3F"/>
    <w:rsid w:val="004530ED"/>
    <w:rsid w:val="004531BA"/>
    <w:rsid w:val="004532EC"/>
    <w:rsid w:val="004532F9"/>
    <w:rsid w:val="004533C6"/>
    <w:rsid w:val="004534C7"/>
    <w:rsid w:val="0045351B"/>
    <w:rsid w:val="00453582"/>
    <w:rsid w:val="0045368D"/>
    <w:rsid w:val="00453752"/>
    <w:rsid w:val="0045377D"/>
    <w:rsid w:val="0045386C"/>
    <w:rsid w:val="004538B6"/>
    <w:rsid w:val="00453B69"/>
    <w:rsid w:val="00453C66"/>
    <w:rsid w:val="00453F1D"/>
    <w:rsid w:val="00453F2B"/>
    <w:rsid w:val="00453FC7"/>
    <w:rsid w:val="0045411A"/>
    <w:rsid w:val="004541BE"/>
    <w:rsid w:val="00454255"/>
    <w:rsid w:val="00454591"/>
    <w:rsid w:val="00454680"/>
    <w:rsid w:val="004546D6"/>
    <w:rsid w:val="0045479D"/>
    <w:rsid w:val="004547BB"/>
    <w:rsid w:val="00454975"/>
    <w:rsid w:val="00454DEA"/>
    <w:rsid w:val="00454DF5"/>
    <w:rsid w:val="00454ECF"/>
    <w:rsid w:val="00454FA1"/>
    <w:rsid w:val="00454FC7"/>
    <w:rsid w:val="0045503C"/>
    <w:rsid w:val="00455105"/>
    <w:rsid w:val="00455240"/>
    <w:rsid w:val="00455261"/>
    <w:rsid w:val="0045532F"/>
    <w:rsid w:val="00455385"/>
    <w:rsid w:val="00455387"/>
    <w:rsid w:val="00455590"/>
    <w:rsid w:val="0045571D"/>
    <w:rsid w:val="004557FF"/>
    <w:rsid w:val="0045584E"/>
    <w:rsid w:val="00455A56"/>
    <w:rsid w:val="00455BF1"/>
    <w:rsid w:val="00455CF3"/>
    <w:rsid w:val="00455E93"/>
    <w:rsid w:val="00456082"/>
    <w:rsid w:val="00456086"/>
    <w:rsid w:val="00456285"/>
    <w:rsid w:val="0045629A"/>
    <w:rsid w:val="004562D9"/>
    <w:rsid w:val="00456459"/>
    <w:rsid w:val="00456597"/>
    <w:rsid w:val="0045659B"/>
    <w:rsid w:val="004565D9"/>
    <w:rsid w:val="004565F4"/>
    <w:rsid w:val="0045667B"/>
    <w:rsid w:val="0045693D"/>
    <w:rsid w:val="0045697F"/>
    <w:rsid w:val="004569A9"/>
    <w:rsid w:val="00456A0A"/>
    <w:rsid w:val="00456A0F"/>
    <w:rsid w:val="00456AA3"/>
    <w:rsid w:val="00456AF6"/>
    <w:rsid w:val="00456E62"/>
    <w:rsid w:val="00456E6A"/>
    <w:rsid w:val="00457040"/>
    <w:rsid w:val="00457057"/>
    <w:rsid w:val="00457170"/>
    <w:rsid w:val="00457171"/>
    <w:rsid w:val="00457261"/>
    <w:rsid w:val="00457383"/>
    <w:rsid w:val="004574B0"/>
    <w:rsid w:val="0045755E"/>
    <w:rsid w:val="00457592"/>
    <w:rsid w:val="0045761D"/>
    <w:rsid w:val="0045763F"/>
    <w:rsid w:val="004576A7"/>
    <w:rsid w:val="0045779A"/>
    <w:rsid w:val="0045782A"/>
    <w:rsid w:val="0045785A"/>
    <w:rsid w:val="00457906"/>
    <w:rsid w:val="00457914"/>
    <w:rsid w:val="00457ADE"/>
    <w:rsid w:val="00457C48"/>
    <w:rsid w:val="00457CA1"/>
    <w:rsid w:val="00457DD2"/>
    <w:rsid w:val="00457E4C"/>
    <w:rsid w:val="00457E84"/>
    <w:rsid w:val="0046016E"/>
    <w:rsid w:val="00460182"/>
    <w:rsid w:val="0046022B"/>
    <w:rsid w:val="00460263"/>
    <w:rsid w:val="00460388"/>
    <w:rsid w:val="004604BE"/>
    <w:rsid w:val="0046055E"/>
    <w:rsid w:val="0046057C"/>
    <w:rsid w:val="004605BA"/>
    <w:rsid w:val="00460622"/>
    <w:rsid w:val="00460665"/>
    <w:rsid w:val="0046078C"/>
    <w:rsid w:val="00460859"/>
    <w:rsid w:val="004609BC"/>
    <w:rsid w:val="00460A23"/>
    <w:rsid w:val="00460A67"/>
    <w:rsid w:val="00460A9D"/>
    <w:rsid w:val="00460AD0"/>
    <w:rsid w:val="00460E1C"/>
    <w:rsid w:val="00460EBF"/>
    <w:rsid w:val="004610A5"/>
    <w:rsid w:val="00461251"/>
    <w:rsid w:val="00461291"/>
    <w:rsid w:val="004612E9"/>
    <w:rsid w:val="0046133B"/>
    <w:rsid w:val="00461457"/>
    <w:rsid w:val="0046145D"/>
    <w:rsid w:val="004614D7"/>
    <w:rsid w:val="0046161C"/>
    <w:rsid w:val="004616C5"/>
    <w:rsid w:val="00461836"/>
    <w:rsid w:val="004618D8"/>
    <w:rsid w:val="004618DE"/>
    <w:rsid w:val="004618ED"/>
    <w:rsid w:val="00461992"/>
    <w:rsid w:val="0046199D"/>
    <w:rsid w:val="00461BAC"/>
    <w:rsid w:val="00461BFE"/>
    <w:rsid w:val="00461C55"/>
    <w:rsid w:val="00461C58"/>
    <w:rsid w:val="00461C81"/>
    <w:rsid w:val="00461D65"/>
    <w:rsid w:val="00461D77"/>
    <w:rsid w:val="00461E77"/>
    <w:rsid w:val="00462051"/>
    <w:rsid w:val="004620A5"/>
    <w:rsid w:val="00462152"/>
    <w:rsid w:val="004622EC"/>
    <w:rsid w:val="00462411"/>
    <w:rsid w:val="004624EA"/>
    <w:rsid w:val="004624F9"/>
    <w:rsid w:val="00462563"/>
    <w:rsid w:val="004625DB"/>
    <w:rsid w:val="0046293C"/>
    <w:rsid w:val="00462A05"/>
    <w:rsid w:val="00462A26"/>
    <w:rsid w:val="00462A60"/>
    <w:rsid w:val="00462B97"/>
    <w:rsid w:val="00462C97"/>
    <w:rsid w:val="00462CDA"/>
    <w:rsid w:val="00462E09"/>
    <w:rsid w:val="00462F97"/>
    <w:rsid w:val="00463302"/>
    <w:rsid w:val="0046339D"/>
    <w:rsid w:val="0046360E"/>
    <w:rsid w:val="0046364D"/>
    <w:rsid w:val="004636D6"/>
    <w:rsid w:val="004636E7"/>
    <w:rsid w:val="004637D1"/>
    <w:rsid w:val="00463885"/>
    <w:rsid w:val="00463A83"/>
    <w:rsid w:val="00463AC6"/>
    <w:rsid w:val="00463B02"/>
    <w:rsid w:val="00463CE4"/>
    <w:rsid w:val="00463D1E"/>
    <w:rsid w:val="00463EF0"/>
    <w:rsid w:val="00463F7C"/>
    <w:rsid w:val="0046404D"/>
    <w:rsid w:val="004641FD"/>
    <w:rsid w:val="004643EA"/>
    <w:rsid w:val="004644DB"/>
    <w:rsid w:val="0046472B"/>
    <w:rsid w:val="004647AC"/>
    <w:rsid w:val="00464825"/>
    <w:rsid w:val="00464907"/>
    <w:rsid w:val="00464938"/>
    <w:rsid w:val="00464BD2"/>
    <w:rsid w:val="00464CE1"/>
    <w:rsid w:val="00464CF2"/>
    <w:rsid w:val="00464DD7"/>
    <w:rsid w:val="00464DDA"/>
    <w:rsid w:val="00464E05"/>
    <w:rsid w:val="00465116"/>
    <w:rsid w:val="0046515E"/>
    <w:rsid w:val="004651DA"/>
    <w:rsid w:val="0046523A"/>
    <w:rsid w:val="0046530E"/>
    <w:rsid w:val="0046532E"/>
    <w:rsid w:val="00465413"/>
    <w:rsid w:val="00465497"/>
    <w:rsid w:val="0046550E"/>
    <w:rsid w:val="00465645"/>
    <w:rsid w:val="00465663"/>
    <w:rsid w:val="00465757"/>
    <w:rsid w:val="004657A2"/>
    <w:rsid w:val="0046586A"/>
    <w:rsid w:val="0046589C"/>
    <w:rsid w:val="00465945"/>
    <w:rsid w:val="00465A16"/>
    <w:rsid w:val="00465C02"/>
    <w:rsid w:val="00465D52"/>
    <w:rsid w:val="00465DD2"/>
    <w:rsid w:val="00465E11"/>
    <w:rsid w:val="00465EB5"/>
    <w:rsid w:val="00465FEB"/>
    <w:rsid w:val="0046613B"/>
    <w:rsid w:val="004661B3"/>
    <w:rsid w:val="004662EE"/>
    <w:rsid w:val="00466355"/>
    <w:rsid w:val="004663CC"/>
    <w:rsid w:val="004664D9"/>
    <w:rsid w:val="004665AE"/>
    <w:rsid w:val="004666E1"/>
    <w:rsid w:val="00466976"/>
    <w:rsid w:val="00466B77"/>
    <w:rsid w:val="00466C75"/>
    <w:rsid w:val="00466CD2"/>
    <w:rsid w:val="00466D3D"/>
    <w:rsid w:val="00466DEC"/>
    <w:rsid w:val="00466E00"/>
    <w:rsid w:val="00466E25"/>
    <w:rsid w:val="00467086"/>
    <w:rsid w:val="00467342"/>
    <w:rsid w:val="00467348"/>
    <w:rsid w:val="00467377"/>
    <w:rsid w:val="004673CD"/>
    <w:rsid w:val="00467403"/>
    <w:rsid w:val="00467456"/>
    <w:rsid w:val="004674D1"/>
    <w:rsid w:val="00467810"/>
    <w:rsid w:val="00467828"/>
    <w:rsid w:val="00467974"/>
    <w:rsid w:val="004679B7"/>
    <w:rsid w:val="00467B9A"/>
    <w:rsid w:val="00467C5C"/>
    <w:rsid w:val="00467D55"/>
    <w:rsid w:val="00467F2D"/>
    <w:rsid w:val="00467F59"/>
    <w:rsid w:val="00467F75"/>
    <w:rsid w:val="00470163"/>
    <w:rsid w:val="004701BC"/>
    <w:rsid w:val="004701FD"/>
    <w:rsid w:val="00470269"/>
    <w:rsid w:val="0047038A"/>
    <w:rsid w:val="004703C6"/>
    <w:rsid w:val="00470592"/>
    <w:rsid w:val="004705C6"/>
    <w:rsid w:val="004706B1"/>
    <w:rsid w:val="0047073F"/>
    <w:rsid w:val="00470754"/>
    <w:rsid w:val="004707BC"/>
    <w:rsid w:val="00470802"/>
    <w:rsid w:val="00470966"/>
    <w:rsid w:val="0047099B"/>
    <w:rsid w:val="00470AC9"/>
    <w:rsid w:val="00470C50"/>
    <w:rsid w:val="00470D52"/>
    <w:rsid w:val="00470DBF"/>
    <w:rsid w:val="00470DD5"/>
    <w:rsid w:val="00470F0F"/>
    <w:rsid w:val="00471089"/>
    <w:rsid w:val="00471093"/>
    <w:rsid w:val="0047115A"/>
    <w:rsid w:val="004711EB"/>
    <w:rsid w:val="004712BD"/>
    <w:rsid w:val="0047145E"/>
    <w:rsid w:val="004716C1"/>
    <w:rsid w:val="00471713"/>
    <w:rsid w:val="0047179E"/>
    <w:rsid w:val="004717D6"/>
    <w:rsid w:val="0047187C"/>
    <w:rsid w:val="004718BE"/>
    <w:rsid w:val="0047199F"/>
    <w:rsid w:val="00471A79"/>
    <w:rsid w:val="00471E8F"/>
    <w:rsid w:val="00471F33"/>
    <w:rsid w:val="00471F51"/>
    <w:rsid w:val="00472024"/>
    <w:rsid w:val="004721C4"/>
    <w:rsid w:val="004721CD"/>
    <w:rsid w:val="004723D2"/>
    <w:rsid w:val="00472472"/>
    <w:rsid w:val="00472544"/>
    <w:rsid w:val="00472822"/>
    <w:rsid w:val="0047294D"/>
    <w:rsid w:val="00472A05"/>
    <w:rsid w:val="00472B56"/>
    <w:rsid w:val="00472C18"/>
    <w:rsid w:val="00472CCA"/>
    <w:rsid w:val="00472D22"/>
    <w:rsid w:val="00472D25"/>
    <w:rsid w:val="00472E17"/>
    <w:rsid w:val="00472E64"/>
    <w:rsid w:val="00473054"/>
    <w:rsid w:val="00473087"/>
    <w:rsid w:val="0047319A"/>
    <w:rsid w:val="004731BC"/>
    <w:rsid w:val="00473211"/>
    <w:rsid w:val="0047322B"/>
    <w:rsid w:val="00473239"/>
    <w:rsid w:val="004732FC"/>
    <w:rsid w:val="00473318"/>
    <w:rsid w:val="00473346"/>
    <w:rsid w:val="00473369"/>
    <w:rsid w:val="00473393"/>
    <w:rsid w:val="00473399"/>
    <w:rsid w:val="00473435"/>
    <w:rsid w:val="0047363B"/>
    <w:rsid w:val="00473677"/>
    <w:rsid w:val="004736DC"/>
    <w:rsid w:val="0047378F"/>
    <w:rsid w:val="0047386F"/>
    <w:rsid w:val="0047391D"/>
    <w:rsid w:val="00473A5A"/>
    <w:rsid w:val="00473AC2"/>
    <w:rsid w:val="00473B0F"/>
    <w:rsid w:val="00473CC0"/>
    <w:rsid w:val="00473D60"/>
    <w:rsid w:val="00473EF0"/>
    <w:rsid w:val="00473EFD"/>
    <w:rsid w:val="00473F49"/>
    <w:rsid w:val="00473FAF"/>
    <w:rsid w:val="00473FD4"/>
    <w:rsid w:val="00474055"/>
    <w:rsid w:val="0047407B"/>
    <w:rsid w:val="004740B3"/>
    <w:rsid w:val="004742D6"/>
    <w:rsid w:val="004743A4"/>
    <w:rsid w:val="0047452D"/>
    <w:rsid w:val="004745D7"/>
    <w:rsid w:val="00474689"/>
    <w:rsid w:val="004748AB"/>
    <w:rsid w:val="00474CB8"/>
    <w:rsid w:val="00474CF3"/>
    <w:rsid w:val="00474D61"/>
    <w:rsid w:val="00474E39"/>
    <w:rsid w:val="00474F20"/>
    <w:rsid w:val="00474F52"/>
    <w:rsid w:val="00475045"/>
    <w:rsid w:val="0047530B"/>
    <w:rsid w:val="0047531F"/>
    <w:rsid w:val="004753E4"/>
    <w:rsid w:val="0047541F"/>
    <w:rsid w:val="00475529"/>
    <w:rsid w:val="004756ED"/>
    <w:rsid w:val="00475718"/>
    <w:rsid w:val="00475742"/>
    <w:rsid w:val="00475753"/>
    <w:rsid w:val="0047578F"/>
    <w:rsid w:val="0047592E"/>
    <w:rsid w:val="00475A29"/>
    <w:rsid w:val="00475A7D"/>
    <w:rsid w:val="00475AE7"/>
    <w:rsid w:val="00475C9B"/>
    <w:rsid w:val="00475CDF"/>
    <w:rsid w:val="00475DF8"/>
    <w:rsid w:val="00475F2D"/>
    <w:rsid w:val="0047624C"/>
    <w:rsid w:val="004762C3"/>
    <w:rsid w:val="00476364"/>
    <w:rsid w:val="004764AB"/>
    <w:rsid w:val="00476650"/>
    <w:rsid w:val="0047665D"/>
    <w:rsid w:val="0047678A"/>
    <w:rsid w:val="004767DA"/>
    <w:rsid w:val="00476982"/>
    <w:rsid w:val="004769ED"/>
    <w:rsid w:val="00476A14"/>
    <w:rsid w:val="00476A58"/>
    <w:rsid w:val="00476BA2"/>
    <w:rsid w:val="00476CC1"/>
    <w:rsid w:val="00476EB0"/>
    <w:rsid w:val="004770A6"/>
    <w:rsid w:val="00477138"/>
    <w:rsid w:val="00477143"/>
    <w:rsid w:val="004771CF"/>
    <w:rsid w:val="0047720B"/>
    <w:rsid w:val="00477370"/>
    <w:rsid w:val="00477431"/>
    <w:rsid w:val="0047745B"/>
    <w:rsid w:val="00477465"/>
    <w:rsid w:val="00477469"/>
    <w:rsid w:val="004775F1"/>
    <w:rsid w:val="004776F8"/>
    <w:rsid w:val="00477BC8"/>
    <w:rsid w:val="00477C13"/>
    <w:rsid w:val="00477E62"/>
    <w:rsid w:val="00477E6C"/>
    <w:rsid w:val="00477EBE"/>
    <w:rsid w:val="00477F0E"/>
    <w:rsid w:val="00480284"/>
    <w:rsid w:val="004802DC"/>
    <w:rsid w:val="004804B5"/>
    <w:rsid w:val="0048071D"/>
    <w:rsid w:val="004808C0"/>
    <w:rsid w:val="00480995"/>
    <w:rsid w:val="00480AF2"/>
    <w:rsid w:val="00480B4F"/>
    <w:rsid w:val="00480B88"/>
    <w:rsid w:val="00480D7A"/>
    <w:rsid w:val="00480D7C"/>
    <w:rsid w:val="00480E05"/>
    <w:rsid w:val="00480E0D"/>
    <w:rsid w:val="00480E89"/>
    <w:rsid w:val="004812A6"/>
    <w:rsid w:val="004813F4"/>
    <w:rsid w:val="0048140E"/>
    <w:rsid w:val="00481428"/>
    <w:rsid w:val="004814F6"/>
    <w:rsid w:val="00481543"/>
    <w:rsid w:val="00481560"/>
    <w:rsid w:val="0048167D"/>
    <w:rsid w:val="004817F0"/>
    <w:rsid w:val="00481921"/>
    <w:rsid w:val="00481A9A"/>
    <w:rsid w:val="00481AE9"/>
    <w:rsid w:val="00481AF1"/>
    <w:rsid w:val="00481B10"/>
    <w:rsid w:val="00481B76"/>
    <w:rsid w:val="00481BEA"/>
    <w:rsid w:val="00481BFE"/>
    <w:rsid w:val="00481C74"/>
    <w:rsid w:val="00481D34"/>
    <w:rsid w:val="00482181"/>
    <w:rsid w:val="004822EA"/>
    <w:rsid w:val="0048249E"/>
    <w:rsid w:val="00482529"/>
    <w:rsid w:val="004825DD"/>
    <w:rsid w:val="00482663"/>
    <w:rsid w:val="00482954"/>
    <w:rsid w:val="00482A8B"/>
    <w:rsid w:val="00482B7E"/>
    <w:rsid w:val="00482C28"/>
    <w:rsid w:val="00482DDA"/>
    <w:rsid w:val="00482EE6"/>
    <w:rsid w:val="00482FF7"/>
    <w:rsid w:val="00483140"/>
    <w:rsid w:val="0048314B"/>
    <w:rsid w:val="0048335A"/>
    <w:rsid w:val="004836B7"/>
    <w:rsid w:val="004836EC"/>
    <w:rsid w:val="00483856"/>
    <w:rsid w:val="00483965"/>
    <w:rsid w:val="004839D0"/>
    <w:rsid w:val="004839F4"/>
    <w:rsid w:val="00483A76"/>
    <w:rsid w:val="00483D8C"/>
    <w:rsid w:val="00483F6A"/>
    <w:rsid w:val="00483F6F"/>
    <w:rsid w:val="004840F7"/>
    <w:rsid w:val="00484144"/>
    <w:rsid w:val="00484174"/>
    <w:rsid w:val="0048418D"/>
    <w:rsid w:val="004841AA"/>
    <w:rsid w:val="004842A6"/>
    <w:rsid w:val="0048453F"/>
    <w:rsid w:val="0048455A"/>
    <w:rsid w:val="004846A6"/>
    <w:rsid w:val="004846C8"/>
    <w:rsid w:val="004847F1"/>
    <w:rsid w:val="00484852"/>
    <w:rsid w:val="0048489A"/>
    <w:rsid w:val="004848C3"/>
    <w:rsid w:val="004848C6"/>
    <w:rsid w:val="00484A34"/>
    <w:rsid w:val="00484ACA"/>
    <w:rsid w:val="00484C97"/>
    <w:rsid w:val="00484CA8"/>
    <w:rsid w:val="00484D10"/>
    <w:rsid w:val="00484E02"/>
    <w:rsid w:val="004850BD"/>
    <w:rsid w:val="004851B0"/>
    <w:rsid w:val="0048528B"/>
    <w:rsid w:val="004852B3"/>
    <w:rsid w:val="004852B4"/>
    <w:rsid w:val="0048546C"/>
    <w:rsid w:val="004854CE"/>
    <w:rsid w:val="004854F2"/>
    <w:rsid w:val="004856B8"/>
    <w:rsid w:val="004856E8"/>
    <w:rsid w:val="004857ED"/>
    <w:rsid w:val="00485828"/>
    <w:rsid w:val="00485847"/>
    <w:rsid w:val="00485971"/>
    <w:rsid w:val="00485B0D"/>
    <w:rsid w:val="00485B28"/>
    <w:rsid w:val="00485CD5"/>
    <w:rsid w:val="00485DAD"/>
    <w:rsid w:val="00485E4A"/>
    <w:rsid w:val="00485EF8"/>
    <w:rsid w:val="00486117"/>
    <w:rsid w:val="0048626F"/>
    <w:rsid w:val="004862F7"/>
    <w:rsid w:val="00486314"/>
    <w:rsid w:val="00486549"/>
    <w:rsid w:val="00486720"/>
    <w:rsid w:val="004867A1"/>
    <w:rsid w:val="004867F6"/>
    <w:rsid w:val="00486877"/>
    <w:rsid w:val="00486907"/>
    <w:rsid w:val="00486A77"/>
    <w:rsid w:val="00486B3A"/>
    <w:rsid w:val="00486BD0"/>
    <w:rsid w:val="00486C3B"/>
    <w:rsid w:val="00486F1B"/>
    <w:rsid w:val="004870FC"/>
    <w:rsid w:val="00487165"/>
    <w:rsid w:val="004871E0"/>
    <w:rsid w:val="00487266"/>
    <w:rsid w:val="0048737B"/>
    <w:rsid w:val="004873E4"/>
    <w:rsid w:val="00487528"/>
    <w:rsid w:val="0048768B"/>
    <w:rsid w:val="004877DA"/>
    <w:rsid w:val="00487904"/>
    <w:rsid w:val="00487A6B"/>
    <w:rsid w:val="00487A86"/>
    <w:rsid w:val="00487B43"/>
    <w:rsid w:val="00487D5D"/>
    <w:rsid w:val="00487D84"/>
    <w:rsid w:val="00487F2B"/>
    <w:rsid w:val="0049007A"/>
    <w:rsid w:val="00490116"/>
    <w:rsid w:val="004901D8"/>
    <w:rsid w:val="0049055E"/>
    <w:rsid w:val="004905C6"/>
    <w:rsid w:val="004905F2"/>
    <w:rsid w:val="0049066E"/>
    <w:rsid w:val="00490693"/>
    <w:rsid w:val="00490865"/>
    <w:rsid w:val="00490958"/>
    <w:rsid w:val="00490AEE"/>
    <w:rsid w:val="00490BC2"/>
    <w:rsid w:val="00490CB2"/>
    <w:rsid w:val="00490CC5"/>
    <w:rsid w:val="00490E23"/>
    <w:rsid w:val="00490E3F"/>
    <w:rsid w:val="00490E59"/>
    <w:rsid w:val="00490E6E"/>
    <w:rsid w:val="00490EAC"/>
    <w:rsid w:val="00490FA7"/>
    <w:rsid w:val="00491014"/>
    <w:rsid w:val="0049101B"/>
    <w:rsid w:val="004910DA"/>
    <w:rsid w:val="00491173"/>
    <w:rsid w:val="0049132E"/>
    <w:rsid w:val="00491369"/>
    <w:rsid w:val="004913FF"/>
    <w:rsid w:val="00491577"/>
    <w:rsid w:val="004918E5"/>
    <w:rsid w:val="0049193F"/>
    <w:rsid w:val="00491A46"/>
    <w:rsid w:val="00491A60"/>
    <w:rsid w:val="00491AFB"/>
    <w:rsid w:val="00491B07"/>
    <w:rsid w:val="00491C20"/>
    <w:rsid w:val="00491CF4"/>
    <w:rsid w:val="00491D1E"/>
    <w:rsid w:val="00491D75"/>
    <w:rsid w:val="00491E62"/>
    <w:rsid w:val="00491E98"/>
    <w:rsid w:val="00491EF2"/>
    <w:rsid w:val="00492058"/>
    <w:rsid w:val="004921FB"/>
    <w:rsid w:val="0049228A"/>
    <w:rsid w:val="0049230C"/>
    <w:rsid w:val="00492399"/>
    <w:rsid w:val="0049250F"/>
    <w:rsid w:val="004926CE"/>
    <w:rsid w:val="004926D2"/>
    <w:rsid w:val="00492964"/>
    <w:rsid w:val="0049297A"/>
    <w:rsid w:val="00492BE7"/>
    <w:rsid w:val="00492D85"/>
    <w:rsid w:val="00492DE3"/>
    <w:rsid w:val="00493024"/>
    <w:rsid w:val="00493137"/>
    <w:rsid w:val="00493805"/>
    <w:rsid w:val="00493878"/>
    <w:rsid w:val="00493915"/>
    <w:rsid w:val="00493A34"/>
    <w:rsid w:val="00493B14"/>
    <w:rsid w:val="00493B3C"/>
    <w:rsid w:val="00493BF5"/>
    <w:rsid w:val="00493C7B"/>
    <w:rsid w:val="00493D4B"/>
    <w:rsid w:val="00493DF6"/>
    <w:rsid w:val="00493EC6"/>
    <w:rsid w:val="00494134"/>
    <w:rsid w:val="0049437A"/>
    <w:rsid w:val="004945E5"/>
    <w:rsid w:val="00494632"/>
    <w:rsid w:val="004946F9"/>
    <w:rsid w:val="004947A7"/>
    <w:rsid w:val="0049482D"/>
    <w:rsid w:val="0049488E"/>
    <w:rsid w:val="004948C3"/>
    <w:rsid w:val="004948E1"/>
    <w:rsid w:val="00494928"/>
    <w:rsid w:val="00494AB6"/>
    <w:rsid w:val="00494B22"/>
    <w:rsid w:val="00494B33"/>
    <w:rsid w:val="00494BBC"/>
    <w:rsid w:val="00494C78"/>
    <w:rsid w:val="00494C83"/>
    <w:rsid w:val="00494ECF"/>
    <w:rsid w:val="0049501E"/>
    <w:rsid w:val="004950BC"/>
    <w:rsid w:val="00495109"/>
    <w:rsid w:val="004951C1"/>
    <w:rsid w:val="004951F1"/>
    <w:rsid w:val="00495296"/>
    <w:rsid w:val="00495333"/>
    <w:rsid w:val="004953C8"/>
    <w:rsid w:val="004953F0"/>
    <w:rsid w:val="004954D3"/>
    <w:rsid w:val="00495512"/>
    <w:rsid w:val="00495543"/>
    <w:rsid w:val="00495702"/>
    <w:rsid w:val="00495776"/>
    <w:rsid w:val="00495961"/>
    <w:rsid w:val="00495A3C"/>
    <w:rsid w:val="00495AC4"/>
    <w:rsid w:val="00495B3E"/>
    <w:rsid w:val="00495B43"/>
    <w:rsid w:val="00495BA1"/>
    <w:rsid w:val="00495E41"/>
    <w:rsid w:val="00495E4C"/>
    <w:rsid w:val="00496031"/>
    <w:rsid w:val="00496087"/>
    <w:rsid w:val="00496347"/>
    <w:rsid w:val="00496383"/>
    <w:rsid w:val="00496457"/>
    <w:rsid w:val="004964DD"/>
    <w:rsid w:val="004965B9"/>
    <w:rsid w:val="004965E7"/>
    <w:rsid w:val="00496612"/>
    <w:rsid w:val="0049667F"/>
    <w:rsid w:val="00496965"/>
    <w:rsid w:val="0049699A"/>
    <w:rsid w:val="00496A27"/>
    <w:rsid w:val="00496A7C"/>
    <w:rsid w:val="00496CC7"/>
    <w:rsid w:val="00496D1C"/>
    <w:rsid w:val="00496DCD"/>
    <w:rsid w:val="00496E39"/>
    <w:rsid w:val="00496ED3"/>
    <w:rsid w:val="00496F05"/>
    <w:rsid w:val="00497007"/>
    <w:rsid w:val="0049706A"/>
    <w:rsid w:val="004970D3"/>
    <w:rsid w:val="00497208"/>
    <w:rsid w:val="004972ED"/>
    <w:rsid w:val="00497356"/>
    <w:rsid w:val="004974CF"/>
    <w:rsid w:val="004976E6"/>
    <w:rsid w:val="0049794E"/>
    <w:rsid w:val="00497A37"/>
    <w:rsid w:val="00497A6F"/>
    <w:rsid w:val="00497D3A"/>
    <w:rsid w:val="00497DDF"/>
    <w:rsid w:val="00497F9C"/>
    <w:rsid w:val="004A0018"/>
    <w:rsid w:val="004A002E"/>
    <w:rsid w:val="004A00AA"/>
    <w:rsid w:val="004A010D"/>
    <w:rsid w:val="004A015E"/>
    <w:rsid w:val="004A0183"/>
    <w:rsid w:val="004A01BE"/>
    <w:rsid w:val="004A0304"/>
    <w:rsid w:val="004A055F"/>
    <w:rsid w:val="004A08E1"/>
    <w:rsid w:val="004A0A6D"/>
    <w:rsid w:val="004A0B16"/>
    <w:rsid w:val="004A0B74"/>
    <w:rsid w:val="004A0BFB"/>
    <w:rsid w:val="004A0DED"/>
    <w:rsid w:val="004A0E69"/>
    <w:rsid w:val="004A0EA0"/>
    <w:rsid w:val="004A0EBE"/>
    <w:rsid w:val="004A0F94"/>
    <w:rsid w:val="004A0FCD"/>
    <w:rsid w:val="004A11FA"/>
    <w:rsid w:val="004A13D9"/>
    <w:rsid w:val="004A14C5"/>
    <w:rsid w:val="004A15A3"/>
    <w:rsid w:val="004A1607"/>
    <w:rsid w:val="004A1654"/>
    <w:rsid w:val="004A166C"/>
    <w:rsid w:val="004A180B"/>
    <w:rsid w:val="004A182B"/>
    <w:rsid w:val="004A18D0"/>
    <w:rsid w:val="004A1A3E"/>
    <w:rsid w:val="004A1B53"/>
    <w:rsid w:val="004A1B9F"/>
    <w:rsid w:val="004A1BDA"/>
    <w:rsid w:val="004A1BDD"/>
    <w:rsid w:val="004A1E15"/>
    <w:rsid w:val="004A1E37"/>
    <w:rsid w:val="004A1E4D"/>
    <w:rsid w:val="004A1ED2"/>
    <w:rsid w:val="004A1EFE"/>
    <w:rsid w:val="004A1F81"/>
    <w:rsid w:val="004A1F8A"/>
    <w:rsid w:val="004A21FB"/>
    <w:rsid w:val="004A225B"/>
    <w:rsid w:val="004A22F6"/>
    <w:rsid w:val="004A248D"/>
    <w:rsid w:val="004A2880"/>
    <w:rsid w:val="004A2B3A"/>
    <w:rsid w:val="004A2C1D"/>
    <w:rsid w:val="004A2C63"/>
    <w:rsid w:val="004A2D43"/>
    <w:rsid w:val="004A2D79"/>
    <w:rsid w:val="004A2D87"/>
    <w:rsid w:val="004A2DA1"/>
    <w:rsid w:val="004A2E2C"/>
    <w:rsid w:val="004A2EF1"/>
    <w:rsid w:val="004A2F0A"/>
    <w:rsid w:val="004A2F5D"/>
    <w:rsid w:val="004A3084"/>
    <w:rsid w:val="004A313E"/>
    <w:rsid w:val="004A317C"/>
    <w:rsid w:val="004A322B"/>
    <w:rsid w:val="004A327D"/>
    <w:rsid w:val="004A341B"/>
    <w:rsid w:val="004A352B"/>
    <w:rsid w:val="004A355C"/>
    <w:rsid w:val="004A3708"/>
    <w:rsid w:val="004A370D"/>
    <w:rsid w:val="004A3744"/>
    <w:rsid w:val="004A39BD"/>
    <w:rsid w:val="004A39C6"/>
    <w:rsid w:val="004A3A91"/>
    <w:rsid w:val="004A3ADC"/>
    <w:rsid w:val="004A3C2E"/>
    <w:rsid w:val="004A3C8F"/>
    <w:rsid w:val="004A3D6E"/>
    <w:rsid w:val="004A3D7A"/>
    <w:rsid w:val="004A4028"/>
    <w:rsid w:val="004A406F"/>
    <w:rsid w:val="004A40CB"/>
    <w:rsid w:val="004A4150"/>
    <w:rsid w:val="004A41D8"/>
    <w:rsid w:val="004A41F9"/>
    <w:rsid w:val="004A429E"/>
    <w:rsid w:val="004A43FC"/>
    <w:rsid w:val="004A44B3"/>
    <w:rsid w:val="004A461A"/>
    <w:rsid w:val="004A472D"/>
    <w:rsid w:val="004A490A"/>
    <w:rsid w:val="004A4AB9"/>
    <w:rsid w:val="004A4CC4"/>
    <w:rsid w:val="004A4F26"/>
    <w:rsid w:val="004A5003"/>
    <w:rsid w:val="004A5040"/>
    <w:rsid w:val="004A51DC"/>
    <w:rsid w:val="004A542A"/>
    <w:rsid w:val="004A54B1"/>
    <w:rsid w:val="004A5540"/>
    <w:rsid w:val="004A55EB"/>
    <w:rsid w:val="004A57D9"/>
    <w:rsid w:val="004A5943"/>
    <w:rsid w:val="004A5964"/>
    <w:rsid w:val="004A59C0"/>
    <w:rsid w:val="004A5A97"/>
    <w:rsid w:val="004A5B57"/>
    <w:rsid w:val="004A5C64"/>
    <w:rsid w:val="004A5D2F"/>
    <w:rsid w:val="004A5D30"/>
    <w:rsid w:val="004A5DCE"/>
    <w:rsid w:val="004A5EBA"/>
    <w:rsid w:val="004A5EEF"/>
    <w:rsid w:val="004A5FFA"/>
    <w:rsid w:val="004A60A3"/>
    <w:rsid w:val="004A60B5"/>
    <w:rsid w:val="004A610B"/>
    <w:rsid w:val="004A6123"/>
    <w:rsid w:val="004A6171"/>
    <w:rsid w:val="004A619A"/>
    <w:rsid w:val="004A6298"/>
    <w:rsid w:val="004A62C1"/>
    <w:rsid w:val="004A63D4"/>
    <w:rsid w:val="004A64F4"/>
    <w:rsid w:val="004A6592"/>
    <w:rsid w:val="004A66D3"/>
    <w:rsid w:val="004A6807"/>
    <w:rsid w:val="004A68E6"/>
    <w:rsid w:val="004A6905"/>
    <w:rsid w:val="004A6A25"/>
    <w:rsid w:val="004A6B64"/>
    <w:rsid w:val="004A6DC6"/>
    <w:rsid w:val="004A6EEC"/>
    <w:rsid w:val="004A707E"/>
    <w:rsid w:val="004A7253"/>
    <w:rsid w:val="004A72D1"/>
    <w:rsid w:val="004A7302"/>
    <w:rsid w:val="004A73C1"/>
    <w:rsid w:val="004A73E3"/>
    <w:rsid w:val="004A7517"/>
    <w:rsid w:val="004A75CD"/>
    <w:rsid w:val="004A75E4"/>
    <w:rsid w:val="004A76B8"/>
    <w:rsid w:val="004A773A"/>
    <w:rsid w:val="004A773C"/>
    <w:rsid w:val="004A7A1E"/>
    <w:rsid w:val="004A7AB2"/>
    <w:rsid w:val="004A7C0F"/>
    <w:rsid w:val="004A7C5F"/>
    <w:rsid w:val="004A7F5A"/>
    <w:rsid w:val="004B0280"/>
    <w:rsid w:val="004B0286"/>
    <w:rsid w:val="004B02C7"/>
    <w:rsid w:val="004B0517"/>
    <w:rsid w:val="004B0696"/>
    <w:rsid w:val="004B08CA"/>
    <w:rsid w:val="004B0A15"/>
    <w:rsid w:val="004B0AFE"/>
    <w:rsid w:val="004B0B2B"/>
    <w:rsid w:val="004B0B47"/>
    <w:rsid w:val="004B0B74"/>
    <w:rsid w:val="004B0D42"/>
    <w:rsid w:val="004B0D43"/>
    <w:rsid w:val="004B0DAE"/>
    <w:rsid w:val="004B0E31"/>
    <w:rsid w:val="004B0E4C"/>
    <w:rsid w:val="004B0F17"/>
    <w:rsid w:val="004B0FF6"/>
    <w:rsid w:val="004B13D5"/>
    <w:rsid w:val="004B16A5"/>
    <w:rsid w:val="004B17B1"/>
    <w:rsid w:val="004B1857"/>
    <w:rsid w:val="004B18E5"/>
    <w:rsid w:val="004B18FB"/>
    <w:rsid w:val="004B1A5A"/>
    <w:rsid w:val="004B1BC5"/>
    <w:rsid w:val="004B1C0B"/>
    <w:rsid w:val="004B1C6D"/>
    <w:rsid w:val="004B1CE6"/>
    <w:rsid w:val="004B1D7A"/>
    <w:rsid w:val="004B1DEE"/>
    <w:rsid w:val="004B1E32"/>
    <w:rsid w:val="004B2009"/>
    <w:rsid w:val="004B20EB"/>
    <w:rsid w:val="004B21D8"/>
    <w:rsid w:val="004B2491"/>
    <w:rsid w:val="004B25B3"/>
    <w:rsid w:val="004B2690"/>
    <w:rsid w:val="004B2767"/>
    <w:rsid w:val="004B2808"/>
    <w:rsid w:val="004B29E4"/>
    <w:rsid w:val="004B2A89"/>
    <w:rsid w:val="004B2BFE"/>
    <w:rsid w:val="004B2C51"/>
    <w:rsid w:val="004B2CB6"/>
    <w:rsid w:val="004B2EED"/>
    <w:rsid w:val="004B304D"/>
    <w:rsid w:val="004B3161"/>
    <w:rsid w:val="004B3219"/>
    <w:rsid w:val="004B3382"/>
    <w:rsid w:val="004B339B"/>
    <w:rsid w:val="004B345B"/>
    <w:rsid w:val="004B3752"/>
    <w:rsid w:val="004B37A1"/>
    <w:rsid w:val="004B38E3"/>
    <w:rsid w:val="004B3988"/>
    <w:rsid w:val="004B3A4C"/>
    <w:rsid w:val="004B3A83"/>
    <w:rsid w:val="004B3D56"/>
    <w:rsid w:val="004B3E50"/>
    <w:rsid w:val="004B3E63"/>
    <w:rsid w:val="004B3EE2"/>
    <w:rsid w:val="004B3F2B"/>
    <w:rsid w:val="004B401F"/>
    <w:rsid w:val="004B408A"/>
    <w:rsid w:val="004B40BA"/>
    <w:rsid w:val="004B4276"/>
    <w:rsid w:val="004B4326"/>
    <w:rsid w:val="004B43F0"/>
    <w:rsid w:val="004B4425"/>
    <w:rsid w:val="004B4497"/>
    <w:rsid w:val="004B44E1"/>
    <w:rsid w:val="004B457E"/>
    <w:rsid w:val="004B4592"/>
    <w:rsid w:val="004B4896"/>
    <w:rsid w:val="004B4926"/>
    <w:rsid w:val="004B4F60"/>
    <w:rsid w:val="004B511A"/>
    <w:rsid w:val="004B519E"/>
    <w:rsid w:val="004B51D6"/>
    <w:rsid w:val="004B5254"/>
    <w:rsid w:val="004B5265"/>
    <w:rsid w:val="004B534D"/>
    <w:rsid w:val="004B5380"/>
    <w:rsid w:val="004B56ED"/>
    <w:rsid w:val="004B56FF"/>
    <w:rsid w:val="004B5797"/>
    <w:rsid w:val="004B59F9"/>
    <w:rsid w:val="004B5A8D"/>
    <w:rsid w:val="004B5B56"/>
    <w:rsid w:val="004B5C24"/>
    <w:rsid w:val="004B5C77"/>
    <w:rsid w:val="004B5C7C"/>
    <w:rsid w:val="004B5CFE"/>
    <w:rsid w:val="004B5F4B"/>
    <w:rsid w:val="004B6097"/>
    <w:rsid w:val="004B614A"/>
    <w:rsid w:val="004B62A0"/>
    <w:rsid w:val="004B62D7"/>
    <w:rsid w:val="004B634E"/>
    <w:rsid w:val="004B6377"/>
    <w:rsid w:val="004B642F"/>
    <w:rsid w:val="004B64C9"/>
    <w:rsid w:val="004B650C"/>
    <w:rsid w:val="004B6516"/>
    <w:rsid w:val="004B6A51"/>
    <w:rsid w:val="004B6AC7"/>
    <w:rsid w:val="004B6C43"/>
    <w:rsid w:val="004B6E0D"/>
    <w:rsid w:val="004B6E2A"/>
    <w:rsid w:val="004B6ECA"/>
    <w:rsid w:val="004B6F1A"/>
    <w:rsid w:val="004B7068"/>
    <w:rsid w:val="004B70D5"/>
    <w:rsid w:val="004B71C4"/>
    <w:rsid w:val="004B720E"/>
    <w:rsid w:val="004B72E7"/>
    <w:rsid w:val="004B752D"/>
    <w:rsid w:val="004B7610"/>
    <w:rsid w:val="004B761B"/>
    <w:rsid w:val="004B7637"/>
    <w:rsid w:val="004B7746"/>
    <w:rsid w:val="004B78AA"/>
    <w:rsid w:val="004B7938"/>
    <w:rsid w:val="004B7A69"/>
    <w:rsid w:val="004B7AB2"/>
    <w:rsid w:val="004B7AC1"/>
    <w:rsid w:val="004B7B00"/>
    <w:rsid w:val="004B7C1C"/>
    <w:rsid w:val="004B7CD4"/>
    <w:rsid w:val="004B7D08"/>
    <w:rsid w:val="004B7E85"/>
    <w:rsid w:val="004B7F08"/>
    <w:rsid w:val="004B7F32"/>
    <w:rsid w:val="004B7F4D"/>
    <w:rsid w:val="004C0058"/>
    <w:rsid w:val="004C005F"/>
    <w:rsid w:val="004C0204"/>
    <w:rsid w:val="004C031D"/>
    <w:rsid w:val="004C046A"/>
    <w:rsid w:val="004C0514"/>
    <w:rsid w:val="004C055C"/>
    <w:rsid w:val="004C0597"/>
    <w:rsid w:val="004C074A"/>
    <w:rsid w:val="004C0888"/>
    <w:rsid w:val="004C08FE"/>
    <w:rsid w:val="004C094A"/>
    <w:rsid w:val="004C0971"/>
    <w:rsid w:val="004C09AE"/>
    <w:rsid w:val="004C0A6B"/>
    <w:rsid w:val="004C0A7F"/>
    <w:rsid w:val="004C0B41"/>
    <w:rsid w:val="004C0B56"/>
    <w:rsid w:val="004C0BD4"/>
    <w:rsid w:val="004C0CFD"/>
    <w:rsid w:val="004C0D02"/>
    <w:rsid w:val="004C0E63"/>
    <w:rsid w:val="004C0FA1"/>
    <w:rsid w:val="004C100F"/>
    <w:rsid w:val="004C11DA"/>
    <w:rsid w:val="004C14E4"/>
    <w:rsid w:val="004C1585"/>
    <w:rsid w:val="004C17C4"/>
    <w:rsid w:val="004C18C8"/>
    <w:rsid w:val="004C1988"/>
    <w:rsid w:val="004C1AAA"/>
    <w:rsid w:val="004C1D85"/>
    <w:rsid w:val="004C1E70"/>
    <w:rsid w:val="004C1E97"/>
    <w:rsid w:val="004C1F95"/>
    <w:rsid w:val="004C2074"/>
    <w:rsid w:val="004C221E"/>
    <w:rsid w:val="004C2235"/>
    <w:rsid w:val="004C2244"/>
    <w:rsid w:val="004C2397"/>
    <w:rsid w:val="004C2517"/>
    <w:rsid w:val="004C25E0"/>
    <w:rsid w:val="004C263D"/>
    <w:rsid w:val="004C270B"/>
    <w:rsid w:val="004C2758"/>
    <w:rsid w:val="004C27DF"/>
    <w:rsid w:val="004C295D"/>
    <w:rsid w:val="004C2BE6"/>
    <w:rsid w:val="004C2C7A"/>
    <w:rsid w:val="004C2E6D"/>
    <w:rsid w:val="004C2F34"/>
    <w:rsid w:val="004C2FF3"/>
    <w:rsid w:val="004C31BB"/>
    <w:rsid w:val="004C33ED"/>
    <w:rsid w:val="004C33FC"/>
    <w:rsid w:val="004C341C"/>
    <w:rsid w:val="004C3447"/>
    <w:rsid w:val="004C34A5"/>
    <w:rsid w:val="004C34BB"/>
    <w:rsid w:val="004C34EB"/>
    <w:rsid w:val="004C3529"/>
    <w:rsid w:val="004C3663"/>
    <w:rsid w:val="004C36EA"/>
    <w:rsid w:val="004C36F1"/>
    <w:rsid w:val="004C3745"/>
    <w:rsid w:val="004C37F7"/>
    <w:rsid w:val="004C39C3"/>
    <w:rsid w:val="004C3A74"/>
    <w:rsid w:val="004C3EF1"/>
    <w:rsid w:val="004C4089"/>
    <w:rsid w:val="004C411A"/>
    <w:rsid w:val="004C4127"/>
    <w:rsid w:val="004C4164"/>
    <w:rsid w:val="004C42C7"/>
    <w:rsid w:val="004C42ED"/>
    <w:rsid w:val="004C4384"/>
    <w:rsid w:val="004C43AB"/>
    <w:rsid w:val="004C4451"/>
    <w:rsid w:val="004C459F"/>
    <w:rsid w:val="004C45CC"/>
    <w:rsid w:val="004C4AD1"/>
    <w:rsid w:val="004C4B17"/>
    <w:rsid w:val="004C4BBD"/>
    <w:rsid w:val="004C4BFA"/>
    <w:rsid w:val="004C4C65"/>
    <w:rsid w:val="004C4C76"/>
    <w:rsid w:val="004C4DB9"/>
    <w:rsid w:val="004C4F61"/>
    <w:rsid w:val="004C4F6A"/>
    <w:rsid w:val="004C5108"/>
    <w:rsid w:val="004C51CF"/>
    <w:rsid w:val="004C534F"/>
    <w:rsid w:val="004C53F2"/>
    <w:rsid w:val="004C54A2"/>
    <w:rsid w:val="004C54F1"/>
    <w:rsid w:val="004C55C8"/>
    <w:rsid w:val="004C5834"/>
    <w:rsid w:val="004C590D"/>
    <w:rsid w:val="004C592E"/>
    <w:rsid w:val="004C5AAF"/>
    <w:rsid w:val="004C5BED"/>
    <w:rsid w:val="004C5C40"/>
    <w:rsid w:val="004C5CA1"/>
    <w:rsid w:val="004C5F89"/>
    <w:rsid w:val="004C60DC"/>
    <w:rsid w:val="004C61AE"/>
    <w:rsid w:val="004C61E9"/>
    <w:rsid w:val="004C629C"/>
    <w:rsid w:val="004C657A"/>
    <w:rsid w:val="004C687F"/>
    <w:rsid w:val="004C6984"/>
    <w:rsid w:val="004C69A1"/>
    <w:rsid w:val="004C69E6"/>
    <w:rsid w:val="004C6A94"/>
    <w:rsid w:val="004C6B71"/>
    <w:rsid w:val="004C6E15"/>
    <w:rsid w:val="004C6E6B"/>
    <w:rsid w:val="004C6EC3"/>
    <w:rsid w:val="004C6F2C"/>
    <w:rsid w:val="004C6F95"/>
    <w:rsid w:val="004C6FFA"/>
    <w:rsid w:val="004C70FB"/>
    <w:rsid w:val="004C72CC"/>
    <w:rsid w:val="004C7464"/>
    <w:rsid w:val="004C7621"/>
    <w:rsid w:val="004C7629"/>
    <w:rsid w:val="004C7751"/>
    <w:rsid w:val="004C77AD"/>
    <w:rsid w:val="004C78A9"/>
    <w:rsid w:val="004C7A75"/>
    <w:rsid w:val="004C7B9C"/>
    <w:rsid w:val="004C7BCA"/>
    <w:rsid w:val="004C7C73"/>
    <w:rsid w:val="004C7E39"/>
    <w:rsid w:val="004C7E86"/>
    <w:rsid w:val="004C7EAE"/>
    <w:rsid w:val="004D0040"/>
    <w:rsid w:val="004D00FC"/>
    <w:rsid w:val="004D0255"/>
    <w:rsid w:val="004D0315"/>
    <w:rsid w:val="004D03A9"/>
    <w:rsid w:val="004D0632"/>
    <w:rsid w:val="004D0707"/>
    <w:rsid w:val="004D075E"/>
    <w:rsid w:val="004D07E4"/>
    <w:rsid w:val="004D07EC"/>
    <w:rsid w:val="004D082A"/>
    <w:rsid w:val="004D087D"/>
    <w:rsid w:val="004D0958"/>
    <w:rsid w:val="004D0A62"/>
    <w:rsid w:val="004D0ACF"/>
    <w:rsid w:val="004D0AD3"/>
    <w:rsid w:val="004D0BC9"/>
    <w:rsid w:val="004D0D64"/>
    <w:rsid w:val="004D0F94"/>
    <w:rsid w:val="004D1061"/>
    <w:rsid w:val="004D1086"/>
    <w:rsid w:val="004D10AB"/>
    <w:rsid w:val="004D1277"/>
    <w:rsid w:val="004D1393"/>
    <w:rsid w:val="004D14C7"/>
    <w:rsid w:val="004D1691"/>
    <w:rsid w:val="004D16A2"/>
    <w:rsid w:val="004D16D2"/>
    <w:rsid w:val="004D1883"/>
    <w:rsid w:val="004D19CF"/>
    <w:rsid w:val="004D1A47"/>
    <w:rsid w:val="004D1B40"/>
    <w:rsid w:val="004D1C7F"/>
    <w:rsid w:val="004D1DE3"/>
    <w:rsid w:val="004D2021"/>
    <w:rsid w:val="004D2196"/>
    <w:rsid w:val="004D2293"/>
    <w:rsid w:val="004D247D"/>
    <w:rsid w:val="004D2495"/>
    <w:rsid w:val="004D259B"/>
    <w:rsid w:val="004D26C0"/>
    <w:rsid w:val="004D2756"/>
    <w:rsid w:val="004D27AD"/>
    <w:rsid w:val="004D28A1"/>
    <w:rsid w:val="004D28B9"/>
    <w:rsid w:val="004D29D3"/>
    <w:rsid w:val="004D29F1"/>
    <w:rsid w:val="004D2A47"/>
    <w:rsid w:val="004D2A7E"/>
    <w:rsid w:val="004D2B03"/>
    <w:rsid w:val="004D2D04"/>
    <w:rsid w:val="004D2F84"/>
    <w:rsid w:val="004D2FAF"/>
    <w:rsid w:val="004D2FE3"/>
    <w:rsid w:val="004D30C2"/>
    <w:rsid w:val="004D3175"/>
    <w:rsid w:val="004D31B9"/>
    <w:rsid w:val="004D32B6"/>
    <w:rsid w:val="004D32C3"/>
    <w:rsid w:val="004D33C1"/>
    <w:rsid w:val="004D3588"/>
    <w:rsid w:val="004D3763"/>
    <w:rsid w:val="004D38D8"/>
    <w:rsid w:val="004D3AF7"/>
    <w:rsid w:val="004D3B1E"/>
    <w:rsid w:val="004D3B50"/>
    <w:rsid w:val="004D3B55"/>
    <w:rsid w:val="004D3C92"/>
    <w:rsid w:val="004D3D66"/>
    <w:rsid w:val="004D3F7A"/>
    <w:rsid w:val="004D3FBF"/>
    <w:rsid w:val="004D41F1"/>
    <w:rsid w:val="004D42EB"/>
    <w:rsid w:val="004D43D5"/>
    <w:rsid w:val="004D4532"/>
    <w:rsid w:val="004D4591"/>
    <w:rsid w:val="004D45BE"/>
    <w:rsid w:val="004D4696"/>
    <w:rsid w:val="004D485E"/>
    <w:rsid w:val="004D49D9"/>
    <w:rsid w:val="004D49DD"/>
    <w:rsid w:val="004D4A16"/>
    <w:rsid w:val="004D4BC0"/>
    <w:rsid w:val="004D4BF2"/>
    <w:rsid w:val="004D4C2B"/>
    <w:rsid w:val="004D4C64"/>
    <w:rsid w:val="004D4C89"/>
    <w:rsid w:val="004D4D19"/>
    <w:rsid w:val="004D4D80"/>
    <w:rsid w:val="004D4DB6"/>
    <w:rsid w:val="004D4E5C"/>
    <w:rsid w:val="004D50B4"/>
    <w:rsid w:val="004D511D"/>
    <w:rsid w:val="004D51FB"/>
    <w:rsid w:val="004D52F2"/>
    <w:rsid w:val="004D5377"/>
    <w:rsid w:val="004D53B7"/>
    <w:rsid w:val="004D541B"/>
    <w:rsid w:val="004D5587"/>
    <w:rsid w:val="004D57B7"/>
    <w:rsid w:val="004D57C4"/>
    <w:rsid w:val="004D5835"/>
    <w:rsid w:val="004D58E9"/>
    <w:rsid w:val="004D58FD"/>
    <w:rsid w:val="004D5B8E"/>
    <w:rsid w:val="004D5CE6"/>
    <w:rsid w:val="004D60DA"/>
    <w:rsid w:val="004D6184"/>
    <w:rsid w:val="004D6195"/>
    <w:rsid w:val="004D6243"/>
    <w:rsid w:val="004D630F"/>
    <w:rsid w:val="004D63B9"/>
    <w:rsid w:val="004D63D9"/>
    <w:rsid w:val="004D648F"/>
    <w:rsid w:val="004D6500"/>
    <w:rsid w:val="004D6752"/>
    <w:rsid w:val="004D6804"/>
    <w:rsid w:val="004D68D9"/>
    <w:rsid w:val="004D69C7"/>
    <w:rsid w:val="004D69F0"/>
    <w:rsid w:val="004D6A37"/>
    <w:rsid w:val="004D6A66"/>
    <w:rsid w:val="004D6AFB"/>
    <w:rsid w:val="004D6DF1"/>
    <w:rsid w:val="004D6EB6"/>
    <w:rsid w:val="004D6FA4"/>
    <w:rsid w:val="004D70E3"/>
    <w:rsid w:val="004D71BE"/>
    <w:rsid w:val="004D743B"/>
    <w:rsid w:val="004D746A"/>
    <w:rsid w:val="004D74E5"/>
    <w:rsid w:val="004D7543"/>
    <w:rsid w:val="004D78B6"/>
    <w:rsid w:val="004D7973"/>
    <w:rsid w:val="004D79A6"/>
    <w:rsid w:val="004D7AF8"/>
    <w:rsid w:val="004D7B51"/>
    <w:rsid w:val="004D7B72"/>
    <w:rsid w:val="004D7BCF"/>
    <w:rsid w:val="004D7D2E"/>
    <w:rsid w:val="004D7DCC"/>
    <w:rsid w:val="004D7E0B"/>
    <w:rsid w:val="004D7E51"/>
    <w:rsid w:val="004D7E68"/>
    <w:rsid w:val="004E0010"/>
    <w:rsid w:val="004E00F0"/>
    <w:rsid w:val="004E01F9"/>
    <w:rsid w:val="004E0322"/>
    <w:rsid w:val="004E035E"/>
    <w:rsid w:val="004E06CE"/>
    <w:rsid w:val="004E07DE"/>
    <w:rsid w:val="004E0A72"/>
    <w:rsid w:val="004E0A90"/>
    <w:rsid w:val="004E0B43"/>
    <w:rsid w:val="004E0B6D"/>
    <w:rsid w:val="004E0BCC"/>
    <w:rsid w:val="004E0D2E"/>
    <w:rsid w:val="004E0D8C"/>
    <w:rsid w:val="004E0DCE"/>
    <w:rsid w:val="004E0E23"/>
    <w:rsid w:val="004E0ED2"/>
    <w:rsid w:val="004E0FD8"/>
    <w:rsid w:val="004E11B4"/>
    <w:rsid w:val="004E1499"/>
    <w:rsid w:val="004E14BF"/>
    <w:rsid w:val="004E168B"/>
    <w:rsid w:val="004E16E2"/>
    <w:rsid w:val="004E17F8"/>
    <w:rsid w:val="004E1A67"/>
    <w:rsid w:val="004E1C1E"/>
    <w:rsid w:val="004E1D59"/>
    <w:rsid w:val="004E1EC5"/>
    <w:rsid w:val="004E2102"/>
    <w:rsid w:val="004E2169"/>
    <w:rsid w:val="004E2203"/>
    <w:rsid w:val="004E22AA"/>
    <w:rsid w:val="004E231F"/>
    <w:rsid w:val="004E2388"/>
    <w:rsid w:val="004E23FA"/>
    <w:rsid w:val="004E2443"/>
    <w:rsid w:val="004E24E1"/>
    <w:rsid w:val="004E25F0"/>
    <w:rsid w:val="004E2717"/>
    <w:rsid w:val="004E2727"/>
    <w:rsid w:val="004E2737"/>
    <w:rsid w:val="004E2994"/>
    <w:rsid w:val="004E29BE"/>
    <w:rsid w:val="004E2A2C"/>
    <w:rsid w:val="004E2A4E"/>
    <w:rsid w:val="004E2A6C"/>
    <w:rsid w:val="004E2A73"/>
    <w:rsid w:val="004E2BD1"/>
    <w:rsid w:val="004E2C10"/>
    <w:rsid w:val="004E2C64"/>
    <w:rsid w:val="004E2CF5"/>
    <w:rsid w:val="004E2DE0"/>
    <w:rsid w:val="004E2E8A"/>
    <w:rsid w:val="004E2F71"/>
    <w:rsid w:val="004E2FB9"/>
    <w:rsid w:val="004E2FDC"/>
    <w:rsid w:val="004E30B2"/>
    <w:rsid w:val="004E31BB"/>
    <w:rsid w:val="004E327F"/>
    <w:rsid w:val="004E334C"/>
    <w:rsid w:val="004E33AE"/>
    <w:rsid w:val="004E33B6"/>
    <w:rsid w:val="004E33F3"/>
    <w:rsid w:val="004E342F"/>
    <w:rsid w:val="004E343E"/>
    <w:rsid w:val="004E3481"/>
    <w:rsid w:val="004E3484"/>
    <w:rsid w:val="004E34ED"/>
    <w:rsid w:val="004E3687"/>
    <w:rsid w:val="004E3717"/>
    <w:rsid w:val="004E376F"/>
    <w:rsid w:val="004E37D8"/>
    <w:rsid w:val="004E3833"/>
    <w:rsid w:val="004E386A"/>
    <w:rsid w:val="004E3899"/>
    <w:rsid w:val="004E3919"/>
    <w:rsid w:val="004E3A7A"/>
    <w:rsid w:val="004E3AEE"/>
    <w:rsid w:val="004E3BA4"/>
    <w:rsid w:val="004E3F23"/>
    <w:rsid w:val="004E3FDC"/>
    <w:rsid w:val="004E40CD"/>
    <w:rsid w:val="004E4132"/>
    <w:rsid w:val="004E41B9"/>
    <w:rsid w:val="004E42E4"/>
    <w:rsid w:val="004E43B9"/>
    <w:rsid w:val="004E43E0"/>
    <w:rsid w:val="004E4633"/>
    <w:rsid w:val="004E46EA"/>
    <w:rsid w:val="004E480D"/>
    <w:rsid w:val="004E4880"/>
    <w:rsid w:val="004E4A59"/>
    <w:rsid w:val="004E4B7E"/>
    <w:rsid w:val="004E4BCB"/>
    <w:rsid w:val="004E4C6E"/>
    <w:rsid w:val="004E4E19"/>
    <w:rsid w:val="004E4F53"/>
    <w:rsid w:val="004E50CD"/>
    <w:rsid w:val="004E519F"/>
    <w:rsid w:val="004E51C6"/>
    <w:rsid w:val="004E53C4"/>
    <w:rsid w:val="004E556F"/>
    <w:rsid w:val="004E5757"/>
    <w:rsid w:val="004E5798"/>
    <w:rsid w:val="004E591C"/>
    <w:rsid w:val="004E59F5"/>
    <w:rsid w:val="004E5C2D"/>
    <w:rsid w:val="004E5C36"/>
    <w:rsid w:val="004E5C76"/>
    <w:rsid w:val="004E5EF2"/>
    <w:rsid w:val="004E5FA2"/>
    <w:rsid w:val="004E6113"/>
    <w:rsid w:val="004E6182"/>
    <w:rsid w:val="004E61BF"/>
    <w:rsid w:val="004E63DD"/>
    <w:rsid w:val="004E63FC"/>
    <w:rsid w:val="004E64D7"/>
    <w:rsid w:val="004E653A"/>
    <w:rsid w:val="004E66BA"/>
    <w:rsid w:val="004E6826"/>
    <w:rsid w:val="004E698F"/>
    <w:rsid w:val="004E6A11"/>
    <w:rsid w:val="004E6E75"/>
    <w:rsid w:val="004E6EC1"/>
    <w:rsid w:val="004E6EC6"/>
    <w:rsid w:val="004E7022"/>
    <w:rsid w:val="004E7088"/>
    <w:rsid w:val="004E70E9"/>
    <w:rsid w:val="004E7165"/>
    <w:rsid w:val="004E71AE"/>
    <w:rsid w:val="004E71CD"/>
    <w:rsid w:val="004E7237"/>
    <w:rsid w:val="004E7293"/>
    <w:rsid w:val="004E7378"/>
    <w:rsid w:val="004E73DE"/>
    <w:rsid w:val="004E7534"/>
    <w:rsid w:val="004E75BC"/>
    <w:rsid w:val="004E77E2"/>
    <w:rsid w:val="004E7806"/>
    <w:rsid w:val="004E782F"/>
    <w:rsid w:val="004E7848"/>
    <w:rsid w:val="004E78E2"/>
    <w:rsid w:val="004E7977"/>
    <w:rsid w:val="004E798C"/>
    <w:rsid w:val="004E7DF7"/>
    <w:rsid w:val="004E7FBA"/>
    <w:rsid w:val="004E7FC5"/>
    <w:rsid w:val="004F00B1"/>
    <w:rsid w:val="004F00FC"/>
    <w:rsid w:val="004F0171"/>
    <w:rsid w:val="004F02B6"/>
    <w:rsid w:val="004F02EF"/>
    <w:rsid w:val="004F033D"/>
    <w:rsid w:val="004F039F"/>
    <w:rsid w:val="004F03D8"/>
    <w:rsid w:val="004F0404"/>
    <w:rsid w:val="004F0450"/>
    <w:rsid w:val="004F046F"/>
    <w:rsid w:val="004F0486"/>
    <w:rsid w:val="004F05AD"/>
    <w:rsid w:val="004F0709"/>
    <w:rsid w:val="004F0790"/>
    <w:rsid w:val="004F07C9"/>
    <w:rsid w:val="004F0910"/>
    <w:rsid w:val="004F0A17"/>
    <w:rsid w:val="004F0A30"/>
    <w:rsid w:val="004F0B38"/>
    <w:rsid w:val="004F0B5D"/>
    <w:rsid w:val="004F0BE2"/>
    <w:rsid w:val="004F0BE9"/>
    <w:rsid w:val="004F0C0D"/>
    <w:rsid w:val="004F0E87"/>
    <w:rsid w:val="004F103B"/>
    <w:rsid w:val="004F11DA"/>
    <w:rsid w:val="004F123F"/>
    <w:rsid w:val="004F12AF"/>
    <w:rsid w:val="004F1450"/>
    <w:rsid w:val="004F1451"/>
    <w:rsid w:val="004F15EA"/>
    <w:rsid w:val="004F16DB"/>
    <w:rsid w:val="004F177E"/>
    <w:rsid w:val="004F17B0"/>
    <w:rsid w:val="004F18FC"/>
    <w:rsid w:val="004F1925"/>
    <w:rsid w:val="004F1B25"/>
    <w:rsid w:val="004F1CC8"/>
    <w:rsid w:val="004F1D38"/>
    <w:rsid w:val="004F1E33"/>
    <w:rsid w:val="004F1EA1"/>
    <w:rsid w:val="004F1EC1"/>
    <w:rsid w:val="004F1F39"/>
    <w:rsid w:val="004F1F68"/>
    <w:rsid w:val="004F1F85"/>
    <w:rsid w:val="004F202A"/>
    <w:rsid w:val="004F20DB"/>
    <w:rsid w:val="004F222C"/>
    <w:rsid w:val="004F22F8"/>
    <w:rsid w:val="004F2586"/>
    <w:rsid w:val="004F260E"/>
    <w:rsid w:val="004F2811"/>
    <w:rsid w:val="004F2AE4"/>
    <w:rsid w:val="004F2C1D"/>
    <w:rsid w:val="004F2C2F"/>
    <w:rsid w:val="004F2D13"/>
    <w:rsid w:val="004F2D25"/>
    <w:rsid w:val="004F2D31"/>
    <w:rsid w:val="004F2D35"/>
    <w:rsid w:val="004F2E17"/>
    <w:rsid w:val="004F2F06"/>
    <w:rsid w:val="004F2FC2"/>
    <w:rsid w:val="004F3111"/>
    <w:rsid w:val="004F31FB"/>
    <w:rsid w:val="004F3293"/>
    <w:rsid w:val="004F32AA"/>
    <w:rsid w:val="004F32E6"/>
    <w:rsid w:val="004F3492"/>
    <w:rsid w:val="004F3498"/>
    <w:rsid w:val="004F353E"/>
    <w:rsid w:val="004F3785"/>
    <w:rsid w:val="004F37E0"/>
    <w:rsid w:val="004F381B"/>
    <w:rsid w:val="004F38DB"/>
    <w:rsid w:val="004F393C"/>
    <w:rsid w:val="004F3A69"/>
    <w:rsid w:val="004F3BB0"/>
    <w:rsid w:val="004F3C6B"/>
    <w:rsid w:val="004F3D93"/>
    <w:rsid w:val="004F3DE8"/>
    <w:rsid w:val="004F3E5F"/>
    <w:rsid w:val="004F4009"/>
    <w:rsid w:val="004F41D2"/>
    <w:rsid w:val="004F42C5"/>
    <w:rsid w:val="004F42F0"/>
    <w:rsid w:val="004F42FF"/>
    <w:rsid w:val="004F4323"/>
    <w:rsid w:val="004F454F"/>
    <w:rsid w:val="004F45F7"/>
    <w:rsid w:val="004F46D8"/>
    <w:rsid w:val="004F478A"/>
    <w:rsid w:val="004F4797"/>
    <w:rsid w:val="004F481F"/>
    <w:rsid w:val="004F4883"/>
    <w:rsid w:val="004F490B"/>
    <w:rsid w:val="004F4A0D"/>
    <w:rsid w:val="004F4C9E"/>
    <w:rsid w:val="004F4DF3"/>
    <w:rsid w:val="004F4E8B"/>
    <w:rsid w:val="004F4F46"/>
    <w:rsid w:val="004F4F49"/>
    <w:rsid w:val="004F5042"/>
    <w:rsid w:val="004F5164"/>
    <w:rsid w:val="004F5293"/>
    <w:rsid w:val="004F55E2"/>
    <w:rsid w:val="004F5757"/>
    <w:rsid w:val="004F57AD"/>
    <w:rsid w:val="004F58FC"/>
    <w:rsid w:val="004F5A46"/>
    <w:rsid w:val="004F5B75"/>
    <w:rsid w:val="004F5C39"/>
    <w:rsid w:val="004F5CAE"/>
    <w:rsid w:val="004F5E40"/>
    <w:rsid w:val="004F5FBC"/>
    <w:rsid w:val="004F607C"/>
    <w:rsid w:val="004F6178"/>
    <w:rsid w:val="004F6239"/>
    <w:rsid w:val="004F6311"/>
    <w:rsid w:val="004F6334"/>
    <w:rsid w:val="004F63CC"/>
    <w:rsid w:val="004F64BF"/>
    <w:rsid w:val="004F64C7"/>
    <w:rsid w:val="004F65A0"/>
    <w:rsid w:val="004F66A1"/>
    <w:rsid w:val="004F66AD"/>
    <w:rsid w:val="004F6775"/>
    <w:rsid w:val="004F6A77"/>
    <w:rsid w:val="004F6B40"/>
    <w:rsid w:val="004F6BB9"/>
    <w:rsid w:val="004F6BD4"/>
    <w:rsid w:val="004F6C1A"/>
    <w:rsid w:val="004F6D4C"/>
    <w:rsid w:val="004F6E35"/>
    <w:rsid w:val="004F716E"/>
    <w:rsid w:val="004F7183"/>
    <w:rsid w:val="004F72EF"/>
    <w:rsid w:val="004F7374"/>
    <w:rsid w:val="004F741F"/>
    <w:rsid w:val="004F742E"/>
    <w:rsid w:val="004F74A6"/>
    <w:rsid w:val="004F7599"/>
    <w:rsid w:val="004F7657"/>
    <w:rsid w:val="004F770F"/>
    <w:rsid w:val="004F772E"/>
    <w:rsid w:val="004F7776"/>
    <w:rsid w:val="004F77C1"/>
    <w:rsid w:val="004F7855"/>
    <w:rsid w:val="004F785B"/>
    <w:rsid w:val="004F78B4"/>
    <w:rsid w:val="004F7B5C"/>
    <w:rsid w:val="004F7C09"/>
    <w:rsid w:val="004F7C12"/>
    <w:rsid w:val="004F7CD7"/>
    <w:rsid w:val="004F7CE0"/>
    <w:rsid w:val="004F7CFB"/>
    <w:rsid w:val="004F7D0A"/>
    <w:rsid w:val="004F7EB7"/>
    <w:rsid w:val="004F7EED"/>
    <w:rsid w:val="004F7F15"/>
    <w:rsid w:val="004F7F77"/>
    <w:rsid w:val="0050020E"/>
    <w:rsid w:val="00500278"/>
    <w:rsid w:val="00500325"/>
    <w:rsid w:val="005003FE"/>
    <w:rsid w:val="005004F9"/>
    <w:rsid w:val="0050055B"/>
    <w:rsid w:val="0050069D"/>
    <w:rsid w:val="005006CA"/>
    <w:rsid w:val="00500714"/>
    <w:rsid w:val="00500797"/>
    <w:rsid w:val="005008F4"/>
    <w:rsid w:val="00500AC5"/>
    <w:rsid w:val="00500C1D"/>
    <w:rsid w:val="00500C63"/>
    <w:rsid w:val="00500E75"/>
    <w:rsid w:val="00500FB5"/>
    <w:rsid w:val="00501098"/>
    <w:rsid w:val="00501295"/>
    <w:rsid w:val="0050156E"/>
    <w:rsid w:val="005015CC"/>
    <w:rsid w:val="0050169F"/>
    <w:rsid w:val="005017AB"/>
    <w:rsid w:val="005019B3"/>
    <w:rsid w:val="00501ABD"/>
    <w:rsid w:val="00501B04"/>
    <w:rsid w:val="00501C74"/>
    <w:rsid w:val="00501CF3"/>
    <w:rsid w:val="00501FF3"/>
    <w:rsid w:val="00501FFD"/>
    <w:rsid w:val="0050203B"/>
    <w:rsid w:val="0050203D"/>
    <w:rsid w:val="00502064"/>
    <w:rsid w:val="00502501"/>
    <w:rsid w:val="00502613"/>
    <w:rsid w:val="005026FB"/>
    <w:rsid w:val="005027CE"/>
    <w:rsid w:val="00502894"/>
    <w:rsid w:val="005028D7"/>
    <w:rsid w:val="0050297A"/>
    <w:rsid w:val="00502A0B"/>
    <w:rsid w:val="00502A10"/>
    <w:rsid w:val="00502A46"/>
    <w:rsid w:val="00502AA7"/>
    <w:rsid w:val="00502ACF"/>
    <w:rsid w:val="00502AD1"/>
    <w:rsid w:val="00502CC0"/>
    <w:rsid w:val="00502E48"/>
    <w:rsid w:val="00502E75"/>
    <w:rsid w:val="00503103"/>
    <w:rsid w:val="00503126"/>
    <w:rsid w:val="0050317D"/>
    <w:rsid w:val="005031DB"/>
    <w:rsid w:val="00503372"/>
    <w:rsid w:val="00503463"/>
    <w:rsid w:val="00503649"/>
    <w:rsid w:val="005037F4"/>
    <w:rsid w:val="00503A75"/>
    <w:rsid w:val="00503B1A"/>
    <w:rsid w:val="00503B7B"/>
    <w:rsid w:val="00503E04"/>
    <w:rsid w:val="00503E72"/>
    <w:rsid w:val="005041CD"/>
    <w:rsid w:val="00504314"/>
    <w:rsid w:val="00504399"/>
    <w:rsid w:val="00504441"/>
    <w:rsid w:val="00504466"/>
    <w:rsid w:val="005044AC"/>
    <w:rsid w:val="005044B6"/>
    <w:rsid w:val="00504506"/>
    <w:rsid w:val="00504594"/>
    <w:rsid w:val="0050490C"/>
    <w:rsid w:val="00504922"/>
    <w:rsid w:val="00504A33"/>
    <w:rsid w:val="00504A97"/>
    <w:rsid w:val="00504BF6"/>
    <w:rsid w:val="00504DBC"/>
    <w:rsid w:val="00504F61"/>
    <w:rsid w:val="00505193"/>
    <w:rsid w:val="0050529C"/>
    <w:rsid w:val="005052ED"/>
    <w:rsid w:val="00505300"/>
    <w:rsid w:val="0050543B"/>
    <w:rsid w:val="0050564F"/>
    <w:rsid w:val="00505699"/>
    <w:rsid w:val="005056A6"/>
    <w:rsid w:val="005057C3"/>
    <w:rsid w:val="005058CF"/>
    <w:rsid w:val="00505916"/>
    <w:rsid w:val="00505964"/>
    <w:rsid w:val="005059B1"/>
    <w:rsid w:val="00505AAB"/>
    <w:rsid w:val="00505B2C"/>
    <w:rsid w:val="00505B9B"/>
    <w:rsid w:val="00505DEE"/>
    <w:rsid w:val="00506008"/>
    <w:rsid w:val="0050603B"/>
    <w:rsid w:val="005062A4"/>
    <w:rsid w:val="005062BE"/>
    <w:rsid w:val="00506326"/>
    <w:rsid w:val="005063E7"/>
    <w:rsid w:val="0050646D"/>
    <w:rsid w:val="0050646E"/>
    <w:rsid w:val="00506537"/>
    <w:rsid w:val="0050658E"/>
    <w:rsid w:val="005065E5"/>
    <w:rsid w:val="005066FE"/>
    <w:rsid w:val="0050674A"/>
    <w:rsid w:val="0050680C"/>
    <w:rsid w:val="00506860"/>
    <w:rsid w:val="00506C21"/>
    <w:rsid w:val="00506C64"/>
    <w:rsid w:val="00506EE6"/>
    <w:rsid w:val="00506F33"/>
    <w:rsid w:val="00506F80"/>
    <w:rsid w:val="00507274"/>
    <w:rsid w:val="00507349"/>
    <w:rsid w:val="00507411"/>
    <w:rsid w:val="00507575"/>
    <w:rsid w:val="00507650"/>
    <w:rsid w:val="00507881"/>
    <w:rsid w:val="00507976"/>
    <w:rsid w:val="0050799C"/>
    <w:rsid w:val="005079EA"/>
    <w:rsid w:val="00507A4A"/>
    <w:rsid w:val="00507A4E"/>
    <w:rsid w:val="00507C07"/>
    <w:rsid w:val="00507D0E"/>
    <w:rsid w:val="00507DA9"/>
    <w:rsid w:val="00507EFB"/>
    <w:rsid w:val="00507F22"/>
    <w:rsid w:val="00507F57"/>
    <w:rsid w:val="005100D4"/>
    <w:rsid w:val="005101CA"/>
    <w:rsid w:val="00510285"/>
    <w:rsid w:val="0051038D"/>
    <w:rsid w:val="0051041C"/>
    <w:rsid w:val="00510468"/>
    <w:rsid w:val="0051046D"/>
    <w:rsid w:val="005104C9"/>
    <w:rsid w:val="005104CB"/>
    <w:rsid w:val="00510530"/>
    <w:rsid w:val="0051066E"/>
    <w:rsid w:val="00510776"/>
    <w:rsid w:val="005107C7"/>
    <w:rsid w:val="005107C8"/>
    <w:rsid w:val="00510893"/>
    <w:rsid w:val="0051099D"/>
    <w:rsid w:val="00510A45"/>
    <w:rsid w:val="00510AF4"/>
    <w:rsid w:val="00510C37"/>
    <w:rsid w:val="00510C93"/>
    <w:rsid w:val="00510CE9"/>
    <w:rsid w:val="00510D73"/>
    <w:rsid w:val="00510D88"/>
    <w:rsid w:val="00510E9C"/>
    <w:rsid w:val="00510F0C"/>
    <w:rsid w:val="00510FF3"/>
    <w:rsid w:val="0051107E"/>
    <w:rsid w:val="005113CB"/>
    <w:rsid w:val="00511582"/>
    <w:rsid w:val="00511601"/>
    <w:rsid w:val="0051166F"/>
    <w:rsid w:val="00511A51"/>
    <w:rsid w:val="00511BD7"/>
    <w:rsid w:val="00511BF4"/>
    <w:rsid w:val="00511D6D"/>
    <w:rsid w:val="00511D8D"/>
    <w:rsid w:val="00511D8E"/>
    <w:rsid w:val="00511DEE"/>
    <w:rsid w:val="00511F36"/>
    <w:rsid w:val="00511F85"/>
    <w:rsid w:val="00512145"/>
    <w:rsid w:val="005122F7"/>
    <w:rsid w:val="00512410"/>
    <w:rsid w:val="005124DC"/>
    <w:rsid w:val="00512512"/>
    <w:rsid w:val="00512540"/>
    <w:rsid w:val="0051265D"/>
    <w:rsid w:val="005126CF"/>
    <w:rsid w:val="005126EE"/>
    <w:rsid w:val="005127CA"/>
    <w:rsid w:val="00512A22"/>
    <w:rsid w:val="00512CBD"/>
    <w:rsid w:val="00512E9C"/>
    <w:rsid w:val="00512F60"/>
    <w:rsid w:val="0051314A"/>
    <w:rsid w:val="0051319A"/>
    <w:rsid w:val="005131C5"/>
    <w:rsid w:val="0051346D"/>
    <w:rsid w:val="00513498"/>
    <w:rsid w:val="0051357C"/>
    <w:rsid w:val="005135CA"/>
    <w:rsid w:val="005135E4"/>
    <w:rsid w:val="005136DE"/>
    <w:rsid w:val="00513A00"/>
    <w:rsid w:val="00513A37"/>
    <w:rsid w:val="00513A66"/>
    <w:rsid w:val="00513ABB"/>
    <w:rsid w:val="00513EF7"/>
    <w:rsid w:val="00513FC9"/>
    <w:rsid w:val="00513FE7"/>
    <w:rsid w:val="005141BA"/>
    <w:rsid w:val="00514453"/>
    <w:rsid w:val="005145C2"/>
    <w:rsid w:val="00514667"/>
    <w:rsid w:val="00514675"/>
    <w:rsid w:val="0051474A"/>
    <w:rsid w:val="00514842"/>
    <w:rsid w:val="005148A0"/>
    <w:rsid w:val="005149AA"/>
    <w:rsid w:val="00514A13"/>
    <w:rsid w:val="00514C01"/>
    <w:rsid w:val="00514C0C"/>
    <w:rsid w:val="00514CE5"/>
    <w:rsid w:val="00514D80"/>
    <w:rsid w:val="00514E39"/>
    <w:rsid w:val="00514F44"/>
    <w:rsid w:val="00514FA0"/>
    <w:rsid w:val="005150D0"/>
    <w:rsid w:val="0051515C"/>
    <w:rsid w:val="005152D5"/>
    <w:rsid w:val="0051546C"/>
    <w:rsid w:val="00515528"/>
    <w:rsid w:val="00515788"/>
    <w:rsid w:val="005158F6"/>
    <w:rsid w:val="00515A1F"/>
    <w:rsid w:val="00515A6D"/>
    <w:rsid w:val="00515BEA"/>
    <w:rsid w:val="00515E05"/>
    <w:rsid w:val="00515E33"/>
    <w:rsid w:val="00515E63"/>
    <w:rsid w:val="00515FF7"/>
    <w:rsid w:val="00516159"/>
    <w:rsid w:val="00516254"/>
    <w:rsid w:val="0051627F"/>
    <w:rsid w:val="0051633C"/>
    <w:rsid w:val="00516341"/>
    <w:rsid w:val="00516356"/>
    <w:rsid w:val="0051636D"/>
    <w:rsid w:val="005163B4"/>
    <w:rsid w:val="005163FC"/>
    <w:rsid w:val="00516438"/>
    <w:rsid w:val="00516450"/>
    <w:rsid w:val="00516555"/>
    <w:rsid w:val="005168BA"/>
    <w:rsid w:val="0051691F"/>
    <w:rsid w:val="0051692C"/>
    <w:rsid w:val="005169E5"/>
    <w:rsid w:val="00516C04"/>
    <w:rsid w:val="00516C70"/>
    <w:rsid w:val="00516D78"/>
    <w:rsid w:val="00516DC2"/>
    <w:rsid w:val="00516EE7"/>
    <w:rsid w:val="0051700C"/>
    <w:rsid w:val="005170D8"/>
    <w:rsid w:val="0051710A"/>
    <w:rsid w:val="005171C0"/>
    <w:rsid w:val="00517305"/>
    <w:rsid w:val="005173CA"/>
    <w:rsid w:val="005174F1"/>
    <w:rsid w:val="00517549"/>
    <w:rsid w:val="005176EE"/>
    <w:rsid w:val="00517745"/>
    <w:rsid w:val="00517774"/>
    <w:rsid w:val="005178FC"/>
    <w:rsid w:val="00517A88"/>
    <w:rsid w:val="00517B1B"/>
    <w:rsid w:val="00517B7A"/>
    <w:rsid w:val="00517C1E"/>
    <w:rsid w:val="00517CAB"/>
    <w:rsid w:val="00517D80"/>
    <w:rsid w:val="00517D93"/>
    <w:rsid w:val="0052015B"/>
    <w:rsid w:val="00520331"/>
    <w:rsid w:val="0052036F"/>
    <w:rsid w:val="0052049E"/>
    <w:rsid w:val="0052053D"/>
    <w:rsid w:val="005205E7"/>
    <w:rsid w:val="00520653"/>
    <w:rsid w:val="0052066B"/>
    <w:rsid w:val="0052067C"/>
    <w:rsid w:val="00520735"/>
    <w:rsid w:val="00520878"/>
    <w:rsid w:val="0052089D"/>
    <w:rsid w:val="00520932"/>
    <w:rsid w:val="005209C1"/>
    <w:rsid w:val="00520A3A"/>
    <w:rsid w:val="00520A46"/>
    <w:rsid w:val="00520AF2"/>
    <w:rsid w:val="00520B05"/>
    <w:rsid w:val="00520B1D"/>
    <w:rsid w:val="00520B53"/>
    <w:rsid w:val="00520C2C"/>
    <w:rsid w:val="00520C71"/>
    <w:rsid w:val="00520CDB"/>
    <w:rsid w:val="00520D10"/>
    <w:rsid w:val="00520E65"/>
    <w:rsid w:val="00520EF4"/>
    <w:rsid w:val="005211B2"/>
    <w:rsid w:val="005212FD"/>
    <w:rsid w:val="0052147F"/>
    <w:rsid w:val="005215B9"/>
    <w:rsid w:val="00521633"/>
    <w:rsid w:val="00521648"/>
    <w:rsid w:val="005217E0"/>
    <w:rsid w:val="00521854"/>
    <w:rsid w:val="005218B3"/>
    <w:rsid w:val="00521953"/>
    <w:rsid w:val="00521A1D"/>
    <w:rsid w:val="00521D04"/>
    <w:rsid w:val="00521D15"/>
    <w:rsid w:val="00521E78"/>
    <w:rsid w:val="00521EF7"/>
    <w:rsid w:val="00521F7F"/>
    <w:rsid w:val="00522003"/>
    <w:rsid w:val="00522021"/>
    <w:rsid w:val="00522182"/>
    <w:rsid w:val="00522304"/>
    <w:rsid w:val="005224FE"/>
    <w:rsid w:val="00522631"/>
    <w:rsid w:val="00522981"/>
    <w:rsid w:val="005229EB"/>
    <w:rsid w:val="00522A82"/>
    <w:rsid w:val="00522CAF"/>
    <w:rsid w:val="00522D1E"/>
    <w:rsid w:val="00522E62"/>
    <w:rsid w:val="00522EA9"/>
    <w:rsid w:val="00522EE0"/>
    <w:rsid w:val="00522F43"/>
    <w:rsid w:val="00523078"/>
    <w:rsid w:val="005231B7"/>
    <w:rsid w:val="005231DA"/>
    <w:rsid w:val="00523264"/>
    <w:rsid w:val="00523278"/>
    <w:rsid w:val="00523420"/>
    <w:rsid w:val="00523554"/>
    <w:rsid w:val="00523576"/>
    <w:rsid w:val="0052365F"/>
    <w:rsid w:val="005236A6"/>
    <w:rsid w:val="005236EC"/>
    <w:rsid w:val="005238AB"/>
    <w:rsid w:val="0052395F"/>
    <w:rsid w:val="00523965"/>
    <w:rsid w:val="0052396E"/>
    <w:rsid w:val="00523A28"/>
    <w:rsid w:val="00523B4C"/>
    <w:rsid w:val="00523BF7"/>
    <w:rsid w:val="00523D2C"/>
    <w:rsid w:val="00524008"/>
    <w:rsid w:val="0052408D"/>
    <w:rsid w:val="0052420E"/>
    <w:rsid w:val="00524220"/>
    <w:rsid w:val="0052425E"/>
    <w:rsid w:val="00524355"/>
    <w:rsid w:val="005243D4"/>
    <w:rsid w:val="0052457C"/>
    <w:rsid w:val="005246C2"/>
    <w:rsid w:val="005247AA"/>
    <w:rsid w:val="005247CE"/>
    <w:rsid w:val="005249DC"/>
    <w:rsid w:val="00524A47"/>
    <w:rsid w:val="00524B77"/>
    <w:rsid w:val="00524BC2"/>
    <w:rsid w:val="00524BD4"/>
    <w:rsid w:val="00524C79"/>
    <w:rsid w:val="00524C81"/>
    <w:rsid w:val="00524CA3"/>
    <w:rsid w:val="00524DAB"/>
    <w:rsid w:val="00524DC7"/>
    <w:rsid w:val="00524E21"/>
    <w:rsid w:val="00524E27"/>
    <w:rsid w:val="00524E37"/>
    <w:rsid w:val="0052519C"/>
    <w:rsid w:val="0052535F"/>
    <w:rsid w:val="00525408"/>
    <w:rsid w:val="005254B4"/>
    <w:rsid w:val="005255E1"/>
    <w:rsid w:val="00525609"/>
    <w:rsid w:val="00525704"/>
    <w:rsid w:val="005257D8"/>
    <w:rsid w:val="005258E8"/>
    <w:rsid w:val="0052591D"/>
    <w:rsid w:val="0052594A"/>
    <w:rsid w:val="00525B88"/>
    <w:rsid w:val="00525BA4"/>
    <w:rsid w:val="00525C44"/>
    <w:rsid w:val="00525C93"/>
    <w:rsid w:val="00525D7D"/>
    <w:rsid w:val="00525E19"/>
    <w:rsid w:val="00525E98"/>
    <w:rsid w:val="00525EE2"/>
    <w:rsid w:val="00525FC7"/>
    <w:rsid w:val="00526103"/>
    <w:rsid w:val="00526289"/>
    <w:rsid w:val="005262CC"/>
    <w:rsid w:val="00526311"/>
    <w:rsid w:val="00526377"/>
    <w:rsid w:val="00526389"/>
    <w:rsid w:val="005264E7"/>
    <w:rsid w:val="0052662E"/>
    <w:rsid w:val="0052665A"/>
    <w:rsid w:val="00526779"/>
    <w:rsid w:val="005267DF"/>
    <w:rsid w:val="00526845"/>
    <w:rsid w:val="00526881"/>
    <w:rsid w:val="005268C2"/>
    <w:rsid w:val="00526BE4"/>
    <w:rsid w:val="00526E9D"/>
    <w:rsid w:val="0052707F"/>
    <w:rsid w:val="005270E2"/>
    <w:rsid w:val="005270FF"/>
    <w:rsid w:val="00527144"/>
    <w:rsid w:val="00527161"/>
    <w:rsid w:val="005272CA"/>
    <w:rsid w:val="00527392"/>
    <w:rsid w:val="005273C5"/>
    <w:rsid w:val="00527508"/>
    <w:rsid w:val="005277A6"/>
    <w:rsid w:val="005278F2"/>
    <w:rsid w:val="005279CC"/>
    <w:rsid w:val="005279D9"/>
    <w:rsid w:val="005279F5"/>
    <w:rsid w:val="00527A46"/>
    <w:rsid w:val="00527A89"/>
    <w:rsid w:val="00527AC1"/>
    <w:rsid w:val="00527AE5"/>
    <w:rsid w:val="00527C4C"/>
    <w:rsid w:val="00527C7D"/>
    <w:rsid w:val="00527CAB"/>
    <w:rsid w:val="00527CCD"/>
    <w:rsid w:val="00527CD5"/>
    <w:rsid w:val="00527DB2"/>
    <w:rsid w:val="00527F29"/>
    <w:rsid w:val="00527F88"/>
    <w:rsid w:val="00527F94"/>
    <w:rsid w:val="00527F9C"/>
    <w:rsid w:val="00527FED"/>
    <w:rsid w:val="00530188"/>
    <w:rsid w:val="00530285"/>
    <w:rsid w:val="005302F4"/>
    <w:rsid w:val="0053031E"/>
    <w:rsid w:val="0053041F"/>
    <w:rsid w:val="00530502"/>
    <w:rsid w:val="005306BF"/>
    <w:rsid w:val="005306D5"/>
    <w:rsid w:val="0053074B"/>
    <w:rsid w:val="0053088A"/>
    <w:rsid w:val="005309B3"/>
    <w:rsid w:val="00530B21"/>
    <w:rsid w:val="00530C93"/>
    <w:rsid w:val="00530CCD"/>
    <w:rsid w:val="00530D3A"/>
    <w:rsid w:val="00530EF6"/>
    <w:rsid w:val="00530F00"/>
    <w:rsid w:val="00530F96"/>
    <w:rsid w:val="005310F6"/>
    <w:rsid w:val="00531377"/>
    <w:rsid w:val="0053141E"/>
    <w:rsid w:val="00531479"/>
    <w:rsid w:val="00531514"/>
    <w:rsid w:val="0053155F"/>
    <w:rsid w:val="00531585"/>
    <w:rsid w:val="00531598"/>
    <w:rsid w:val="00531711"/>
    <w:rsid w:val="005317A2"/>
    <w:rsid w:val="005318F7"/>
    <w:rsid w:val="00531A1C"/>
    <w:rsid w:val="00531A3F"/>
    <w:rsid w:val="00531AC5"/>
    <w:rsid w:val="00531C91"/>
    <w:rsid w:val="00531CB8"/>
    <w:rsid w:val="00531D1E"/>
    <w:rsid w:val="00531DF0"/>
    <w:rsid w:val="00531F46"/>
    <w:rsid w:val="00532054"/>
    <w:rsid w:val="005320CF"/>
    <w:rsid w:val="005320D9"/>
    <w:rsid w:val="00532217"/>
    <w:rsid w:val="00532297"/>
    <w:rsid w:val="00532627"/>
    <w:rsid w:val="005326C9"/>
    <w:rsid w:val="005327B2"/>
    <w:rsid w:val="005327F2"/>
    <w:rsid w:val="00532910"/>
    <w:rsid w:val="005329A3"/>
    <w:rsid w:val="00532A2B"/>
    <w:rsid w:val="00532B02"/>
    <w:rsid w:val="00532B17"/>
    <w:rsid w:val="00532B5D"/>
    <w:rsid w:val="00532C61"/>
    <w:rsid w:val="00532CAF"/>
    <w:rsid w:val="00532D05"/>
    <w:rsid w:val="00532D11"/>
    <w:rsid w:val="00532D78"/>
    <w:rsid w:val="00532DAD"/>
    <w:rsid w:val="00532DB7"/>
    <w:rsid w:val="00532E1B"/>
    <w:rsid w:val="00532E3E"/>
    <w:rsid w:val="005331B1"/>
    <w:rsid w:val="0053335D"/>
    <w:rsid w:val="0053340D"/>
    <w:rsid w:val="0053348E"/>
    <w:rsid w:val="005334A1"/>
    <w:rsid w:val="005336B3"/>
    <w:rsid w:val="00533736"/>
    <w:rsid w:val="0053376D"/>
    <w:rsid w:val="005337E2"/>
    <w:rsid w:val="00533801"/>
    <w:rsid w:val="0053382C"/>
    <w:rsid w:val="0053383A"/>
    <w:rsid w:val="0053387D"/>
    <w:rsid w:val="005338D8"/>
    <w:rsid w:val="00533A5D"/>
    <w:rsid w:val="00533BFC"/>
    <w:rsid w:val="00533D28"/>
    <w:rsid w:val="00533DB2"/>
    <w:rsid w:val="00533F54"/>
    <w:rsid w:val="00533F76"/>
    <w:rsid w:val="0053400D"/>
    <w:rsid w:val="0053405F"/>
    <w:rsid w:val="005341DC"/>
    <w:rsid w:val="005342D2"/>
    <w:rsid w:val="005345FF"/>
    <w:rsid w:val="005348C7"/>
    <w:rsid w:val="005348F3"/>
    <w:rsid w:val="00534BE8"/>
    <w:rsid w:val="00534FC2"/>
    <w:rsid w:val="005350A2"/>
    <w:rsid w:val="00535190"/>
    <w:rsid w:val="005352C9"/>
    <w:rsid w:val="00535421"/>
    <w:rsid w:val="005358AB"/>
    <w:rsid w:val="005358C5"/>
    <w:rsid w:val="005358C8"/>
    <w:rsid w:val="005358F8"/>
    <w:rsid w:val="005359AA"/>
    <w:rsid w:val="00535ADC"/>
    <w:rsid w:val="00535B00"/>
    <w:rsid w:val="00535BD1"/>
    <w:rsid w:val="00535CFF"/>
    <w:rsid w:val="00535D90"/>
    <w:rsid w:val="00535E15"/>
    <w:rsid w:val="00535E1F"/>
    <w:rsid w:val="00535EB3"/>
    <w:rsid w:val="00535F0C"/>
    <w:rsid w:val="00535F23"/>
    <w:rsid w:val="00535F5C"/>
    <w:rsid w:val="0053620F"/>
    <w:rsid w:val="00536213"/>
    <w:rsid w:val="0053625A"/>
    <w:rsid w:val="00536278"/>
    <w:rsid w:val="0053632B"/>
    <w:rsid w:val="00536388"/>
    <w:rsid w:val="00536393"/>
    <w:rsid w:val="00536465"/>
    <w:rsid w:val="005364A6"/>
    <w:rsid w:val="005366DF"/>
    <w:rsid w:val="005366F4"/>
    <w:rsid w:val="005367BF"/>
    <w:rsid w:val="005368DC"/>
    <w:rsid w:val="00536986"/>
    <w:rsid w:val="00536B74"/>
    <w:rsid w:val="00536B7B"/>
    <w:rsid w:val="00536C56"/>
    <w:rsid w:val="00536C7C"/>
    <w:rsid w:val="00536D06"/>
    <w:rsid w:val="00536D50"/>
    <w:rsid w:val="00536D98"/>
    <w:rsid w:val="00536DD2"/>
    <w:rsid w:val="00536E6D"/>
    <w:rsid w:val="00536F92"/>
    <w:rsid w:val="00536FE4"/>
    <w:rsid w:val="0053704D"/>
    <w:rsid w:val="00537191"/>
    <w:rsid w:val="0053719D"/>
    <w:rsid w:val="00537289"/>
    <w:rsid w:val="005372E8"/>
    <w:rsid w:val="00537496"/>
    <w:rsid w:val="0053781E"/>
    <w:rsid w:val="00537894"/>
    <w:rsid w:val="0053799A"/>
    <w:rsid w:val="005379FF"/>
    <w:rsid w:val="00537B2E"/>
    <w:rsid w:val="00537CED"/>
    <w:rsid w:val="00537D1C"/>
    <w:rsid w:val="00537EBC"/>
    <w:rsid w:val="0054003A"/>
    <w:rsid w:val="005400F3"/>
    <w:rsid w:val="005401D0"/>
    <w:rsid w:val="00540740"/>
    <w:rsid w:val="00540747"/>
    <w:rsid w:val="00540761"/>
    <w:rsid w:val="00540895"/>
    <w:rsid w:val="00540B93"/>
    <w:rsid w:val="00540D17"/>
    <w:rsid w:val="00540FC9"/>
    <w:rsid w:val="005410D8"/>
    <w:rsid w:val="00541101"/>
    <w:rsid w:val="0054113A"/>
    <w:rsid w:val="0054125B"/>
    <w:rsid w:val="005414A9"/>
    <w:rsid w:val="005415FF"/>
    <w:rsid w:val="00541899"/>
    <w:rsid w:val="0054192A"/>
    <w:rsid w:val="00541B68"/>
    <w:rsid w:val="00541F81"/>
    <w:rsid w:val="0054201D"/>
    <w:rsid w:val="00542177"/>
    <w:rsid w:val="00542318"/>
    <w:rsid w:val="00542362"/>
    <w:rsid w:val="00542476"/>
    <w:rsid w:val="00542571"/>
    <w:rsid w:val="00542671"/>
    <w:rsid w:val="005426DE"/>
    <w:rsid w:val="0054287C"/>
    <w:rsid w:val="005428EA"/>
    <w:rsid w:val="00542B39"/>
    <w:rsid w:val="00542BF0"/>
    <w:rsid w:val="00542C39"/>
    <w:rsid w:val="00542EB9"/>
    <w:rsid w:val="005431E4"/>
    <w:rsid w:val="005433F5"/>
    <w:rsid w:val="005433FC"/>
    <w:rsid w:val="005434BF"/>
    <w:rsid w:val="005434F6"/>
    <w:rsid w:val="005435C5"/>
    <w:rsid w:val="00543644"/>
    <w:rsid w:val="00543652"/>
    <w:rsid w:val="00543781"/>
    <w:rsid w:val="005437C0"/>
    <w:rsid w:val="00543917"/>
    <w:rsid w:val="005439DC"/>
    <w:rsid w:val="00543ACD"/>
    <w:rsid w:val="00543AD4"/>
    <w:rsid w:val="00543AD9"/>
    <w:rsid w:val="00543B23"/>
    <w:rsid w:val="00543B7A"/>
    <w:rsid w:val="00543C11"/>
    <w:rsid w:val="00543C81"/>
    <w:rsid w:val="00543D63"/>
    <w:rsid w:val="00543E16"/>
    <w:rsid w:val="00543E9D"/>
    <w:rsid w:val="00544052"/>
    <w:rsid w:val="005440FF"/>
    <w:rsid w:val="00544123"/>
    <w:rsid w:val="00544255"/>
    <w:rsid w:val="0054435D"/>
    <w:rsid w:val="005445DC"/>
    <w:rsid w:val="005446A5"/>
    <w:rsid w:val="00544701"/>
    <w:rsid w:val="0054470B"/>
    <w:rsid w:val="00544730"/>
    <w:rsid w:val="005448EC"/>
    <w:rsid w:val="00544A46"/>
    <w:rsid w:val="00544AFD"/>
    <w:rsid w:val="00544B26"/>
    <w:rsid w:val="00544C9A"/>
    <w:rsid w:val="00544CE2"/>
    <w:rsid w:val="00544EAC"/>
    <w:rsid w:val="00544ED3"/>
    <w:rsid w:val="00544F08"/>
    <w:rsid w:val="00544FEF"/>
    <w:rsid w:val="005452B9"/>
    <w:rsid w:val="0054537F"/>
    <w:rsid w:val="00545470"/>
    <w:rsid w:val="0054547F"/>
    <w:rsid w:val="00545486"/>
    <w:rsid w:val="005454D1"/>
    <w:rsid w:val="005455F8"/>
    <w:rsid w:val="0054577A"/>
    <w:rsid w:val="00545786"/>
    <w:rsid w:val="00545B1C"/>
    <w:rsid w:val="00545B1F"/>
    <w:rsid w:val="00545BA1"/>
    <w:rsid w:val="00545C83"/>
    <w:rsid w:val="00545CBF"/>
    <w:rsid w:val="00545CF5"/>
    <w:rsid w:val="00545CFA"/>
    <w:rsid w:val="00545DE6"/>
    <w:rsid w:val="00545F9B"/>
    <w:rsid w:val="00545FB1"/>
    <w:rsid w:val="0054602A"/>
    <w:rsid w:val="005460A0"/>
    <w:rsid w:val="00546119"/>
    <w:rsid w:val="00546186"/>
    <w:rsid w:val="0054656A"/>
    <w:rsid w:val="00546623"/>
    <w:rsid w:val="00546785"/>
    <w:rsid w:val="0054680B"/>
    <w:rsid w:val="005469FD"/>
    <w:rsid w:val="00546A0B"/>
    <w:rsid w:val="00546A30"/>
    <w:rsid w:val="00546AA7"/>
    <w:rsid w:val="00546ACB"/>
    <w:rsid w:val="00546BEE"/>
    <w:rsid w:val="00546E83"/>
    <w:rsid w:val="00546ECA"/>
    <w:rsid w:val="00546F8A"/>
    <w:rsid w:val="00546FE6"/>
    <w:rsid w:val="00547023"/>
    <w:rsid w:val="00547074"/>
    <w:rsid w:val="005470A5"/>
    <w:rsid w:val="005471C4"/>
    <w:rsid w:val="005472DF"/>
    <w:rsid w:val="00547643"/>
    <w:rsid w:val="00547794"/>
    <w:rsid w:val="00547879"/>
    <w:rsid w:val="00547998"/>
    <w:rsid w:val="00547BB4"/>
    <w:rsid w:val="00547C75"/>
    <w:rsid w:val="00547C77"/>
    <w:rsid w:val="00547D2B"/>
    <w:rsid w:val="00547D38"/>
    <w:rsid w:val="00547E24"/>
    <w:rsid w:val="00547E6B"/>
    <w:rsid w:val="00547EDB"/>
    <w:rsid w:val="00547EFF"/>
    <w:rsid w:val="0055011A"/>
    <w:rsid w:val="0055018A"/>
    <w:rsid w:val="005502AB"/>
    <w:rsid w:val="00550318"/>
    <w:rsid w:val="00550321"/>
    <w:rsid w:val="0055045D"/>
    <w:rsid w:val="005504CD"/>
    <w:rsid w:val="00550581"/>
    <w:rsid w:val="0055077E"/>
    <w:rsid w:val="00550C50"/>
    <w:rsid w:val="00550CC4"/>
    <w:rsid w:val="00550CEB"/>
    <w:rsid w:val="00550D15"/>
    <w:rsid w:val="00550D18"/>
    <w:rsid w:val="00550E5B"/>
    <w:rsid w:val="0055103C"/>
    <w:rsid w:val="0055116F"/>
    <w:rsid w:val="005511DF"/>
    <w:rsid w:val="0055144B"/>
    <w:rsid w:val="005515CC"/>
    <w:rsid w:val="005516E6"/>
    <w:rsid w:val="00551769"/>
    <w:rsid w:val="005518B2"/>
    <w:rsid w:val="005518D2"/>
    <w:rsid w:val="005519A5"/>
    <w:rsid w:val="00551AC1"/>
    <w:rsid w:val="00551D7F"/>
    <w:rsid w:val="00551EAB"/>
    <w:rsid w:val="00551F10"/>
    <w:rsid w:val="00551FC8"/>
    <w:rsid w:val="00551FED"/>
    <w:rsid w:val="0055210C"/>
    <w:rsid w:val="0055213C"/>
    <w:rsid w:val="005523E0"/>
    <w:rsid w:val="00552459"/>
    <w:rsid w:val="0055263E"/>
    <w:rsid w:val="00552734"/>
    <w:rsid w:val="0055275A"/>
    <w:rsid w:val="0055280E"/>
    <w:rsid w:val="00552AC8"/>
    <w:rsid w:val="00552B0B"/>
    <w:rsid w:val="00552B95"/>
    <w:rsid w:val="00552CAD"/>
    <w:rsid w:val="00552D0C"/>
    <w:rsid w:val="00552DA7"/>
    <w:rsid w:val="00552F38"/>
    <w:rsid w:val="00552F72"/>
    <w:rsid w:val="00553058"/>
    <w:rsid w:val="00553252"/>
    <w:rsid w:val="005533AF"/>
    <w:rsid w:val="00553408"/>
    <w:rsid w:val="00553499"/>
    <w:rsid w:val="005535CE"/>
    <w:rsid w:val="0055362A"/>
    <w:rsid w:val="005536EC"/>
    <w:rsid w:val="00553706"/>
    <w:rsid w:val="005538B2"/>
    <w:rsid w:val="005538C3"/>
    <w:rsid w:val="00553B40"/>
    <w:rsid w:val="00553B90"/>
    <w:rsid w:val="00553BE5"/>
    <w:rsid w:val="00553BFC"/>
    <w:rsid w:val="00553D2F"/>
    <w:rsid w:val="00553E07"/>
    <w:rsid w:val="00553F38"/>
    <w:rsid w:val="00553F5E"/>
    <w:rsid w:val="00553F96"/>
    <w:rsid w:val="00554178"/>
    <w:rsid w:val="00554284"/>
    <w:rsid w:val="005543F7"/>
    <w:rsid w:val="005544DD"/>
    <w:rsid w:val="005544E6"/>
    <w:rsid w:val="00554796"/>
    <w:rsid w:val="00554905"/>
    <w:rsid w:val="00554BE7"/>
    <w:rsid w:val="00554C47"/>
    <w:rsid w:val="00554C9D"/>
    <w:rsid w:val="00554C9F"/>
    <w:rsid w:val="00554DBE"/>
    <w:rsid w:val="00554DEB"/>
    <w:rsid w:val="00554EA2"/>
    <w:rsid w:val="00554F22"/>
    <w:rsid w:val="00554F43"/>
    <w:rsid w:val="005550A2"/>
    <w:rsid w:val="00555195"/>
    <w:rsid w:val="005553DB"/>
    <w:rsid w:val="00555550"/>
    <w:rsid w:val="00555617"/>
    <w:rsid w:val="0055562F"/>
    <w:rsid w:val="00555682"/>
    <w:rsid w:val="005556DC"/>
    <w:rsid w:val="005557CA"/>
    <w:rsid w:val="005557CC"/>
    <w:rsid w:val="005557F2"/>
    <w:rsid w:val="00555862"/>
    <w:rsid w:val="00555A15"/>
    <w:rsid w:val="00555A9F"/>
    <w:rsid w:val="00555ABB"/>
    <w:rsid w:val="00555B8F"/>
    <w:rsid w:val="00555C38"/>
    <w:rsid w:val="00555CB1"/>
    <w:rsid w:val="00555D42"/>
    <w:rsid w:val="00555E1A"/>
    <w:rsid w:val="00555F90"/>
    <w:rsid w:val="0055606A"/>
    <w:rsid w:val="0055613F"/>
    <w:rsid w:val="0055622E"/>
    <w:rsid w:val="00556258"/>
    <w:rsid w:val="005562AE"/>
    <w:rsid w:val="005562CD"/>
    <w:rsid w:val="0055648C"/>
    <w:rsid w:val="005564C2"/>
    <w:rsid w:val="00556735"/>
    <w:rsid w:val="005567FC"/>
    <w:rsid w:val="00556B78"/>
    <w:rsid w:val="00556B9E"/>
    <w:rsid w:val="00556BBF"/>
    <w:rsid w:val="00556C26"/>
    <w:rsid w:val="00556C78"/>
    <w:rsid w:val="00556C9B"/>
    <w:rsid w:val="00556CB1"/>
    <w:rsid w:val="00556D3E"/>
    <w:rsid w:val="00556EE7"/>
    <w:rsid w:val="005570F2"/>
    <w:rsid w:val="005571AC"/>
    <w:rsid w:val="00557204"/>
    <w:rsid w:val="005572F9"/>
    <w:rsid w:val="0055733C"/>
    <w:rsid w:val="0055739C"/>
    <w:rsid w:val="005574C5"/>
    <w:rsid w:val="005575F8"/>
    <w:rsid w:val="0055763F"/>
    <w:rsid w:val="0055780B"/>
    <w:rsid w:val="00557867"/>
    <w:rsid w:val="005578ED"/>
    <w:rsid w:val="005578FD"/>
    <w:rsid w:val="00557982"/>
    <w:rsid w:val="005579C2"/>
    <w:rsid w:val="00557C1F"/>
    <w:rsid w:val="00557D23"/>
    <w:rsid w:val="00557EE8"/>
    <w:rsid w:val="00557FF1"/>
    <w:rsid w:val="00560212"/>
    <w:rsid w:val="0056029E"/>
    <w:rsid w:val="00560328"/>
    <w:rsid w:val="005603F0"/>
    <w:rsid w:val="005604C3"/>
    <w:rsid w:val="005605FF"/>
    <w:rsid w:val="005607F4"/>
    <w:rsid w:val="00560961"/>
    <w:rsid w:val="00560AF2"/>
    <w:rsid w:val="00560B37"/>
    <w:rsid w:val="00560B5F"/>
    <w:rsid w:val="00560BB9"/>
    <w:rsid w:val="00560CB7"/>
    <w:rsid w:val="00560E05"/>
    <w:rsid w:val="00560E31"/>
    <w:rsid w:val="00560E8B"/>
    <w:rsid w:val="00560EDE"/>
    <w:rsid w:val="00560EE0"/>
    <w:rsid w:val="00560F0D"/>
    <w:rsid w:val="00560F8F"/>
    <w:rsid w:val="00560FC4"/>
    <w:rsid w:val="00561014"/>
    <w:rsid w:val="0056105B"/>
    <w:rsid w:val="0056118E"/>
    <w:rsid w:val="005611A5"/>
    <w:rsid w:val="00561283"/>
    <w:rsid w:val="00561287"/>
    <w:rsid w:val="0056133D"/>
    <w:rsid w:val="00561702"/>
    <w:rsid w:val="005617AA"/>
    <w:rsid w:val="00561931"/>
    <w:rsid w:val="0056197C"/>
    <w:rsid w:val="005619A6"/>
    <w:rsid w:val="005619D3"/>
    <w:rsid w:val="00561DE0"/>
    <w:rsid w:val="00561E0C"/>
    <w:rsid w:val="00561FDF"/>
    <w:rsid w:val="00562031"/>
    <w:rsid w:val="00562186"/>
    <w:rsid w:val="0056218A"/>
    <w:rsid w:val="00562205"/>
    <w:rsid w:val="00562334"/>
    <w:rsid w:val="00562344"/>
    <w:rsid w:val="00562351"/>
    <w:rsid w:val="005625AA"/>
    <w:rsid w:val="005625B0"/>
    <w:rsid w:val="0056275F"/>
    <w:rsid w:val="0056278E"/>
    <w:rsid w:val="005627BD"/>
    <w:rsid w:val="0056282C"/>
    <w:rsid w:val="00562833"/>
    <w:rsid w:val="00562923"/>
    <w:rsid w:val="00562ABE"/>
    <w:rsid w:val="00562B59"/>
    <w:rsid w:val="00562B84"/>
    <w:rsid w:val="00562D00"/>
    <w:rsid w:val="00562D95"/>
    <w:rsid w:val="00562DDE"/>
    <w:rsid w:val="00562E61"/>
    <w:rsid w:val="00562F5A"/>
    <w:rsid w:val="0056303A"/>
    <w:rsid w:val="0056320F"/>
    <w:rsid w:val="00563217"/>
    <w:rsid w:val="0056322D"/>
    <w:rsid w:val="0056327C"/>
    <w:rsid w:val="005635A3"/>
    <w:rsid w:val="00563796"/>
    <w:rsid w:val="00563808"/>
    <w:rsid w:val="0056387B"/>
    <w:rsid w:val="005638E6"/>
    <w:rsid w:val="00563954"/>
    <w:rsid w:val="0056396D"/>
    <w:rsid w:val="0056397D"/>
    <w:rsid w:val="00563AC1"/>
    <w:rsid w:val="00563B97"/>
    <w:rsid w:val="00563D96"/>
    <w:rsid w:val="00563E5B"/>
    <w:rsid w:val="00563F5D"/>
    <w:rsid w:val="00563F84"/>
    <w:rsid w:val="0056417A"/>
    <w:rsid w:val="0056423B"/>
    <w:rsid w:val="00564326"/>
    <w:rsid w:val="0056466A"/>
    <w:rsid w:val="00564726"/>
    <w:rsid w:val="005647A6"/>
    <w:rsid w:val="00564866"/>
    <w:rsid w:val="0056491B"/>
    <w:rsid w:val="00564C4F"/>
    <w:rsid w:val="00564F16"/>
    <w:rsid w:val="00564F1D"/>
    <w:rsid w:val="00564FB6"/>
    <w:rsid w:val="005651BA"/>
    <w:rsid w:val="0056526D"/>
    <w:rsid w:val="00565306"/>
    <w:rsid w:val="005653ED"/>
    <w:rsid w:val="005655D9"/>
    <w:rsid w:val="00565655"/>
    <w:rsid w:val="00565963"/>
    <w:rsid w:val="00565C9D"/>
    <w:rsid w:val="00565CE8"/>
    <w:rsid w:val="00565E16"/>
    <w:rsid w:val="0056603B"/>
    <w:rsid w:val="0056609B"/>
    <w:rsid w:val="00566114"/>
    <w:rsid w:val="0056626F"/>
    <w:rsid w:val="00566450"/>
    <w:rsid w:val="005664B8"/>
    <w:rsid w:val="005664FC"/>
    <w:rsid w:val="005665CB"/>
    <w:rsid w:val="0056662A"/>
    <w:rsid w:val="005667D8"/>
    <w:rsid w:val="0056680F"/>
    <w:rsid w:val="00566868"/>
    <w:rsid w:val="00566937"/>
    <w:rsid w:val="00566A2F"/>
    <w:rsid w:val="00566C5A"/>
    <w:rsid w:val="00566D1A"/>
    <w:rsid w:val="00566DC2"/>
    <w:rsid w:val="00566E61"/>
    <w:rsid w:val="00566E78"/>
    <w:rsid w:val="00566EFA"/>
    <w:rsid w:val="00567109"/>
    <w:rsid w:val="00567161"/>
    <w:rsid w:val="00567167"/>
    <w:rsid w:val="0056716C"/>
    <w:rsid w:val="00567181"/>
    <w:rsid w:val="005672DD"/>
    <w:rsid w:val="00567327"/>
    <w:rsid w:val="00567472"/>
    <w:rsid w:val="00567497"/>
    <w:rsid w:val="005674BD"/>
    <w:rsid w:val="00567537"/>
    <w:rsid w:val="0056761E"/>
    <w:rsid w:val="005677BC"/>
    <w:rsid w:val="005678ED"/>
    <w:rsid w:val="0056793C"/>
    <w:rsid w:val="00567948"/>
    <w:rsid w:val="00567A09"/>
    <w:rsid w:val="00567B11"/>
    <w:rsid w:val="00567B82"/>
    <w:rsid w:val="00567BCE"/>
    <w:rsid w:val="00567C76"/>
    <w:rsid w:val="00567DA0"/>
    <w:rsid w:val="00567E00"/>
    <w:rsid w:val="00567E45"/>
    <w:rsid w:val="00567E6D"/>
    <w:rsid w:val="00567E9E"/>
    <w:rsid w:val="00567F28"/>
    <w:rsid w:val="00567F96"/>
    <w:rsid w:val="00567F9C"/>
    <w:rsid w:val="00567FD8"/>
    <w:rsid w:val="00570073"/>
    <w:rsid w:val="00570185"/>
    <w:rsid w:val="005701CA"/>
    <w:rsid w:val="005703D8"/>
    <w:rsid w:val="00570482"/>
    <w:rsid w:val="005704CF"/>
    <w:rsid w:val="005705AA"/>
    <w:rsid w:val="0057084C"/>
    <w:rsid w:val="0057086B"/>
    <w:rsid w:val="0057088E"/>
    <w:rsid w:val="00570A20"/>
    <w:rsid w:val="00570A6E"/>
    <w:rsid w:val="00570AC5"/>
    <w:rsid w:val="00570BBD"/>
    <w:rsid w:val="00570D0E"/>
    <w:rsid w:val="00570DB6"/>
    <w:rsid w:val="00570DF4"/>
    <w:rsid w:val="00570F32"/>
    <w:rsid w:val="0057103E"/>
    <w:rsid w:val="005711B6"/>
    <w:rsid w:val="0057132A"/>
    <w:rsid w:val="005713D8"/>
    <w:rsid w:val="00571460"/>
    <w:rsid w:val="0057177A"/>
    <w:rsid w:val="0057186E"/>
    <w:rsid w:val="005718F6"/>
    <w:rsid w:val="005719E1"/>
    <w:rsid w:val="005719F3"/>
    <w:rsid w:val="00571AFF"/>
    <w:rsid w:val="00571B4E"/>
    <w:rsid w:val="00571C73"/>
    <w:rsid w:val="00571CC5"/>
    <w:rsid w:val="00571D6B"/>
    <w:rsid w:val="00571DA2"/>
    <w:rsid w:val="00571DD6"/>
    <w:rsid w:val="0057202E"/>
    <w:rsid w:val="00572041"/>
    <w:rsid w:val="005724B0"/>
    <w:rsid w:val="005724F4"/>
    <w:rsid w:val="00572606"/>
    <w:rsid w:val="00572640"/>
    <w:rsid w:val="00572668"/>
    <w:rsid w:val="00572675"/>
    <w:rsid w:val="00572701"/>
    <w:rsid w:val="0057274A"/>
    <w:rsid w:val="00572779"/>
    <w:rsid w:val="005727B8"/>
    <w:rsid w:val="00572883"/>
    <w:rsid w:val="0057294F"/>
    <w:rsid w:val="00572B67"/>
    <w:rsid w:val="00572D80"/>
    <w:rsid w:val="00572D9C"/>
    <w:rsid w:val="00572FF2"/>
    <w:rsid w:val="00573198"/>
    <w:rsid w:val="00573258"/>
    <w:rsid w:val="00573454"/>
    <w:rsid w:val="005734C0"/>
    <w:rsid w:val="0057356D"/>
    <w:rsid w:val="005735C0"/>
    <w:rsid w:val="005737D4"/>
    <w:rsid w:val="00573876"/>
    <w:rsid w:val="00573AA1"/>
    <w:rsid w:val="00573C28"/>
    <w:rsid w:val="00573CAC"/>
    <w:rsid w:val="00573E42"/>
    <w:rsid w:val="00573FE1"/>
    <w:rsid w:val="00573FFD"/>
    <w:rsid w:val="0057403A"/>
    <w:rsid w:val="005740B3"/>
    <w:rsid w:val="005740BE"/>
    <w:rsid w:val="0057410D"/>
    <w:rsid w:val="0057428B"/>
    <w:rsid w:val="005743A5"/>
    <w:rsid w:val="00574417"/>
    <w:rsid w:val="005744BC"/>
    <w:rsid w:val="005745B2"/>
    <w:rsid w:val="00574A97"/>
    <w:rsid w:val="00574BCD"/>
    <w:rsid w:val="00574C7D"/>
    <w:rsid w:val="00574DE2"/>
    <w:rsid w:val="00574DFA"/>
    <w:rsid w:val="00574E50"/>
    <w:rsid w:val="00574F23"/>
    <w:rsid w:val="005751B4"/>
    <w:rsid w:val="005752DE"/>
    <w:rsid w:val="005753C7"/>
    <w:rsid w:val="0057550F"/>
    <w:rsid w:val="00575680"/>
    <w:rsid w:val="005756C7"/>
    <w:rsid w:val="00575890"/>
    <w:rsid w:val="005758BF"/>
    <w:rsid w:val="005759B8"/>
    <w:rsid w:val="00575B43"/>
    <w:rsid w:val="00575B46"/>
    <w:rsid w:val="00575BF1"/>
    <w:rsid w:val="00575D27"/>
    <w:rsid w:val="00575D9F"/>
    <w:rsid w:val="00575E8E"/>
    <w:rsid w:val="00575F9C"/>
    <w:rsid w:val="00575FB4"/>
    <w:rsid w:val="00576078"/>
    <w:rsid w:val="0057607F"/>
    <w:rsid w:val="00576211"/>
    <w:rsid w:val="0057638E"/>
    <w:rsid w:val="00576415"/>
    <w:rsid w:val="005764D2"/>
    <w:rsid w:val="00576533"/>
    <w:rsid w:val="005765FF"/>
    <w:rsid w:val="005766BC"/>
    <w:rsid w:val="00576762"/>
    <w:rsid w:val="00576859"/>
    <w:rsid w:val="00576979"/>
    <w:rsid w:val="00576AF8"/>
    <w:rsid w:val="00576C61"/>
    <w:rsid w:val="00576DE2"/>
    <w:rsid w:val="00576E7A"/>
    <w:rsid w:val="00576F7C"/>
    <w:rsid w:val="00576FCB"/>
    <w:rsid w:val="00576FEF"/>
    <w:rsid w:val="00577069"/>
    <w:rsid w:val="0057724F"/>
    <w:rsid w:val="0057731E"/>
    <w:rsid w:val="005774FF"/>
    <w:rsid w:val="005775F4"/>
    <w:rsid w:val="0057767E"/>
    <w:rsid w:val="00577681"/>
    <w:rsid w:val="0057771F"/>
    <w:rsid w:val="00577775"/>
    <w:rsid w:val="00577920"/>
    <w:rsid w:val="005779DB"/>
    <w:rsid w:val="00577AD5"/>
    <w:rsid w:val="00577AE4"/>
    <w:rsid w:val="00577BDA"/>
    <w:rsid w:val="00577C13"/>
    <w:rsid w:val="00577C77"/>
    <w:rsid w:val="00577CF0"/>
    <w:rsid w:val="00577DAB"/>
    <w:rsid w:val="00577E14"/>
    <w:rsid w:val="00577F29"/>
    <w:rsid w:val="0057E952"/>
    <w:rsid w:val="00580028"/>
    <w:rsid w:val="005800AA"/>
    <w:rsid w:val="005800BB"/>
    <w:rsid w:val="005800FE"/>
    <w:rsid w:val="0058012F"/>
    <w:rsid w:val="005801B1"/>
    <w:rsid w:val="0058035D"/>
    <w:rsid w:val="00580499"/>
    <w:rsid w:val="005804AE"/>
    <w:rsid w:val="00580675"/>
    <w:rsid w:val="005806E4"/>
    <w:rsid w:val="00580850"/>
    <w:rsid w:val="00580985"/>
    <w:rsid w:val="005809ED"/>
    <w:rsid w:val="00580B73"/>
    <w:rsid w:val="00580B97"/>
    <w:rsid w:val="00580BA8"/>
    <w:rsid w:val="00580BFF"/>
    <w:rsid w:val="00580CCE"/>
    <w:rsid w:val="00580D74"/>
    <w:rsid w:val="00580E44"/>
    <w:rsid w:val="00580E5F"/>
    <w:rsid w:val="00580E8C"/>
    <w:rsid w:val="00580EF4"/>
    <w:rsid w:val="00580FE9"/>
    <w:rsid w:val="00581130"/>
    <w:rsid w:val="0058118A"/>
    <w:rsid w:val="005811B2"/>
    <w:rsid w:val="00581216"/>
    <w:rsid w:val="00581250"/>
    <w:rsid w:val="005812AA"/>
    <w:rsid w:val="00581365"/>
    <w:rsid w:val="00581438"/>
    <w:rsid w:val="00581471"/>
    <w:rsid w:val="00581913"/>
    <w:rsid w:val="00581945"/>
    <w:rsid w:val="0058199D"/>
    <w:rsid w:val="00581B54"/>
    <w:rsid w:val="00581B8D"/>
    <w:rsid w:val="00581C69"/>
    <w:rsid w:val="00581C7A"/>
    <w:rsid w:val="00581D0A"/>
    <w:rsid w:val="00581D73"/>
    <w:rsid w:val="00581DCB"/>
    <w:rsid w:val="00581E72"/>
    <w:rsid w:val="00581E7A"/>
    <w:rsid w:val="00581F6A"/>
    <w:rsid w:val="005821DD"/>
    <w:rsid w:val="0058225C"/>
    <w:rsid w:val="0058226F"/>
    <w:rsid w:val="00582310"/>
    <w:rsid w:val="005824C9"/>
    <w:rsid w:val="0058268C"/>
    <w:rsid w:val="0058270A"/>
    <w:rsid w:val="005828FA"/>
    <w:rsid w:val="00582900"/>
    <w:rsid w:val="00582A89"/>
    <w:rsid w:val="00582BAC"/>
    <w:rsid w:val="00582D1F"/>
    <w:rsid w:val="00582EB1"/>
    <w:rsid w:val="0058300F"/>
    <w:rsid w:val="0058316D"/>
    <w:rsid w:val="00583211"/>
    <w:rsid w:val="0058331E"/>
    <w:rsid w:val="005834B9"/>
    <w:rsid w:val="005834D2"/>
    <w:rsid w:val="005835E2"/>
    <w:rsid w:val="00583635"/>
    <w:rsid w:val="0058364D"/>
    <w:rsid w:val="00583714"/>
    <w:rsid w:val="00583819"/>
    <w:rsid w:val="00583948"/>
    <w:rsid w:val="0058396C"/>
    <w:rsid w:val="00583A2E"/>
    <w:rsid w:val="00583E11"/>
    <w:rsid w:val="0058401C"/>
    <w:rsid w:val="00584028"/>
    <w:rsid w:val="0058417C"/>
    <w:rsid w:val="00584284"/>
    <w:rsid w:val="00584347"/>
    <w:rsid w:val="0058435D"/>
    <w:rsid w:val="00584378"/>
    <w:rsid w:val="00584391"/>
    <w:rsid w:val="00584421"/>
    <w:rsid w:val="00584529"/>
    <w:rsid w:val="005847E7"/>
    <w:rsid w:val="00584808"/>
    <w:rsid w:val="00584AE5"/>
    <w:rsid w:val="00584B05"/>
    <w:rsid w:val="00584BBC"/>
    <w:rsid w:val="00584C77"/>
    <w:rsid w:val="00584D82"/>
    <w:rsid w:val="00584DD2"/>
    <w:rsid w:val="00584E1D"/>
    <w:rsid w:val="00584F48"/>
    <w:rsid w:val="00584FA8"/>
    <w:rsid w:val="00585106"/>
    <w:rsid w:val="0058523C"/>
    <w:rsid w:val="005852F0"/>
    <w:rsid w:val="005853D3"/>
    <w:rsid w:val="0058548C"/>
    <w:rsid w:val="005854F2"/>
    <w:rsid w:val="0058550F"/>
    <w:rsid w:val="005855D4"/>
    <w:rsid w:val="0058567D"/>
    <w:rsid w:val="00585700"/>
    <w:rsid w:val="0058581C"/>
    <w:rsid w:val="00585843"/>
    <w:rsid w:val="005858AE"/>
    <w:rsid w:val="005858B0"/>
    <w:rsid w:val="00585ADD"/>
    <w:rsid w:val="00585B7F"/>
    <w:rsid w:val="00585DDA"/>
    <w:rsid w:val="00585E21"/>
    <w:rsid w:val="00585F89"/>
    <w:rsid w:val="00586356"/>
    <w:rsid w:val="0058650A"/>
    <w:rsid w:val="005867EE"/>
    <w:rsid w:val="00586851"/>
    <w:rsid w:val="005869B3"/>
    <w:rsid w:val="00586A40"/>
    <w:rsid w:val="00586B4A"/>
    <w:rsid w:val="00586E9F"/>
    <w:rsid w:val="00586EC4"/>
    <w:rsid w:val="00586EFF"/>
    <w:rsid w:val="00586F58"/>
    <w:rsid w:val="00586F89"/>
    <w:rsid w:val="00586FDF"/>
    <w:rsid w:val="00587022"/>
    <w:rsid w:val="00587082"/>
    <w:rsid w:val="00587122"/>
    <w:rsid w:val="005871AD"/>
    <w:rsid w:val="005871AE"/>
    <w:rsid w:val="005871C1"/>
    <w:rsid w:val="00587237"/>
    <w:rsid w:val="00587315"/>
    <w:rsid w:val="00587325"/>
    <w:rsid w:val="0058754E"/>
    <w:rsid w:val="005876B7"/>
    <w:rsid w:val="005876CF"/>
    <w:rsid w:val="005877C8"/>
    <w:rsid w:val="00587854"/>
    <w:rsid w:val="00587912"/>
    <w:rsid w:val="005879AC"/>
    <w:rsid w:val="00587D9F"/>
    <w:rsid w:val="00587E26"/>
    <w:rsid w:val="00587ECA"/>
    <w:rsid w:val="00587F8E"/>
    <w:rsid w:val="0059006F"/>
    <w:rsid w:val="00590146"/>
    <w:rsid w:val="005901A1"/>
    <w:rsid w:val="005901B0"/>
    <w:rsid w:val="005901F8"/>
    <w:rsid w:val="0059034F"/>
    <w:rsid w:val="005903BB"/>
    <w:rsid w:val="00590406"/>
    <w:rsid w:val="00590462"/>
    <w:rsid w:val="005904AE"/>
    <w:rsid w:val="0059060E"/>
    <w:rsid w:val="005906F2"/>
    <w:rsid w:val="0059072E"/>
    <w:rsid w:val="00590796"/>
    <w:rsid w:val="00590818"/>
    <w:rsid w:val="00590840"/>
    <w:rsid w:val="00590A8F"/>
    <w:rsid w:val="00590B29"/>
    <w:rsid w:val="00590CC7"/>
    <w:rsid w:val="00590CC9"/>
    <w:rsid w:val="00590CCE"/>
    <w:rsid w:val="00590DBC"/>
    <w:rsid w:val="00590DFC"/>
    <w:rsid w:val="00590E8F"/>
    <w:rsid w:val="00591332"/>
    <w:rsid w:val="0059149E"/>
    <w:rsid w:val="005914A3"/>
    <w:rsid w:val="005914DD"/>
    <w:rsid w:val="005915C1"/>
    <w:rsid w:val="005915F6"/>
    <w:rsid w:val="005917D2"/>
    <w:rsid w:val="00591AB6"/>
    <w:rsid w:val="00591ABB"/>
    <w:rsid w:val="00591CD6"/>
    <w:rsid w:val="00591E18"/>
    <w:rsid w:val="00591F31"/>
    <w:rsid w:val="005921AC"/>
    <w:rsid w:val="005921EB"/>
    <w:rsid w:val="00592220"/>
    <w:rsid w:val="0059226B"/>
    <w:rsid w:val="0059227D"/>
    <w:rsid w:val="005922DC"/>
    <w:rsid w:val="00592331"/>
    <w:rsid w:val="0059237A"/>
    <w:rsid w:val="00592485"/>
    <w:rsid w:val="0059248E"/>
    <w:rsid w:val="005924C2"/>
    <w:rsid w:val="00592546"/>
    <w:rsid w:val="00592675"/>
    <w:rsid w:val="005927AC"/>
    <w:rsid w:val="0059282E"/>
    <w:rsid w:val="00592AA3"/>
    <w:rsid w:val="00592B79"/>
    <w:rsid w:val="00592CD0"/>
    <w:rsid w:val="00592D11"/>
    <w:rsid w:val="005931B3"/>
    <w:rsid w:val="005932B5"/>
    <w:rsid w:val="00593346"/>
    <w:rsid w:val="00593369"/>
    <w:rsid w:val="005933AE"/>
    <w:rsid w:val="0059357F"/>
    <w:rsid w:val="00593622"/>
    <w:rsid w:val="00593798"/>
    <w:rsid w:val="00593861"/>
    <w:rsid w:val="00593862"/>
    <w:rsid w:val="005938D2"/>
    <w:rsid w:val="00593AED"/>
    <w:rsid w:val="00593D65"/>
    <w:rsid w:val="0059402E"/>
    <w:rsid w:val="00594140"/>
    <w:rsid w:val="00594419"/>
    <w:rsid w:val="00594568"/>
    <w:rsid w:val="005945A9"/>
    <w:rsid w:val="00594762"/>
    <w:rsid w:val="005948C0"/>
    <w:rsid w:val="0059496B"/>
    <w:rsid w:val="00594B38"/>
    <w:rsid w:val="00594B62"/>
    <w:rsid w:val="00594BDF"/>
    <w:rsid w:val="00594D19"/>
    <w:rsid w:val="00594D47"/>
    <w:rsid w:val="00594E1C"/>
    <w:rsid w:val="00594E72"/>
    <w:rsid w:val="00594EA0"/>
    <w:rsid w:val="00594ED3"/>
    <w:rsid w:val="00595041"/>
    <w:rsid w:val="00595056"/>
    <w:rsid w:val="00595094"/>
    <w:rsid w:val="005951FD"/>
    <w:rsid w:val="00595213"/>
    <w:rsid w:val="0059521E"/>
    <w:rsid w:val="00595264"/>
    <w:rsid w:val="005952EF"/>
    <w:rsid w:val="00595397"/>
    <w:rsid w:val="00595398"/>
    <w:rsid w:val="005953E4"/>
    <w:rsid w:val="00595473"/>
    <w:rsid w:val="00595532"/>
    <w:rsid w:val="00595554"/>
    <w:rsid w:val="0059555A"/>
    <w:rsid w:val="00595562"/>
    <w:rsid w:val="005955D3"/>
    <w:rsid w:val="00595713"/>
    <w:rsid w:val="00595817"/>
    <w:rsid w:val="00595AA9"/>
    <w:rsid w:val="00595B04"/>
    <w:rsid w:val="00595B4F"/>
    <w:rsid w:val="00595BB2"/>
    <w:rsid w:val="00595C00"/>
    <w:rsid w:val="00595D39"/>
    <w:rsid w:val="00595E2E"/>
    <w:rsid w:val="00595EA6"/>
    <w:rsid w:val="00595FA9"/>
    <w:rsid w:val="0059611B"/>
    <w:rsid w:val="005962C6"/>
    <w:rsid w:val="005964C1"/>
    <w:rsid w:val="00596541"/>
    <w:rsid w:val="005965BC"/>
    <w:rsid w:val="005966BB"/>
    <w:rsid w:val="005967D8"/>
    <w:rsid w:val="005967EB"/>
    <w:rsid w:val="00596834"/>
    <w:rsid w:val="00596B17"/>
    <w:rsid w:val="00596C82"/>
    <w:rsid w:val="00596D8F"/>
    <w:rsid w:val="00596E11"/>
    <w:rsid w:val="00596EC4"/>
    <w:rsid w:val="005970D3"/>
    <w:rsid w:val="00597117"/>
    <w:rsid w:val="00597282"/>
    <w:rsid w:val="00597303"/>
    <w:rsid w:val="005973D0"/>
    <w:rsid w:val="00597618"/>
    <w:rsid w:val="00597631"/>
    <w:rsid w:val="0059768B"/>
    <w:rsid w:val="00597697"/>
    <w:rsid w:val="00597735"/>
    <w:rsid w:val="0059775C"/>
    <w:rsid w:val="00597784"/>
    <w:rsid w:val="00597830"/>
    <w:rsid w:val="00597985"/>
    <w:rsid w:val="00597BAD"/>
    <w:rsid w:val="00597DE7"/>
    <w:rsid w:val="00597F51"/>
    <w:rsid w:val="005A0158"/>
    <w:rsid w:val="005A0281"/>
    <w:rsid w:val="005A02B8"/>
    <w:rsid w:val="005A045E"/>
    <w:rsid w:val="005A05B0"/>
    <w:rsid w:val="005A078B"/>
    <w:rsid w:val="005A0B0B"/>
    <w:rsid w:val="005A0BF3"/>
    <w:rsid w:val="005A0BF9"/>
    <w:rsid w:val="005A0BFE"/>
    <w:rsid w:val="005A0C27"/>
    <w:rsid w:val="005A0C4D"/>
    <w:rsid w:val="005A0CC8"/>
    <w:rsid w:val="005A0D18"/>
    <w:rsid w:val="005A0F9D"/>
    <w:rsid w:val="005A1003"/>
    <w:rsid w:val="005A1222"/>
    <w:rsid w:val="005A13D4"/>
    <w:rsid w:val="005A13D7"/>
    <w:rsid w:val="005A13DA"/>
    <w:rsid w:val="005A14D9"/>
    <w:rsid w:val="005A1627"/>
    <w:rsid w:val="005A18BB"/>
    <w:rsid w:val="005A1A63"/>
    <w:rsid w:val="005A1B60"/>
    <w:rsid w:val="005A1B94"/>
    <w:rsid w:val="005A1C0B"/>
    <w:rsid w:val="005A1C60"/>
    <w:rsid w:val="005A1F96"/>
    <w:rsid w:val="005A202F"/>
    <w:rsid w:val="005A23C5"/>
    <w:rsid w:val="005A24E1"/>
    <w:rsid w:val="005A2657"/>
    <w:rsid w:val="005A288E"/>
    <w:rsid w:val="005A28A1"/>
    <w:rsid w:val="005A28C7"/>
    <w:rsid w:val="005A28DC"/>
    <w:rsid w:val="005A290C"/>
    <w:rsid w:val="005A298E"/>
    <w:rsid w:val="005A29BB"/>
    <w:rsid w:val="005A2B10"/>
    <w:rsid w:val="005A2D02"/>
    <w:rsid w:val="005A2D2E"/>
    <w:rsid w:val="005A2D51"/>
    <w:rsid w:val="005A2F97"/>
    <w:rsid w:val="005A30FF"/>
    <w:rsid w:val="005A3433"/>
    <w:rsid w:val="005A3555"/>
    <w:rsid w:val="005A3714"/>
    <w:rsid w:val="005A3715"/>
    <w:rsid w:val="005A37B0"/>
    <w:rsid w:val="005A3840"/>
    <w:rsid w:val="005A386B"/>
    <w:rsid w:val="005A39D5"/>
    <w:rsid w:val="005A3A17"/>
    <w:rsid w:val="005A3A58"/>
    <w:rsid w:val="005A3AE8"/>
    <w:rsid w:val="005A3B43"/>
    <w:rsid w:val="005A3B9B"/>
    <w:rsid w:val="005A3D19"/>
    <w:rsid w:val="005A4058"/>
    <w:rsid w:val="005A40CB"/>
    <w:rsid w:val="005A40D9"/>
    <w:rsid w:val="005A413E"/>
    <w:rsid w:val="005A4291"/>
    <w:rsid w:val="005A4294"/>
    <w:rsid w:val="005A42B5"/>
    <w:rsid w:val="005A43A4"/>
    <w:rsid w:val="005A4436"/>
    <w:rsid w:val="005A45B2"/>
    <w:rsid w:val="005A4604"/>
    <w:rsid w:val="005A494F"/>
    <w:rsid w:val="005A49FA"/>
    <w:rsid w:val="005A4A59"/>
    <w:rsid w:val="005A4ADA"/>
    <w:rsid w:val="005A4B60"/>
    <w:rsid w:val="005A4B6B"/>
    <w:rsid w:val="005A4B79"/>
    <w:rsid w:val="005A4F0F"/>
    <w:rsid w:val="005A502D"/>
    <w:rsid w:val="005A5049"/>
    <w:rsid w:val="005A50BD"/>
    <w:rsid w:val="005A50D3"/>
    <w:rsid w:val="005A5109"/>
    <w:rsid w:val="005A514F"/>
    <w:rsid w:val="005A5399"/>
    <w:rsid w:val="005A5456"/>
    <w:rsid w:val="005A5457"/>
    <w:rsid w:val="005A5718"/>
    <w:rsid w:val="005A573C"/>
    <w:rsid w:val="005A5AB4"/>
    <w:rsid w:val="005A5ACF"/>
    <w:rsid w:val="005A5B92"/>
    <w:rsid w:val="005A5CE7"/>
    <w:rsid w:val="005A5D02"/>
    <w:rsid w:val="005A5DA5"/>
    <w:rsid w:val="005A5F72"/>
    <w:rsid w:val="005A5F8C"/>
    <w:rsid w:val="005A6048"/>
    <w:rsid w:val="005A604C"/>
    <w:rsid w:val="005A6153"/>
    <w:rsid w:val="005A620B"/>
    <w:rsid w:val="005A62CE"/>
    <w:rsid w:val="005A6319"/>
    <w:rsid w:val="005A634C"/>
    <w:rsid w:val="005A6583"/>
    <w:rsid w:val="005A6639"/>
    <w:rsid w:val="005A676D"/>
    <w:rsid w:val="005A677A"/>
    <w:rsid w:val="005A68B9"/>
    <w:rsid w:val="005A68BA"/>
    <w:rsid w:val="005A691F"/>
    <w:rsid w:val="005A6B02"/>
    <w:rsid w:val="005A6D40"/>
    <w:rsid w:val="005A6E7B"/>
    <w:rsid w:val="005A731A"/>
    <w:rsid w:val="005A7347"/>
    <w:rsid w:val="005A740C"/>
    <w:rsid w:val="005A7417"/>
    <w:rsid w:val="005A7420"/>
    <w:rsid w:val="005A74F4"/>
    <w:rsid w:val="005A74F5"/>
    <w:rsid w:val="005A751F"/>
    <w:rsid w:val="005A757C"/>
    <w:rsid w:val="005A768C"/>
    <w:rsid w:val="005A76C6"/>
    <w:rsid w:val="005A77D1"/>
    <w:rsid w:val="005A7884"/>
    <w:rsid w:val="005A78B5"/>
    <w:rsid w:val="005A78C0"/>
    <w:rsid w:val="005A7A21"/>
    <w:rsid w:val="005A7BFC"/>
    <w:rsid w:val="005A7C7B"/>
    <w:rsid w:val="005A7CEB"/>
    <w:rsid w:val="005A7CFA"/>
    <w:rsid w:val="005A7EB7"/>
    <w:rsid w:val="005A7F4B"/>
    <w:rsid w:val="005B00E5"/>
    <w:rsid w:val="005B00F1"/>
    <w:rsid w:val="005B01E3"/>
    <w:rsid w:val="005B02AC"/>
    <w:rsid w:val="005B0459"/>
    <w:rsid w:val="005B0487"/>
    <w:rsid w:val="005B0587"/>
    <w:rsid w:val="005B06FE"/>
    <w:rsid w:val="005B0780"/>
    <w:rsid w:val="005B07AA"/>
    <w:rsid w:val="005B0824"/>
    <w:rsid w:val="005B08C1"/>
    <w:rsid w:val="005B091D"/>
    <w:rsid w:val="005B0A33"/>
    <w:rsid w:val="005B0BCF"/>
    <w:rsid w:val="005B0C09"/>
    <w:rsid w:val="005B0C36"/>
    <w:rsid w:val="005B0CE2"/>
    <w:rsid w:val="005B0E5E"/>
    <w:rsid w:val="005B0FBB"/>
    <w:rsid w:val="005B0FCF"/>
    <w:rsid w:val="005B1010"/>
    <w:rsid w:val="005B1081"/>
    <w:rsid w:val="005B11EC"/>
    <w:rsid w:val="005B147C"/>
    <w:rsid w:val="005B14C3"/>
    <w:rsid w:val="005B154C"/>
    <w:rsid w:val="005B1583"/>
    <w:rsid w:val="005B1676"/>
    <w:rsid w:val="005B178B"/>
    <w:rsid w:val="005B17B8"/>
    <w:rsid w:val="005B18AE"/>
    <w:rsid w:val="005B1A63"/>
    <w:rsid w:val="005B1AA7"/>
    <w:rsid w:val="005B1CAD"/>
    <w:rsid w:val="005B1EE8"/>
    <w:rsid w:val="005B1FEC"/>
    <w:rsid w:val="005B20E6"/>
    <w:rsid w:val="005B21E0"/>
    <w:rsid w:val="005B248C"/>
    <w:rsid w:val="005B24B3"/>
    <w:rsid w:val="005B2545"/>
    <w:rsid w:val="005B256C"/>
    <w:rsid w:val="005B25B9"/>
    <w:rsid w:val="005B26B7"/>
    <w:rsid w:val="005B2838"/>
    <w:rsid w:val="005B288E"/>
    <w:rsid w:val="005B28EB"/>
    <w:rsid w:val="005B2B8A"/>
    <w:rsid w:val="005B2BA4"/>
    <w:rsid w:val="005B2BC3"/>
    <w:rsid w:val="005B2BF8"/>
    <w:rsid w:val="005B2C0D"/>
    <w:rsid w:val="005B2E02"/>
    <w:rsid w:val="005B2F1D"/>
    <w:rsid w:val="005B3027"/>
    <w:rsid w:val="005B312B"/>
    <w:rsid w:val="005B323F"/>
    <w:rsid w:val="005B34AB"/>
    <w:rsid w:val="005B34B7"/>
    <w:rsid w:val="005B34D8"/>
    <w:rsid w:val="005B3591"/>
    <w:rsid w:val="005B3630"/>
    <w:rsid w:val="005B3638"/>
    <w:rsid w:val="005B367E"/>
    <w:rsid w:val="005B379B"/>
    <w:rsid w:val="005B37B6"/>
    <w:rsid w:val="005B394E"/>
    <w:rsid w:val="005B3A17"/>
    <w:rsid w:val="005B3B91"/>
    <w:rsid w:val="005B3BE4"/>
    <w:rsid w:val="005B3D32"/>
    <w:rsid w:val="005B3D6C"/>
    <w:rsid w:val="005B3EAF"/>
    <w:rsid w:val="005B3ED2"/>
    <w:rsid w:val="005B3EF2"/>
    <w:rsid w:val="005B3EF5"/>
    <w:rsid w:val="005B3FD1"/>
    <w:rsid w:val="005B4009"/>
    <w:rsid w:val="005B400E"/>
    <w:rsid w:val="005B4200"/>
    <w:rsid w:val="005B4219"/>
    <w:rsid w:val="005B430B"/>
    <w:rsid w:val="005B4371"/>
    <w:rsid w:val="005B44A7"/>
    <w:rsid w:val="005B450A"/>
    <w:rsid w:val="005B4636"/>
    <w:rsid w:val="005B4839"/>
    <w:rsid w:val="005B48C5"/>
    <w:rsid w:val="005B4A3F"/>
    <w:rsid w:val="005B4A67"/>
    <w:rsid w:val="005B4BAF"/>
    <w:rsid w:val="005B4BE6"/>
    <w:rsid w:val="005B4F7A"/>
    <w:rsid w:val="005B4F8A"/>
    <w:rsid w:val="005B5035"/>
    <w:rsid w:val="005B515D"/>
    <w:rsid w:val="005B53E5"/>
    <w:rsid w:val="005B540D"/>
    <w:rsid w:val="005B5505"/>
    <w:rsid w:val="005B55EB"/>
    <w:rsid w:val="005B56CE"/>
    <w:rsid w:val="005B584B"/>
    <w:rsid w:val="005B5A73"/>
    <w:rsid w:val="005B5BAE"/>
    <w:rsid w:val="005B5D66"/>
    <w:rsid w:val="005B5DB0"/>
    <w:rsid w:val="005B5DE4"/>
    <w:rsid w:val="005B5F1C"/>
    <w:rsid w:val="005B5F3E"/>
    <w:rsid w:val="005B5FFC"/>
    <w:rsid w:val="005B618C"/>
    <w:rsid w:val="005B61CC"/>
    <w:rsid w:val="005B61F0"/>
    <w:rsid w:val="005B63D1"/>
    <w:rsid w:val="005B674A"/>
    <w:rsid w:val="005B6751"/>
    <w:rsid w:val="005B699F"/>
    <w:rsid w:val="005B69D1"/>
    <w:rsid w:val="005B6CF5"/>
    <w:rsid w:val="005B6F75"/>
    <w:rsid w:val="005B70D9"/>
    <w:rsid w:val="005B7202"/>
    <w:rsid w:val="005B727F"/>
    <w:rsid w:val="005B72F9"/>
    <w:rsid w:val="005B7727"/>
    <w:rsid w:val="005B7814"/>
    <w:rsid w:val="005B78FF"/>
    <w:rsid w:val="005B79E9"/>
    <w:rsid w:val="005B7DF0"/>
    <w:rsid w:val="005B7E79"/>
    <w:rsid w:val="005B7FE9"/>
    <w:rsid w:val="005C015A"/>
    <w:rsid w:val="005C01CF"/>
    <w:rsid w:val="005C01DC"/>
    <w:rsid w:val="005C0205"/>
    <w:rsid w:val="005C03B4"/>
    <w:rsid w:val="005C047A"/>
    <w:rsid w:val="005C055D"/>
    <w:rsid w:val="005C0567"/>
    <w:rsid w:val="005C0655"/>
    <w:rsid w:val="005C067D"/>
    <w:rsid w:val="005C087A"/>
    <w:rsid w:val="005C0939"/>
    <w:rsid w:val="005C0A35"/>
    <w:rsid w:val="005C0ABD"/>
    <w:rsid w:val="005C0AC1"/>
    <w:rsid w:val="005C0ACD"/>
    <w:rsid w:val="005C0D7C"/>
    <w:rsid w:val="005C0D83"/>
    <w:rsid w:val="005C0D84"/>
    <w:rsid w:val="005C0DF2"/>
    <w:rsid w:val="005C1117"/>
    <w:rsid w:val="005C1360"/>
    <w:rsid w:val="005C1402"/>
    <w:rsid w:val="005C145D"/>
    <w:rsid w:val="005C1547"/>
    <w:rsid w:val="005C158F"/>
    <w:rsid w:val="005C1712"/>
    <w:rsid w:val="005C172F"/>
    <w:rsid w:val="005C1943"/>
    <w:rsid w:val="005C1A60"/>
    <w:rsid w:val="005C1C2C"/>
    <w:rsid w:val="005C1DAF"/>
    <w:rsid w:val="005C1E5A"/>
    <w:rsid w:val="005C1F35"/>
    <w:rsid w:val="005C2006"/>
    <w:rsid w:val="005C2186"/>
    <w:rsid w:val="005C22A4"/>
    <w:rsid w:val="005C22EC"/>
    <w:rsid w:val="005C2457"/>
    <w:rsid w:val="005C2547"/>
    <w:rsid w:val="005C25B9"/>
    <w:rsid w:val="005C26A1"/>
    <w:rsid w:val="005C27A8"/>
    <w:rsid w:val="005C29CC"/>
    <w:rsid w:val="005C2A76"/>
    <w:rsid w:val="005C2B5C"/>
    <w:rsid w:val="005C2CD1"/>
    <w:rsid w:val="005C2CDA"/>
    <w:rsid w:val="005C2E9A"/>
    <w:rsid w:val="005C31B1"/>
    <w:rsid w:val="005C3445"/>
    <w:rsid w:val="005C35DA"/>
    <w:rsid w:val="005C36E0"/>
    <w:rsid w:val="005C377B"/>
    <w:rsid w:val="005C37BD"/>
    <w:rsid w:val="005C38EC"/>
    <w:rsid w:val="005C3B8D"/>
    <w:rsid w:val="005C3BAB"/>
    <w:rsid w:val="005C3CD8"/>
    <w:rsid w:val="005C3DF1"/>
    <w:rsid w:val="005C4248"/>
    <w:rsid w:val="005C431E"/>
    <w:rsid w:val="005C4348"/>
    <w:rsid w:val="005C460A"/>
    <w:rsid w:val="005C474F"/>
    <w:rsid w:val="005C47A1"/>
    <w:rsid w:val="005C4947"/>
    <w:rsid w:val="005C4A1A"/>
    <w:rsid w:val="005C4B61"/>
    <w:rsid w:val="005C4C92"/>
    <w:rsid w:val="005C4E15"/>
    <w:rsid w:val="005C4E7C"/>
    <w:rsid w:val="005C4EF9"/>
    <w:rsid w:val="005C4F70"/>
    <w:rsid w:val="005C5079"/>
    <w:rsid w:val="005C50D1"/>
    <w:rsid w:val="005C5194"/>
    <w:rsid w:val="005C525B"/>
    <w:rsid w:val="005C5285"/>
    <w:rsid w:val="005C5356"/>
    <w:rsid w:val="005C53CC"/>
    <w:rsid w:val="005C5511"/>
    <w:rsid w:val="005C5514"/>
    <w:rsid w:val="005C553D"/>
    <w:rsid w:val="005C55DE"/>
    <w:rsid w:val="005C5870"/>
    <w:rsid w:val="005C5962"/>
    <w:rsid w:val="005C5BB6"/>
    <w:rsid w:val="005C5D23"/>
    <w:rsid w:val="005C5D7D"/>
    <w:rsid w:val="005C5DD1"/>
    <w:rsid w:val="005C5E4D"/>
    <w:rsid w:val="005C5F36"/>
    <w:rsid w:val="005C5F94"/>
    <w:rsid w:val="005C6230"/>
    <w:rsid w:val="005C6289"/>
    <w:rsid w:val="005C6347"/>
    <w:rsid w:val="005C6525"/>
    <w:rsid w:val="005C6552"/>
    <w:rsid w:val="005C662C"/>
    <w:rsid w:val="005C6924"/>
    <w:rsid w:val="005C6951"/>
    <w:rsid w:val="005C6B1F"/>
    <w:rsid w:val="005C6BDE"/>
    <w:rsid w:val="005C6BF1"/>
    <w:rsid w:val="005C6DCB"/>
    <w:rsid w:val="005C708B"/>
    <w:rsid w:val="005C71DB"/>
    <w:rsid w:val="005C72DF"/>
    <w:rsid w:val="005C760A"/>
    <w:rsid w:val="005C77C2"/>
    <w:rsid w:val="005C7839"/>
    <w:rsid w:val="005C79E2"/>
    <w:rsid w:val="005C7D28"/>
    <w:rsid w:val="005C7F68"/>
    <w:rsid w:val="005D0092"/>
    <w:rsid w:val="005D014A"/>
    <w:rsid w:val="005D01EA"/>
    <w:rsid w:val="005D0259"/>
    <w:rsid w:val="005D030B"/>
    <w:rsid w:val="005D037C"/>
    <w:rsid w:val="005D0382"/>
    <w:rsid w:val="005D038D"/>
    <w:rsid w:val="005D0440"/>
    <w:rsid w:val="005D04B9"/>
    <w:rsid w:val="005D04F5"/>
    <w:rsid w:val="005D057C"/>
    <w:rsid w:val="005D06BC"/>
    <w:rsid w:val="005D073D"/>
    <w:rsid w:val="005D0752"/>
    <w:rsid w:val="005D0883"/>
    <w:rsid w:val="005D0BDB"/>
    <w:rsid w:val="005D0CF1"/>
    <w:rsid w:val="005D0D16"/>
    <w:rsid w:val="005D0D3F"/>
    <w:rsid w:val="005D0E8F"/>
    <w:rsid w:val="005D0FEF"/>
    <w:rsid w:val="005D107D"/>
    <w:rsid w:val="005D1133"/>
    <w:rsid w:val="005D11C0"/>
    <w:rsid w:val="005D1363"/>
    <w:rsid w:val="005D1407"/>
    <w:rsid w:val="005D150F"/>
    <w:rsid w:val="005D19ED"/>
    <w:rsid w:val="005D1A05"/>
    <w:rsid w:val="005D1B3F"/>
    <w:rsid w:val="005D1B43"/>
    <w:rsid w:val="005D1B4F"/>
    <w:rsid w:val="005D1B92"/>
    <w:rsid w:val="005D1BCB"/>
    <w:rsid w:val="005D1C55"/>
    <w:rsid w:val="005D1C63"/>
    <w:rsid w:val="005D1D3F"/>
    <w:rsid w:val="005D1E97"/>
    <w:rsid w:val="005D2052"/>
    <w:rsid w:val="005D22DB"/>
    <w:rsid w:val="005D230B"/>
    <w:rsid w:val="005D2429"/>
    <w:rsid w:val="005D24A6"/>
    <w:rsid w:val="005D25CD"/>
    <w:rsid w:val="005D283D"/>
    <w:rsid w:val="005D29AD"/>
    <w:rsid w:val="005D29FB"/>
    <w:rsid w:val="005D2C5E"/>
    <w:rsid w:val="005D2CF3"/>
    <w:rsid w:val="005D2F1A"/>
    <w:rsid w:val="005D32BC"/>
    <w:rsid w:val="005D334E"/>
    <w:rsid w:val="005D338C"/>
    <w:rsid w:val="005D3445"/>
    <w:rsid w:val="005D3596"/>
    <w:rsid w:val="005D362B"/>
    <w:rsid w:val="005D3657"/>
    <w:rsid w:val="005D36A2"/>
    <w:rsid w:val="005D3704"/>
    <w:rsid w:val="005D3793"/>
    <w:rsid w:val="005D37C7"/>
    <w:rsid w:val="005D3876"/>
    <w:rsid w:val="005D3939"/>
    <w:rsid w:val="005D3B74"/>
    <w:rsid w:val="005D3C63"/>
    <w:rsid w:val="005D3C7F"/>
    <w:rsid w:val="005D3D2C"/>
    <w:rsid w:val="005D418F"/>
    <w:rsid w:val="005D41D3"/>
    <w:rsid w:val="005D42B0"/>
    <w:rsid w:val="005D432C"/>
    <w:rsid w:val="005D436B"/>
    <w:rsid w:val="005D4380"/>
    <w:rsid w:val="005D4425"/>
    <w:rsid w:val="005D45AB"/>
    <w:rsid w:val="005D47EF"/>
    <w:rsid w:val="005D4807"/>
    <w:rsid w:val="005D48C8"/>
    <w:rsid w:val="005D49EB"/>
    <w:rsid w:val="005D49F6"/>
    <w:rsid w:val="005D4A6D"/>
    <w:rsid w:val="005D4B5B"/>
    <w:rsid w:val="005D4C65"/>
    <w:rsid w:val="005D4E62"/>
    <w:rsid w:val="005D4E9F"/>
    <w:rsid w:val="005D4EE0"/>
    <w:rsid w:val="005D4F70"/>
    <w:rsid w:val="005D4FAB"/>
    <w:rsid w:val="005D51C6"/>
    <w:rsid w:val="005D51CE"/>
    <w:rsid w:val="005D51F9"/>
    <w:rsid w:val="005D52AD"/>
    <w:rsid w:val="005D5392"/>
    <w:rsid w:val="005D53B4"/>
    <w:rsid w:val="005D546F"/>
    <w:rsid w:val="005D5721"/>
    <w:rsid w:val="005D5941"/>
    <w:rsid w:val="005D5950"/>
    <w:rsid w:val="005D59EB"/>
    <w:rsid w:val="005D5C29"/>
    <w:rsid w:val="005D5C5E"/>
    <w:rsid w:val="005D5CE7"/>
    <w:rsid w:val="005D5DC9"/>
    <w:rsid w:val="005D5DDD"/>
    <w:rsid w:val="005D5E0E"/>
    <w:rsid w:val="005D5EBA"/>
    <w:rsid w:val="005D5F6C"/>
    <w:rsid w:val="005D5F7E"/>
    <w:rsid w:val="005D5FAA"/>
    <w:rsid w:val="005D6159"/>
    <w:rsid w:val="005D6184"/>
    <w:rsid w:val="005D61D8"/>
    <w:rsid w:val="005D6365"/>
    <w:rsid w:val="005D6400"/>
    <w:rsid w:val="005D643F"/>
    <w:rsid w:val="005D64BB"/>
    <w:rsid w:val="005D6544"/>
    <w:rsid w:val="005D67A0"/>
    <w:rsid w:val="005D685E"/>
    <w:rsid w:val="005D68B8"/>
    <w:rsid w:val="005D6972"/>
    <w:rsid w:val="005D69FB"/>
    <w:rsid w:val="005D6B8D"/>
    <w:rsid w:val="005D6CD4"/>
    <w:rsid w:val="005D6E05"/>
    <w:rsid w:val="005D6EC1"/>
    <w:rsid w:val="005D6F85"/>
    <w:rsid w:val="005D706D"/>
    <w:rsid w:val="005D70B5"/>
    <w:rsid w:val="005D713A"/>
    <w:rsid w:val="005D724E"/>
    <w:rsid w:val="005D73BC"/>
    <w:rsid w:val="005D73E1"/>
    <w:rsid w:val="005D7422"/>
    <w:rsid w:val="005D746B"/>
    <w:rsid w:val="005D74BD"/>
    <w:rsid w:val="005D77A4"/>
    <w:rsid w:val="005D77D2"/>
    <w:rsid w:val="005D79AA"/>
    <w:rsid w:val="005D79C1"/>
    <w:rsid w:val="005D79EF"/>
    <w:rsid w:val="005D7A1A"/>
    <w:rsid w:val="005D7A51"/>
    <w:rsid w:val="005D7B31"/>
    <w:rsid w:val="005D7C0B"/>
    <w:rsid w:val="005D7C52"/>
    <w:rsid w:val="005D7C6E"/>
    <w:rsid w:val="005D7DBD"/>
    <w:rsid w:val="005D7DCB"/>
    <w:rsid w:val="005D7F35"/>
    <w:rsid w:val="005D7FD9"/>
    <w:rsid w:val="005DE60E"/>
    <w:rsid w:val="005E02BE"/>
    <w:rsid w:val="005E038C"/>
    <w:rsid w:val="005E0465"/>
    <w:rsid w:val="005E06CC"/>
    <w:rsid w:val="005E0895"/>
    <w:rsid w:val="005E0ABB"/>
    <w:rsid w:val="005E0C90"/>
    <w:rsid w:val="005E0D76"/>
    <w:rsid w:val="005E0FDC"/>
    <w:rsid w:val="005E10BF"/>
    <w:rsid w:val="005E11AC"/>
    <w:rsid w:val="005E12FF"/>
    <w:rsid w:val="005E132B"/>
    <w:rsid w:val="005E13ED"/>
    <w:rsid w:val="005E14F8"/>
    <w:rsid w:val="005E1927"/>
    <w:rsid w:val="005E1AFB"/>
    <w:rsid w:val="005E1B73"/>
    <w:rsid w:val="005E1B90"/>
    <w:rsid w:val="005E1CCD"/>
    <w:rsid w:val="005E1E35"/>
    <w:rsid w:val="005E1E5C"/>
    <w:rsid w:val="005E1E83"/>
    <w:rsid w:val="005E2077"/>
    <w:rsid w:val="005E2325"/>
    <w:rsid w:val="005E24C8"/>
    <w:rsid w:val="005E24E5"/>
    <w:rsid w:val="005E2662"/>
    <w:rsid w:val="005E2856"/>
    <w:rsid w:val="005E2871"/>
    <w:rsid w:val="005E2971"/>
    <w:rsid w:val="005E2973"/>
    <w:rsid w:val="005E2A53"/>
    <w:rsid w:val="005E2AD3"/>
    <w:rsid w:val="005E2ADE"/>
    <w:rsid w:val="005E2AF0"/>
    <w:rsid w:val="005E2AF3"/>
    <w:rsid w:val="005E2B04"/>
    <w:rsid w:val="005E2B7D"/>
    <w:rsid w:val="005E2BA7"/>
    <w:rsid w:val="005E2EBD"/>
    <w:rsid w:val="005E3120"/>
    <w:rsid w:val="005E314F"/>
    <w:rsid w:val="005E3168"/>
    <w:rsid w:val="005E325A"/>
    <w:rsid w:val="005E329C"/>
    <w:rsid w:val="005E32EE"/>
    <w:rsid w:val="005E32F7"/>
    <w:rsid w:val="005E3331"/>
    <w:rsid w:val="005E3432"/>
    <w:rsid w:val="005E36EA"/>
    <w:rsid w:val="005E36F3"/>
    <w:rsid w:val="005E372D"/>
    <w:rsid w:val="005E38FE"/>
    <w:rsid w:val="005E398B"/>
    <w:rsid w:val="005E3AEC"/>
    <w:rsid w:val="005E3BD6"/>
    <w:rsid w:val="005E3BF3"/>
    <w:rsid w:val="005E3C4A"/>
    <w:rsid w:val="005E3CF2"/>
    <w:rsid w:val="005E3E0A"/>
    <w:rsid w:val="005E3E72"/>
    <w:rsid w:val="005E3F26"/>
    <w:rsid w:val="005E3F50"/>
    <w:rsid w:val="005E3FF4"/>
    <w:rsid w:val="005E4025"/>
    <w:rsid w:val="005E4166"/>
    <w:rsid w:val="005E42B5"/>
    <w:rsid w:val="005E4334"/>
    <w:rsid w:val="005E4366"/>
    <w:rsid w:val="005E4419"/>
    <w:rsid w:val="005E44B4"/>
    <w:rsid w:val="005E4504"/>
    <w:rsid w:val="005E4525"/>
    <w:rsid w:val="005E4533"/>
    <w:rsid w:val="005E464E"/>
    <w:rsid w:val="005E469F"/>
    <w:rsid w:val="005E46D8"/>
    <w:rsid w:val="005E47D0"/>
    <w:rsid w:val="005E4822"/>
    <w:rsid w:val="005E48BF"/>
    <w:rsid w:val="005E48E1"/>
    <w:rsid w:val="005E490C"/>
    <w:rsid w:val="005E4945"/>
    <w:rsid w:val="005E4C7C"/>
    <w:rsid w:val="005E4CFB"/>
    <w:rsid w:val="005E4DE1"/>
    <w:rsid w:val="005E51AE"/>
    <w:rsid w:val="005E5349"/>
    <w:rsid w:val="005E538A"/>
    <w:rsid w:val="005E546B"/>
    <w:rsid w:val="005E56EA"/>
    <w:rsid w:val="005E5795"/>
    <w:rsid w:val="005E5817"/>
    <w:rsid w:val="005E586A"/>
    <w:rsid w:val="005E58EA"/>
    <w:rsid w:val="005E5A47"/>
    <w:rsid w:val="005E5A6B"/>
    <w:rsid w:val="005E5A9B"/>
    <w:rsid w:val="005E5AE3"/>
    <w:rsid w:val="005E5B8E"/>
    <w:rsid w:val="005E5BCC"/>
    <w:rsid w:val="005E5D24"/>
    <w:rsid w:val="005E5E6C"/>
    <w:rsid w:val="005E5EBB"/>
    <w:rsid w:val="005E5EC2"/>
    <w:rsid w:val="005E5EC8"/>
    <w:rsid w:val="005E5F7B"/>
    <w:rsid w:val="005E60F0"/>
    <w:rsid w:val="005E6103"/>
    <w:rsid w:val="005E61FF"/>
    <w:rsid w:val="005E62A9"/>
    <w:rsid w:val="005E62C7"/>
    <w:rsid w:val="005E635C"/>
    <w:rsid w:val="005E6612"/>
    <w:rsid w:val="005E6720"/>
    <w:rsid w:val="005E67D3"/>
    <w:rsid w:val="005E6853"/>
    <w:rsid w:val="005E693F"/>
    <w:rsid w:val="005E6AB0"/>
    <w:rsid w:val="005E6AC1"/>
    <w:rsid w:val="005E6CFB"/>
    <w:rsid w:val="005E6D12"/>
    <w:rsid w:val="005E71DA"/>
    <w:rsid w:val="005E7300"/>
    <w:rsid w:val="005E742E"/>
    <w:rsid w:val="005E74F0"/>
    <w:rsid w:val="005E75D6"/>
    <w:rsid w:val="005E7629"/>
    <w:rsid w:val="005E7695"/>
    <w:rsid w:val="005E78D5"/>
    <w:rsid w:val="005E791F"/>
    <w:rsid w:val="005E7A32"/>
    <w:rsid w:val="005E7A56"/>
    <w:rsid w:val="005E7B02"/>
    <w:rsid w:val="005E7B91"/>
    <w:rsid w:val="005E7BC2"/>
    <w:rsid w:val="005E7C45"/>
    <w:rsid w:val="005E7CB1"/>
    <w:rsid w:val="005E7DC9"/>
    <w:rsid w:val="005E7DFF"/>
    <w:rsid w:val="005E7EA1"/>
    <w:rsid w:val="005E7EE6"/>
    <w:rsid w:val="005E7FDA"/>
    <w:rsid w:val="005F0350"/>
    <w:rsid w:val="005F0485"/>
    <w:rsid w:val="005F05BB"/>
    <w:rsid w:val="005F07D2"/>
    <w:rsid w:val="005F091F"/>
    <w:rsid w:val="005F0A05"/>
    <w:rsid w:val="005F0C63"/>
    <w:rsid w:val="005F0CC3"/>
    <w:rsid w:val="005F0DBE"/>
    <w:rsid w:val="005F0EAC"/>
    <w:rsid w:val="005F0FAD"/>
    <w:rsid w:val="005F1318"/>
    <w:rsid w:val="005F1365"/>
    <w:rsid w:val="005F138E"/>
    <w:rsid w:val="005F1433"/>
    <w:rsid w:val="005F14AE"/>
    <w:rsid w:val="005F171E"/>
    <w:rsid w:val="005F17ED"/>
    <w:rsid w:val="005F1812"/>
    <w:rsid w:val="005F1829"/>
    <w:rsid w:val="005F1962"/>
    <w:rsid w:val="005F1AB4"/>
    <w:rsid w:val="005F1BA3"/>
    <w:rsid w:val="005F1BE4"/>
    <w:rsid w:val="005F1C18"/>
    <w:rsid w:val="005F1E89"/>
    <w:rsid w:val="005F1EF6"/>
    <w:rsid w:val="005F1F3D"/>
    <w:rsid w:val="005F1F8E"/>
    <w:rsid w:val="005F2023"/>
    <w:rsid w:val="005F2241"/>
    <w:rsid w:val="005F22BC"/>
    <w:rsid w:val="005F2397"/>
    <w:rsid w:val="005F2456"/>
    <w:rsid w:val="005F2596"/>
    <w:rsid w:val="005F2607"/>
    <w:rsid w:val="005F2894"/>
    <w:rsid w:val="005F2928"/>
    <w:rsid w:val="005F2996"/>
    <w:rsid w:val="005F29D1"/>
    <w:rsid w:val="005F2B00"/>
    <w:rsid w:val="005F2B2C"/>
    <w:rsid w:val="005F2C5A"/>
    <w:rsid w:val="005F2CC6"/>
    <w:rsid w:val="005F2E28"/>
    <w:rsid w:val="005F2F8D"/>
    <w:rsid w:val="005F308D"/>
    <w:rsid w:val="005F315C"/>
    <w:rsid w:val="005F3169"/>
    <w:rsid w:val="005F31BF"/>
    <w:rsid w:val="005F32B6"/>
    <w:rsid w:val="005F32C1"/>
    <w:rsid w:val="005F32C4"/>
    <w:rsid w:val="005F3365"/>
    <w:rsid w:val="005F3466"/>
    <w:rsid w:val="005F3482"/>
    <w:rsid w:val="005F34B3"/>
    <w:rsid w:val="005F3568"/>
    <w:rsid w:val="005F35D2"/>
    <w:rsid w:val="005F3607"/>
    <w:rsid w:val="005F3628"/>
    <w:rsid w:val="005F3633"/>
    <w:rsid w:val="005F3778"/>
    <w:rsid w:val="005F38D2"/>
    <w:rsid w:val="005F3975"/>
    <w:rsid w:val="005F39C2"/>
    <w:rsid w:val="005F39DB"/>
    <w:rsid w:val="005F3A50"/>
    <w:rsid w:val="005F3AF4"/>
    <w:rsid w:val="005F3B16"/>
    <w:rsid w:val="005F3B5C"/>
    <w:rsid w:val="005F3BCD"/>
    <w:rsid w:val="005F3CFA"/>
    <w:rsid w:val="005F3EF3"/>
    <w:rsid w:val="005F3F1B"/>
    <w:rsid w:val="005F3F39"/>
    <w:rsid w:val="005F40D6"/>
    <w:rsid w:val="005F420A"/>
    <w:rsid w:val="005F4220"/>
    <w:rsid w:val="005F4331"/>
    <w:rsid w:val="005F4489"/>
    <w:rsid w:val="005F4513"/>
    <w:rsid w:val="005F46AB"/>
    <w:rsid w:val="005F47E1"/>
    <w:rsid w:val="005F4880"/>
    <w:rsid w:val="005F4A2D"/>
    <w:rsid w:val="005F4A7F"/>
    <w:rsid w:val="005F4BAD"/>
    <w:rsid w:val="005F4D01"/>
    <w:rsid w:val="005F4DA8"/>
    <w:rsid w:val="005F4E8C"/>
    <w:rsid w:val="005F50AD"/>
    <w:rsid w:val="005F5152"/>
    <w:rsid w:val="005F5170"/>
    <w:rsid w:val="005F5190"/>
    <w:rsid w:val="005F51B4"/>
    <w:rsid w:val="005F5209"/>
    <w:rsid w:val="005F52AF"/>
    <w:rsid w:val="005F54B8"/>
    <w:rsid w:val="005F5585"/>
    <w:rsid w:val="005F561E"/>
    <w:rsid w:val="005F5794"/>
    <w:rsid w:val="005F5810"/>
    <w:rsid w:val="005F59AC"/>
    <w:rsid w:val="005F5A8A"/>
    <w:rsid w:val="005F5D8F"/>
    <w:rsid w:val="005F631D"/>
    <w:rsid w:val="005F6328"/>
    <w:rsid w:val="005F641D"/>
    <w:rsid w:val="005F64FB"/>
    <w:rsid w:val="005F678F"/>
    <w:rsid w:val="005F6860"/>
    <w:rsid w:val="005F6A44"/>
    <w:rsid w:val="005F6B2D"/>
    <w:rsid w:val="005F6B30"/>
    <w:rsid w:val="005F6C0A"/>
    <w:rsid w:val="005F6C83"/>
    <w:rsid w:val="005F6D49"/>
    <w:rsid w:val="005F6F3E"/>
    <w:rsid w:val="005F7101"/>
    <w:rsid w:val="005F7160"/>
    <w:rsid w:val="005F72C8"/>
    <w:rsid w:val="005F7495"/>
    <w:rsid w:val="005F749D"/>
    <w:rsid w:val="005F74B2"/>
    <w:rsid w:val="005F74CA"/>
    <w:rsid w:val="005F75CA"/>
    <w:rsid w:val="005F78B0"/>
    <w:rsid w:val="005F798C"/>
    <w:rsid w:val="005F7A71"/>
    <w:rsid w:val="005F7AA0"/>
    <w:rsid w:val="005F7AA9"/>
    <w:rsid w:val="005F7AAD"/>
    <w:rsid w:val="005F7D11"/>
    <w:rsid w:val="005F7D31"/>
    <w:rsid w:val="005F7D84"/>
    <w:rsid w:val="005F7DA4"/>
    <w:rsid w:val="005F7E3E"/>
    <w:rsid w:val="005F7E7A"/>
    <w:rsid w:val="005F7EF0"/>
    <w:rsid w:val="005F7FA8"/>
    <w:rsid w:val="0060014C"/>
    <w:rsid w:val="006001E5"/>
    <w:rsid w:val="0060021F"/>
    <w:rsid w:val="0060026E"/>
    <w:rsid w:val="0060055E"/>
    <w:rsid w:val="00600687"/>
    <w:rsid w:val="00600785"/>
    <w:rsid w:val="00600864"/>
    <w:rsid w:val="00600878"/>
    <w:rsid w:val="006009B3"/>
    <w:rsid w:val="00600ACB"/>
    <w:rsid w:val="00600BC4"/>
    <w:rsid w:val="00600BDD"/>
    <w:rsid w:val="00600BE7"/>
    <w:rsid w:val="00600DCB"/>
    <w:rsid w:val="00600E7C"/>
    <w:rsid w:val="00600F9A"/>
    <w:rsid w:val="006010BB"/>
    <w:rsid w:val="006010EA"/>
    <w:rsid w:val="0060115C"/>
    <w:rsid w:val="00601327"/>
    <w:rsid w:val="00601422"/>
    <w:rsid w:val="0060149C"/>
    <w:rsid w:val="006016C6"/>
    <w:rsid w:val="00601859"/>
    <w:rsid w:val="0060187A"/>
    <w:rsid w:val="006019E1"/>
    <w:rsid w:val="00601ACA"/>
    <w:rsid w:val="00601B81"/>
    <w:rsid w:val="00601BD2"/>
    <w:rsid w:val="00601C30"/>
    <w:rsid w:val="00601DA5"/>
    <w:rsid w:val="00601F3E"/>
    <w:rsid w:val="00601F94"/>
    <w:rsid w:val="006020E4"/>
    <w:rsid w:val="0060217E"/>
    <w:rsid w:val="00602196"/>
    <w:rsid w:val="006021F3"/>
    <w:rsid w:val="006021FA"/>
    <w:rsid w:val="006022AA"/>
    <w:rsid w:val="006022CE"/>
    <w:rsid w:val="006023DB"/>
    <w:rsid w:val="00602441"/>
    <w:rsid w:val="00602594"/>
    <w:rsid w:val="00602771"/>
    <w:rsid w:val="00602A77"/>
    <w:rsid w:val="00602AD3"/>
    <w:rsid w:val="00602B45"/>
    <w:rsid w:val="00602BA9"/>
    <w:rsid w:val="00602C1E"/>
    <w:rsid w:val="00602C34"/>
    <w:rsid w:val="00602D63"/>
    <w:rsid w:val="00602E3C"/>
    <w:rsid w:val="00602E62"/>
    <w:rsid w:val="00602EB2"/>
    <w:rsid w:val="006030F6"/>
    <w:rsid w:val="006035D3"/>
    <w:rsid w:val="00603832"/>
    <w:rsid w:val="00603936"/>
    <w:rsid w:val="006039E1"/>
    <w:rsid w:val="00603A61"/>
    <w:rsid w:val="00603B14"/>
    <w:rsid w:val="00603B55"/>
    <w:rsid w:val="00603B75"/>
    <w:rsid w:val="00603BB4"/>
    <w:rsid w:val="00603BCE"/>
    <w:rsid w:val="00603C0A"/>
    <w:rsid w:val="00603CF9"/>
    <w:rsid w:val="00603E91"/>
    <w:rsid w:val="00603F54"/>
    <w:rsid w:val="00603F68"/>
    <w:rsid w:val="00604059"/>
    <w:rsid w:val="00604102"/>
    <w:rsid w:val="006042B2"/>
    <w:rsid w:val="006042F3"/>
    <w:rsid w:val="006044D1"/>
    <w:rsid w:val="006046AD"/>
    <w:rsid w:val="006046FC"/>
    <w:rsid w:val="0060478C"/>
    <w:rsid w:val="0060486C"/>
    <w:rsid w:val="0060488D"/>
    <w:rsid w:val="00604896"/>
    <w:rsid w:val="006049DD"/>
    <w:rsid w:val="00604A8A"/>
    <w:rsid w:val="00604ABB"/>
    <w:rsid w:val="00604B1A"/>
    <w:rsid w:val="00604B73"/>
    <w:rsid w:val="00604BF3"/>
    <w:rsid w:val="00604BF7"/>
    <w:rsid w:val="00604CC7"/>
    <w:rsid w:val="00604D20"/>
    <w:rsid w:val="00604F07"/>
    <w:rsid w:val="00605039"/>
    <w:rsid w:val="006051CA"/>
    <w:rsid w:val="00605254"/>
    <w:rsid w:val="0060537A"/>
    <w:rsid w:val="00605412"/>
    <w:rsid w:val="00605446"/>
    <w:rsid w:val="006055F0"/>
    <w:rsid w:val="0060573D"/>
    <w:rsid w:val="006057EA"/>
    <w:rsid w:val="00605896"/>
    <w:rsid w:val="00605964"/>
    <w:rsid w:val="00605A31"/>
    <w:rsid w:val="00605A61"/>
    <w:rsid w:val="00605A81"/>
    <w:rsid w:val="00605AD0"/>
    <w:rsid w:val="00605DBF"/>
    <w:rsid w:val="00605F87"/>
    <w:rsid w:val="0060603A"/>
    <w:rsid w:val="006060BB"/>
    <w:rsid w:val="0060622B"/>
    <w:rsid w:val="006066F1"/>
    <w:rsid w:val="006067B2"/>
    <w:rsid w:val="00606867"/>
    <w:rsid w:val="006068C3"/>
    <w:rsid w:val="0060699A"/>
    <w:rsid w:val="00606B37"/>
    <w:rsid w:val="00606C2B"/>
    <w:rsid w:val="00606C47"/>
    <w:rsid w:val="00606E92"/>
    <w:rsid w:val="00606EC4"/>
    <w:rsid w:val="00606EFC"/>
    <w:rsid w:val="00607069"/>
    <w:rsid w:val="00607075"/>
    <w:rsid w:val="006071BE"/>
    <w:rsid w:val="006071FC"/>
    <w:rsid w:val="0060741B"/>
    <w:rsid w:val="006077AE"/>
    <w:rsid w:val="006077B1"/>
    <w:rsid w:val="00607892"/>
    <w:rsid w:val="0060796C"/>
    <w:rsid w:val="00607977"/>
    <w:rsid w:val="00607A96"/>
    <w:rsid w:val="00607C73"/>
    <w:rsid w:val="00607D9B"/>
    <w:rsid w:val="00607E23"/>
    <w:rsid w:val="00607F18"/>
    <w:rsid w:val="0061004C"/>
    <w:rsid w:val="006100DF"/>
    <w:rsid w:val="0061015B"/>
    <w:rsid w:val="0061018E"/>
    <w:rsid w:val="0061019A"/>
    <w:rsid w:val="00610623"/>
    <w:rsid w:val="006106EB"/>
    <w:rsid w:val="00610794"/>
    <w:rsid w:val="00610C72"/>
    <w:rsid w:val="00610C77"/>
    <w:rsid w:val="00610CE0"/>
    <w:rsid w:val="00610DE9"/>
    <w:rsid w:val="00610E7A"/>
    <w:rsid w:val="00610F7E"/>
    <w:rsid w:val="00610FD3"/>
    <w:rsid w:val="00611069"/>
    <w:rsid w:val="00611249"/>
    <w:rsid w:val="00611318"/>
    <w:rsid w:val="0061132B"/>
    <w:rsid w:val="006113B7"/>
    <w:rsid w:val="00611465"/>
    <w:rsid w:val="00611521"/>
    <w:rsid w:val="006116F5"/>
    <w:rsid w:val="006117B9"/>
    <w:rsid w:val="006118B9"/>
    <w:rsid w:val="00611962"/>
    <w:rsid w:val="0061196A"/>
    <w:rsid w:val="00611ADF"/>
    <w:rsid w:val="00611BA3"/>
    <w:rsid w:val="00611BDA"/>
    <w:rsid w:val="00611CCF"/>
    <w:rsid w:val="00611CE3"/>
    <w:rsid w:val="00611D58"/>
    <w:rsid w:val="00611DBC"/>
    <w:rsid w:val="00612006"/>
    <w:rsid w:val="0061204A"/>
    <w:rsid w:val="00612159"/>
    <w:rsid w:val="00612195"/>
    <w:rsid w:val="00612503"/>
    <w:rsid w:val="0061256B"/>
    <w:rsid w:val="00612930"/>
    <w:rsid w:val="00612AA7"/>
    <w:rsid w:val="00612B38"/>
    <w:rsid w:val="00612B83"/>
    <w:rsid w:val="00612D19"/>
    <w:rsid w:val="00612EB8"/>
    <w:rsid w:val="00612F39"/>
    <w:rsid w:val="00612FE4"/>
    <w:rsid w:val="0061301A"/>
    <w:rsid w:val="0061317E"/>
    <w:rsid w:val="00613390"/>
    <w:rsid w:val="00613566"/>
    <w:rsid w:val="00613588"/>
    <w:rsid w:val="0061359E"/>
    <w:rsid w:val="00613742"/>
    <w:rsid w:val="00613919"/>
    <w:rsid w:val="00613B8A"/>
    <w:rsid w:val="00613BAE"/>
    <w:rsid w:val="00613D70"/>
    <w:rsid w:val="00613DDF"/>
    <w:rsid w:val="00613DEC"/>
    <w:rsid w:val="00613E85"/>
    <w:rsid w:val="00614132"/>
    <w:rsid w:val="00614168"/>
    <w:rsid w:val="006141FD"/>
    <w:rsid w:val="0061420B"/>
    <w:rsid w:val="0061426D"/>
    <w:rsid w:val="0061427E"/>
    <w:rsid w:val="006143C9"/>
    <w:rsid w:val="0061463A"/>
    <w:rsid w:val="006146E9"/>
    <w:rsid w:val="00614802"/>
    <w:rsid w:val="00614822"/>
    <w:rsid w:val="006148F0"/>
    <w:rsid w:val="00614964"/>
    <w:rsid w:val="006149A7"/>
    <w:rsid w:val="00614C28"/>
    <w:rsid w:val="00614C62"/>
    <w:rsid w:val="00614CEE"/>
    <w:rsid w:val="00614D4F"/>
    <w:rsid w:val="00614E4A"/>
    <w:rsid w:val="00614EB1"/>
    <w:rsid w:val="00614F19"/>
    <w:rsid w:val="00614F71"/>
    <w:rsid w:val="00615038"/>
    <w:rsid w:val="00615075"/>
    <w:rsid w:val="006151AA"/>
    <w:rsid w:val="00615215"/>
    <w:rsid w:val="00615229"/>
    <w:rsid w:val="006152E8"/>
    <w:rsid w:val="00615363"/>
    <w:rsid w:val="006153AD"/>
    <w:rsid w:val="006154EB"/>
    <w:rsid w:val="0061552D"/>
    <w:rsid w:val="00615571"/>
    <w:rsid w:val="006155AA"/>
    <w:rsid w:val="006157E8"/>
    <w:rsid w:val="006158C1"/>
    <w:rsid w:val="0061591C"/>
    <w:rsid w:val="006159D9"/>
    <w:rsid w:val="00615ABF"/>
    <w:rsid w:val="00615ECE"/>
    <w:rsid w:val="00615FFC"/>
    <w:rsid w:val="00616011"/>
    <w:rsid w:val="0061606F"/>
    <w:rsid w:val="0061608A"/>
    <w:rsid w:val="006160AD"/>
    <w:rsid w:val="006160EB"/>
    <w:rsid w:val="0061612C"/>
    <w:rsid w:val="00616248"/>
    <w:rsid w:val="006162DC"/>
    <w:rsid w:val="0061638D"/>
    <w:rsid w:val="0061648B"/>
    <w:rsid w:val="0061655B"/>
    <w:rsid w:val="0061663D"/>
    <w:rsid w:val="006167E1"/>
    <w:rsid w:val="0061682C"/>
    <w:rsid w:val="006168BC"/>
    <w:rsid w:val="00616AA0"/>
    <w:rsid w:val="00616AF7"/>
    <w:rsid w:val="00616B38"/>
    <w:rsid w:val="00616B6F"/>
    <w:rsid w:val="00616B7F"/>
    <w:rsid w:val="00616C85"/>
    <w:rsid w:val="00616D3D"/>
    <w:rsid w:val="0061700C"/>
    <w:rsid w:val="00617067"/>
    <w:rsid w:val="006170C1"/>
    <w:rsid w:val="006171E4"/>
    <w:rsid w:val="0061725C"/>
    <w:rsid w:val="00617347"/>
    <w:rsid w:val="006175BE"/>
    <w:rsid w:val="006175CE"/>
    <w:rsid w:val="006175D1"/>
    <w:rsid w:val="00617802"/>
    <w:rsid w:val="00617842"/>
    <w:rsid w:val="006178B5"/>
    <w:rsid w:val="006178D4"/>
    <w:rsid w:val="00617982"/>
    <w:rsid w:val="00617AFB"/>
    <w:rsid w:val="00617B45"/>
    <w:rsid w:val="00617DBD"/>
    <w:rsid w:val="00617ED5"/>
    <w:rsid w:val="00617FFE"/>
    <w:rsid w:val="006200D4"/>
    <w:rsid w:val="0062022B"/>
    <w:rsid w:val="0062023D"/>
    <w:rsid w:val="0062029E"/>
    <w:rsid w:val="0062041C"/>
    <w:rsid w:val="00620470"/>
    <w:rsid w:val="0062075D"/>
    <w:rsid w:val="00620819"/>
    <w:rsid w:val="00620903"/>
    <w:rsid w:val="006209ED"/>
    <w:rsid w:val="00620A64"/>
    <w:rsid w:val="00620AA9"/>
    <w:rsid w:val="00620B39"/>
    <w:rsid w:val="00620C86"/>
    <w:rsid w:val="00620CEB"/>
    <w:rsid w:val="00620E28"/>
    <w:rsid w:val="00620EC9"/>
    <w:rsid w:val="00620FBE"/>
    <w:rsid w:val="006210AD"/>
    <w:rsid w:val="00621316"/>
    <w:rsid w:val="006214C5"/>
    <w:rsid w:val="0062157B"/>
    <w:rsid w:val="00621587"/>
    <w:rsid w:val="00621642"/>
    <w:rsid w:val="0062168B"/>
    <w:rsid w:val="00621835"/>
    <w:rsid w:val="00621890"/>
    <w:rsid w:val="006218FB"/>
    <w:rsid w:val="00621A3C"/>
    <w:rsid w:val="00621A4A"/>
    <w:rsid w:val="00621A66"/>
    <w:rsid w:val="00621A9C"/>
    <w:rsid w:val="00621AEA"/>
    <w:rsid w:val="00621B15"/>
    <w:rsid w:val="00621C22"/>
    <w:rsid w:val="00621D2E"/>
    <w:rsid w:val="00621E4E"/>
    <w:rsid w:val="00621E59"/>
    <w:rsid w:val="006220A1"/>
    <w:rsid w:val="006220D1"/>
    <w:rsid w:val="006221C5"/>
    <w:rsid w:val="006221DF"/>
    <w:rsid w:val="006224AF"/>
    <w:rsid w:val="006225C3"/>
    <w:rsid w:val="00622629"/>
    <w:rsid w:val="00622709"/>
    <w:rsid w:val="00622719"/>
    <w:rsid w:val="0062283A"/>
    <w:rsid w:val="006228F9"/>
    <w:rsid w:val="0062292E"/>
    <w:rsid w:val="0062297B"/>
    <w:rsid w:val="006229B2"/>
    <w:rsid w:val="00622A74"/>
    <w:rsid w:val="00622A8C"/>
    <w:rsid w:val="00622B09"/>
    <w:rsid w:val="00622B30"/>
    <w:rsid w:val="00622B3A"/>
    <w:rsid w:val="00622C03"/>
    <w:rsid w:val="00622C5F"/>
    <w:rsid w:val="00622C6C"/>
    <w:rsid w:val="00622DBD"/>
    <w:rsid w:val="00622DCA"/>
    <w:rsid w:val="0062318C"/>
    <w:rsid w:val="0062325A"/>
    <w:rsid w:val="006232A7"/>
    <w:rsid w:val="0062341F"/>
    <w:rsid w:val="006234D7"/>
    <w:rsid w:val="0062391E"/>
    <w:rsid w:val="00623986"/>
    <w:rsid w:val="00623993"/>
    <w:rsid w:val="006239BF"/>
    <w:rsid w:val="006239CD"/>
    <w:rsid w:val="006239DA"/>
    <w:rsid w:val="006239E2"/>
    <w:rsid w:val="00623AFA"/>
    <w:rsid w:val="00623C6D"/>
    <w:rsid w:val="00624014"/>
    <w:rsid w:val="00624103"/>
    <w:rsid w:val="00624153"/>
    <w:rsid w:val="006241BC"/>
    <w:rsid w:val="006241D7"/>
    <w:rsid w:val="0062432C"/>
    <w:rsid w:val="0062439C"/>
    <w:rsid w:val="00624414"/>
    <w:rsid w:val="00624418"/>
    <w:rsid w:val="00624420"/>
    <w:rsid w:val="00624535"/>
    <w:rsid w:val="0062471A"/>
    <w:rsid w:val="006247CE"/>
    <w:rsid w:val="0062481D"/>
    <w:rsid w:val="006248AD"/>
    <w:rsid w:val="00624987"/>
    <w:rsid w:val="006249A4"/>
    <w:rsid w:val="00624B8B"/>
    <w:rsid w:val="00624BF6"/>
    <w:rsid w:val="00624DD0"/>
    <w:rsid w:val="00624E59"/>
    <w:rsid w:val="00624F0B"/>
    <w:rsid w:val="0062508D"/>
    <w:rsid w:val="006250B3"/>
    <w:rsid w:val="00625190"/>
    <w:rsid w:val="00625207"/>
    <w:rsid w:val="006253AE"/>
    <w:rsid w:val="00625452"/>
    <w:rsid w:val="006254AC"/>
    <w:rsid w:val="006254BA"/>
    <w:rsid w:val="0062551E"/>
    <w:rsid w:val="0062555D"/>
    <w:rsid w:val="006255CC"/>
    <w:rsid w:val="006256BB"/>
    <w:rsid w:val="006256FA"/>
    <w:rsid w:val="00625718"/>
    <w:rsid w:val="0062571E"/>
    <w:rsid w:val="006257E0"/>
    <w:rsid w:val="00625881"/>
    <w:rsid w:val="00625943"/>
    <w:rsid w:val="00625A74"/>
    <w:rsid w:val="00625B11"/>
    <w:rsid w:val="00625DE9"/>
    <w:rsid w:val="00625E8D"/>
    <w:rsid w:val="00625EAE"/>
    <w:rsid w:val="00625FB8"/>
    <w:rsid w:val="006261DB"/>
    <w:rsid w:val="006262A9"/>
    <w:rsid w:val="00626316"/>
    <w:rsid w:val="0062640F"/>
    <w:rsid w:val="00626463"/>
    <w:rsid w:val="006264AF"/>
    <w:rsid w:val="00626502"/>
    <w:rsid w:val="006267F8"/>
    <w:rsid w:val="00626859"/>
    <w:rsid w:val="0062689E"/>
    <w:rsid w:val="00626B15"/>
    <w:rsid w:val="00626C85"/>
    <w:rsid w:val="00626D80"/>
    <w:rsid w:val="00626DB7"/>
    <w:rsid w:val="00626F34"/>
    <w:rsid w:val="00627228"/>
    <w:rsid w:val="0062722E"/>
    <w:rsid w:val="006272D9"/>
    <w:rsid w:val="006272DB"/>
    <w:rsid w:val="006273DE"/>
    <w:rsid w:val="006274EB"/>
    <w:rsid w:val="0062776F"/>
    <w:rsid w:val="006277FB"/>
    <w:rsid w:val="006278F9"/>
    <w:rsid w:val="00627936"/>
    <w:rsid w:val="00627A3E"/>
    <w:rsid w:val="00627A47"/>
    <w:rsid w:val="00627CC2"/>
    <w:rsid w:val="00627CC3"/>
    <w:rsid w:val="00627D0A"/>
    <w:rsid w:val="00627E87"/>
    <w:rsid w:val="00627EE2"/>
    <w:rsid w:val="00630001"/>
    <w:rsid w:val="00630089"/>
    <w:rsid w:val="0063014B"/>
    <w:rsid w:val="006301B1"/>
    <w:rsid w:val="00630276"/>
    <w:rsid w:val="006302A3"/>
    <w:rsid w:val="006303D0"/>
    <w:rsid w:val="0063078F"/>
    <w:rsid w:val="00630DA3"/>
    <w:rsid w:val="00630DFF"/>
    <w:rsid w:val="00630ECE"/>
    <w:rsid w:val="00631098"/>
    <w:rsid w:val="006310EF"/>
    <w:rsid w:val="00631144"/>
    <w:rsid w:val="00631310"/>
    <w:rsid w:val="0063141E"/>
    <w:rsid w:val="00631571"/>
    <w:rsid w:val="006316DA"/>
    <w:rsid w:val="00631754"/>
    <w:rsid w:val="0063175C"/>
    <w:rsid w:val="0063198A"/>
    <w:rsid w:val="00631A5A"/>
    <w:rsid w:val="00631CA7"/>
    <w:rsid w:val="00631DE5"/>
    <w:rsid w:val="00631ED0"/>
    <w:rsid w:val="00631EF8"/>
    <w:rsid w:val="00631F92"/>
    <w:rsid w:val="00632015"/>
    <w:rsid w:val="0063210E"/>
    <w:rsid w:val="006321DC"/>
    <w:rsid w:val="00632227"/>
    <w:rsid w:val="00632260"/>
    <w:rsid w:val="00632311"/>
    <w:rsid w:val="0063257C"/>
    <w:rsid w:val="006325B4"/>
    <w:rsid w:val="006325B7"/>
    <w:rsid w:val="006326BE"/>
    <w:rsid w:val="00632871"/>
    <w:rsid w:val="00632887"/>
    <w:rsid w:val="00632903"/>
    <w:rsid w:val="0063292C"/>
    <w:rsid w:val="0063293F"/>
    <w:rsid w:val="00632955"/>
    <w:rsid w:val="00632962"/>
    <w:rsid w:val="00632A00"/>
    <w:rsid w:val="00632A90"/>
    <w:rsid w:val="00632B49"/>
    <w:rsid w:val="00632C03"/>
    <w:rsid w:val="00632C2A"/>
    <w:rsid w:val="00632C6A"/>
    <w:rsid w:val="00632CE9"/>
    <w:rsid w:val="00632D02"/>
    <w:rsid w:val="0063303A"/>
    <w:rsid w:val="00633197"/>
    <w:rsid w:val="006332A5"/>
    <w:rsid w:val="00633388"/>
    <w:rsid w:val="006334CE"/>
    <w:rsid w:val="006334FF"/>
    <w:rsid w:val="00633573"/>
    <w:rsid w:val="00633651"/>
    <w:rsid w:val="0063373E"/>
    <w:rsid w:val="00633772"/>
    <w:rsid w:val="00633962"/>
    <w:rsid w:val="006339C8"/>
    <w:rsid w:val="00633AB1"/>
    <w:rsid w:val="00633D25"/>
    <w:rsid w:val="00633E8A"/>
    <w:rsid w:val="00634019"/>
    <w:rsid w:val="0063406A"/>
    <w:rsid w:val="006343CA"/>
    <w:rsid w:val="006345B5"/>
    <w:rsid w:val="0063465B"/>
    <w:rsid w:val="00634726"/>
    <w:rsid w:val="0063477D"/>
    <w:rsid w:val="006347BA"/>
    <w:rsid w:val="00634895"/>
    <w:rsid w:val="00634994"/>
    <w:rsid w:val="00634A23"/>
    <w:rsid w:val="00634AB2"/>
    <w:rsid w:val="00634AB8"/>
    <w:rsid w:val="00634BD4"/>
    <w:rsid w:val="00634DE4"/>
    <w:rsid w:val="006351EE"/>
    <w:rsid w:val="0063525F"/>
    <w:rsid w:val="00635260"/>
    <w:rsid w:val="0063539D"/>
    <w:rsid w:val="006353E9"/>
    <w:rsid w:val="0063543A"/>
    <w:rsid w:val="00635498"/>
    <w:rsid w:val="00635557"/>
    <w:rsid w:val="00635594"/>
    <w:rsid w:val="006355AC"/>
    <w:rsid w:val="006355B4"/>
    <w:rsid w:val="00635616"/>
    <w:rsid w:val="0063569B"/>
    <w:rsid w:val="0063569D"/>
    <w:rsid w:val="006356F2"/>
    <w:rsid w:val="0063575D"/>
    <w:rsid w:val="00635915"/>
    <w:rsid w:val="006359B9"/>
    <w:rsid w:val="00635C00"/>
    <w:rsid w:val="00635C08"/>
    <w:rsid w:val="00635CE3"/>
    <w:rsid w:val="00635DAC"/>
    <w:rsid w:val="00635E28"/>
    <w:rsid w:val="00635E4B"/>
    <w:rsid w:val="00635E92"/>
    <w:rsid w:val="00635EA0"/>
    <w:rsid w:val="00635F7C"/>
    <w:rsid w:val="006361B1"/>
    <w:rsid w:val="0063620C"/>
    <w:rsid w:val="006362BC"/>
    <w:rsid w:val="0063632C"/>
    <w:rsid w:val="00636360"/>
    <w:rsid w:val="0063648B"/>
    <w:rsid w:val="0063656E"/>
    <w:rsid w:val="0063672E"/>
    <w:rsid w:val="006369C7"/>
    <w:rsid w:val="00636B80"/>
    <w:rsid w:val="00636D95"/>
    <w:rsid w:val="00636E1F"/>
    <w:rsid w:val="00636E82"/>
    <w:rsid w:val="00637084"/>
    <w:rsid w:val="00637188"/>
    <w:rsid w:val="0063722C"/>
    <w:rsid w:val="00637261"/>
    <w:rsid w:val="00637275"/>
    <w:rsid w:val="0063733E"/>
    <w:rsid w:val="006373C8"/>
    <w:rsid w:val="006373DC"/>
    <w:rsid w:val="0063743E"/>
    <w:rsid w:val="00637452"/>
    <w:rsid w:val="006374D3"/>
    <w:rsid w:val="006376D6"/>
    <w:rsid w:val="0063780F"/>
    <w:rsid w:val="00637840"/>
    <w:rsid w:val="00637931"/>
    <w:rsid w:val="00637AC1"/>
    <w:rsid w:val="00637B08"/>
    <w:rsid w:val="00637D87"/>
    <w:rsid w:val="00637DC3"/>
    <w:rsid w:val="00637E45"/>
    <w:rsid w:val="00637EF0"/>
    <w:rsid w:val="00640003"/>
    <w:rsid w:val="0064003E"/>
    <w:rsid w:val="00640121"/>
    <w:rsid w:val="00640131"/>
    <w:rsid w:val="006401E0"/>
    <w:rsid w:val="006401EB"/>
    <w:rsid w:val="006401F1"/>
    <w:rsid w:val="00640556"/>
    <w:rsid w:val="0064077E"/>
    <w:rsid w:val="0064094A"/>
    <w:rsid w:val="006409BA"/>
    <w:rsid w:val="00640A16"/>
    <w:rsid w:val="00640A9E"/>
    <w:rsid w:val="00640AB8"/>
    <w:rsid w:val="00640BB1"/>
    <w:rsid w:val="00640BF6"/>
    <w:rsid w:val="00640D3A"/>
    <w:rsid w:val="00640F57"/>
    <w:rsid w:val="006410A0"/>
    <w:rsid w:val="006410B9"/>
    <w:rsid w:val="006412AD"/>
    <w:rsid w:val="00641354"/>
    <w:rsid w:val="00641388"/>
    <w:rsid w:val="0064151C"/>
    <w:rsid w:val="006416EA"/>
    <w:rsid w:val="0064182D"/>
    <w:rsid w:val="0064187B"/>
    <w:rsid w:val="006419E3"/>
    <w:rsid w:val="00641C06"/>
    <w:rsid w:val="00641CA6"/>
    <w:rsid w:val="00641CA8"/>
    <w:rsid w:val="006420B3"/>
    <w:rsid w:val="006421FF"/>
    <w:rsid w:val="00642917"/>
    <w:rsid w:val="006429A0"/>
    <w:rsid w:val="00642A16"/>
    <w:rsid w:val="00642A4D"/>
    <w:rsid w:val="00642BBE"/>
    <w:rsid w:val="00642C0C"/>
    <w:rsid w:val="00642C6F"/>
    <w:rsid w:val="00642D20"/>
    <w:rsid w:val="00642DD0"/>
    <w:rsid w:val="00642DE7"/>
    <w:rsid w:val="00642F0F"/>
    <w:rsid w:val="00642F17"/>
    <w:rsid w:val="00642F9F"/>
    <w:rsid w:val="006431B5"/>
    <w:rsid w:val="006431DD"/>
    <w:rsid w:val="0064330A"/>
    <w:rsid w:val="006434FA"/>
    <w:rsid w:val="00643658"/>
    <w:rsid w:val="006439E6"/>
    <w:rsid w:val="00643A9E"/>
    <w:rsid w:val="00643AB2"/>
    <w:rsid w:val="00643AE1"/>
    <w:rsid w:val="00643B33"/>
    <w:rsid w:val="00643B8C"/>
    <w:rsid w:val="00643CC6"/>
    <w:rsid w:val="00643EDF"/>
    <w:rsid w:val="00644004"/>
    <w:rsid w:val="00644045"/>
    <w:rsid w:val="0064449D"/>
    <w:rsid w:val="006444BE"/>
    <w:rsid w:val="006446BF"/>
    <w:rsid w:val="00644939"/>
    <w:rsid w:val="00644A51"/>
    <w:rsid w:val="00644B08"/>
    <w:rsid w:val="00644B65"/>
    <w:rsid w:val="00644BFF"/>
    <w:rsid w:val="00644D4D"/>
    <w:rsid w:val="00644E05"/>
    <w:rsid w:val="00644E0D"/>
    <w:rsid w:val="00644E1F"/>
    <w:rsid w:val="00644F81"/>
    <w:rsid w:val="00644FA3"/>
    <w:rsid w:val="0064521F"/>
    <w:rsid w:val="0064524F"/>
    <w:rsid w:val="0064534A"/>
    <w:rsid w:val="00645352"/>
    <w:rsid w:val="006455B6"/>
    <w:rsid w:val="00645603"/>
    <w:rsid w:val="006459D2"/>
    <w:rsid w:val="00645A06"/>
    <w:rsid w:val="00645C00"/>
    <w:rsid w:val="00646301"/>
    <w:rsid w:val="00646315"/>
    <w:rsid w:val="006463AE"/>
    <w:rsid w:val="00646449"/>
    <w:rsid w:val="006465B0"/>
    <w:rsid w:val="006465C2"/>
    <w:rsid w:val="00646712"/>
    <w:rsid w:val="006467AE"/>
    <w:rsid w:val="006467BD"/>
    <w:rsid w:val="0064694D"/>
    <w:rsid w:val="00646A17"/>
    <w:rsid w:val="00646D54"/>
    <w:rsid w:val="00646DF6"/>
    <w:rsid w:val="00646FB2"/>
    <w:rsid w:val="00647133"/>
    <w:rsid w:val="0064725F"/>
    <w:rsid w:val="006473E0"/>
    <w:rsid w:val="00647461"/>
    <w:rsid w:val="00647487"/>
    <w:rsid w:val="006475D1"/>
    <w:rsid w:val="00647620"/>
    <w:rsid w:val="006478FD"/>
    <w:rsid w:val="00647939"/>
    <w:rsid w:val="00647BCA"/>
    <w:rsid w:val="00647C85"/>
    <w:rsid w:val="00647C91"/>
    <w:rsid w:val="00647C9A"/>
    <w:rsid w:val="00647D62"/>
    <w:rsid w:val="00647DD9"/>
    <w:rsid w:val="00647EB5"/>
    <w:rsid w:val="00647EC9"/>
    <w:rsid w:val="00647EE5"/>
    <w:rsid w:val="00647FC5"/>
    <w:rsid w:val="006501AF"/>
    <w:rsid w:val="00650305"/>
    <w:rsid w:val="006503F2"/>
    <w:rsid w:val="0065048F"/>
    <w:rsid w:val="006505BC"/>
    <w:rsid w:val="006505C9"/>
    <w:rsid w:val="006505F7"/>
    <w:rsid w:val="006506A0"/>
    <w:rsid w:val="006506A1"/>
    <w:rsid w:val="00650812"/>
    <w:rsid w:val="0065091D"/>
    <w:rsid w:val="00650993"/>
    <w:rsid w:val="006509B1"/>
    <w:rsid w:val="00650B23"/>
    <w:rsid w:val="00650B35"/>
    <w:rsid w:val="00650C80"/>
    <w:rsid w:val="00650F4C"/>
    <w:rsid w:val="00650FFD"/>
    <w:rsid w:val="00651073"/>
    <w:rsid w:val="006510C3"/>
    <w:rsid w:val="006510C9"/>
    <w:rsid w:val="0065114E"/>
    <w:rsid w:val="00651189"/>
    <w:rsid w:val="00651265"/>
    <w:rsid w:val="00651302"/>
    <w:rsid w:val="006513AB"/>
    <w:rsid w:val="00651433"/>
    <w:rsid w:val="006514BA"/>
    <w:rsid w:val="00651782"/>
    <w:rsid w:val="00651899"/>
    <w:rsid w:val="006518C0"/>
    <w:rsid w:val="006518F3"/>
    <w:rsid w:val="00651988"/>
    <w:rsid w:val="00651A3A"/>
    <w:rsid w:val="00651A70"/>
    <w:rsid w:val="00651A85"/>
    <w:rsid w:val="00651AC9"/>
    <w:rsid w:val="00651DD2"/>
    <w:rsid w:val="00651E53"/>
    <w:rsid w:val="00651EFC"/>
    <w:rsid w:val="00652008"/>
    <w:rsid w:val="0065204D"/>
    <w:rsid w:val="00652093"/>
    <w:rsid w:val="00652112"/>
    <w:rsid w:val="00652276"/>
    <w:rsid w:val="006522C1"/>
    <w:rsid w:val="00652340"/>
    <w:rsid w:val="006523FE"/>
    <w:rsid w:val="00652542"/>
    <w:rsid w:val="006525A8"/>
    <w:rsid w:val="006525DB"/>
    <w:rsid w:val="006525FC"/>
    <w:rsid w:val="006528FC"/>
    <w:rsid w:val="006529D6"/>
    <w:rsid w:val="00652B47"/>
    <w:rsid w:val="00652BD6"/>
    <w:rsid w:val="00652BFA"/>
    <w:rsid w:val="00652CAB"/>
    <w:rsid w:val="00652D10"/>
    <w:rsid w:val="00652DE5"/>
    <w:rsid w:val="00652DF5"/>
    <w:rsid w:val="00652E16"/>
    <w:rsid w:val="00653058"/>
    <w:rsid w:val="00653150"/>
    <w:rsid w:val="0065315E"/>
    <w:rsid w:val="0065323C"/>
    <w:rsid w:val="00653269"/>
    <w:rsid w:val="0065344D"/>
    <w:rsid w:val="006534C8"/>
    <w:rsid w:val="0065352D"/>
    <w:rsid w:val="006535F4"/>
    <w:rsid w:val="00653637"/>
    <w:rsid w:val="0065389F"/>
    <w:rsid w:val="00653A4A"/>
    <w:rsid w:val="00653CC2"/>
    <w:rsid w:val="00653D06"/>
    <w:rsid w:val="00653F25"/>
    <w:rsid w:val="0065406D"/>
    <w:rsid w:val="006540B1"/>
    <w:rsid w:val="00654161"/>
    <w:rsid w:val="00654174"/>
    <w:rsid w:val="0065419D"/>
    <w:rsid w:val="0065421C"/>
    <w:rsid w:val="00654381"/>
    <w:rsid w:val="006544A4"/>
    <w:rsid w:val="00654511"/>
    <w:rsid w:val="0065452F"/>
    <w:rsid w:val="006545AF"/>
    <w:rsid w:val="00654600"/>
    <w:rsid w:val="006547AA"/>
    <w:rsid w:val="006548EC"/>
    <w:rsid w:val="00654918"/>
    <w:rsid w:val="00654CD0"/>
    <w:rsid w:val="00655042"/>
    <w:rsid w:val="00655067"/>
    <w:rsid w:val="006551A3"/>
    <w:rsid w:val="006552E6"/>
    <w:rsid w:val="0065533E"/>
    <w:rsid w:val="006554BE"/>
    <w:rsid w:val="00655661"/>
    <w:rsid w:val="00655919"/>
    <w:rsid w:val="0065596C"/>
    <w:rsid w:val="0065599D"/>
    <w:rsid w:val="00655A5A"/>
    <w:rsid w:val="00655C84"/>
    <w:rsid w:val="00655CFB"/>
    <w:rsid w:val="00655E73"/>
    <w:rsid w:val="00655F47"/>
    <w:rsid w:val="00655FA8"/>
    <w:rsid w:val="006561E2"/>
    <w:rsid w:val="0065645B"/>
    <w:rsid w:val="00656460"/>
    <w:rsid w:val="00656499"/>
    <w:rsid w:val="0065650A"/>
    <w:rsid w:val="0065659D"/>
    <w:rsid w:val="00656647"/>
    <w:rsid w:val="006566C8"/>
    <w:rsid w:val="006566CB"/>
    <w:rsid w:val="006567A8"/>
    <w:rsid w:val="006567B4"/>
    <w:rsid w:val="006568E2"/>
    <w:rsid w:val="00656B27"/>
    <w:rsid w:val="00656C8A"/>
    <w:rsid w:val="00656CC4"/>
    <w:rsid w:val="00656DD9"/>
    <w:rsid w:val="00656E2A"/>
    <w:rsid w:val="00656EFD"/>
    <w:rsid w:val="00656F12"/>
    <w:rsid w:val="00656F8A"/>
    <w:rsid w:val="00656F96"/>
    <w:rsid w:val="00657047"/>
    <w:rsid w:val="0065713B"/>
    <w:rsid w:val="006571E7"/>
    <w:rsid w:val="006573C9"/>
    <w:rsid w:val="006573D3"/>
    <w:rsid w:val="006573F8"/>
    <w:rsid w:val="0065741C"/>
    <w:rsid w:val="00657583"/>
    <w:rsid w:val="0065766E"/>
    <w:rsid w:val="00657927"/>
    <w:rsid w:val="00657958"/>
    <w:rsid w:val="00657A29"/>
    <w:rsid w:val="00657A47"/>
    <w:rsid w:val="00657B85"/>
    <w:rsid w:val="00657B90"/>
    <w:rsid w:val="00657DA6"/>
    <w:rsid w:val="00657E49"/>
    <w:rsid w:val="00657E70"/>
    <w:rsid w:val="00657F07"/>
    <w:rsid w:val="006601CD"/>
    <w:rsid w:val="00660429"/>
    <w:rsid w:val="00660436"/>
    <w:rsid w:val="00660444"/>
    <w:rsid w:val="00660560"/>
    <w:rsid w:val="006606E5"/>
    <w:rsid w:val="00660774"/>
    <w:rsid w:val="00660811"/>
    <w:rsid w:val="00660987"/>
    <w:rsid w:val="00660AF7"/>
    <w:rsid w:val="00660CAC"/>
    <w:rsid w:val="006611DA"/>
    <w:rsid w:val="006612F5"/>
    <w:rsid w:val="006613C6"/>
    <w:rsid w:val="006614D9"/>
    <w:rsid w:val="006615A6"/>
    <w:rsid w:val="00661605"/>
    <w:rsid w:val="006616A6"/>
    <w:rsid w:val="00661717"/>
    <w:rsid w:val="006618BE"/>
    <w:rsid w:val="00661A64"/>
    <w:rsid w:val="00661AE3"/>
    <w:rsid w:val="00661BB2"/>
    <w:rsid w:val="00661C74"/>
    <w:rsid w:val="00661CC5"/>
    <w:rsid w:val="00661FD4"/>
    <w:rsid w:val="00662055"/>
    <w:rsid w:val="0066224F"/>
    <w:rsid w:val="0066247A"/>
    <w:rsid w:val="006624F3"/>
    <w:rsid w:val="006625A2"/>
    <w:rsid w:val="006625CC"/>
    <w:rsid w:val="0066267B"/>
    <w:rsid w:val="00662997"/>
    <w:rsid w:val="00662A02"/>
    <w:rsid w:val="00662A10"/>
    <w:rsid w:val="00662A6C"/>
    <w:rsid w:val="00662A72"/>
    <w:rsid w:val="00662C2B"/>
    <w:rsid w:val="00662D4B"/>
    <w:rsid w:val="0066300C"/>
    <w:rsid w:val="0066332D"/>
    <w:rsid w:val="006633C3"/>
    <w:rsid w:val="006637E4"/>
    <w:rsid w:val="006637EB"/>
    <w:rsid w:val="00663835"/>
    <w:rsid w:val="0066385F"/>
    <w:rsid w:val="00663956"/>
    <w:rsid w:val="00663A03"/>
    <w:rsid w:val="00663A3C"/>
    <w:rsid w:val="00663B36"/>
    <w:rsid w:val="00663B8F"/>
    <w:rsid w:val="00663D26"/>
    <w:rsid w:val="00663DBC"/>
    <w:rsid w:val="00663DE3"/>
    <w:rsid w:val="00664081"/>
    <w:rsid w:val="00664230"/>
    <w:rsid w:val="00664250"/>
    <w:rsid w:val="006642A3"/>
    <w:rsid w:val="006644CB"/>
    <w:rsid w:val="006645F7"/>
    <w:rsid w:val="00664631"/>
    <w:rsid w:val="006646A8"/>
    <w:rsid w:val="006647A5"/>
    <w:rsid w:val="00664810"/>
    <w:rsid w:val="006648CA"/>
    <w:rsid w:val="00664957"/>
    <w:rsid w:val="0066499E"/>
    <w:rsid w:val="00664BA6"/>
    <w:rsid w:val="00664BAB"/>
    <w:rsid w:val="00664BF0"/>
    <w:rsid w:val="00664C45"/>
    <w:rsid w:val="00664D49"/>
    <w:rsid w:val="00664D7F"/>
    <w:rsid w:val="00664F28"/>
    <w:rsid w:val="006650CE"/>
    <w:rsid w:val="00665133"/>
    <w:rsid w:val="00665154"/>
    <w:rsid w:val="006653B6"/>
    <w:rsid w:val="006653F3"/>
    <w:rsid w:val="00665428"/>
    <w:rsid w:val="006654A3"/>
    <w:rsid w:val="00665503"/>
    <w:rsid w:val="00665582"/>
    <w:rsid w:val="0066567F"/>
    <w:rsid w:val="0066568E"/>
    <w:rsid w:val="006659A3"/>
    <w:rsid w:val="00665AC3"/>
    <w:rsid w:val="00665AE7"/>
    <w:rsid w:val="00665AFC"/>
    <w:rsid w:val="00665B17"/>
    <w:rsid w:val="00665B23"/>
    <w:rsid w:val="00665BB3"/>
    <w:rsid w:val="00665D25"/>
    <w:rsid w:val="00665E65"/>
    <w:rsid w:val="006661C1"/>
    <w:rsid w:val="006661E4"/>
    <w:rsid w:val="006661F5"/>
    <w:rsid w:val="00666210"/>
    <w:rsid w:val="0066627A"/>
    <w:rsid w:val="006662F2"/>
    <w:rsid w:val="00666336"/>
    <w:rsid w:val="0066645B"/>
    <w:rsid w:val="006664E5"/>
    <w:rsid w:val="006664F0"/>
    <w:rsid w:val="0066658F"/>
    <w:rsid w:val="00666633"/>
    <w:rsid w:val="00666658"/>
    <w:rsid w:val="006666DB"/>
    <w:rsid w:val="00666731"/>
    <w:rsid w:val="00666736"/>
    <w:rsid w:val="00666769"/>
    <w:rsid w:val="006667A5"/>
    <w:rsid w:val="00666925"/>
    <w:rsid w:val="00666AA6"/>
    <w:rsid w:val="00666AED"/>
    <w:rsid w:val="00666CAF"/>
    <w:rsid w:val="00666D1C"/>
    <w:rsid w:val="00666D9E"/>
    <w:rsid w:val="00666E8D"/>
    <w:rsid w:val="0066707E"/>
    <w:rsid w:val="006670FA"/>
    <w:rsid w:val="00667138"/>
    <w:rsid w:val="0066714F"/>
    <w:rsid w:val="00667238"/>
    <w:rsid w:val="00667249"/>
    <w:rsid w:val="006672B6"/>
    <w:rsid w:val="006672CF"/>
    <w:rsid w:val="0066737C"/>
    <w:rsid w:val="006674F1"/>
    <w:rsid w:val="00667837"/>
    <w:rsid w:val="00667AB9"/>
    <w:rsid w:val="00667B39"/>
    <w:rsid w:val="00667BCB"/>
    <w:rsid w:val="00667C79"/>
    <w:rsid w:val="00667DAA"/>
    <w:rsid w:val="00667E0A"/>
    <w:rsid w:val="00667F93"/>
    <w:rsid w:val="0067001D"/>
    <w:rsid w:val="00670141"/>
    <w:rsid w:val="0067022C"/>
    <w:rsid w:val="0067026D"/>
    <w:rsid w:val="006705FA"/>
    <w:rsid w:val="006707E5"/>
    <w:rsid w:val="006708F1"/>
    <w:rsid w:val="0067092E"/>
    <w:rsid w:val="0067096C"/>
    <w:rsid w:val="006709B0"/>
    <w:rsid w:val="00670B9C"/>
    <w:rsid w:val="00670C7B"/>
    <w:rsid w:val="00670D22"/>
    <w:rsid w:val="00670D40"/>
    <w:rsid w:val="00670D54"/>
    <w:rsid w:val="00670EBC"/>
    <w:rsid w:val="006710D3"/>
    <w:rsid w:val="00671358"/>
    <w:rsid w:val="0067144D"/>
    <w:rsid w:val="0067153C"/>
    <w:rsid w:val="00671576"/>
    <w:rsid w:val="006716D1"/>
    <w:rsid w:val="006716DB"/>
    <w:rsid w:val="00671774"/>
    <w:rsid w:val="00671842"/>
    <w:rsid w:val="00671923"/>
    <w:rsid w:val="00671965"/>
    <w:rsid w:val="00671C30"/>
    <w:rsid w:val="00671C96"/>
    <w:rsid w:val="00671E80"/>
    <w:rsid w:val="00671E90"/>
    <w:rsid w:val="0067200C"/>
    <w:rsid w:val="00672154"/>
    <w:rsid w:val="006722A6"/>
    <w:rsid w:val="006723B9"/>
    <w:rsid w:val="006723C3"/>
    <w:rsid w:val="006724CC"/>
    <w:rsid w:val="006724D0"/>
    <w:rsid w:val="00672635"/>
    <w:rsid w:val="00672667"/>
    <w:rsid w:val="006726E6"/>
    <w:rsid w:val="006727CC"/>
    <w:rsid w:val="0067295B"/>
    <w:rsid w:val="00672987"/>
    <w:rsid w:val="00672B2B"/>
    <w:rsid w:val="00672B96"/>
    <w:rsid w:val="00672BA6"/>
    <w:rsid w:val="00672BFD"/>
    <w:rsid w:val="00672C35"/>
    <w:rsid w:val="00672C55"/>
    <w:rsid w:val="00672CA2"/>
    <w:rsid w:val="00672DB2"/>
    <w:rsid w:val="00672DC8"/>
    <w:rsid w:val="00672E51"/>
    <w:rsid w:val="00672F1E"/>
    <w:rsid w:val="006730B2"/>
    <w:rsid w:val="0067317E"/>
    <w:rsid w:val="006732D5"/>
    <w:rsid w:val="00673313"/>
    <w:rsid w:val="00673498"/>
    <w:rsid w:val="00673526"/>
    <w:rsid w:val="006738C1"/>
    <w:rsid w:val="0067399B"/>
    <w:rsid w:val="00673A98"/>
    <w:rsid w:val="00673C30"/>
    <w:rsid w:val="00673C44"/>
    <w:rsid w:val="0067404B"/>
    <w:rsid w:val="006740F1"/>
    <w:rsid w:val="00674160"/>
    <w:rsid w:val="00674263"/>
    <w:rsid w:val="00674409"/>
    <w:rsid w:val="006744CE"/>
    <w:rsid w:val="00674682"/>
    <w:rsid w:val="0067470D"/>
    <w:rsid w:val="006747D7"/>
    <w:rsid w:val="006749A9"/>
    <w:rsid w:val="006749BD"/>
    <w:rsid w:val="00674A80"/>
    <w:rsid w:val="00674CE4"/>
    <w:rsid w:val="006751B7"/>
    <w:rsid w:val="00675290"/>
    <w:rsid w:val="006752E3"/>
    <w:rsid w:val="0067533D"/>
    <w:rsid w:val="00675400"/>
    <w:rsid w:val="00675591"/>
    <w:rsid w:val="006755A6"/>
    <w:rsid w:val="006756AF"/>
    <w:rsid w:val="006756C0"/>
    <w:rsid w:val="00675885"/>
    <w:rsid w:val="00675960"/>
    <w:rsid w:val="00675A7A"/>
    <w:rsid w:val="00675B11"/>
    <w:rsid w:val="00675B2D"/>
    <w:rsid w:val="00675E81"/>
    <w:rsid w:val="00675F22"/>
    <w:rsid w:val="00675FC0"/>
    <w:rsid w:val="00675FC8"/>
    <w:rsid w:val="0067603B"/>
    <w:rsid w:val="006763C2"/>
    <w:rsid w:val="0067650B"/>
    <w:rsid w:val="0067655A"/>
    <w:rsid w:val="00676570"/>
    <w:rsid w:val="00676653"/>
    <w:rsid w:val="00676694"/>
    <w:rsid w:val="006766CD"/>
    <w:rsid w:val="006767B5"/>
    <w:rsid w:val="006767E0"/>
    <w:rsid w:val="00676896"/>
    <w:rsid w:val="0067696E"/>
    <w:rsid w:val="00676A5D"/>
    <w:rsid w:val="00676B05"/>
    <w:rsid w:val="00676BE3"/>
    <w:rsid w:val="00676C5F"/>
    <w:rsid w:val="00676E10"/>
    <w:rsid w:val="0067700A"/>
    <w:rsid w:val="00677061"/>
    <w:rsid w:val="006771D7"/>
    <w:rsid w:val="00677473"/>
    <w:rsid w:val="00677478"/>
    <w:rsid w:val="006774A0"/>
    <w:rsid w:val="0067754C"/>
    <w:rsid w:val="0067765B"/>
    <w:rsid w:val="006776F3"/>
    <w:rsid w:val="006778B3"/>
    <w:rsid w:val="0067794B"/>
    <w:rsid w:val="00677A1E"/>
    <w:rsid w:val="00677BBE"/>
    <w:rsid w:val="00677C32"/>
    <w:rsid w:val="00677DE6"/>
    <w:rsid w:val="00677E89"/>
    <w:rsid w:val="006800F6"/>
    <w:rsid w:val="00680130"/>
    <w:rsid w:val="00680219"/>
    <w:rsid w:val="00680315"/>
    <w:rsid w:val="00680380"/>
    <w:rsid w:val="0068053E"/>
    <w:rsid w:val="006805AE"/>
    <w:rsid w:val="0068068E"/>
    <w:rsid w:val="00680721"/>
    <w:rsid w:val="0068080F"/>
    <w:rsid w:val="006808AB"/>
    <w:rsid w:val="006809E6"/>
    <w:rsid w:val="00680A38"/>
    <w:rsid w:val="00680B4E"/>
    <w:rsid w:val="00680CA4"/>
    <w:rsid w:val="00680CC0"/>
    <w:rsid w:val="00680E60"/>
    <w:rsid w:val="006810E9"/>
    <w:rsid w:val="00681181"/>
    <w:rsid w:val="0068120B"/>
    <w:rsid w:val="006812DB"/>
    <w:rsid w:val="006813BC"/>
    <w:rsid w:val="006813EE"/>
    <w:rsid w:val="00681414"/>
    <w:rsid w:val="006814DA"/>
    <w:rsid w:val="0068150E"/>
    <w:rsid w:val="00681566"/>
    <w:rsid w:val="00681580"/>
    <w:rsid w:val="00681769"/>
    <w:rsid w:val="00681A5D"/>
    <w:rsid w:val="00681D37"/>
    <w:rsid w:val="00681DA2"/>
    <w:rsid w:val="00681DE2"/>
    <w:rsid w:val="00681E3F"/>
    <w:rsid w:val="00681FAF"/>
    <w:rsid w:val="00681FF3"/>
    <w:rsid w:val="0068212A"/>
    <w:rsid w:val="00682185"/>
    <w:rsid w:val="00682222"/>
    <w:rsid w:val="00682283"/>
    <w:rsid w:val="006822F0"/>
    <w:rsid w:val="006823D7"/>
    <w:rsid w:val="006824DF"/>
    <w:rsid w:val="00682597"/>
    <w:rsid w:val="006825BF"/>
    <w:rsid w:val="006826D2"/>
    <w:rsid w:val="0068270A"/>
    <w:rsid w:val="006828A4"/>
    <w:rsid w:val="00682AB9"/>
    <w:rsid w:val="00682BF4"/>
    <w:rsid w:val="00682CAE"/>
    <w:rsid w:val="00682E14"/>
    <w:rsid w:val="00683029"/>
    <w:rsid w:val="006830D7"/>
    <w:rsid w:val="006831DB"/>
    <w:rsid w:val="0068348B"/>
    <w:rsid w:val="006836DF"/>
    <w:rsid w:val="006836EA"/>
    <w:rsid w:val="00683935"/>
    <w:rsid w:val="0068395D"/>
    <w:rsid w:val="006839B0"/>
    <w:rsid w:val="00683B23"/>
    <w:rsid w:val="00683B24"/>
    <w:rsid w:val="00683BD1"/>
    <w:rsid w:val="00683CA5"/>
    <w:rsid w:val="00684001"/>
    <w:rsid w:val="006840BF"/>
    <w:rsid w:val="006840C6"/>
    <w:rsid w:val="006842D5"/>
    <w:rsid w:val="00684302"/>
    <w:rsid w:val="006843D2"/>
    <w:rsid w:val="006844EB"/>
    <w:rsid w:val="0068455C"/>
    <w:rsid w:val="0068479B"/>
    <w:rsid w:val="0068483D"/>
    <w:rsid w:val="00684A27"/>
    <w:rsid w:val="00684B64"/>
    <w:rsid w:val="00684D3A"/>
    <w:rsid w:val="00684DE1"/>
    <w:rsid w:val="00684E0D"/>
    <w:rsid w:val="00684EB4"/>
    <w:rsid w:val="00685191"/>
    <w:rsid w:val="0068519D"/>
    <w:rsid w:val="006851F9"/>
    <w:rsid w:val="00685231"/>
    <w:rsid w:val="006853C0"/>
    <w:rsid w:val="00685498"/>
    <w:rsid w:val="0068549A"/>
    <w:rsid w:val="00685583"/>
    <w:rsid w:val="00685686"/>
    <w:rsid w:val="006856C0"/>
    <w:rsid w:val="006856D5"/>
    <w:rsid w:val="00685743"/>
    <w:rsid w:val="006859AB"/>
    <w:rsid w:val="00685A3F"/>
    <w:rsid w:val="00685F31"/>
    <w:rsid w:val="00686047"/>
    <w:rsid w:val="006860A4"/>
    <w:rsid w:val="006862DE"/>
    <w:rsid w:val="006863C3"/>
    <w:rsid w:val="00686630"/>
    <w:rsid w:val="0068666A"/>
    <w:rsid w:val="0068667B"/>
    <w:rsid w:val="006866FC"/>
    <w:rsid w:val="00686853"/>
    <w:rsid w:val="00686920"/>
    <w:rsid w:val="0068699B"/>
    <w:rsid w:val="00686B13"/>
    <w:rsid w:val="00686B16"/>
    <w:rsid w:val="00686B1E"/>
    <w:rsid w:val="00686BAC"/>
    <w:rsid w:val="00686C8B"/>
    <w:rsid w:val="00686D2C"/>
    <w:rsid w:val="00686DD6"/>
    <w:rsid w:val="00686FB3"/>
    <w:rsid w:val="00687074"/>
    <w:rsid w:val="00687151"/>
    <w:rsid w:val="006872D6"/>
    <w:rsid w:val="0068737A"/>
    <w:rsid w:val="00687397"/>
    <w:rsid w:val="006875EA"/>
    <w:rsid w:val="0068761B"/>
    <w:rsid w:val="006876D3"/>
    <w:rsid w:val="006877E1"/>
    <w:rsid w:val="0068792F"/>
    <w:rsid w:val="00687ABB"/>
    <w:rsid w:val="00687AC5"/>
    <w:rsid w:val="00687BA5"/>
    <w:rsid w:val="00687BB8"/>
    <w:rsid w:val="00687CF2"/>
    <w:rsid w:val="00687D3C"/>
    <w:rsid w:val="00687D69"/>
    <w:rsid w:val="00687DB3"/>
    <w:rsid w:val="00687DFA"/>
    <w:rsid w:val="00687EB6"/>
    <w:rsid w:val="00687EF5"/>
    <w:rsid w:val="00690007"/>
    <w:rsid w:val="0069009F"/>
    <w:rsid w:val="006901C1"/>
    <w:rsid w:val="00690212"/>
    <w:rsid w:val="00690359"/>
    <w:rsid w:val="0069038B"/>
    <w:rsid w:val="00690417"/>
    <w:rsid w:val="00690482"/>
    <w:rsid w:val="006904B3"/>
    <w:rsid w:val="006904E8"/>
    <w:rsid w:val="00690685"/>
    <w:rsid w:val="0069070E"/>
    <w:rsid w:val="006908A1"/>
    <w:rsid w:val="0069097B"/>
    <w:rsid w:val="006909FB"/>
    <w:rsid w:val="00690AA6"/>
    <w:rsid w:val="00690DE5"/>
    <w:rsid w:val="00690F3B"/>
    <w:rsid w:val="00691010"/>
    <w:rsid w:val="006910C6"/>
    <w:rsid w:val="006911D4"/>
    <w:rsid w:val="0069127C"/>
    <w:rsid w:val="006914F3"/>
    <w:rsid w:val="00691522"/>
    <w:rsid w:val="006915C5"/>
    <w:rsid w:val="00691729"/>
    <w:rsid w:val="006917B9"/>
    <w:rsid w:val="00691983"/>
    <w:rsid w:val="006919C6"/>
    <w:rsid w:val="00691D95"/>
    <w:rsid w:val="00691EE3"/>
    <w:rsid w:val="00691EE7"/>
    <w:rsid w:val="00691F54"/>
    <w:rsid w:val="00692030"/>
    <w:rsid w:val="006920A1"/>
    <w:rsid w:val="00692184"/>
    <w:rsid w:val="00692304"/>
    <w:rsid w:val="0069236F"/>
    <w:rsid w:val="0069237A"/>
    <w:rsid w:val="006923AB"/>
    <w:rsid w:val="0069249B"/>
    <w:rsid w:val="006924CD"/>
    <w:rsid w:val="006924EA"/>
    <w:rsid w:val="0069253C"/>
    <w:rsid w:val="006925CD"/>
    <w:rsid w:val="006925E6"/>
    <w:rsid w:val="00692651"/>
    <w:rsid w:val="00692872"/>
    <w:rsid w:val="0069296A"/>
    <w:rsid w:val="00692990"/>
    <w:rsid w:val="006929BD"/>
    <w:rsid w:val="00692BAE"/>
    <w:rsid w:val="00692CAA"/>
    <w:rsid w:val="00692CC9"/>
    <w:rsid w:val="00692D7A"/>
    <w:rsid w:val="00692DD6"/>
    <w:rsid w:val="00692E93"/>
    <w:rsid w:val="00692F98"/>
    <w:rsid w:val="00693119"/>
    <w:rsid w:val="00693179"/>
    <w:rsid w:val="0069326D"/>
    <w:rsid w:val="00693323"/>
    <w:rsid w:val="00693540"/>
    <w:rsid w:val="006936C3"/>
    <w:rsid w:val="006938DA"/>
    <w:rsid w:val="00693947"/>
    <w:rsid w:val="00693971"/>
    <w:rsid w:val="00693AF5"/>
    <w:rsid w:val="00693D27"/>
    <w:rsid w:val="00693D29"/>
    <w:rsid w:val="00693FB8"/>
    <w:rsid w:val="0069400E"/>
    <w:rsid w:val="006940BA"/>
    <w:rsid w:val="006942C0"/>
    <w:rsid w:val="006944E4"/>
    <w:rsid w:val="00694543"/>
    <w:rsid w:val="00694A52"/>
    <w:rsid w:val="00694D1B"/>
    <w:rsid w:val="00694D7E"/>
    <w:rsid w:val="00694FFE"/>
    <w:rsid w:val="006951A9"/>
    <w:rsid w:val="00695222"/>
    <w:rsid w:val="00695268"/>
    <w:rsid w:val="006955E2"/>
    <w:rsid w:val="00695682"/>
    <w:rsid w:val="00695738"/>
    <w:rsid w:val="00695842"/>
    <w:rsid w:val="00695AAF"/>
    <w:rsid w:val="00695BD9"/>
    <w:rsid w:val="00695CEF"/>
    <w:rsid w:val="00695CF1"/>
    <w:rsid w:val="00695DD8"/>
    <w:rsid w:val="00695EE4"/>
    <w:rsid w:val="00695F92"/>
    <w:rsid w:val="00696167"/>
    <w:rsid w:val="0069671C"/>
    <w:rsid w:val="00696852"/>
    <w:rsid w:val="006969B8"/>
    <w:rsid w:val="00696B35"/>
    <w:rsid w:val="00696CF5"/>
    <w:rsid w:val="00696D72"/>
    <w:rsid w:val="00696D86"/>
    <w:rsid w:val="00696E28"/>
    <w:rsid w:val="00696E97"/>
    <w:rsid w:val="00696F6A"/>
    <w:rsid w:val="00696FF5"/>
    <w:rsid w:val="006970BA"/>
    <w:rsid w:val="00697395"/>
    <w:rsid w:val="00697494"/>
    <w:rsid w:val="00697544"/>
    <w:rsid w:val="006975DA"/>
    <w:rsid w:val="0069760F"/>
    <w:rsid w:val="006976C3"/>
    <w:rsid w:val="006977AD"/>
    <w:rsid w:val="006978C5"/>
    <w:rsid w:val="006978ED"/>
    <w:rsid w:val="006979E2"/>
    <w:rsid w:val="006979EC"/>
    <w:rsid w:val="00697A6E"/>
    <w:rsid w:val="00697AFC"/>
    <w:rsid w:val="00697C3F"/>
    <w:rsid w:val="00697C7E"/>
    <w:rsid w:val="00697CF6"/>
    <w:rsid w:val="00697D60"/>
    <w:rsid w:val="006A0001"/>
    <w:rsid w:val="006A007A"/>
    <w:rsid w:val="006A015D"/>
    <w:rsid w:val="006A028B"/>
    <w:rsid w:val="006A044F"/>
    <w:rsid w:val="006A04CA"/>
    <w:rsid w:val="006A058C"/>
    <w:rsid w:val="006A0622"/>
    <w:rsid w:val="006A0624"/>
    <w:rsid w:val="006A082E"/>
    <w:rsid w:val="006A08E4"/>
    <w:rsid w:val="006A09D2"/>
    <w:rsid w:val="006A09E9"/>
    <w:rsid w:val="006A0BAA"/>
    <w:rsid w:val="006A0BF8"/>
    <w:rsid w:val="006A0CA0"/>
    <w:rsid w:val="006A0E16"/>
    <w:rsid w:val="006A0FD7"/>
    <w:rsid w:val="006A103C"/>
    <w:rsid w:val="006A1049"/>
    <w:rsid w:val="006A13DE"/>
    <w:rsid w:val="006A14A9"/>
    <w:rsid w:val="006A1685"/>
    <w:rsid w:val="006A16A1"/>
    <w:rsid w:val="006A17A6"/>
    <w:rsid w:val="006A1864"/>
    <w:rsid w:val="006A18CD"/>
    <w:rsid w:val="006A1941"/>
    <w:rsid w:val="006A1A4C"/>
    <w:rsid w:val="006A1D85"/>
    <w:rsid w:val="006A1D9A"/>
    <w:rsid w:val="006A1DA3"/>
    <w:rsid w:val="006A1EAB"/>
    <w:rsid w:val="006A203F"/>
    <w:rsid w:val="006A20E5"/>
    <w:rsid w:val="006A21AA"/>
    <w:rsid w:val="006A21B5"/>
    <w:rsid w:val="006A2268"/>
    <w:rsid w:val="006A2275"/>
    <w:rsid w:val="006A2363"/>
    <w:rsid w:val="006A24FA"/>
    <w:rsid w:val="006A260D"/>
    <w:rsid w:val="006A265F"/>
    <w:rsid w:val="006A26B9"/>
    <w:rsid w:val="006A2CA6"/>
    <w:rsid w:val="006A2CBD"/>
    <w:rsid w:val="006A3290"/>
    <w:rsid w:val="006A33B1"/>
    <w:rsid w:val="006A3436"/>
    <w:rsid w:val="006A3447"/>
    <w:rsid w:val="006A347E"/>
    <w:rsid w:val="006A35C3"/>
    <w:rsid w:val="006A35DE"/>
    <w:rsid w:val="006A3630"/>
    <w:rsid w:val="006A3651"/>
    <w:rsid w:val="006A37E9"/>
    <w:rsid w:val="006A3929"/>
    <w:rsid w:val="006A393A"/>
    <w:rsid w:val="006A3AFF"/>
    <w:rsid w:val="006A3CCA"/>
    <w:rsid w:val="006A3D95"/>
    <w:rsid w:val="006A3DDB"/>
    <w:rsid w:val="006A3DE0"/>
    <w:rsid w:val="006A3EAF"/>
    <w:rsid w:val="006A3F86"/>
    <w:rsid w:val="006A4093"/>
    <w:rsid w:val="006A4259"/>
    <w:rsid w:val="006A4365"/>
    <w:rsid w:val="006A4389"/>
    <w:rsid w:val="006A4537"/>
    <w:rsid w:val="006A4550"/>
    <w:rsid w:val="006A461B"/>
    <w:rsid w:val="006A46B7"/>
    <w:rsid w:val="006A46EE"/>
    <w:rsid w:val="006A47E9"/>
    <w:rsid w:val="006A4978"/>
    <w:rsid w:val="006A49D0"/>
    <w:rsid w:val="006A4B55"/>
    <w:rsid w:val="006A4B9F"/>
    <w:rsid w:val="006A4BD5"/>
    <w:rsid w:val="006A4C05"/>
    <w:rsid w:val="006A4C83"/>
    <w:rsid w:val="006A4DA8"/>
    <w:rsid w:val="006A4DB1"/>
    <w:rsid w:val="006A4DDF"/>
    <w:rsid w:val="006A4FF1"/>
    <w:rsid w:val="006A50B9"/>
    <w:rsid w:val="006A5111"/>
    <w:rsid w:val="006A5150"/>
    <w:rsid w:val="006A51AE"/>
    <w:rsid w:val="006A51EF"/>
    <w:rsid w:val="006A53BF"/>
    <w:rsid w:val="006A53D7"/>
    <w:rsid w:val="006A5468"/>
    <w:rsid w:val="006A54CE"/>
    <w:rsid w:val="006A5702"/>
    <w:rsid w:val="006A5737"/>
    <w:rsid w:val="006A5740"/>
    <w:rsid w:val="006A5848"/>
    <w:rsid w:val="006A5897"/>
    <w:rsid w:val="006A58CA"/>
    <w:rsid w:val="006A5A4A"/>
    <w:rsid w:val="006A6189"/>
    <w:rsid w:val="006A6255"/>
    <w:rsid w:val="006A65C1"/>
    <w:rsid w:val="006A67B8"/>
    <w:rsid w:val="006A6836"/>
    <w:rsid w:val="006A6869"/>
    <w:rsid w:val="006A68C8"/>
    <w:rsid w:val="006A68D4"/>
    <w:rsid w:val="006A68F7"/>
    <w:rsid w:val="006A69F8"/>
    <w:rsid w:val="006A6A0F"/>
    <w:rsid w:val="006A6B24"/>
    <w:rsid w:val="006A6B3C"/>
    <w:rsid w:val="006A6B6A"/>
    <w:rsid w:val="006A6BE5"/>
    <w:rsid w:val="006A6C25"/>
    <w:rsid w:val="006A6C92"/>
    <w:rsid w:val="006A6D40"/>
    <w:rsid w:val="006A6F52"/>
    <w:rsid w:val="006A6FF3"/>
    <w:rsid w:val="006A7048"/>
    <w:rsid w:val="006A7128"/>
    <w:rsid w:val="006A7349"/>
    <w:rsid w:val="006A73AE"/>
    <w:rsid w:val="006A7632"/>
    <w:rsid w:val="006A7641"/>
    <w:rsid w:val="006A7719"/>
    <w:rsid w:val="006A7727"/>
    <w:rsid w:val="006A78AC"/>
    <w:rsid w:val="006A790F"/>
    <w:rsid w:val="006A7B08"/>
    <w:rsid w:val="006A7B40"/>
    <w:rsid w:val="006A7B43"/>
    <w:rsid w:val="006A7B57"/>
    <w:rsid w:val="006A7C06"/>
    <w:rsid w:val="006A7C77"/>
    <w:rsid w:val="006A7CC2"/>
    <w:rsid w:val="006A7E8C"/>
    <w:rsid w:val="006A7FA5"/>
    <w:rsid w:val="006B001F"/>
    <w:rsid w:val="006B0062"/>
    <w:rsid w:val="006B013A"/>
    <w:rsid w:val="006B0324"/>
    <w:rsid w:val="006B0331"/>
    <w:rsid w:val="006B0554"/>
    <w:rsid w:val="006B055F"/>
    <w:rsid w:val="006B06B4"/>
    <w:rsid w:val="006B07D5"/>
    <w:rsid w:val="006B09C8"/>
    <w:rsid w:val="006B0A82"/>
    <w:rsid w:val="006B0BCE"/>
    <w:rsid w:val="006B0BEE"/>
    <w:rsid w:val="006B0C8C"/>
    <w:rsid w:val="006B0D0F"/>
    <w:rsid w:val="006B0DE7"/>
    <w:rsid w:val="006B1018"/>
    <w:rsid w:val="006B1055"/>
    <w:rsid w:val="006B11F1"/>
    <w:rsid w:val="006B128C"/>
    <w:rsid w:val="006B1447"/>
    <w:rsid w:val="006B165C"/>
    <w:rsid w:val="006B166B"/>
    <w:rsid w:val="006B1798"/>
    <w:rsid w:val="006B189C"/>
    <w:rsid w:val="006B1B44"/>
    <w:rsid w:val="006B1C1E"/>
    <w:rsid w:val="006B1E9D"/>
    <w:rsid w:val="006B1F69"/>
    <w:rsid w:val="006B1FBC"/>
    <w:rsid w:val="006B2035"/>
    <w:rsid w:val="006B2087"/>
    <w:rsid w:val="006B2186"/>
    <w:rsid w:val="006B218D"/>
    <w:rsid w:val="006B22CF"/>
    <w:rsid w:val="006B2308"/>
    <w:rsid w:val="006B2339"/>
    <w:rsid w:val="006B2350"/>
    <w:rsid w:val="006B2457"/>
    <w:rsid w:val="006B2473"/>
    <w:rsid w:val="006B2511"/>
    <w:rsid w:val="006B254F"/>
    <w:rsid w:val="006B25B5"/>
    <w:rsid w:val="006B25C7"/>
    <w:rsid w:val="006B2606"/>
    <w:rsid w:val="006B264F"/>
    <w:rsid w:val="006B26CB"/>
    <w:rsid w:val="006B2735"/>
    <w:rsid w:val="006B2860"/>
    <w:rsid w:val="006B2870"/>
    <w:rsid w:val="006B28C4"/>
    <w:rsid w:val="006B29CC"/>
    <w:rsid w:val="006B2DBC"/>
    <w:rsid w:val="006B2E71"/>
    <w:rsid w:val="006B2F3B"/>
    <w:rsid w:val="006B3036"/>
    <w:rsid w:val="006B320E"/>
    <w:rsid w:val="006B3224"/>
    <w:rsid w:val="006B32F5"/>
    <w:rsid w:val="006B3354"/>
    <w:rsid w:val="006B3491"/>
    <w:rsid w:val="006B34EB"/>
    <w:rsid w:val="006B384B"/>
    <w:rsid w:val="006B38A8"/>
    <w:rsid w:val="006B38C0"/>
    <w:rsid w:val="006B39E4"/>
    <w:rsid w:val="006B3A57"/>
    <w:rsid w:val="006B3A9C"/>
    <w:rsid w:val="006B3AE3"/>
    <w:rsid w:val="006B3B0A"/>
    <w:rsid w:val="006B3B29"/>
    <w:rsid w:val="006B3BD8"/>
    <w:rsid w:val="006B3BDF"/>
    <w:rsid w:val="006B3C20"/>
    <w:rsid w:val="006B3D22"/>
    <w:rsid w:val="006B3EB6"/>
    <w:rsid w:val="006B3EEF"/>
    <w:rsid w:val="006B3FC0"/>
    <w:rsid w:val="006B3FD3"/>
    <w:rsid w:val="006B3FFA"/>
    <w:rsid w:val="006B4103"/>
    <w:rsid w:val="006B414B"/>
    <w:rsid w:val="006B4195"/>
    <w:rsid w:val="006B42EF"/>
    <w:rsid w:val="006B435D"/>
    <w:rsid w:val="006B43A6"/>
    <w:rsid w:val="006B43E0"/>
    <w:rsid w:val="006B44E9"/>
    <w:rsid w:val="006B45C6"/>
    <w:rsid w:val="006B482C"/>
    <w:rsid w:val="006B4CCA"/>
    <w:rsid w:val="006B4D20"/>
    <w:rsid w:val="006B4DDB"/>
    <w:rsid w:val="006B4E21"/>
    <w:rsid w:val="006B5259"/>
    <w:rsid w:val="006B5388"/>
    <w:rsid w:val="006B547F"/>
    <w:rsid w:val="006B55A0"/>
    <w:rsid w:val="006B55BD"/>
    <w:rsid w:val="006B56B3"/>
    <w:rsid w:val="006B5866"/>
    <w:rsid w:val="006B5868"/>
    <w:rsid w:val="006B5947"/>
    <w:rsid w:val="006B5990"/>
    <w:rsid w:val="006B5A23"/>
    <w:rsid w:val="006B5C45"/>
    <w:rsid w:val="006B60D8"/>
    <w:rsid w:val="006B60E8"/>
    <w:rsid w:val="006B64D4"/>
    <w:rsid w:val="006B6600"/>
    <w:rsid w:val="006B6A14"/>
    <w:rsid w:val="006B6A3E"/>
    <w:rsid w:val="006B6B29"/>
    <w:rsid w:val="006B6BE8"/>
    <w:rsid w:val="006B6C36"/>
    <w:rsid w:val="006B6C62"/>
    <w:rsid w:val="006B6C89"/>
    <w:rsid w:val="006B6D5B"/>
    <w:rsid w:val="006B6DA5"/>
    <w:rsid w:val="006B6F42"/>
    <w:rsid w:val="006B7059"/>
    <w:rsid w:val="006B7077"/>
    <w:rsid w:val="006B711C"/>
    <w:rsid w:val="006B71B6"/>
    <w:rsid w:val="006B7225"/>
    <w:rsid w:val="006B733C"/>
    <w:rsid w:val="006B73FE"/>
    <w:rsid w:val="006B7447"/>
    <w:rsid w:val="006B750D"/>
    <w:rsid w:val="006B759E"/>
    <w:rsid w:val="006B75A1"/>
    <w:rsid w:val="006B7858"/>
    <w:rsid w:val="006B79DC"/>
    <w:rsid w:val="006B7A3A"/>
    <w:rsid w:val="006B7B05"/>
    <w:rsid w:val="006B7B29"/>
    <w:rsid w:val="006B7C4E"/>
    <w:rsid w:val="006B7D5A"/>
    <w:rsid w:val="006B7DC8"/>
    <w:rsid w:val="006B7DD7"/>
    <w:rsid w:val="006B7DDD"/>
    <w:rsid w:val="006B7E27"/>
    <w:rsid w:val="006B7F0C"/>
    <w:rsid w:val="006C00D0"/>
    <w:rsid w:val="006C013E"/>
    <w:rsid w:val="006C01C7"/>
    <w:rsid w:val="006C03A9"/>
    <w:rsid w:val="006C042B"/>
    <w:rsid w:val="006C0518"/>
    <w:rsid w:val="006C057C"/>
    <w:rsid w:val="006C0656"/>
    <w:rsid w:val="006C0922"/>
    <w:rsid w:val="006C0B2D"/>
    <w:rsid w:val="006C0BDD"/>
    <w:rsid w:val="006C0C54"/>
    <w:rsid w:val="006C111E"/>
    <w:rsid w:val="006C1237"/>
    <w:rsid w:val="006C12C9"/>
    <w:rsid w:val="006C1358"/>
    <w:rsid w:val="006C13D6"/>
    <w:rsid w:val="006C13F7"/>
    <w:rsid w:val="006C15D7"/>
    <w:rsid w:val="006C1682"/>
    <w:rsid w:val="006C18E8"/>
    <w:rsid w:val="006C1916"/>
    <w:rsid w:val="006C1B06"/>
    <w:rsid w:val="006C1C9E"/>
    <w:rsid w:val="006C1CA3"/>
    <w:rsid w:val="006C1F8F"/>
    <w:rsid w:val="006C1FA5"/>
    <w:rsid w:val="006C1FEE"/>
    <w:rsid w:val="006C2078"/>
    <w:rsid w:val="006C21BA"/>
    <w:rsid w:val="006C2259"/>
    <w:rsid w:val="006C2289"/>
    <w:rsid w:val="006C22BD"/>
    <w:rsid w:val="006C2399"/>
    <w:rsid w:val="006C241B"/>
    <w:rsid w:val="006C244C"/>
    <w:rsid w:val="006C25F3"/>
    <w:rsid w:val="006C26BE"/>
    <w:rsid w:val="006C279C"/>
    <w:rsid w:val="006C28DF"/>
    <w:rsid w:val="006C29B7"/>
    <w:rsid w:val="006C29D5"/>
    <w:rsid w:val="006C29F0"/>
    <w:rsid w:val="006C2B7B"/>
    <w:rsid w:val="006C2CF9"/>
    <w:rsid w:val="006C2D26"/>
    <w:rsid w:val="006C2D66"/>
    <w:rsid w:val="006C2E31"/>
    <w:rsid w:val="006C3422"/>
    <w:rsid w:val="006C34AE"/>
    <w:rsid w:val="006C35F5"/>
    <w:rsid w:val="006C3702"/>
    <w:rsid w:val="006C37AA"/>
    <w:rsid w:val="006C37AC"/>
    <w:rsid w:val="006C37EF"/>
    <w:rsid w:val="006C389F"/>
    <w:rsid w:val="006C3974"/>
    <w:rsid w:val="006C39D5"/>
    <w:rsid w:val="006C3A94"/>
    <w:rsid w:val="006C3B5C"/>
    <w:rsid w:val="006C3BC6"/>
    <w:rsid w:val="006C3C0B"/>
    <w:rsid w:val="006C3C69"/>
    <w:rsid w:val="006C3CE0"/>
    <w:rsid w:val="006C3D0C"/>
    <w:rsid w:val="006C3DBB"/>
    <w:rsid w:val="006C3E15"/>
    <w:rsid w:val="006C3E16"/>
    <w:rsid w:val="006C401E"/>
    <w:rsid w:val="006C4052"/>
    <w:rsid w:val="006C42EA"/>
    <w:rsid w:val="006C43C7"/>
    <w:rsid w:val="006C44CB"/>
    <w:rsid w:val="006C47AC"/>
    <w:rsid w:val="006C47C6"/>
    <w:rsid w:val="006C486D"/>
    <w:rsid w:val="006C4879"/>
    <w:rsid w:val="006C498E"/>
    <w:rsid w:val="006C4BD3"/>
    <w:rsid w:val="006C4C91"/>
    <w:rsid w:val="006C4E71"/>
    <w:rsid w:val="006C4E7B"/>
    <w:rsid w:val="006C4F12"/>
    <w:rsid w:val="006C4F21"/>
    <w:rsid w:val="006C5003"/>
    <w:rsid w:val="006C506E"/>
    <w:rsid w:val="006C5088"/>
    <w:rsid w:val="006C5090"/>
    <w:rsid w:val="006C526E"/>
    <w:rsid w:val="006C52C2"/>
    <w:rsid w:val="006C532B"/>
    <w:rsid w:val="006C5394"/>
    <w:rsid w:val="006C5396"/>
    <w:rsid w:val="006C542C"/>
    <w:rsid w:val="006C561C"/>
    <w:rsid w:val="006C562C"/>
    <w:rsid w:val="006C5671"/>
    <w:rsid w:val="006C57F7"/>
    <w:rsid w:val="006C5896"/>
    <w:rsid w:val="006C5907"/>
    <w:rsid w:val="006C59EF"/>
    <w:rsid w:val="006C5AF1"/>
    <w:rsid w:val="006C5B54"/>
    <w:rsid w:val="006C5B7F"/>
    <w:rsid w:val="006C5C0E"/>
    <w:rsid w:val="006C5D78"/>
    <w:rsid w:val="006C60D1"/>
    <w:rsid w:val="006C60DB"/>
    <w:rsid w:val="006C6268"/>
    <w:rsid w:val="006C62B7"/>
    <w:rsid w:val="006C6386"/>
    <w:rsid w:val="006C64E5"/>
    <w:rsid w:val="006C64EC"/>
    <w:rsid w:val="006C6610"/>
    <w:rsid w:val="006C6656"/>
    <w:rsid w:val="006C693B"/>
    <w:rsid w:val="006C6959"/>
    <w:rsid w:val="006C6996"/>
    <w:rsid w:val="006C69EB"/>
    <w:rsid w:val="006C6BA8"/>
    <w:rsid w:val="006C6CA8"/>
    <w:rsid w:val="006C6D5F"/>
    <w:rsid w:val="006C6E58"/>
    <w:rsid w:val="006C718B"/>
    <w:rsid w:val="006C72C8"/>
    <w:rsid w:val="006C738F"/>
    <w:rsid w:val="006C74CA"/>
    <w:rsid w:val="006C75EB"/>
    <w:rsid w:val="006C760D"/>
    <w:rsid w:val="006C7675"/>
    <w:rsid w:val="006C770D"/>
    <w:rsid w:val="006C7761"/>
    <w:rsid w:val="006C77AA"/>
    <w:rsid w:val="006C7864"/>
    <w:rsid w:val="006C78FF"/>
    <w:rsid w:val="006C7A8E"/>
    <w:rsid w:val="006C7B35"/>
    <w:rsid w:val="006C7BD4"/>
    <w:rsid w:val="006C7C15"/>
    <w:rsid w:val="006C7D09"/>
    <w:rsid w:val="006C7E1F"/>
    <w:rsid w:val="006C7F88"/>
    <w:rsid w:val="006C7FBA"/>
    <w:rsid w:val="006C7FDF"/>
    <w:rsid w:val="006D0072"/>
    <w:rsid w:val="006D012B"/>
    <w:rsid w:val="006D0170"/>
    <w:rsid w:val="006D027D"/>
    <w:rsid w:val="006D060E"/>
    <w:rsid w:val="006D08CD"/>
    <w:rsid w:val="006D09B3"/>
    <w:rsid w:val="006D0A70"/>
    <w:rsid w:val="006D0CAA"/>
    <w:rsid w:val="006D0F12"/>
    <w:rsid w:val="006D0F6D"/>
    <w:rsid w:val="006D112B"/>
    <w:rsid w:val="006D1130"/>
    <w:rsid w:val="006D12CD"/>
    <w:rsid w:val="006D1553"/>
    <w:rsid w:val="006D15AB"/>
    <w:rsid w:val="006D16D9"/>
    <w:rsid w:val="006D16DB"/>
    <w:rsid w:val="006D1830"/>
    <w:rsid w:val="006D1844"/>
    <w:rsid w:val="006D194A"/>
    <w:rsid w:val="006D19E8"/>
    <w:rsid w:val="006D1A1D"/>
    <w:rsid w:val="006D1A94"/>
    <w:rsid w:val="006D1AC9"/>
    <w:rsid w:val="006D1AD1"/>
    <w:rsid w:val="006D1B2A"/>
    <w:rsid w:val="006D1CD5"/>
    <w:rsid w:val="006D1D5F"/>
    <w:rsid w:val="006D21E8"/>
    <w:rsid w:val="006D23CE"/>
    <w:rsid w:val="006D248F"/>
    <w:rsid w:val="006D2492"/>
    <w:rsid w:val="006D24FC"/>
    <w:rsid w:val="006D258E"/>
    <w:rsid w:val="006D2782"/>
    <w:rsid w:val="006D27F6"/>
    <w:rsid w:val="006D2974"/>
    <w:rsid w:val="006D2A29"/>
    <w:rsid w:val="006D2A2F"/>
    <w:rsid w:val="006D2AA2"/>
    <w:rsid w:val="006D2ADB"/>
    <w:rsid w:val="006D2C23"/>
    <w:rsid w:val="006D2D9A"/>
    <w:rsid w:val="006D2E27"/>
    <w:rsid w:val="006D2E53"/>
    <w:rsid w:val="006D2F2E"/>
    <w:rsid w:val="006D3054"/>
    <w:rsid w:val="006D3068"/>
    <w:rsid w:val="006D30DE"/>
    <w:rsid w:val="006D312D"/>
    <w:rsid w:val="006D323A"/>
    <w:rsid w:val="006D329A"/>
    <w:rsid w:val="006D32BB"/>
    <w:rsid w:val="006D32CD"/>
    <w:rsid w:val="006D33A6"/>
    <w:rsid w:val="006D3425"/>
    <w:rsid w:val="006D343A"/>
    <w:rsid w:val="006D35D4"/>
    <w:rsid w:val="006D36F1"/>
    <w:rsid w:val="006D374C"/>
    <w:rsid w:val="006D3764"/>
    <w:rsid w:val="006D38A9"/>
    <w:rsid w:val="006D38BC"/>
    <w:rsid w:val="006D38BD"/>
    <w:rsid w:val="006D3940"/>
    <w:rsid w:val="006D39D4"/>
    <w:rsid w:val="006D3A7B"/>
    <w:rsid w:val="006D3CBB"/>
    <w:rsid w:val="006D3D69"/>
    <w:rsid w:val="006D3DE9"/>
    <w:rsid w:val="006D3F1A"/>
    <w:rsid w:val="006D3F73"/>
    <w:rsid w:val="006D3F97"/>
    <w:rsid w:val="006D3FB6"/>
    <w:rsid w:val="006D403F"/>
    <w:rsid w:val="006D41E5"/>
    <w:rsid w:val="006D4239"/>
    <w:rsid w:val="006D43CA"/>
    <w:rsid w:val="006D43D8"/>
    <w:rsid w:val="006D449C"/>
    <w:rsid w:val="006D45F1"/>
    <w:rsid w:val="006D471E"/>
    <w:rsid w:val="006D47BC"/>
    <w:rsid w:val="006D4869"/>
    <w:rsid w:val="006D4885"/>
    <w:rsid w:val="006D4A02"/>
    <w:rsid w:val="006D4A9C"/>
    <w:rsid w:val="006D4C58"/>
    <w:rsid w:val="006D4C7D"/>
    <w:rsid w:val="006D504F"/>
    <w:rsid w:val="006D5106"/>
    <w:rsid w:val="006D5183"/>
    <w:rsid w:val="006D51E0"/>
    <w:rsid w:val="006D5297"/>
    <w:rsid w:val="006D5310"/>
    <w:rsid w:val="006D546F"/>
    <w:rsid w:val="006D581C"/>
    <w:rsid w:val="006D5970"/>
    <w:rsid w:val="006D5973"/>
    <w:rsid w:val="006D5B9C"/>
    <w:rsid w:val="006D5BBB"/>
    <w:rsid w:val="006D5BD1"/>
    <w:rsid w:val="006D5D21"/>
    <w:rsid w:val="006D5D22"/>
    <w:rsid w:val="006D5E81"/>
    <w:rsid w:val="006D5F47"/>
    <w:rsid w:val="006D6095"/>
    <w:rsid w:val="006D617A"/>
    <w:rsid w:val="006D6180"/>
    <w:rsid w:val="006D626F"/>
    <w:rsid w:val="006D6309"/>
    <w:rsid w:val="006D6378"/>
    <w:rsid w:val="006D63AB"/>
    <w:rsid w:val="006D63B5"/>
    <w:rsid w:val="006D65A1"/>
    <w:rsid w:val="006D66FB"/>
    <w:rsid w:val="006D676C"/>
    <w:rsid w:val="006D6776"/>
    <w:rsid w:val="006D6787"/>
    <w:rsid w:val="006D67B6"/>
    <w:rsid w:val="006D684E"/>
    <w:rsid w:val="006D68D4"/>
    <w:rsid w:val="006D6A06"/>
    <w:rsid w:val="006D6A0E"/>
    <w:rsid w:val="006D6A4D"/>
    <w:rsid w:val="006D6AC7"/>
    <w:rsid w:val="006D6BC9"/>
    <w:rsid w:val="006D6BCD"/>
    <w:rsid w:val="006D6C4D"/>
    <w:rsid w:val="006D6D80"/>
    <w:rsid w:val="006D6DF6"/>
    <w:rsid w:val="006D7026"/>
    <w:rsid w:val="006D702B"/>
    <w:rsid w:val="006D70BE"/>
    <w:rsid w:val="006D713A"/>
    <w:rsid w:val="006D71AD"/>
    <w:rsid w:val="006D721F"/>
    <w:rsid w:val="006D7258"/>
    <w:rsid w:val="006D733F"/>
    <w:rsid w:val="006D789E"/>
    <w:rsid w:val="006D7B2C"/>
    <w:rsid w:val="006D7B87"/>
    <w:rsid w:val="006D7DD9"/>
    <w:rsid w:val="006E0094"/>
    <w:rsid w:val="006E028A"/>
    <w:rsid w:val="006E02D2"/>
    <w:rsid w:val="006E02D3"/>
    <w:rsid w:val="006E0373"/>
    <w:rsid w:val="006E0421"/>
    <w:rsid w:val="006E05F9"/>
    <w:rsid w:val="006E07EF"/>
    <w:rsid w:val="006E087E"/>
    <w:rsid w:val="006E0887"/>
    <w:rsid w:val="006E0966"/>
    <w:rsid w:val="006E09C2"/>
    <w:rsid w:val="006E0A15"/>
    <w:rsid w:val="006E0A4B"/>
    <w:rsid w:val="006E0DE2"/>
    <w:rsid w:val="006E0E04"/>
    <w:rsid w:val="006E0EAD"/>
    <w:rsid w:val="006E0F99"/>
    <w:rsid w:val="006E0FA8"/>
    <w:rsid w:val="006E1245"/>
    <w:rsid w:val="006E1326"/>
    <w:rsid w:val="006E15ED"/>
    <w:rsid w:val="006E1798"/>
    <w:rsid w:val="006E17F6"/>
    <w:rsid w:val="006E1956"/>
    <w:rsid w:val="006E1B8C"/>
    <w:rsid w:val="006E1CF3"/>
    <w:rsid w:val="006E1F46"/>
    <w:rsid w:val="006E2178"/>
    <w:rsid w:val="006E2182"/>
    <w:rsid w:val="006E2373"/>
    <w:rsid w:val="006E2399"/>
    <w:rsid w:val="006E2465"/>
    <w:rsid w:val="006E24F4"/>
    <w:rsid w:val="006E2597"/>
    <w:rsid w:val="006E2654"/>
    <w:rsid w:val="006E26D1"/>
    <w:rsid w:val="006E288C"/>
    <w:rsid w:val="006E2948"/>
    <w:rsid w:val="006E2AB5"/>
    <w:rsid w:val="006E2B1F"/>
    <w:rsid w:val="006E2C6A"/>
    <w:rsid w:val="006E2CF1"/>
    <w:rsid w:val="006E2D14"/>
    <w:rsid w:val="006E2D1C"/>
    <w:rsid w:val="006E2D56"/>
    <w:rsid w:val="006E2D74"/>
    <w:rsid w:val="006E2F7C"/>
    <w:rsid w:val="006E3095"/>
    <w:rsid w:val="006E3208"/>
    <w:rsid w:val="006E3534"/>
    <w:rsid w:val="006E3652"/>
    <w:rsid w:val="006E3827"/>
    <w:rsid w:val="006E38BF"/>
    <w:rsid w:val="006E38DC"/>
    <w:rsid w:val="006E396A"/>
    <w:rsid w:val="006E3B18"/>
    <w:rsid w:val="006E3B59"/>
    <w:rsid w:val="006E3C4A"/>
    <w:rsid w:val="006E3C66"/>
    <w:rsid w:val="006E3C74"/>
    <w:rsid w:val="006E3CF9"/>
    <w:rsid w:val="006E3DEB"/>
    <w:rsid w:val="006E4009"/>
    <w:rsid w:val="006E4168"/>
    <w:rsid w:val="006E4344"/>
    <w:rsid w:val="006E435E"/>
    <w:rsid w:val="006E4467"/>
    <w:rsid w:val="006E44E4"/>
    <w:rsid w:val="006E4546"/>
    <w:rsid w:val="006E4562"/>
    <w:rsid w:val="006E45BC"/>
    <w:rsid w:val="006E45CF"/>
    <w:rsid w:val="006E45DA"/>
    <w:rsid w:val="006E476C"/>
    <w:rsid w:val="006E4797"/>
    <w:rsid w:val="006E47E0"/>
    <w:rsid w:val="006E48DE"/>
    <w:rsid w:val="006E498B"/>
    <w:rsid w:val="006E49E8"/>
    <w:rsid w:val="006E4C4B"/>
    <w:rsid w:val="006E4D56"/>
    <w:rsid w:val="006E4E15"/>
    <w:rsid w:val="006E500C"/>
    <w:rsid w:val="006E501C"/>
    <w:rsid w:val="006E5327"/>
    <w:rsid w:val="006E5334"/>
    <w:rsid w:val="006E5420"/>
    <w:rsid w:val="006E5493"/>
    <w:rsid w:val="006E5617"/>
    <w:rsid w:val="006E5649"/>
    <w:rsid w:val="006E5745"/>
    <w:rsid w:val="006E5776"/>
    <w:rsid w:val="006E5A14"/>
    <w:rsid w:val="006E5C3B"/>
    <w:rsid w:val="006E5DE7"/>
    <w:rsid w:val="006E5DEB"/>
    <w:rsid w:val="006E5E55"/>
    <w:rsid w:val="006E5F6D"/>
    <w:rsid w:val="006E5F77"/>
    <w:rsid w:val="006E61DD"/>
    <w:rsid w:val="006E61F5"/>
    <w:rsid w:val="006E627A"/>
    <w:rsid w:val="006E629C"/>
    <w:rsid w:val="006E6354"/>
    <w:rsid w:val="006E65E7"/>
    <w:rsid w:val="006E660B"/>
    <w:rsid w:val="006E6838"/>
    <w:rsid w:val="006E6840"/>
    <w:rsid w:val="006E6903"/>
    <w:rsid w:val="006E69B4"/>
    <w:rsid w:val="006E6A41"/>
    <w:rsid w:val="006E6A71"/>
    <w:rsid w:val="006E6AA6"/>
    <w:rsid w:val="006E6AB0"/>
    <w:rsid w:val="006E6BAA"/>
    <w:rsid w:val="006E6BB9"/>
    <w:rsid w:val="006E6DF3"/>
    <w:rsid w:val="006E6F1B"/>
    <w:rsid w:val="006E70F8"/>
    <w:rsid w:val="006E715F"/>
    <w:rsid w:val="006E72A3"/>
    <w:rsid w:val="006E7320"/>
    <w:rsid w:val="006E74A5"/>
    <w:rsid w:val="006E74D7"/>
    <w:rsid w:val="006E75F3"/>
    <w:rsid w:val="006E7669"/>
    <w:rsid w:val="006E76D0"/>
    <w:rsid w:val="006E7756"/>
    <w:rsid w:val="006E7979"/>
    <w:rsid w:val="006E79F7"/>
    <w:rsid w:val="006E7A79"/>
    <w:rsid w:val="006E7D55"/>
    <w:rsid w:val="006E7DB0"/>
    <w:rsid w:val="006E7E2F"/>
    <w:rsid w:val="006F0108"/>
    <w:rsid w:val="006F0175"/>
    <w:rsid w:val="006F017C"/>
    <w:rsid w:val="006F0202"/>
    <w:rsid w:val="006F0340"/>
    <w:rsid w:val="006F03E6"/>
    <w:rsid w:val="006F0504"/>
    <w:rsid w:val="006F054B"/>
    <w:rsid w:val="006F05DF"/>
    <w:rsid w:val="006F06D9"/>
    <w:rsid w:val="006F070A"/>
    <w:rsid w:val="006F082D"/>
    <w:rsid w:val="006F0C4F"/>
    <w:rsid w:val="006F0C6C"/>
    <w:rsid w:val="006F0E43"/>
    <w:rsid w:val="006F0E87"/>
    <w:rsid w:val="006F0F12"/>
    <w:rsid w:val="006F0F2C"/>
    <w:rsid w:val="006F0FB5"/>
    <w:rsid w:val="006F105B"/>
    <w:rsid w:val="006F10E8"/>
    <w:rsid w:val="006F1332"/>
    <w:rsid w:val="006F136C"/>
    <w:rsid w:val="006F13A7"/>
    <w:rsid w:val="006F1412"/>
    <w:rsid w:val="006F15AD"/>
    <w:rsid w:val="006F16C2"/>
    <w:rsid w:val="006F1854"/>
    <w:rsid w:val="006F1860"/>
    <w:rsid w:val="006F1B77"/>
    <w:rsid w:val="006F1BF5"/>
    <w:rsid w:val="006F1C1B"/>
    <w:rsid w:val="006F1C30"/>
    <w:rsid w:val="006F1C6B"/>
    <w:rsid w:val="006F1CDE"/>
    <w:rsid w:val="006F1D06"/>
    <w:rsid w:val="006F1D34"/>
    <w:rsid w:val="006F1DDB"/>
    <w:rsid w:val="006F1E0B"/>
    <w:rsid w:val="006F1E7E"/>
    <w:rsid w:val="006F1F5E"/>
    <w:rsid w:val="006F2043"/>
    <w:rsid w:val="006F204A"/>
    <w:rsid w:val="006F20FB"/>
    <w:rsid w:val="006F22B3"/>
    <w:rsid w:val="006F24D8"/>
    <w:rsid w:val="006F25C7"/>
    <w:rsid w:val="006F2618"/>
    <w:rsid w:val="006F26E7"/>
    <w:rsid w:val="006F29BF"/>
    <w:rsid w:val="006F2AEA"/>
    <w:rsid w:val="006F2C1A"/>
    <w:rsid w:val="006F2D4C"/>
    <w:rsid w:val="006F2F21"/>
    <w:rsid w:val="006F2F5F"/>
    <w:rsid w:val="006F30DE"/>
    <w:rsid w:val="006F310A"/>
    <w:rsid w:val="006F3198"/>
    <w:rsid w:val="006F31EA"/>
    <w:rsid w:val="006F32A0"/>
    <w:rsid w:val="006F3381"/>
    <w:rsid w:val="006F33D4"/>
    <w:rsid w:val="006F3480"/>
    <w:rsid w:val="006F3511"/>
    <w:rsid w:val="006F3515"/>
    <w:rsid w:val="006F35A6"/>
    <w:rsid w:val="006F378B"/>
    <w:rsid w:val="006F3868"/>
    <w:rsid w:val="006F391F"/>
    <w:rsid w:val="006F39C3"/>
    <w:rsid w:val="006F3A0E"/>
    <w:rsid w:val="006F3A24"/>
    <w:rsid w:val="006F3B15"/>
    <w:rsid w:val="006F3C63"/>
    <w:rsid w:val="006F3C73"/>
    <w:rsid w:val="006F3DC6"/>
    <w:rsid w:val="006F3DE2"/>
    <w:rsid w:val="006F3EBD"/>
    <w:rsid w:val="006F3EE2"/>
    <w:rsid w:val="006F3F24"/>
    <w:rsid w:val="006F3F92"/>
    <w:rsid w:val="006F3FAA"/>
    <w:rsid w:val="006F3FD5"/>
    <w:rsid w:val="006F402B"/>
    <w:rsid w:val="006F402D"/>
    <w:rsid w:val="006F40D6"/>
    <w:rsid w:val="006F4246"/>
    <w:rsid w:val="006F42E4"/>
    <w:rsid w:val="006F43BD"/>
    <w:rsid w:val="006F45AC"/>
    <w:rsid w:val="006F4654"/>
    <w:rsid w:val="006F46BD"/>
    <w:rsid w:val="006F472C"/>
    <w:rsid w:val="006F4760"/>
    <w:rsid w:val="006F47A2"/>
    <w:rsid w:val="006F47AF"/>
    <w:rsid w:val="006F47EC"/>
    <w:rsid w:val="006F48C2"/>
    <w:rsid w:val="006F4A20"/>
    <w:rsid w:val="006F4A7B"/>
    <w:rsid w:val="006F4ACA"/>
    <w:rsid w:val="006F4C43"/>
    <w:rsid w:val="006F4DF9"/>
    <w:rsid w:val="006F4E8D"/>
    <w:rsid w:val="006F50A6"/>
    <w:rsid w:val="006F50D9"/>
    <w:rsid w:val="006F50F8"/>
    <w:rsid w:val="006F51AD"/>
    <w:rsid w:val="006F51CE"/>
    <w:rsid w:val="006F547E"/>
    <w:rsid w:val="006F54FD"/>
    <w:rsid w:val="006F552D"/>
    <w:rsid w:val="006F56B5"/>
    <w:rsid w:val="006F5709"/>
    <w:rsid w:val="006F5731"/>
    <w:rsid w:val="006F5969"/>
    <w:rsid w:val="006F5970"/>
    <w:rsid w:val="006F5A6C"/>
    <w:rsid w:val="006F5AA7"/>
    <w:rsid w:val="006F5D06"/>
    <w:rsid w:val="006F5DFB"/>
    <w:rsid w:val="006F5ED4"/>
    <w:rsid w:val="006F6025"/>
    <w:rsid w:val="006F643B"/>
    <w:rsid w:val="006F6609"/>
    <w:rsid w:val="006F669A"/>
    <w:rsid w:val="006F67AD"/>
    <w:rsid w:val="006F69F5"/>
    <w:rsid w:val="006F6AE4"/>
    <w:rsid w:val="006F6BF7"/>
    <w:rsid w:val="006F6C31"/>
    <w:rsid w:val="006F6C61"/>
    <w:rsid w:val="006F6EF7"/>
    <w:rsid w:val="006F6F9D"/>
    <w:rsid w:val="006F6FAC"/>
    <w:rsid w:val="006F6FC7"/>
    <w:rsid w:val="006F7001"/>
    <w:rsid w:val="006F7122"/>
    <w:rsid w:val="006F74D8"/>
    <w:rsid w:val="006F7582"/>
    <w:rsid w:val="006F766D"/>
    <w:rsid w:val="006F7860"/>
    <w:rsid w:val="006F7A31"/>
    <w:rsid w:val="006F7A3D"/>
    <w:rsid w:val="006F7A8E"/>
    <w:rsid w:val="006F7B90"/>
    <w:rsid w:val="006F7DC5"/>
    <w:rsid w:val="006F7F81"/>
    <w:rsid w:val="006F7F9A"/>
    <w:rsid w:val="00700059"/>
    <w:rsid w:val="00700082"/>
    <w:rsid w:val="0070009E"/>
    <w:rsid w:val="007001C1"/>
    <w:rsid w:val="0070038E"/>
    <w:rsid w:val="00700616"/>
    <w:rsid w:val="00700618"/>
    <w:rsid w:val="00700632"/>
    <w:rsid w:val="00700C99"/>
    <w:rsid w:val="00700EDA"/>
    <w:rsid w:val="00700F47"/>
    <w:rsid w:val="00701093"/>
    <w:rsid w:val="007011AA"/>
    <w:rsid w:val="007011B7"/>
    <w:rsid w:val="00701229"/>
    <w:rsid w:val="007012CA"/>
    <w:rsid w:val="00701421"/>
    <w:rsid w:val="00701595"/>
    <w:rsid w:val="00701628"/>
    <w:rsid w:val="0070163C"/>
    <w:rsid w:val="00701750"/>
    <w:rsid w:val="00701769"/>
    <w:rsid w:val="007017A9"/>
    <w:rsid w:val="007018B6"/>
    <w:rsid w:val="00701920"/>
    <w:rsid w:val="00701A0B"/>
    <w:rsid w:val="00701B56"/>
    <w:rsid w:val="00701B79"/>
    <w:rsid w:val="00701BB6"/>
    <w:rsid w:val="00701BE9"/>
    <w:rsid w:val="00701C6B"/>
    <w:rsid w:val="00701CE1"/>
    <w:rsid w:val="00701CE7"/>
    <w:rsid w:val="00701D55"/>
    <w:rsid w:val="00702036"/>
    <w:rsid w:val="00702055"/>
    <w:rsid w:val="0070206D"/>
    <w:rsid w:val="00702202"/>
    <w:rsid w:val="00702290"/>
    <w:rsid w:val="00702313"/>
    <w:rsid w:val="00702459"/>
    <w:rsid w:val="007024FC"/>
    <w:rsid w:val="0070255C"/>
    <w:rsid w:val="007026AD"/>
    <w:rsid w:val="007026EE"/>
    <w:rsid w:val="0070285A"/>
    <w:rsid w:val="0070292F"/>
    <w:rsid w:val="00702BD6"/>
    <w:rsid w:val="00702C1C"/>
    <w:rsid w:val="00702DB2"/>
    <w:rsid w:val="00702E01"/>
    <w:rsid w:val="00702ED2"/>
    <w:rsid w:val="00702F25"/>
    <w:rsid w:val="007030C0"/>
    <w:rsid w:val="007030E0"/>
    <w:rsid w:val="00703146"/>
    <w:rsid w:val="0070316D"/>
    <w:rsid w:val="00703384"/>
    <w:rsid w:val="0070339E"/>
    <w:rsid w:val="007033DA"/>
    <w:rsid w:val="00703427"/>
    <w:rsid w:val="0070353B"/>
    <w:rsid w:val="00703654"/>
    <w:rsid w:val="00703692"/>
    <w:rsid w:val="00703860"/>
    <w:rsid w:val="007038AB"/>
    <w:rsid w:val="007038CF"/>
    <w:rsid w:val="00703983"/>
    <w:rsid w:val="00703A68"/>
    <w:rsid w:val="00703ABF"/>
    <w:rsid w:val="00703D17"/>
    <w:rsid w:val="00703E66"/>
    <w:rsid w:val="00703E91"/>
    <w:rsid w:val="00703F51"/>
    <w:rsid w:val="00703F69"/>
    <w:rsid w:val="00703F80"/>
    <w:rsid w:val="00703FA1"/>
    <w:rsid w:val="00704169"/>
    <w:rsid w:val="007041EF"/>
    <w:rsid w:val="00704277"/>
    <w:rsid w:val="00704441"/>
    <w:rsid w:val="0070450B"/>
    <w:rsid w:val="00704513"/>
    <w:rsid w:val="00704679"/>
    <w:rsid w:val="0070468E"/>
    <w:rsid w:val="00704729"/>
    <w:rsid w:val="007048AE"/>
    <w:rsid w:val="0070499B"/>
    <w:rsid w:val="007049D2"/>
    <w:rsid w:val="007049E6"/>
    <w:rsid w:val="00704A93"/>
    <w:rsid w:val="00704B0C"/>
    <w:rsid w:val="00704BA0"/>
    <w:rsid w:val="00704C03"/>
    <w:rsid w:val="00704C54"/>
    <w:rsid w:val="00704D06"/>
    <w:rsid w:val="00704E34"/>
    <w:rsid w:val="00704FA3"/>
    <w:rsid w:val="0070500B"/>
    <w:rsid w:val="007050AB"/>
    <w:rsid w:val="00705119"/>
    <w:rsid w:val="007051BA"/>
    <w:rsid w:val="0070523C"/>
    <w:rsid w:val="007052D1"/>
    <w:rsid w:val="0070544B"/>
    <w:rsid w:val="00705475"/>
    <w:rsid w:val="00705478"/>
    <w:rsid w:val="007054B5"/>
    <w:rsid w:val="0070553A"/>
    <w:rsid w:val="007055D8"/>
    <w:rsid w:val="007055E7"/>
    <w:rsid w:val="00705698"/>
    <w:rsid w:val="007057E6"/>
    <w:rsid w:val="00705851"/>
    <w:rsid w:val="00705869"/>
    <w:rsid w:val="00705886"/>
    <w:rsid w:val="00705A54"/>
    <w:rsid w:val="00705CD8"/>
    <w:rsid w:val="00705D1E"/>
    <w:rsid w:val="00705D9D"/>
    <w:rsid w:val="00705E35"/>
    <w:rsid w:val="00705EAF"/>
    <w:rsid w:val="00705EC7"/>
    <w:rsid w:val="00705EE6"/>
    <w:rsid w:val="00705F4D"/>
    <w:rsid w:val="00705FE8"/>
    <w:rsid w:val="00706102"/>
    <w:rsid w:val="007064DC"/>
    <w:rsid w:val="00706539"/>
    <w:rsid w:val="0070659C"/>
    <w:rsid w:val="007065CB"/>
    <w:rsid w:val="00706784"/>
    <w:rsid w:val="0070692F"/>
    <w:rsid w:val="007069D8"/>
    <w:rsid w:val="00706AD5"/>
    <w:rsid w:val="00706BF8"/>
    <w:rsid w:val="00706C4B"/>
    <w:rsid w:val="00706D2E"/>
    <w:rsid w:val="00706ECA"/>
    <w:rsid w:val="00707010"/>
    <w:rsid w:val="00707060"/>
    <w:rsid w:val="0070706D"/>
    <w:rsid w:val="007070D6"/>
    <w:rsid w:val="00707160"/>
    <w:rsid w:val="007071ED"/>
    <w:rsid w:val="00707207"/>
    <w:rsid w:val="00707218"/>
    <w:rsid w:val="00707291"/>
    <w:rsid w:val="007072D2"/>
    <w:rsid w:val="00707366"/>
    <w:rsid w:val="007073AD"/>
    <w:rsid w:val="007073CE"/>
    <w:rsid w:val="00707459"/>
    <w:rsid w:val="007074EC"/>
    <w:rsid w:val="007075C9"/>
    <w:rsid w:val="00707661"/>
    <w:rsid w:val="0070766B"/>
    <w:rsid w:val="00707975"/>
    <w:rsid w:val="00707A26"/>
    <w:rsid w:val="00707A71"/>
    <w:rsid w:val="00707F20"/>
    <w:rsid w:val="00707FB1"/>
    <w:rsid w:val="00710006"/>
    <w:rsid w:val="00710196"/>
    <w:rsid w:val="00710313"/>
    <w:rsid w:val="007103DB"/>
    <w:rsid w:val="007104DE"/>
    <w:rsid w:val="00710523"/>
    <w:rsid w:val="0071060E"/>
    <w:rsid w:val="0071080C"/>
    <w:rsid w:val="00710861"/>
    <w:rsid w:val="00710883"/>
    <w:rsid w:val="00710A8D"/>
    <w:rsid w:val="00710AC1"/>
    <w:rsid w:val="00710B03"/>
    <w:rsid w:val="00710B9A"/>
    <w:rsid w:val="00710C23"/>
    <w:rsid w:val="00710CE3"/>
    <w:rsid w:val="00710D46"/>
    <w:rsid w:val="00710E5F"/>
    <w:rsid w:val="00710E79"/>
    <w:rsid w:val="00710F30"/>
    <w:rsid w:val="00710F36"/>
    <w:rsid w:val="00711052"/>
    <w:rsid w:val="007111C7"/>
    <w:rsid w:val="007111E4"/>
    <w:rsid w:val="0071125F"/>
    <w:rsid w:val="0071134B"/>
    <w:rsid w:val="00711468"/>
    <w:rsid w:val="00711563"/>
    <w:rsid w:val="007117D9"/>
    <w:rsid w:val="007117F1"/>
    <w:rsid w:val="0071198A"/>
    <w:rsid w:val="00711BFA"/>
    <w:rsid w:val="00711F45"/>
    <w:rsid w:val="00711F5C"/>
    <w:rsid w:val="00711FAB"/>
    <w:rsid w:val="0071203C"/>
    <w:rsid w:val="00712160"/>
    <w:rsid w:val="007121CE"/>
    <w:rsid w:val="007122C9"/>
    <w:rsid w:val="00712604"/>
    <w:rsid w:val="007126D6"/>
    <w:rsid w:val="007126E4"/>
    <w:rsid w:val="007127F5"/>
    <w:rsid w:val="0071296E"/>
    <w:rsid w:val="00712B8A"/>
    <w:rsid w:val="00712BF2"/>
    <w:rsid w:val="00712CFE"/>
    <w:rsid w:val="00712D1C"/>
    <w:rsid w:val="00712D2E"/>
    <w:rsid w:val="00712EAC"/>
    <w:rsid w:val="00712ECA"/>
    <w:rsid w:val="00712F06"/>
    <w:rsid w:val="00713021"/>
    <w:rsid w:val="007130B7"/>
    <w:rsid w:val="0071311F"/>
    <w:rsid w:val="0071320F"/>
    <w:rsid w:val="007132C7"/>
    <w:rsid w:val="0071339E"/>
    <w:rsid w:val="007133CF"/>
    <w:rsid w:val="0071346C"/>
    <w:rsid w:val="007134B0"/>
    <w:rsid w:val="00713597"/>
    <w:rsid w:val="007136A2"/>
    <w:rsid w:val="007137D3"/>
    <w:rsid w:val="007139E1"/>
    <w:rsid w:val="00713A30"/>
    <w:rsid w:val="00713A53"/>
    <w:rsid w:val="00713A67"/>
    <w:rsid w:val="00713BD0"/>
    <w:rsid w:val="00713C25"/>
    <w:rsid w:val="00713E05"/>
    <w:rsid w:val="00713E81"/>
    <w:rsid w:val="00713FCC"/>
    <w:rsid w:val="00714061"/>
    <w:rsid w:val="00714215"/>
    <w:rsid w:val="00714351"/>
    <w:rsid w:val="007143CB"/>
    <w:rsid w:val="00714637"/>
    <w:rsid w:val="00714670"/>
    <w:rsid w:val="007147E6"/>
    <w:rsid w:val="007148B8"/>
    <w:rsid w:val="00714941"/>
    <w:rsid w:val="0071498C"/>
    <w:rsid w:val="00714A0D"/>
    <w:rsid w:val="00714A2F"/>
    <w:rsid w:val="00714A88"/>
    <w:rsid w:val="00714B78"/>
    <w:rsid w:val="00714BF1"/>
    <w:rsid w:val="00714ECC"/>
    <w:rsid w:val="007151EF"/>
    <w:rsid w:val="007153F7"/>
    <w:rsid w:val="00715681"/>
    <w:rsid w:val="00715714"/>
    <w:rsid w:val="00715755"/>
    <w:rsid w:val="00715763"/>
    <w:rsid w:val="00715870"/>
    <w:rsid w:val="00715951"/>
    <w:rsid w:val="00715988"/>
    <w:rsid w:val="007159A4"/>
    <w:rsid w:val="00715B56"/>
    <w:rsid w:val="00715D16"/>
    <w:rsid w:val="00715E05"/>
    <w:rsid w:val="00715EDD"/>
    <w:rsid w:val="00715FF1"/>
    <w:rsid w:val="0071600E"/>
    <w:rsid w:val="0071601B"/>
    <w:rsid w:val="0071603F"/>
    <w:rsid w:val="00716175"/>
    <w:rsid w:val="00716245"/>
    <w:rsid w:val="00716355"/>
    <w:rsid w:val="007163C6"/>
    <w:rsid w:val="00716566"/>
    <w:rsid w:val="007165A5"/>
    <w:rsid w:val="007165DF"/>
    <w:rsid w:val="0071678B"/>
    <w:rsid w:val="007167D2"/>
    <w:rsid w:val="00716920"/>
    <w:rsid w:val="00716C30"/>
    <w:rsid w:val="00717008"/>
    <w:rsid w:val="0071720F"/>
    <w:rsid w:val="007172B1"/>
    <w:rsid w:val="007172CF"/>
    <w:rsid w:val="00717318"/>
    <w:rsid w:val="00717403"/>
    <w:rsid w:val="0071740F"/>
    <w:rsid w:val="0071752E"/>
    <w:rsid w:val="007175F7"/>
    <w:rsid w:val="00717679"/>
    <w:rsid w:val="00717795"/>
    <w:rsid w:val="007177E2"/>
    <w:rsid w:val="007179CF"/>
    <w:rsid w:val="00717A94"/>
    <w:rsid w:val="00717B3C"/>
    <w:rsid w:val="00717C1C"/>
    <w:rsid w:val="00717C50"/>
    <w:rsid w:val="00717C63"/>
    <w:rsid w:val="00717CC6"/>
    <w:rsid w:val="00717CFA"/>
    <w:rsid w:val="00717DE9"/>
    <w:rsid w:val="00717E21"/>
    <w:rsid w:val="00717F9C"/>
    <w:rsid w:val="00717FCA"/>
    <w:rsid w:val="0072000A"/>
    <w:rsid w:val="00720013"/>
    <w:rsid w:val="007201BB"/>
    <w:rsid w:val="00720342"/>
    <w:rsid w:val="007203E2"/>
    <w:rsid w:val="00720545"/>
    <w:rsid w:val="00720556"/>
    <w:rsid w:val="00720576"/>
    <w:rsid w:val="00720784"/>
    <w:rsid w:val="007209C8"/>
    <w:rsid w:val="00720AFB"/>
    <w:rsid w:val="00720B4A"/>
    <w:rsid w:val="00720BE1"/>
    <w:rsid w:val="00720C27"/>
    <w:rsid w:val="00720C38"/>
    <w:rsid w:val="00720D39"/>
    <w:rsid w:val="00720D77"/>
    <w:rsid w:val="007210FB"/>
    <w:rsid w:val="007211D3"/>
    <w:rsid w:val="007213D0"/>
    <w:rsid w:val="0072145F"/>
    <w:rsid w:val="00721599"/>
    <w:rsid w:val="007217DA"/>
    <w:rsid w:val="0072188E"/>
    <w:rsid w:val="0072194F"/>
    <w:rsid w:val="00721955"/>
    <w:rsid w:val="007219E4"/>
    <w:rsid w:val="00721A46"/>
    <w:rsid w:val="00721CF1"/>
    <w:rsid w:val="00721E91"/>
    <w:rsid w:val="00721F1D"/>
    <w:rsid w:val="00721F82"/>
    <w:rsid w:val="00721FCE"/>
    <w:rsid w:val="00721FD9"/>
    <w:rsid w:val="00722113"/>
    <w:rsid w:val="0072212D"/>
    <w:rsid w:val="0072216A"/>
    <w:rsid w:val="007221BE"/>
    <w:rsid w:val="00722212"/>
    <w:rsid w:val="00722265"/>
    <w:rsid w:val="007223DF"/>
    <w:rsid w:val="0072255B"/>
    <w:rsid w:val="007225F4"/>
    <w:rsid w:val="0072273A"/>
    <w:rsid w:val="0072288A"/>
    <w:rsid w:val="007228E0"/>
    <w:rsid w:val="00722B0E"/>
    <w:rsid w:val="00722C4C"/>
    <w:rsid w:val="00722C73"/>
    <w:rsid w:val="00722CF4"/>
    <w:rsid w:val="00722D28"/>
    <w:rsid w:val="00722D9B"/>
    <w:rsid w:val="00722EB4"/>
    <w:rsid w:val="00722F51"/>
    <w:rsid w:val="00722FD0"/>
    <w:rsid w:val="00723367"/>
    <w:rsid w:val="00723444"/>
    <w:rsid w:val="0072354C"/>
    <w:rsid w:val="0072355C"/>
    <w:rsid w:val="00723586"/>
    <w:rsid w:val="007235A2"/>
    <w:rsid w:val="00723745"/>
    <w:rsid w:val="00723842"/>
    <w:rsid w:val="0072389C"/>
    <w:rsid w:val="007239C2"/>
    <w:rsid w:val="007239F8"/>
    <w:rsid w:val="00723A73"/>
    <w:rsid w:val="00723AB5"/>
    <w:rsid w:val="00723B2E"/>
    <w:rsid w:val="00723C40"/>
    <w:rsid w:val="00723C73"/>
    <w:rsid w:val="00723CCB"/>
    <w:rsid w:val="00723D0F"/>
    <w:rsid w:val="00723D41"/>
    <w:rsid w:val="00723D70"/>
    <w:rsid w:val="00723EAB"/>
    <w:rsid w:val="0072411E"/>
    <w:rsid w:val="0072418D"/>
    <w:rsid w:val="007241E2"/>
    <w:rsid w:val="00724215"/>
    <w:rsid w:val="0072426C"/>
    <w:rsid w:val="007242E6"/>
    <w:rsid w:val="007243C4"/>
    <w:rsid w:val="00724466"/>
    <w:rsid w:val="0072477C"/>
    <w:rsid w:val="007247CE"/>
    <w:rsid w:val="0072488F"/>
    <w:rsid w:val="00724A43"/>
    <w:rsid w:val="00724A48"/>
    <w:rsid w:val="00724A53"/>
    <w:rsid w:val="00724ACC"/>
    <w:rsid w:val="00724B34"/>
    <w:rsid w:val="00724D6E"/>
    <w:rsid w:val="00724FF4"/>
    <w:rsid w:val="007251E0"/>
    <w:rsid w:val="0072520F"/>
    <w:rsid w:val="00725232"/>
    <w:rsid w:val="007253A5"/>
    <w:rsid w:val="007253DF"/>
    <w:rsid w:val="00725453"/>
    <w:rsid w:val="00725602"/>
    <w:rsid w:val="00725915"/>
    <w:rsid w:val="00725989"/>
    <w:rsid w:val="00725B14"/>
    <w:rsid w:val="00725B1C"/>
    <w:rsid w:val="00725BAB"/>
    <w:rsid w:val="00725BAD"/>
    <w:rsid w:val="00725C36"/>
    <w:rsid w:val="00725FC3"/>
    <w:rsid w:val="0072602E"/>
    <w:rsid w:val="0072614D"/>
    <w:rsid w:val="007261C9"/>
    <w:rsid w:val="00726287"/>
    <w:rsid w:val="0072639D"/>
    <w:rsid w:val="00726538"/>
    <w:rsid w:val="007265C1"/>
    <w:rsid w:val="00726617"/>
    <w:rsid w:val="00726652"/>
    <w:rsid w:val="0072675E"/>
    <w:rsid w:val="007269AF"/>
    <w:rsid w:val="00726B3A"/>
    <w:rsid w:val="00726CDA"/>
    <w:rsid w:val="00726D5D"/>
    <w:rsid w:val="00726F8D"/>
    <w:rsid w:val="00726FCC"/>
    <w:rsid w:val="0072706B"/>
    <w:rsid w:val="0072708E"/>
    <w:rsid w:val="00727612"/>
    <w:rsid w:val="0072761A"/>
    <w:rsid w:val="0072764E"/>
    <w:rsid w:val="00727692"/>
    <w:rsid w:val="007276AE"/>
    <w:rsid w:val="007276C8"/>
    <w:rsid w:val="00727978"/>
    <w:rsid w:val="007279E0"/>
    <w:rsid w:val="00727B4B"/>
    <w:rsid w:val="00727BA4"/>
    <w:rsid w:val="00727BF8"/>
    <w:rsid w:val="00727C65"/>
    <w:rsid w:val="00727DD4"/>
    <w:rsid w:val="00727E07"/>
    <w:rsid w:val="00727F4A"/>
    <w:rsid w:val="00730126"/>
    <w:rsid w:val="00730203"/>
    <w:rsid w:val="00730366"/>
    <w:rsid w:val="00730497"/>
    <w:rsid w:val="00730524"/>
    <w:rsid w:val="00730587"/>
    <w:rsid w:val="00730619"/>
    <w:rsid w:val="0073064B"/>
    <w:rsid w:val="007306D8"/>
    <w:rsid w:val="00730746"/>
    <w:rsid w:val="007307DD"/>
    <w:rsid w:val="0073086C"/>
    <w:rsid w:val="007308EB"/>
    <w:rsid w:val="007309B0"/>
    <w:rsid w:val="007309B2"/>
    <w:rsid w:val="00730C24"/>
    <w:rsid w:val="00730CBD"/>
    <w:rsid w:val="00730CDE"/>
    <w:rsid w:val="00730D55"/>
    <w:rsid w:val="00730D75"/>
    <w:rsid w:val="00730E69"/>
    <w:rsid w:val="00730E77"/>
    <w:rsid w:val="00730EA7"/>
    <w:rsid w:val="00731119"/>
    <w:rsid w:val="0073135F"/>
    <w:rsid w:val="0073143B"/>
    <w:rsid w:val="007314F1"/>
    <w:rsid w:val="0073150F"/>
    <w:rsid w:val="00731613"/>
    <w:rsid w:val="007316FB"/>
    <w:rsid w:val="00731798"/>
    <w:rsid w:val="007317CD"/>
    <w:rsid w:val="00731960"/>
    <w:rsid w:val="00731ADC"/>
    <w:rsid w:val="00731B07"/>
    <w:rsid w:val="00731B43"/>
    <w:rsid w:val="00731B9E"/>
    <w:rsid w:val="00731CFA"/>
    <w:rsid w:val="00731E03"/>
    <w:rsid w:val="00731E44"/>
    <w:rsid w:val="00731F34"/>
    <w:rsid w:val="00731F93"/>
    <w:rsid w:val="00731FDF"/>
    <w:rsid w:val="00731FE9"/>
    <w:rsid w:val="00732034"/>
    <w:rsid w:val="007320D7"/>
    <w:rsid w:val="00732282"/>
    <w:rsid w:val="007322C8"/>
    <w:rsid w:val="00732328"/>
    <w:rsid w:val="007324DB"/>
    <w:rsid w:val="007324FC"/>
    <w:rsid w:val="007325F6"/>
    <w:rsid w:val="00732877"/>
    <w:rsid w:val="007329CA"/>
    <w:rsid w:val="00732A1A"/>
    <w:rsid w:val="00732B0E"/>
    <w:rsid w:val="00732D9B"/>
    <w:rsid w:val="00732D9D"/>
    <w:rsid w:val="00732EE0"/>
    <w:rsid w:val="00732F0C"/>
    <w:rsid w:val="00732FF8"/>
    <w:rsid w:val="00733063"/>
    <w:rsid w:val="007330D6"/>
    <w:rsid w:val="007330E9"/>
    <w:rsid w:val="00733137"/>
    <w:rsid w:val="00733141"/>
    <w:rsid w:val="00733183"/>
    <w:rsid w:val="00733197"/>
    <w:rsid w:val="0073320A"/>
    <w:rsid w:val="00733437"/>
    <w:rsid w:val="0073354F"/>
    <w:rsid w:val="00733657"/>
    <w:rsid w:val="007336AD"/>
    <w:rsid w:val="007337EE"/>
    <w:rsid w:val="00733822"/>
    <w:rsid w:val="0073395E"/>
    <w:rsid w:val="007339CB"/>
    <w:rsid w:val="007339F9"/>
    <w:rsid w:val="00733A8F"/>
    <w:rsid w:val="00733B06"/>
    <w:rsid w:val="00733C93"/>
    <w:rsid w:val="00733D01"/>
    <w:rsid w:val="00733D31"/>
    <w:rsid w:val="00733EA7"/>
    <w:rsid w:val="00733F5A"/>
    <w:rsid w:val="007340BE"/>
    <w:rsid w:val="0073413F"/>
    <w:rsid w:val="0073415B"/>
    <w:rsid w:val="0073416A"/>
    <w:rsid w:val="0073444E"/>
    <w:rsid w:val="0073450B"/>
    <w:rsid w:val="00734567"/>
    <w:rsid w:val="00734609"/>
    <w:rsid w:val="00734633"/>
    <w:rsid w:val="007346F1"/>
    <w:rsid w:val="0073495C"/>
    <w:rsid w:val="00734A56"/>
    <w:rsid w:val="00734A93"/>
    <w:rsid w:val="00734CE2"/>
    <w:rsid w:val="00734EFC"/>
    <w:rsid w:val="00735042"/>
    <w:rsid w:val="00735157"/>
    <w:rsid w:val="007351AC"/>
    <w:rsid w:val="007352E8"/>
    <w:rsid w:val="00735375"/>
    <w:rsid w:val="007355FE"/>
    <w:rsid w:val="00735666"/>
    <w:rsid w:val="00735671"/>
    <w:rsid w:val="007356DD"/>
    <w:rsid w:val="007357CC"/>
    <w:rsid w:val="007358B4"/>
    <w:rsid w:val="00735923"/>
    <w:rsid w:val="00735A47"/>
    <w:rsid w:val="00735A56"/>
    <w:rsid w:val="00735CC8"/>
    <w:rsid w:val="00735D10"/>
    <w:rsid w:val="00735D73"/>
    <w:rsid w:val="00735E53"/>
    <w:rsid w:val="00735E62"/>
    <w:rsid w:val="00736066"/>
    <w:rsid w:val="0073615D"/>
    <w:rsid w:val="00736187"/>
    <w:rsid w:val="00736244"/>
    <w:rsid w:val="007362C3"/>
    <w:rsid w:val="007364FB"/>
    <w:rsid w:val="007365AC"/>
    <w:rsid w:val="007366D7"/>
    <w:rsid w:val="0073681E"/>
    <w:rsid w:val="00736A1A"/>
    <w:rsid w:val="00736AE7"/>
    <w:rsid w:val="00736DE6"/>
    <w:rsid w:val="00736E45"/>
    <w:rsid w:val="00736E96"/>
    <w:rsid w:val="00736F3E"/>
    <w:rsid w:val="00736F94"/>
    <w:rsid w:val="007371A2"/>
    <w:rsid w:val="00737341"/>
    <w:rsid w:val="00737455"/>
    <w:rsid w:val="007375D0"/>
    <w:rsid w:val="007377D0"/>
    <w:rsid w:val="007379A9"/>
    <w:rsid w:val="00737AE5"/>
    <w:rsid w:val="00737CA2"/>
    <w:rsid w:val="00737CB4"/>
    <w:rsid w:val="0074020A"/>
    <w:rsid w:val="00740213"/>
    <w:rsid w:val="00740291"/>
    <w:rsid w:val="00740345"/>
    <w:rsid w:val="0074045E"/>
    <w:rsid w:val="007404C4"/>
    <w:rsid w:val="0074057C"/>
    <w:rsid w:val="0074073A"/>
    <w:rsid w:val="00740779"/>
    <w:rsid w:val="007407AE"/>
    <w:rsid w:val="007407E5"/>
    <w:rsid w:val="007408B6"/>
    <w:rsid w:val="00740A29"/>
    <w:rsid w:val="00740A53"/>
    <w:rsid w:val="00740DCF"/>
    <w:rsid w:val="00740F67"/>
    <w:rsid w:val="007410D3"/>
    <w:rsid w:val="007411C3"/>
    <w:rsid w:val="00741230"/>
    <w:rsid w:val="00741428"/>
    <w:rsid w:val="007414CC"/>
    <w:rsid w:val="00741711"/>
    <w:rsid w:val="007417D4"/>
    <w:rsid w:val="007419C8"/>
    <w:rsid w:val="00741A76"/>
    <w:rsid w:val="00741B21"/>
    <w:rsid w:val="00741B22"/>
    <w:rsid w:val="00741B73"/>
    <w:rsid w:val="00741B80"/>
    <w:rsid w:val="00741BE4"/>
    <w:rsid w:val="00741C35"/>
    <w:rsid w:val="00741CFE"/>
    <w:rsid w:val="007420D3"/>
    <w:rsid w:val="0074213A"/>
    <w:rsid w:val="007427AA"/>
    <w:rsid w:val="007427CB"/>
    <w:rsid w:val="00742891"/>
    <w:rsid w:val="00742893"/>
    <w:rsid w:val="007428FF"/>
    <w:rsid w:val="00742942"/>
    <w:rsid w:val="007429D6"/>
    <w:rsid w:val="00742A2F"/>
    <w:rsid w:val="00742B44"/>
    <w:rsid w:val="00742BD1"/>
    <w:rsid w:val="00742BEE"/>
    <w:rsid w:val="00742CB9"/>
    <w:rsid w:val="00742D09"/>
    <w:rsid w:val="00742D36"/>
    <w:rsid w:val="00742E29"/>
    <w:rsid w:val="00742E6A"/>
    <w:rsid w:val="00742F23"/>
    <w:rsid w:val="0074313A"/>
    <w:rsid w:val="007431C1"/>
    <w:rsid w:val="0074342A"/>
    <w:rsid w:val="00743557"/>
    <w:rsid w:val="00743592"/>
    <w:rsid w:val="007436BD"/>
    <w:rsid w:val="0074390B"/>
    <w:rsid w:val="00743971"/>
    <w:rsid w:val="00743A1E"/>
    <w:rsid w:val="00743B11"/>
    <w:rsid w:val="00743B92"/>
    <w:rsid w:val="00743BDF"/>
    <w:rsid w:val="00743BED"/>
    <w:rsid w:val="00743CD3"/>
    <w:rsid w:val="00743E19"/>
    <w:rsid w:val="00743E6A"/>
    <w:rsid w:val="0074404B"/>
    <w:rsid w:val="007440A5"/>
    <w:rsid w:val="007440FE"/>
    <w:rsid w:val="00744333"/>
    <w:rsid w:val="00744375"/>
    <w:rsid w:val="00744639"/>
    <w:rsid w:val="00744692"/>
    <w:rsid w:val="0074473C"/>
    <w:rsid w:val="007447C3"/>
    <w:rsid w:val="00744837"/>
    <w:rsid w:val="007449D8"/>
    <w:rsid w:val="00744D7A"/>
    <w:rsid w:val="00744E06"/>
    <w:rsid w:val="00744EF9"/>
    <w:rsid w:val="00745013"/>
    <w:rsid w:val="0074513A"/>
    <w:rsid w:val="007453CE"/>
    <w:rsid w:val="007454B9"/>
    <w:rsid w:val="007454C7"/>
    <w:rsid w:val="0074554E"/>
    <w:rsid w:val="0074559B"/>
    <w:rsid w:val="0074568F"/>
    <w:rsid w:val="007456CA"/>
    <w:rsid w:val="0074577B"/>
    <w:rsid w:val="007459C9"/>
    <w:rsid w:val="00745ADA"/>
    <w:rsid w:val="00745AF2"/>
    <w:rsid w:val="00745BC1"/>
    <w:rsid w:val="00745C88"/>
    <w:rsid w:val="00745CAD"/>
    <w:rsid w:val="00745CAF"/>
    <w:rsid w:val="00745CDD"/>
    <w:rsid w:val="00745D63"/>
    <w:rsid w:val="00745D6F"/>
    <w:rsid w:val="00745D99"/>
    <w:rsid w:val="00745DDE"/>
    <w:rsid w:val="00745E53"/>
    <w:rsid w:val="00745E80"/>
    <w:rsid w:val="00745F05"/>
    <w:rsid w:val="007460C7"/>
    <w:rsid w:val="00746151"/>
    <w:rsid w:val="007461AE"/>
    <w:rsid w:val="00746540"/>
    <w:rsid w:val="00746A4C"/>
    <w:rsid w:val="00746A8E"/>
    <w:rsid w:val="00746AC2"/>
    <w:rsid w:val="00746B56"/>
    <w:rsid w:val="00746C97"/>
    <w:rsid w:val="00746F89"/>
    <w:rsid w:val="00747131"/>
    <w:rsid w:val="007472E5"/>
    <w:rsid w:val="007472FB"/>
    <w:rsid w:val="0074732B"/>
    <w:rsid w:val="007473F6"/>
    <w:rsid w:val="007475C7"/>
    <w:rsid w:val="0074764A"/>
    <w:rsid w:val="00747698"/>
    <w:rsid w:val="00747718"/>
    <w:rsid w:val="007477B8"/>
    <w:rsid w:val="0074786F"/>
    <w:rsid w:val="007478A3"/>
    <w:rsid w:val="0074793B"/>
    <w:rsid w:val="00747C51"/>
    <w:rsid w:val="00747D01"/>
    <w:rsid w:val="00747D81"/>
    <w:rsid w:val="00747E3C"/>
    <w:rsid w:val="00747F23"/>
    <w:rsid w:val="007502ED"/>
    <w:rsid w:val="00750345"/>
    <w:rsid w:val="007503D1"/>
    <w:rsid w:val="0075043B"/>
    <w:rsid w:val="0075050B"/>
    <w:rsid w:val="0075067D"/>
    <w:rsid w:val="0075086B"/>
    <w:rsid w:val="007508E9"/>
    <w:rsid w:val="00750A80"/>
    <w:rsid w:val="00750CD7"/>
    <w:rsid w:val="00750D4D"/>
    <w:rsid w:val="00750E17"/>
    <w:rsid w:val="00751035"/>
    <w:rsid w:val="007510AC"/>
    <w:rsid w:val="007510D7"/>
    <w:rsid w:val="0075113B"/>
    <w:rsid w:val="00751223"/>
    <w:rsid w:val="007514CE"/>
    <w:rsid w:val="007517C4"/>
    <w:rsid w:val="007517E6"/>
    <w:rsid w:val="0075183A"/>
    <w:rsid w:val="0075189A"/>
    <w:rsid w:val="0075199A"/>
    <w:rsid w:val="00751A63"/>
    <w:rsid w:val="00751B3E"/>
    <w:rsid w:val="00751BC6"/>
    <w:rsid w:val="00751C3E"/>
    <w:rsid w:val="00751C7E"/>
    <w:rsid w:val="0075201D"/>
    <w:rsid w:val="0075202D"/>
    <w:rsid w:val="0075202E"/>
    <w:rsid w:val="0075209F"/>
    <w:rsid w:val="0075240F"/>
    <w:rsid w:val="00752485"/>
    <w:rsid w:val="00752518"/>
    <w:rsid w:val="0075251E"/>
    <w:rsid w:val="00752536"/>
    <w:rsid w:val="0075253F"/>
    <w:rsid w:val="0075256B"/>
    <w:rsid w:val="007526D0"/>
    <w:rsid w:val="007526EE"/>
    <w:rsid w:val="00752706"/>
    <w:rsid w:val="0075279F"/>
    <w:rsid w:val="00752867"/>
    <w:rsid w:val="00752B29"/>
    <w:rsid w:val="00752B99"/>
    <w:rsid w:val="00752BBC"/>
    <w:rsid w:val="00752CB7"/>
    <w:rsid w:val="00752D14"/>
    <w:rsid w:val="00752D62"/>
    <w:rsid w:val="00752EF8"/>
    <w:rsid w:val="00752FE9"/>
    <w:rsid w:val="0075312F"/>
    <w:rsid w:val="00753276"/>
    <w:rsid w:val="00753325"/>
    <w:rsid w:val="0075377C"/>
    <w:rsid w:val="007537FB"/>
    <w:rsid w:val="00753970"/>
    <w:rsid w:val="00753AB1"/>
    <w:rsid w:val="00753B7A"/>
    <w:rsid w:val="00753C94"/>
    <w:rsid w:val="00753D59"/>
    <w:rsid w:val="00753EB8"/>
    <w:rsid w:val="00753F67"/>
    <w:rsid w:val="00753F92"/>
    <w:rsid w:val="00753FF2"/>
    <w:rsid w:val="0075404A"/>
    <w:rsid w:val="00754065"/>
    <w:rsid w:val="00754078"/>
    <w:rsid w:val="0075407B"/>
    <w:rsid w:val="0075408E"/>
    <w:rsid w:val="00754175"/>
    <w:rsid w:val="007541DA"/>
    <w:rsid w:val="0075425A"/>
    <w:rsid w:val="007542B9"/>
    <w:rsid w:val="00754301"/>
    <w:rsid w:val="00754384"/>
    <w:rsid w:val="0075439A"/>
    <w:rsid w:val="00754415"/>
    <w:rsid w:val="00754473"/>
    <w:rsid w:val="0075454B"/>
    <w:rsid w:val="0075456F"/>
    <w:rsid w:val="00754579"/>
    <w:rsid w:val="00754640"/>
    <w:rsid w:val="0075469B"/>
    <w:rsid w:val="00754706"/>
    <w:rsid w:val="007547E2"/>
    <w:rsid w:val="007547EE"/>
    <w:rsid w:val="007547F7"/>
    <w:rsid w:val="0075481A"/>
    <w:rsid w:val="007548B7"/>
    <w:rsid w:val="00754A27"/>
    <w:rsid w:val="00754B5D"/>
    <w:rsid w:val="00754B8A"/>
    <w:rsid w:val="00754C02"/>
    <w:rsid w:val="00754C84"/>
    <w:rsid w:val="00754CF5"/>
    <w:rsid w:val="00754DF7"/>
    <w:rsid w:val="00754E72"/>
    <w:rsid w:val="00754F92"/>
    <w:rsid w:val="00755226"/>
    <w:rsid w:val="007553DC"/>
    <w:rsid w:val="0075543A"/>
    <w:rsid w:val="007554D1"/>
    <w:rsid w:val="00755560"/>
    <w:rsid w:val="00755637"/>
    <w:rsid w:val="007556CD"/>
    <w:rsid w:val="007557D6"/>
    <w:rsid w:val="00755943"/>
    <w:rsid w:val="0075594B"/>
    <w:rsid w:val="00755A57"/>
    <w:rsid w:val="00755FF1"/>
    <w:rsid w:val="007560D1"/>
    <w:rsid w:val="0075613C"/>
    <w:rsid w:val="007561A1"/>
    <w:rsid w:val="007561A5"/>
    <w:rsid w:val="0075621C"/>
    <w:rsid w:val="00756304"/>
    <w:rsid w:val="007563BF"/>
    <w:rsid w:val="00756428"/>
    <w:rsid w:val="00756490"/>
    <w:rsid w:val="0075652D"/>
    <w:rsid w:val="00756539"/>
    <w:rsid w:val="0075653F"/>
    <w:rsid w:val="00756745"/>
    <w:rsid w:val="00756AD0"/>
    <w:rsid w:val="00756AD1"/>
    <w:rsid w:val="00756AF2"/>
    <w:rsid w:val="00756BA8"/>
    <w:rsid w:val="00756C5F"/>
    <w:rsid w:val="00756CA0"/>
    <w:rsid w:val="00756CB3"/>
    <w:rsid w:val="00756CEA"/>
    <w:rsid w:val="00756D9A"/>
    <w:rsid w:val="00756E58"/>
    <w:rsid w:val="00757013"/>
    <w:rsid w:val="0075705D"/>
    <w:rsid w:val="007570DF"/>
    <w:rsid w:val="007571F3"/>
    <w:rsid w:val="00757314"/>
    <w:rsid w:val="00757323"/>
    <w:rsid w:val="00757369"/>
    <w:rsid w:val="007573F2"/>
    <w:rsid w:val="007573FE"/>
    <w:rsid w:val="0075745B"/>
    <w:rsid w:val="00757536"/>
    <w:rsid w:val="0075768D"/>
    <w:rsid w:val="00757803"/>
    <w:rsid w:val="0075784B"/>
    <w:rsid w:val="00757856"/>
    <w:rsid w:val="0075785C"/>
    <w:rsid w:val="007578E8"/>
    <w:rsid w:val="007579E2"/>
    <w:rsid w:val="00757B9E"/>
    <w:rsid w:val="00757BC3"/>
    <w:rsid w:val="00757C0D"/>
    <w:rsid w:val="00757C76"/>
    <w:rsid w:val="00757CA7"/>
    <w:rsid w:val="00757DA8"/>
    <w:rsid w:val="00757DB7"/>
    <w:rsid w:val="00757E02"/>
    <w:rsid w:val="00757F04"/>
    <w:rsid w:val="0076003B"/>
    <w:rsid w:val="0076004C"/>
    <w:rsid w:val="00760125"/>
    <w:rsid w:val="0076037B"/>
    <w:rsid w:val="0076040C"/>
    <w:rsid w:val="0076061C"/>
    <w:rsid w:val="0076062E"/>
    <w:rsid w:val="00760644"/>
    <w:rsid w:val="007607E2"/>
    <w:rsid w:val="007608C6"/>
    <w:rsid w:val="00760924"/>
    <w:rsid w:val="00760969"/>
    <w:rsid w:val="00760BCA"/>
    <w:rsid w:val="00760BE6"/>
    <w:rsid w:val="00760DBA"/>
    <w:rsid w:val="00760E9A"/>
    <w:rsid w:val="00760FAF"/>
    <w:rsid w:val="00760FE6"/>
    <w:rsid w:val="00761236"/>
    <w:rsid w:val="00761303"/>
    <w:rsid w:val="007613C6"/>
    <w:rsid w:val="0076144D"/>
    <w:rsid w:val="007614A0"/>
    <w:rsid w:val="007614A6"/>
    <w:rsid w:val="00761510"/>
    <w:rsid w:val="00761591"/>
    <w:rsid w:val="007615A5"/>
    <w:rsid w:val="007615DD"/>
    <w:rsid w:val="00761670"/>
    <w:rsid w:val="007616A8"/>
    <w:rsid w:val="0076172C"/>
    <w:rsid w:val="0076178A"/>
    <w:rsid w:val="007617B1"/>
    <w:rsid w:val="00761811"/>
    <w:rsid w:val="00761849"/>
    <w:rsid w:val="00761910"/>
    <w:rsid w:val="007619BC"/>
    <w:rsid w:val="00761AC7"/>
    <w:rsid w:val="00761B4E"/>
    <w:rsid w:val="00761BE9"/>
    <w:rsid w:val="00761C0C"/>
    <w:rsid w:val="00761CCF"/>
    <w:rsid w:val="00761DE6"/>
    <w:rsid w:val="00761ED1"/>
    <w:rsid w:val="00761EE1"/>
    <w:rsid w:val="00761EFC"/>
    <w:rsid w:val="00761F85"/>
    <w:rsid w:val="007623F5"/>
    <w:rsid w:val="007623F6"/>
    <w:rsid w:val="007625DD"/>
    <w:rsid w:val="00762825"/>
    <w:rsid w:val="00762860"/>
    <w:rsid w:val="007628F9"/>
    <w:rsid w:val="007629C1"/>
    <w:rsid w:val="007629EF"/>
    <w:rsid w:val="00762DA3"/>
    <w:rsid w:val="00762EF4"/>
    <w:rsid w:val="00762FAE"/>
    <w:rsid w:val="0076307D"/>
    <w:rsid w:val="00763159"/>
    <w:rsid w:val="0076315A"/>
    <w:rsid w:val="00763186"/>
    <w:rsid w:val="00763446"/>
    <w:rsid w:val="0076344E"/>
    <w:rsid w:val="007634DB"/>
    <w:rsid w:val="0076354C"/>
    <w:rsid w:val="007635E0"/>
    <w:rsid w:val="007635FD"/>
    <w:rsid w:val="00763607"/>
    <w:rsid w:val="0076381C"/>
    <w:rsid w:val="007638F7"/>
    <w:rsid w:val="00763972"/>
    <w:rsid w:val="00763A5E"/>
    <w:rsid w:val="00763B91"/>
    <w:rsid w:val="00763DAE"/>
    <w:rsid w:val="00763EC9"/>
    <w:rsid w:val="0076403C"/>
    <w:rsid w:val="007642C6"/>
    <w:rsid w:val="00764323"/>
    <w:rsid w:val="00764355"/>
    <w:rsid w:val="00764364"/>
    <w:rsid w:val="00764445"/>
    <w:rsid w:val="007644DD"/>
    <w:rsid w:val="0076453F"/>
    <w:rsid w:val="0076465A"/>
    <w:rsid w:val="00764662"/>
    <w:rsid w:val="0076474E"/>
    <w:rsid w:val="00764775"/>
    <w:rsid w:val="00764783"/>
    <w:rsid w:val="00764796"/>
    <w:rsid w:val="00764899"/>
    <w:rsid w:val="007648E1"/>
    <w:rsid w:val="007649E1"/>
    <w:rsid w:val="00764B69"/>
    <w:rsid w:val="00764C60"/>
    <w:rsid w:val="00764CB1"/>
    <w:rsid w:val="00764D28"/>
    <w:rsid w:val="00764D9A"/>
    <w:rsid w:val="00764E6E"/>
    <w:rsid w:val="00765012"/>
    <w:rsid w:val="007650B8"/>
    <w:rsid w:val="00765148"/>
    <w:rsid w:val="0076536F"/>
    <w:rsid w:val="007653A4"/>
    <w:rsid w:val="00765508"/>
    <w:rsid w:val="00765509"/>
    <w:rsid w:val="007655EC"/>
    <w:rsid w:val="0076560B"/>
    <w:rsid w:val="00765783"/>
    <w:rsid w:val="00765A53"/>
    <w:rsid w:val="00765A88"/>
    <w:rsid w:val="00765AC4"/>
    <w:rsid w:val="00765C71"/>
    <w:rsid w:val="00765CDB"/>
    <w:rsid w:val="00765CFE"/>
    <w:rsid w:val="00765D06"/>
    <w:rsid w:val="00765EAA"/>
    <w:rsid w:val="00765F00"/>
    <w:rsid w:val="00765FC6"/>
    <w:rsid w:val="0076608B"/>
    <w:rsid w:val="007663F0"/>
    <w:rsid w:val="007666A7"/>
    <w:rsid w:val="00766708"/>
    <w:rsid w:val="007667F4"/>
    <w:rsid w:val="00766811"/>
    <w:rsid w:val="0076683C"/>
    <w:rsid w:val="007668CD"/>
    <w:rsid w:val="007668DC"/>
    <w:rsid w:val="00766A48"/>
    <w:rsid w:val="00766DC6"/>
    <w:rsid w:val="00766E80"/>
    <w:rsid w:val="00766EB5"/>
    <w:rsid w:val="00766F82"/>
    <w:rsid w:val="00767030"/>
    <w:rsid w:val="007671C5"/>
    <w:rsid w:val="00767228"/>
    <w:rsid w:val="007673C4"/>
    <w:rsid w:val="00767433"/>
    <w:rsid w:val="00767468"/>
    <w:rsid w:val="00767583"/>
    <w:rsid w:val="00767673"/>
    <w:rsid w:val="00767AEA"/>
    <w:rsid w:val="00767BE3"/>
    <w:rsid w:val="00767BEF"/>
    <w:rsid w:val="00767DD3"/>
    <w:rsid w:val="00767DED"/>
    <w:rsid w:val="00767EBF"/>
    <w:rsid w:val="00767F98"/>
    <w:rsid w:val="0077005F"/>
    <w:rsid w:val="007700E2"/>
    <w:rsid w:val="0077041D"/>
    <w:rsid w:val="00770465"/>
    <w:rsid w:val="007705BE"/>
    <w:rsid w:val="007705C9"/>
    <w:rsid w:val="00770764"/>
    <w:rsid w:val="007708D8"/>
    <w:rsid w:val="007709BE"/>
    <w:rsid w:val="00770A1D"/>
    <w:rsid w:val="00770AB7"/>
    <w:rsid w:val="00770AB9"/>
    <w:rsid w:val="00770B3C"/>
    <w:rsid w:val="00770F7C"/>
    <w:rsid w:val="00771015"/>
    <w:rsid w:val="00771116"/>
    <w:rsid w:val="0077116C"/>
    <w:rsid w:val="007711FF"/>
    <w:rsid w:val="007713A0"/>
    <w:rsid w:val="0077140B"/>
    <w:rsid w:val="007714C8"/>
    <w:rsid w:val="007715D6"/>
    <w:rsid w:val="00771630"/>
    <w:rsid w:val="0077165C"/>
    <w:rsid w:val="00771733"/>
    <w:rsid w:val="007718A6"/>
    <w:rsid w:val="007718AA"/>
    <w:rsid w:val="007718D6"/>
    <w:rsid w:val="00771926"/>
    <w:rsid w:val="00771931"/>
    <w:rsid w:val="00771941"/>
    <w:rsid w:val="007719D8"/>
    <w:rsid w:val="00771AD9"/>
    <w:rsid w:val="00771BF3"/>
    <w:rsid w:val="00771C3C"/>
    <w:rsid w:val="00771C9D"/>
    <w:rsid w:val="00771E2F"/>
    <w:rsid w:val="00771E67"/>
    <w:rsid w:val="00771F2F"/>
    <w:rsid w:val="00771F68"/>
    <w:rsid w:val="00771FF3"/>
    <w:rsid w:val="007720ED"/>
    <w:rsid w:val="007723BE"/>
    <w:rsid w:val="00772680"/>
    <w:rsid w:val="00772770"/>
    <w:rsid w:val="00772922"/>
    <w:rsid w:val="007729D6"/>
    <w:rsid w:val="00772A09"/>
    <w:rsid w:val="00772C34"/>
    <w:rsid w:val="00772C4F"/>
    <w:rsid w:val="00772CC6"/>
    <w:rsid w:val="00772CE2"/>
    <w:rsid w:val="00772DA6"/>
    <w:rsid w:val="00772DEF"/>
    <w:rsid w:val="00772E0E"/>
    <w:rsid w:val="00772E73"/>
    <w:rsid w:val="00772EF2"/>
    <w:rsid w:val="00772F76"/>
    <w:rsid w:val="00772FA6"/>
    <w:rsid w:val="007730CC"/>
    <w:rsid w:val="007730D1"/>
    <w:rsid w:val="0077334F"/>
    <w:rsid w:val="0077340A"/>
    <w:rsid w:val="007734C9"/>
    <w:rsid w:val="0077352E"/>
    <w:rsid w:val="00773657"/>
    <w:rsid w:val="00773787"/>
    <w:rsid w:val="00773810"/>
    <w:rsid w:val="00773814"/>
    <w:rsid w:val="0077399A"/>
    <w:rsid w:val="00773A2D"/>
    <w:rsid w:val="00773BA6"/>
    <w:rsid w:val="00773CC0"/>
    <w:rsid w:val="00773D13"/>
    <w:rsid w:val="00773D74"/>
    <w:rsid w:val="00773D97"/>
    <w:rsid w:val="00773DE0"/>
    <w:rsid w:val="00773F24"/>
    <w:rsid w:val="007741B8"/>
    <w:rsid w:val="00774224"/>
    <w:rsid w:val="0077423D"/>
    <w:rsid w:val="0077429D"/>
    <w:rsid w:val="0077434D"/>
    <w:rsid w:val="00774519"/>
    <w:rsid w:val="00774695"/>
    <w:rsid w:val="007747F9"/>
    <w:rsid w:val="007749E2"/>
    <w:rsid w:val="00774B3D"/>
    <w:rsid w:val="00774BE2"/>
    <w:rsid w:val="00774BF1"/>
    <w:rsid w:val="00774C21"/>
    <w:rsid w:val="00774C31"/>
    <w:rsid w:val="00774EDC"/>
    <w:rsid w:val="007751BA"/>
    <w:rsid w:val="00775232"/>
    <w:rsid w:val="007752C2"/>
    <w:rsid w:val="007752E2"/>
    <w:rsid w:val="00775333"/>
    <w:rsid w:val="00775398"/>
    <w:rsid w:val="007754C4"/>
    <w:rsid w:val="00775624"/>
    <w:rsid w:val="00775646"/>
    <w:rsid w:val="00775658"/>
    <w:rsid w:val="0077567C"/>
    <w:rsid w:val="007756A4"/>
    <w:rsid w:val="007758A0"/>
    <w:rsid w:val="007758FA"/>
    <w:rsid w:val="007758FD"/>
    <w:rsid w:val="00775A3E"/>
    <w:rsid w:val="00775BB8"/>
    <w:rsid w:val="00775E0A"/>
    <w:rsid w:val="00775E90"/>
    <w:rsid w:val="00775ED6"/>
    <w:rsid w:val="00775EED"/>
    <w:rsid w:val="00776190"/>
    <w:rsid w:val="007761D9"/>
    <w:rsid w:val="00776266"/>
    <w:rsid w:val="007764ED"/>
    <w:rsid w:val="0077683E"/>
    <w:rsid w:val="007768D3"/>
    <w:rsid w:val="0077694A"/>
    <w:rsid w:val="0077699B"/>
    <w:rsid w:val="00776A55"/>
    <w:rsid w:val="00776B65"/>
    <w:rsid w:val="00776C70"/>
    <w:rsid w:val="00776CC3"/>
    <w:rsid w:val="00776D57"/>
    <w:rsid w:val="00776F3B"/>
    <w:rsid w:val="00776FB5"/>
    <w:rsid w:val="00776FED"/>
    <w:rsid w:val="00777035"/>
    <w:rsid w:val="0077717D"/>
    <w:rsid w:val="0077730F"/>
    <w:rsid w:val="00777353"/>
    <w:rsid w:val="0077738F"/>
    <w:rsid w:val="007773F2"/>
    <w:rsid w:val="007773FD"/>
    <w:rsid w:val="0077755F"/>
    <w:rsid w:val="00777561"/>
    <w:rsid w:val="007777B0"/>
    <w:rsid w:val="0077780F"/>
    <w:rsid w:val="0077782B"/>
    <w:rsid w:val="0077787C"/>
    <w:rsid w:val="00777908"/>
    <w:rsid w:val="00777997"/>
    <w:rsid w:val="00777A30"/>
    <w:rsid w:val="00777A73"/>
    <w:rsid w:val="00777AD3"/>
    <w:rsid w:val="00777C51"/>
    <w:rsid w:val="00777CD9"/>
    <w:rsid w:val="00777D0F"/>
    <w:rsid w:val="00777E67"/>
    <w:rsid w:val="00777EA7"/>
    <w:rsid w:val="00777F6D"/>
    <w:rsid w:val="00780032"/>
    <w:rsid w:val="00780131"/>
    <w:rsid w:val="00780185"/>
    <w:rsid w:val="007801E4"/>
    <w:rsid w:val="007802B2"/>
    <w:rsid w:val="0078056C"/>
    <w:rsid w:val="007805E9"/>
    <w:rsid w:val="00780626"/>
    <w:rsid w:val="0078065B"/>
    <w:rsid w:val="00780787"/>
    <w:rsid w:val="00780A26"/>
    <w:rsid w:val="00780C1C"/>
    <w:rsid w:val="00780C3B"/>
    <w:rsid w:val="00780C8F"/>
    <w:rsid w:val="00780CBA"/>
    <w:rsid w:val="00781051"/>
    <w:rsid w:val="007810EA"/>
    <w:rsid w:val="00781115"/>
    <w:rsid w:val="00781253"/>
    <w:rsid w:val="0078136C"/>
    <w:rsid w:val="00781506"/>
    <w:rsid w:val="0078156E"/>
    <w:rsid w:val="00781592"/>
    <w:rsid w:val="0078159F"/>
    <w:rsid w:val="00781800"/>
    <w:rsid w:val="00781A19"/>
    <w:rsid w:val="00781A47"/>
    <w:rsid w:val="00781A99"/>
    <w:rsid w:val="00781B03"/>
    <w:rsid w:val="00781B92"/>
    <w:rsid w:val="00781CD4"/>
    <w:rsid w:val="00781D11"/>
    <w:rsid w:val="00781E1A"/>
    <w:rsid w:val="00781E31"/>
    <w:rsid w:val="00781E9F"/>
    <w:rsid w:val="00781EAB"/>
    <w:rsid w:val="0078205C"/>
    <w:rsid w:val="00782144"/>
    <w:rsid w:val="0078221E"/>
    <w:rsid w:val="0078226F"/>
    <w:rsid w:val="0078242E"/>
    <w:rsid w:val="007824FD"/>
    <w:rsid w:val="0078250A"/>
    <w:rsid w:val="00782795"/>
    <w:rsid w:val="007827C1"/>
    <w:rsid w:val="007827F6"/>
    <w:rsid w:val="0078299B"/>
    <w:rsid w:val="00782A2A"/>
    <w:rsid w:val="00782B29"/>
    <w:rsid w:val="00782B67"/>
    <w:rsid w:val="00782C4F"/>
    <w:rsid w:val="00782CD0"/>
    <w:rsid w:val="00782D9B"/>
    <w:rsid w:val="00783117"/>
    <w:rsid w:val="007833BF"/>
    <w:rsid w:val="0078347A"/>
    <w:rsid w:val="0078349F"/>
    <w:rsid w:val="0078350B"/>
    <w:rsid w:val="00783580"/>
    <w:rsid w:val="00783597"/>
    <w:rsid w:val="007835F8"/>
    <w:rsid w:val="00783645"/>
    <w:rsid w:val="0078368B"/>
    <w:rsid w:val="00783793"/>
    <w:rsid w:val="0078388B"/>
    <w:rsid w:val="00783B6E"/>
    <w:rsid w:val="00783BB2"/>
    <w:rsid w:val="00783DA9"/>
    <w:rsid w:val="00783EDE"/>
    <w:rsid w:val="00783EEE"/>
    <w:rsid w:val="00783EF9"/>
    <w:rsid w:val="00783F7E"/>
    <w:rsid w:val="00784015"/>
    <w:rsid w:val="00784065"/>
    <w:rsid w:val="0078407A"/>
    <w:rsid w:val="0078412D"/>
    <w:rsid w:val="00784282"/>
    <w:rsid w:val="007842E8"/>
    <w:rsid w:val="0078431F"/>
    <w:rsid w:val="00784329"/>
    <w:rsid w:val="007843D2"/>
    <w:rsid w:val="00784410"/>
    <w:rsid w:val="007846AA"/>
    <w:rsid w:val="007848FA"/>
    <w:rsid w:val="00784940"/>
    <w:rsid w:val="00784AD9"/>
    <w:rsid w:val="00784B5D"/>
    <w:rsid w:val="00784CE3"/>
    <w:rsid w:val="00784CF1"/>
    <w:rsid w:val="00784D27"/>
    <w:rsid w:val="00784D7A"/>
    <w:rsid w:val="00784E9F"/>
    <w:rsid w:val="007850B7"/>
    <w:rsid w:val="00785293"/>
    <w:rsid w:val="0078537D"/>
    <w:rsid w:val="00785453"/>
    <w:rsid w:val="00785568"/>
    <w:rsid w:val="00785709"/>
    <w:rsid w:val="007857BA"/>
    <w:rsid w:val="007858B2"/>
    <w:rsid w:val="007859A1"/>
    <w:rsid w:val="007859FA"/>
    <w:rsid w:val="00785B39"/>
    <w:rsid w:val="00785BF2"/>
    <w:rsid w:val="00785CDE"/>
    <w:rsid w:val="00785DAE"/>
    <w:rsid w:val="00785E69"/>
    <w:rsid w:val="00785FBF"/>
    <w:rsid w:val="00786036"/>
    <w:rsid w:val="0078605B"/>
    <w:rsid w:val="0078606F"/>
    <w:rsid w:val="00786079"/>
    <w:rsid w:val="0078617C"/>
    <w:rsid w:val="007861DE"/>
    <w:rsid w:val="007862D5"/>
    <w:rsid w:val="007863E0"/>
    <w:rsid w:val="00786606"/>
    <w:rsid w:val="00786719"/>
    <w:rsid w:val="00786746"/>
    <w:rsid w:val="00786780"/>
    <w:rsid w:val="0078687D"/>
    <w:rsid w:val="00786882"/>
    <w:rsid w:val="00786A6F"/>
    <w:rsid w:val="00786E7C"/>
    <w:rsid w:val="00786E91"/>
    <w:rsid w:val="00786ED1"/>
    <w:rsid w:val="00786F13"/>
    <w:rsid w:val="00786F2A"/>
    <w:rsid w:val="00786F36"/>
    <w:rsid w:val="0078716B"/>
    <w:rsid w:val="0078735D"/>
    <w:rsid w:val="00787370"/>
    <w:rsid w:val="007873C8"/>
    <w:rsid w:val="0078744A"/>
    <w:rsid w:val="00787530"/>
    <w:rsid w:val="0078799F"/>
    <w:rsid w:val="00787A75"/>
    <w:rsid w:val="00787BF3"/>
    <w:rsid w:val="00787DF9"/>
    <w:rsid w:val="0079037F"/>
    <w:rsid w:val="00790388"/>
    <w:rsid w:val="007903F8"/>
    <w:rsid w:val="00790405"/>
    <w:rsid w:val="007904B4"/>
    <w:rsid w:val="00790562"/>
    <w:rsid w:val="00790567"/>
    <w:rsid w:val="00790658"/>
    <w:rsid w:val="00790832"/>
    <w:rsid w:val="00790B8C"/>
    <w:rsid w:val="00790BE6"/>
    <w:rsid w:val="00790D22"/>
    <w:rsid w:val="00790ED7"/>
    <w:rsid w:val="00790F29"/>
    <w:rsid w:val="0079119B"/>
    <w:rsid w:val="00791276"/>
    <w:rsid w:val="007912E8"/>
    <w:rsid w:val="0079139B"/>
    <w:rsid w:val="007913C0"/>
    <w:rsid w:val="007914E1"/>
    <w:rsid w:val="00791567"/>
    <w:rsid w:val="00791569"/>
    <w:rsid w:val="007918FE"/>
    <w:rsid w:val="00791BFF"/>
    <w:rsid w:val="00791C91"/>
    <w:rsid w:val="00791D30"/>
    <w:rsid w:val="00791E65"/>
    <w:rsid w:val="00791E6E"/>
    <w:rsid w:val="0079202D"/>
    <w:rsid w:val="00792033"/>
    <w:rsid w:val="007920BE"/>
    <w:rsid w:val="007920F1"/>
    <w:rsid w:val="00792190"/>
    <w:rsid w:val="0079219D"/>
    <w:rsid w:val="00792282"/>
    <w:rsid w:val="00792339"/>
    <w:rsid w:val="00792406"/>
    <w:rsid w:val="00792465"/>
    <w:rsid w:val="007924BC"/>
    <w:rsid w:val="00792511"/>
    <w:rsid w:val="0079266E"/>
    <w:rsid w:val="00792686"/>
    <w:rsid w:val="007926DF"/>
    <w:rsid w:val="007926E7"/>
    <w:rsid w:val="00792778"/>
    <w:rsid w:val="0079288C"/>
    <w:rsid w:val="007929E9"/>
    <w:rsid w:val="00792AC8"/>
    <w:rsid w:val="00792CE5"/>
    <w:rsid w:val="00792EE2"/>
    <w:rsid w:val="00792F1C"/>
    <w:rsid w:val="007934D8"/>
    <w:rsid w:val="00793535"/>
    <w:rsid w:val="007935E7"/>
    <w:rsid w:val="007936CA"/>
    <w:rsid w:val="0079376B"/>
    <w:rsid w:val="0079390B"/>
    <w:rsid w:val="00793B79"/>
    <w:rsid w:val="00793BA2"/>
    <w:rsid w:val="00793BC4"/>
    <w:rsid w:val="00793CA0"/>
    <w:rsid w:val="00793CD2"/>
    <w:rsid w:val="00793D88"/>
    <w:rsid w:val="00793DE3"/>
    <w:rsid w:val="00793E15"/>
    <w:rsid w:val="00794133"/>
    <w:rsid w:val="0079418E"/>
    <w:rsid w:val="0079428F"/>
    <w:rsid w:val="007943F7"/>
    <w:rsid w:val="00794496"/>
    <w:rsid w:val="0079456B"/>
    <w:rsid w:val="007945E9"/>
    <w:rsid w:val="007946A1"/>
    <w:rsid w:val="00794700"/>
    <w:rsid w:val="00794752"/>
    <w:rsid w:val="0079489B"/>
    <w:rsid w:val="00794B4F"/>
    <w:rsid w:val="00794B5E"/>
    <w:rsid w:val="00794BA0"/>
    <w:rsid w:val="00794C5A"/>
    <w:rsid w:val="00794C6B"/>
    <w:rsid w:val="00794C8E"/>
    <w:rsid w:val="00794D31"/>
    <w:rsid w:val="00794F29"/>
    <w:rsid w:val="007950D7"/>
    <w:rsid w:val="00795347"/>
    <w:rsid w:val="007953A9"/>
    <w:rsid w:val="00795672"/>
    <w:rsid w:val="007957C6"/>
    <w:rsid w:val="00795898"/>
    <w:rsid w:val="007959DA"/>
    <w:rsid w:val="00795B7C"/>
    <w:rsid w:val="00795C8A"/>
    <w:rsid w:val="00795CCE"/>
    <w:rsid w:val="00795DBA"/>
    <w:rsid w:val="007962DA"/>
    <w:rsid w:val="00796326"/>
    <w:rsid w:val="007963A9"/>
    <w:rsid w:val="00796411"/>
    <w:rsid w:val="00796539"/>
    <w:rsid w:val="0079671F"/>
    <w:rsid w:val="007968E9"/>
    <w:rsid w:val="00796DE9"/>
    <w:rsid w:val="00796E3A"/>
    <w:rsid w:val="00796E76"/>
    <w:rsid w:val="00796EAB"/>
    <w:rsid w:val="00796EE3"/>
    <w:rsid w:val="00797145"/>
    <w:rsid w:val="00797294"/>
    <w:rsid w:val="00797456"/>
    <w:rsid w:val="0079751E"/>
    <w:rsid w:val="0079755B"/>
    <w:rsid w:val="00797565"/>
    <w:rsid w:val="0079782F"/>
    <w:rsid w:val="00797B1D"/>
    <w:rsid w:val="00797BC9"/>
    <w:rsid w:val="00797C22"/>
    <w:rsid w:val="00797C32"/>
    <w:rsid w:val="00797E60"/>
    <w:rsid w:val="007A01F3"/>
    <w:rsid w:val="007A0228"/>
    <w:rsid w:val="007A0254"/>
    <w:rsid w:val="007A026D"/>
    <w:rsid w:val="007A02B6"/>
    <w:rsid w:val="007A0373"/>
    <w:rsid w:val="007A04D6"/>
    <w:rsid w:val="007A04EE"/>
    <w:rsid w:val="007A05AE"/>
    <w:rsid w:val="007A070F"/>
    <w:rsid w:val="007A071B"/>
    <w:rsid w:val="007A094D"/>
    <w:rsid w:val="007A09C9"/>
    <w:rsid w:val="007A0AC8"/>
    <w:rsid w:val="007A0CF1"/>
    <w:rsid w:val="007A10BC"/>
    <w:rsid w:val="007A1186"/>
    <w:rsid w:val="007A11B5"/>
    <w:rsid w:val="007A1420"/>
    <w:rsid w:val="007A1530"/>
    <w:rsid w:val="007A1560"/>
    <w:rsid w:val="007A159F"/>
    <w:rsid w:val="007A1615"/>
    <w:rsid w:val="007A16C3"/>
    <w:rsid w:val="007A16CE"/>
    <w:rsid w:val="007A17B4"/>
    <w:rsid w:val="007A17FF"/>
    <w:rsid w:val="007A1805"/>
    <w:rsid w:val="007A1977"/>
    <w:rsid w:val="007A1A1B"/>
    <w:rsid w:val="007A1B24"/>
    <w:rsid w:val="007A1B8F"/>
    <w:rsid w:val="007A1BA1"/>
    <w:rsid w:val="007A1BB8"/>
    <w:rsid w:val="007A1CA4"/>
    <w:rsid w:val="007A1CB8"/>
    <w:rsid w:val="007A1DEF"/>
    <w:rsid w:val="007A1F07"/>
    <w:rsid w:val="007A1F87"/>
    <w:rsid w:val="007A206A"/>
    <w:rsid w:val="007A21A7"/>
    <w:rsid w:val="007A2260"/>
    <w:rsid w:val="007A2272"/>
    <w:rsid w:val="007A2273"/>
    <w:rsid w:val="007A2383"/>
    <w:rsid w:val="007A245A"/>
    <w:rsid w:val="007A261A"/>
    <w:rsid w:val="007A27B4"/>
    <w:rsid w:val="007A27E5"/>
    <w:rsid w:val="007A27E8"/>
    <w:rsid w:val="007A28AE"/>
    <w:rsid w:val="007A294E"/>
    <w:rsid w:val="007A2B11"/>
    <w:rsid w:val="007A2CEB"/>
    <w:rsid w:val="007A2D13"/>
    <w:rsid w:val="007A2D96"/>
    <w:rsid w:val="007A2D98"/>
    <w:rsid w:val="007A2DB1"/>
    <w:rsid w:val="007A2E6C"/>
    <w:rsid w:val="007A2EDB"/>
    <w:rsid w:val="007A2F22"/>
    <w:rsid w:val="007A3090"/>
    <w:rsid w:val="007A30EB"/>
    <w:rsid w:val="007A3156"/>
    <w:rsid w:val="007A3310"/>
    <w:rsid w:val="007A3354"/>
    <w:rsid w:val="007A33A2"/>
    <w:rsid w:val="007A3405"/>
    <w:rsid w:val="007A3486"/>
    <w:rsid w:val="007A3487"/>
    <w:rsid w:val="007A3504"/>
    <w:rsid w:val="007A35CB"/>
    <w:rsid w:val="007A371F"/>
    <w:rsid w:val="007A3A69"/>
    <w:rsid w:val="007A3CF1"/>
    <w:rsid w:val="007A3D76"/>
    <w:rsid w:val="007A3E4F"/>
    <w:rsid w:val="007A41C6"/>
    <w:rsid w:val="007A427D"/>
    <w:rsid w:val="007A42D9"/>
    <w:rsid w:val="007A44AD"/>
    <w:rsid w:val="007A44E4"/>
    <w:rsid w:val="007A4641"/>
    <w:rsid w:val="007A4703"/>
    <w:rsid w:val="007A4725"/>
    <w:rsid w:val="007A477D"/>
    <w:rsid w:val="007A4795"/>
    <w:rsid w:val="007A4911"/>
    <w:rsid w:val="007A4A02"/>
    <w:rsid w:val="007A4A9F"/>
    <w:rsid w:val="007A4AD2"/>
    <w:rsid w:val="007A4C77"/>
    <w:rsid w:val="007A4C8F"/>
    <w:rsid w:val="007A4F0A"/>
    <w:rsid w:val="007A4F4C"/>
    <w:rsid w:val="007A5000"/>
    <w:rsid w:val="007A509E"/>
    <w:rsid w:val="007A5113"/>
    <w:rsid w:val="007A5137"/>
    <w:rsid w:val="007A51BC"/>
    <w:rsid w:val="007A5201"/>
    <w:rsid w:val="007A5232"/>
    <w:rsid w:val="007A5248"/>
    <w:rsid w:val="007A5344"/>
    <w:rsid w:val="007A535A"/>
    <w:rsid w:val="007A5585"/>
    <w:rsid w:val="007A55FA"/>
    <w:rsid w:val="007A5705"/>
    <w:rsid w:val="007A596E"/>
    <w:rsid w:val="007A5977"/>
    <w:rsid w:val="007A5BB0"/>
    <w:rsid w:val="007A5CBF"/>
    <w:rsid w:val="007A5CD1"/>
    <w:rsid w:val="007A5DFB"/>
    <w:rsid w:val="007A5F73"/>
    <w:rsid w:val="007A606D"/>
    <w:rsid w:val="007A6096"/>
    <w:rsid w:val="007A60AF"/>
    <w:rsid w:val="007A610E"/>
    <w:rsid w:val="007A61FD"/>
    <w:rsid w:val="007A6307"/>
    <w:rsid w:val="007A6324"/>
    <w:rsid w:val="007A63A2"/>
    <w:rsid w:val="007A65F2"/>
    <w:rsid w:val="007A65F5"/>
    <w:rsid w:val="007A661B"/>
    <w:rsid w:val="007A669C"/>
    <w:rsid w:val="007A6731"/>
    <w:rsid w:val="007A694B"/>
    <w:rsid w:val="007A6963"/>
    <w:rsid w:val="007A699B"/>
    <w:rsid w:val="007A69B3"/>
    <w:rsid w:val="007A6B84"/>
    <w:rsid w:val="007A6BF4"/>
    <w:rsid w:val="007A6C66"/>
    <w:rsid w:val="007A6C86"/>
    <w:rsid w:val="007A6E79"/>
    <w:rsid w:val="007A6F88"/>
    <w:rsid w:val="007A7063"/>
    <w:rsid w:val="007A7168"/>
    <w:rsid w:val="007A718B"/>
    <w:rsid w:val="007A7216"/>
    <w:rsid w:val="007A745A"/>
    <w:rsid w:val="007A75F0"/>
    <w:rsid w:val="007A76AB"/>
    <w:rsid w:val="007A76B8"/>
    <w:rsid w:val="007A7849"/>
    <w:rsid w:val="007A7904"/>
    <w:rsid w:val="007A7990"/>
    <w:rsid w:val="007A79FD"/>
    <w:rsid w:val="007A7A55"/>
    <w:rsid w:val="007A7A73"/>
    <w:rsid w:val="007A7C13"/>
    <w:rsid w:val="007A7CA6"/>
    <w:rsid w:val="007A7CB6"/>
    <w:rsid w:val="007A7E2B"/>
    <w:rsid w:val="007A7F8C"/>
    <w:rsid w:val="007A7FD9"/>
    <w:rsid w:val="007B0138"/>
    <w:rsid w:val="007B05C6"/>
    <w:rsid w:val="007B0B19"/>
    <w:rsid w:val="007B0C4B"/>
    <w:rsid w:val="007B0C6A"/>
    <w:rsid w:val="007B0DDC"/>
    <w:rsid w:val="007B0FD3"/>
    <w:rsid w:val="007B117D"/>
    <w:rsid w:val="007B12DB"/>
    <w:rsid w:val="007B1420"/>
    <w:rsid w:val="007B1441"/>
    <w:rsid w:val="007B14CA"/>
    <w:rsid w:val="007B156E"/>
    <w:rsid w:val="007B1574"/>
    <w:rsid w:val="007B16B9"/>
    <w:rsid w:val="007B178F"/>
    <w:rsid w:val="007B17F5"/>
    <w:rsid w:val="007B1812"/>
    <w:rsid w:val="007B18B7"/>
    <w:rsid w:val="007B18CD"/>
    <w:rsid w:val="007B190D"/>
    <w:rsid w:val="007B1955"/>
    <w:rsid w:val="007B1A75"/>
    <w:rsid w:val="007B1B5F"/>
    <w:rsid w:val="007B1B76"/>
    <w:rsid w:val="007B1C64"/>
    <w:rsid w:val="007B1C80"/>
    <w:rsid w:val="007B1CDD"/>
    <w:rsid w:val="007B1E6F"/>
    <w:rsid w:val="007B1FEB"/>
    <w:rsid w:val="007B1FF4"/>
    <w:rsid w:val="007B2165"/>
    <w:rsid w:val="007B22B8"/>
    <w:rsid w:val="007B22C1"/>
    <w:rsid w:val="007B22C6"/>
    <w:rsid w:val="007B238A"/>
    <w:rsid w:val="007B2627"/>
    <w:rsid w:val="007B26A7"/>
    <w:rsid w:val="007B2733"/>
    <w:rsid w:val="007B2B7F"/>
    <w:rsid w:val="007B2C0F"/>
    <w:rsid w:val="007B2C6B"/>
    <w:rsid w:val="007B2DB7"/>
    <w:rsid w:val="007B2DBB"/>
    <w:rsid w:val="007B2EC7"/>
    <w:rsid w:val="007B2F88"/>
    <w:rsid w:val="007B302B"/>
    <w:rsid w:val="007B316A"/>
    <w:rsid w:val="007B320A"/>
    <w:rsid w:val="007B3305"/>
    <w:rsid w:val="007B330C"/>
    <w:rsid w:val="007B3408"/>
    <w:rsid w:val="007B3434"/>
    <w:rsid w:val="007B3570"/>
    <w:rsid w:val="007B35CD"/>
    <w:rsid w:val="007B369C"/>
    <w:rsid w:val="007B37E7"/>
    <w:rsid w:val="007B3A37"/>
    <w:rsid w:val="007B3A39"/>
    <w:rsid w:val="007B3B8B"/>
    <w:rsid w:val="007B3BAC"/>
    <w:rsid w:val="007B3BDF"/>
    <w:rsid w:val="007B3C2D"/>
    <w:rsid w:val="007B3D24"/>
    <w:rsid w:val="007B3D72"/>
    <w:rsid w:val="007B3E82"/>
    <w:rsid w:val="007B3F57"/>
    <w:rsid w:val="007B3F85"/>
    <w:rsid w:val="007B4047"/>
    <w:rsid w:val="007B41CD"/>
    <w:rsid w:val="007B4200"/>
    <w:rsid w:val="007B4206"/>
    <w:rsid w:val="007B449D"/>
    <w:rsid w:val="007B44BB"/>
    <w:rsid w:val="007B46BE"/>
    <w:rsid w:val="007B489D"/>
    <w:rsid w:val="007B48C7"/>
    <w:rsid w:val="007B4909"/>
    <w:rsid w:val="007B4A59"/>
    <w:rsid w:val="007B4AED"/>
    <w:rsid w:val="007B4B2A"/>
    <w:rsid w:val="007B4B38"/>
    <w:rsid w:val="007B4C36"/>
    <w:rsid w:val="007B4C9A"/>
    <w:rsid w:val="007B4EBA"/>
    <w:rsid w:val="007B4F98"/>
    <w:rsid w:val="007B51B9"/>
    <w:rsid w:val="007B528B"/>
    <w:rsid w:val="007B52E9"/>
    <w:rsid w:val="007B534C"/>
    <w:rsid w:val="007B54B3"/>
    <w:rsid w:val="007B54D4"/>
    <w:rsid w:val="007B54F5"/>
    <w:rsid w:val="007B551C"/>
    <w:rsid w:val="007B55F5"/>
    <w:rsid w:val="007B5717"/>
    <w:rsid w:val="007B5744"/>
    <w:rsid w:val="007B5A63"/>
    <w:rsid w:val="007B5A8D"/>
    <w:rsid w:val="007B5AB3"/>
    <w:rsid w:val="007B5AFE"/>
    <w:rsid w:val="007B5C16"/>
    <w:rsid w:val="007B5D60"/>
    <w:rsid w:val="007B5E9F"/>
    <w:rsid w:val="007B5F1B"/>
    <w:rsid w:val="007B5FCA"/>
    <w:rsid w:val="007B603F"/>
    <w:rsid w:val="007B612A"/>
    <w:rsid w:val="007B6152"/>
    <w:rsid w:val="007B61A5"/>
    <w:rsid w:val="007B61BE"/>
    <w:rsid w:val="007B61DB"/>
    <w:rsid w:val="007B6324"/>
    <w:rsid w:val="007B6387"/>
    <w:rsid w:val="007B6625"/>
    <w:rsid w:val="007B6729"/>
    <w:rsid w:val="007B682F"/>
    <w:rsid w:val="007B6841"/>
    <w:rsid w:val="007B6A08"/>
    <w:rsid w:val="007B6AFF"/>
    <w:rsid w:val="007B6BE2"/>
    <w:rsid w:val="007B6F8B"/>
    <w:rsid w:val="007B6FAD"/>
    <w:rsid w:val="007B719B"/>
    <w:rsid w:val="007B7573"/>
    <w:rsid w:val="007B7749"/>
    <w:rsid w:val="007B7771"/>
    <w:rsid w:val="007B7786"/>
    <w:rsid w:val="007B77E8"/>
    <w:rsid w:val="007B783C"/>
    <w:rsid w:val="007B7858"/>
    <w:rsid w:val="007B7AC0"/>
    <w:rsid w:val="007B7ADD"/>
    <w:rsid w:val="007B7C0E"/>
    <w:rsid w:val="007B7DC8"/>
    <w:rsid w:val="007B7E06"/>
    <w:rsid w:val="007B7E59"/>
    <w:rsid w:val="007B7E77"/>
    <w:rsid w:val="007B7EAD"/>
    <w:rsid w:val="007B7ED0"/>
    <w:rsid w:val="007B7EFB"/>
    <w:rsid w:val="007B7FDC"/>
    <w:rsid w:val="007C0242"/>
    <w:rsid w:val="007C0250"/>
    <w:rsid w:val="007C0257"/>
    <w:rsid w:val="007C02D0"/>
    <w:rsid w:val="007C0491"/>
    <w:rsid w:val="007C05AD"/>
    <w:rsid w:val="007C085B"/>
    <w:rsid w:val="007C0870"/>
    <w:rsid w:val="007C0888"/>
    <w:rsid w:val="007C09AC"/>
    <w:rsid w:val="007C09EB"/>
    <w:rsid w:val="007C0A3C"/>
    <w:rsid w:val="007C0A4B"/>
    <w:rsid w:val="007C0AF4"/>
    <w:rsid w:val="007C0B1C"/>
    <w:rsid w:val="007C0BDD"/>
    <w:rsid w:val="007C0C47"/>
    <w:rsid w:val="007C0D4D"/>
    <w:rsid w:val="007C0DB9"/>
    <w:rsid w:val="007C0DE0"/>
    <w:rsid w:val="007C0DE7"/>
    <w:rsid w:val="007C0E4E"/>
    <w:rsid w:val="007C0E82"/>
    <w:rsid w:val="007C0EF7"/>
    <w:rsid w:val="007C0FAB"/>
    <w:rsid w:val="007C10E2"/>
    <w:rsid w:val="007C11EB"/>
    <w:rsid w:val="007C1225"/>
    <w:rsid w:val="007C1372"/>
    <w:rsid w:val="007C13C8"/>
    <w:rsid w:val="007C15A9"/>
    <w:rsid w:val="007C1633"/>
    <w:rsid w:val="007C1643"/>
    <w:rsid w:val="007C17C7"/>
    <w:rsid w:val="007C18E6"/>
    <w:rsid w:val="007C1920"/>
    <w:rsid w:val="007C1AAD"/>
    <w:rsid w:val="007C1AE5"/>
    <w:rsid w:val="007C1BB4"/>
    <w:rsid w:val="007C1C04"/>
    <w:rsid w:val="007C1C0E"/>
    <w:rsid w:val="007C1DD1"/>
    <w:rsid w:val="007C1DDF"/>
    <w:rsid w:val="007C1DF7"/>
    <w:rsid w:val="007C1E4D"/>
    <w:rsid w:val="007C1F54"/>
    <w:rsid w:val="007C1F56"/>
    <w:rsid w:val="007C2059"/>
    <w:rsid w:val="007C209C"/>
    <w:rsid w:val="007C2264"/>
    <w:rsid w:val="007C2407"/>
    <w:rsid w:val="007C2490"/>
    <w:rsid w:val="007C2586"/>
    <w:rsid w:val="007C2749"/>
    <w:rsid w:val="007C278B"/>
    <w:rsid w:val="007C2849"/>
    <w:rsid w:val="007C28DE"/>
    <w:rsid w:val="007C29A2"/>
    <w:rsid w:val="007C29D4"/>
    <w:rsid w:val="007C2AB9"/>
    <w:rsid w:val="007C2DED"/>
    <w:rsid w:val="007C2E68"/>
    <w:rsid w:val="007C2F86"/>
    <w:rsid w:val="007C2F88"/>
    <w:rsid w:val="007C2FE7"/>
    <w:rsid w:val="007C30F3"/>
    <w:rsid w:val="007C30FD"/>
    <w:rsid w:val="007C3116"/>
    <w:rsid w:val="007C31B8"/>
    <w:rsid w:val="007C3241"/>
    <w:rsid w:val="007C3248"/>
    <w:rsid w:val="007C33D4"/>
    <w:rsid w:val="007C33EB"/>
    <w:rsid w:val="007C35BB"/>
    <w:rsid w:val="007C37B9"/>
    <w:rsid w:val="007C3889"/>
    <w:rsid w:val="007C3B98"/>
    <w:rsid w:val="007C3E14"/>
    <w:rsid w:val="007C3F0C"/>
    <w:rsid w:val="007C3F25"/>
    <w:rsid w:val="007C3F55"/>
    <w:rsid w:val="007C3FBC"/>
    <w:rsid w:val="007C3FEC"/>
    <w:rsid w:val="007C40A3"/>
    <w:rsid w:val="007C40F1"/>
    <w:rsid w:val="007C4495"/>
    <w:rsid w:val="007C4545"/>
    <w:rsid w:val="007C45A3"/>
    <w:rsid w:val="007C46D2"/>
    <w:rsid w:val="007C46D5"/>
    <w:rsid w:val="007C4735"/>
    <w:rsid w:val="007C477E"/>
    <w:rsid w:val="007C47E2"/>
    <w:rsid w:val="007C47F8"/>
    <w:rsid w:val="007C4857"/>
    <w:rsid w:val="007C48A9"/>
    <w:rsid w:val="007C4ABF"/>
    <w:rsid w:val="007C4FB5"/>
    <w:rsid w:val="007C505E"/>
    <w:rsid w:val="007C5079"/>
    <w:rsid w:val="007C5098"/>
    <w:rsid w:val="007C510A"/>
    <w:rsid w:val="007C52FD"/>
    <w:rsid w:val="007C53C8"/>
    <w:rsid w:val="007C5483"/>
    <w:rsid w:val="007C5508"/>
    <w:rsid w:val="007C55A1"/>
    <w:rsid w:val="007C55E4"/>
    <w:rsid w:val="007C564B"/>
    <w:rsid w:val="007C5691"/>
    <w:rsid w:val="007C56E5"/>
    <w:rsid w:val="007C5863"/>
    <w:rsid w:val="007C58FB"/>
    <w:rsid w:val="007C59F6"/>
    <w:rsid w:val="007C5A5C"/>
    <w:rsid w:val="007C5A9E"/>
    <w:rsid w:val="007C5AC3"/>
    <w:rsid w:val="007C5C12"/>
    <w:rsid w:val="007C5DEF"/>
    <w:rsid w:val="007C5F7F"/>
    <w:rsid w:val="007C5FE2"/>
    <w:rsid w:val="007C6064"/>
    <w:rsid w:val="007C622C"/>
    <w:rsid w:val="007C6241"/>
    <w:rsid w:val="007C6242"/>
    <w:rsid w:val="007C6279"/>
    <w:rsid w:val="007C634D"/>
    <w:rsid w:val="007C6589"/>
    <w:rsid w:val="007C661B"/>
    <w:rsid w:val="007C6647"/>
    <w:rsid w:val="007C66A7"/>
    <w:rsid w:val="007C6744"/>
    <w:rsid w:val="007C681F"/>
    <w:rsid w:val="007C6824"/>
    <w:rsid w:val="007C6869"/>
    <w:rsid w:val="007C6B87"/>
    <w:rsid w:val="007C6B89"/>
    <w:rsid w:val="007C6C4A"/>
    <w:rsid w:val="007C6D4B"/>
    <w:rsid w:val="007C6FEA"/>
    <w:rsid w:val="007C7032"/>
    <w:rsid w:val="007C70F0"/>
    <w:rsid w:val="007C7283"/>
    <w:rsid w:val="007C7483"/>
    <w:rsid w:val="007C7503"/>
    <w:rsid w:val="007C75A7"/>
    <w:rsid w:val="007C7631"/>
    <w:rsid w:val="007C7A1B"/>
    <w:rsid w:val="007C7A23"/>
    <w:rsid w:val="007C7AD3"/>
    <w:rsid w:val="007C7B59"/>
    <w:rsid w:val="007C7C21"/>
    <w:rsid w:val="007C7C2E"/>
    <w:rsid w:val="007C7C5E"/>
    <w:rsid w:val="007C7D21"/>
    <w:rsid w:val="007C7DE1"/>
    <w:rsid w:val="007C7DE8"/>
    <w:rsid w:val="007CAF82"/>
    <w:rsid w:val="007D009B"/>
    <w:rsid w:val="007D0252"/>
    <w:rsid w:val="007D0313"/>
    <w:rsid w:val="007D03CE"/>
    <w:rsid w:val="007D042D"/>
    <w:rsid w:val="007D046A"/>
    <w:rsid w:val="007D0517"/>
    <w:rsid w:val="007D057C"/>
    <w:rsid w:val="007D062C"/>
    <w:rsid w:val="007D0930"/>
    <w:rsid w:val="007D0A83"/>
    <w:rsid w:val="007D0D65"/>
    <w:rsid w:val="007D0E0A"/>
    <w:rsid w:val="007D0FC6"/>
    <w:rsid w:val="007D102C"/>
    <w:rsid w:val="007D1091"/>
    <w:rsid w:val="007D1244"/>
    <w:rsid w:val="007D12C1"/>
    <w:rsid w:val="007D12DB"/>
    <w:rsid w:val="007D13F1"/>
    <w:rsid w:val="007D1488"/>
    <w:rsid w:val="007D1573"/>
    <w:rsid w:val="007D173B"/>
    <w:rsid w:val="007D183C"/>
    <w:rsid w:val="007D1A17"/>
    <w:rsid w:val="007D1A31"/>
    <w:rsid w:val="007D1B05"/>
    <w:rsid w:val="007D1C3E"/>
    <w:rsid w:val="007D1D52"/>
    <w:rsid w:val="007D1E80"/>
    <w:rsid w:val="007D1E96"/>
    <w:rsid w:val="007D1ED1"/>
    <w:rsid w:val="007D1ED6"/>
    <w:rsid w:val="007D1FA6"/>
    <w:rsid w:val="007D1FF6"/>
    <w:rsid w:val="007D2009"/>
    <w:rsid w:val="007D2077"/>
    <w:rsid w:val="007D20B6"/>
    <w:rsid w:val="007D2349"/>
    <w:rsid w:val="007D234B"/>
    <w:rsid w:val="007D24D6"/>
    <w:rsid w:val="007D250E"/>
    <w:rsid w:val="007D269E"/>
    <w:rsid w:val="007D26BE"/>
    <w:rsid w:val="007D2897"/>
    <w:rsid w:val="007D28E5"/>
    <w:rsid w:val="007D29F9"/>
    <w:rsid w:val="007D2A35"/>
    <w:rsid w:val="007D2ADA"/>
    <w:rsid w:val="007D2AF3"/>
    <w:rsid w:val="007D2BA3"/>
    <w:rsid w:val="007D2C0B"/>
    <w:rsid w:val="007D2C9F"/>
    <w:rsid w:val="007D2ED9"/>
    <w:rsid w:val="007D2F7D"/>
    <w:rsid w:val="007D3091"/>
    <w:rsid w:val="007D313F"/>
    <w:rsid w:val="007D32A2"/>
    <w:rsid w:val="007D3315"/>
    <w:rsid w:val="007D345E"/>
    <w:rsid w:val="007D363E"/>
    <w:rsid w:val="007D3698"/>
    <w:rsid w:val="007D372D"/>
    <w:rsid w:val="007D3ABB"/>
    <w:rsid w:val="007D3C4C"/>
    <w:rsid w:val="007D3CC6"/>
    <w:rsid w:val="007D3D41"/>
    <w:rsid w:val="007D409B"/>
    <w:rsid w:val="007D42A9"/>
    <w:rsid w:val="007D42DA"/>
    <w:rsid w:val="007D4406"/>
    <w:rsid w:val="007D4424"/>
    <w:rsid w:val="007D446F"/>
    <w:rsid w:val="007D4661"/>
    <w:rsid w:val="007D476C"/>
    <w:rsid w:val="007D479B"/>
    <w:rsid w:val="007D47C3"/>
    <w:rsid w:val="007D47CD"/>
    <w:rsid w:val="007D4869"/>
    <w:rsid w:val="007D4945"/>
    <w:rsid w:val="007D49B7"/>
    <w:rsid w:val="007D4B11"/>
    <w:rsid w:val="007D4BE2"/>
    <w:rsid w:val="007D4D1F"/>
    <w:rsid w:val="007D4DA8"/>
    <w:rsid w:val="007D4E41"/>
    <w:rsid w:val="007D4E51"/>
    <w:rsid w:val="007D4F81"/>
    <w:rsid w:val="007D4FB4"/>
    <w:rsid w:val="007D50D8"/>
    <w:rsid w:val="007D515A"/>
    <w:rsid w:val="007D5397"/>
    <w:rsid w:val="007D5569"/>
    <w:rsid w:val="007D560F"/>
    <w:rsid w:val="007D5629"/>
    <w:rsid w:val="007D57EC"/>
    <w:rsid w:val="007D5964"/>
    <w:rsid w:val="007D5966"/>
    <w:rsid w:val="007D59E8"/>
    <w:rsid w:val="007D5BAE"/>
    <w:rsid w:val="007D5D18"/>
    <w:rsid w:val="007D5D85"/>
    <w:rsid w:val="007D5E8D"/>
    <w:rsid w:val="007D5FD0"/>
    <w:rsid w:val="007D603B"/>
    <w:rsid w:val="007D603F"/>
    <w:rsid w:val="007D607B"/>
    <w:rsid w:val="007D620B"/>
    <w:rsid w:val="007D62E7"/>
    <w:rsid w:val="007D633F"/>
    <w:rsid w:val="007D6484"/>
    <w:rsid w:val="007D64A1"/>
    <w:rsid w:val="007D64E5"/>
    <w:rsid w:val="007D6504"/>
    <w:rsid w:val="007D6505"/>
    <w:rsid w:val="007D6507"/>
    <w:rsid w:val="007D66DC"/>
    <w:rsid w:val="007D673B"/>
    <w:rsid w:val="007D69FA"/>
    <w:rsid w:val="007D6A04"/>
    <w:rsid w:val="007D6A51"/>
    <w:rsid w:val="007D6DF4"/>
    <w:rsid w:val="007D6EBD"/>
    <w:rsid w:val="007D708C"/>
    <w:rsid w:val="007D718B"/>
    <w:rsid w:val="007D728B"/>
    <w:rsid w:val="007D754E"/>
    <w:rsid w:val="007D7573"/>
    <w:rsid w:val="007D75C8"/>
    <w:rsid w:val="007D75F6"/>
    <w:rsid w:val="007D764F"/>
    <w:rsid w:val="007D7748"/>
    <w:rsid w:val="007D7821"/>
    <w:rsid w:val="007D78B1"/>
    <w:rsid w:val="007D78E4"/>
    <w:rsid w:val="007D7C11"/>
    <w:rsid w:val="007D7CDC"/>
    <w:rsid w:val="007D7D18"/>
    <w:rsid w:val="007D7D51"/>
    <w:rsid w:val="007D7D80"/>
    <w:rsid w:val="007D7DB1"/>
    <w:rsid w:val="007D7E5E"/>
    <w:rsid w:val="007D7F5D"/>
    <w:rsid w:val="007E01F3"/>
    <w:rsid w:val="007E03DB"/>
    <w:rsid w:val="007E0491"/>
    <w:rsid w:val="007E04BB"/>
    <w:rsid w:val="007E0596"/>
    <w:rsid w:val="007E05C1"/>
    <w:rsid w:val="007E061E"/>
    <w:rsid w:val="007E065E"/>
    <w:rsid w:val="007E0784"/>
    <w:rsid w:val="007E0829"/>
    <w:rsid w:val="007E08A0"/>
    <w:rsid w:val="007E08E5"/>
    <w:rsid w:val="007E0923"/>
    <w:rsid w:val="007E0A0F"/>
    <w:rsid w:val="007E0A1B"/>
    <w:rsid w:val="007E0AF6"/>
    <w:rsid w:val="007E0BC1"/>
    <w:rsid w:val="007E0C06"/>
    <w:rsid w:val="007E0D7D"/>
    <w:rsid w:val="007E0DF4"/>
    <w:rsid w:val="007E0E34"/>
    <w:rsid w:val="007E0F12"/>
    <w:rsid w:val="007E11F7"/>
    <w:rsid w:val="007E122A"/>
    <w:rsid w:val="007E1236"/>
    <w:rsid w:val="007E14FA"/>
    <w:rsid w:val="007E1649"/>
    <w:rsid w:val="007E1757"/>
    <w:rsid w:val="007E17C5"/>
    <w:rsid w:val="007E19AC"/>
    <w:rsid w:val="007E1B7F"/>
    <w:rsid w:val="007E1D0E"/>
    <w:rsid w:val="007E1E79"/>
    <w:rsid w:val="007E1F76"/>
    <w:rsid w:val="007E224A"/>
    <w:rsid w:val="007E228F"/>
    <w:rsid w:val="007E22B7"/>
    <w:rsid w:val="007E24CB"/>
    <w:rsid w:val="007E2560"/>
    <w:rsid w:val="007E27BB"/>
    <w:rsid w:val="007E280E"/>
    <w:rsid w:val="007E297B"/>
    <w:rsid w:val="007E2995"/>
    <w:rsid w:val="007E29BA"/>
    <w:rsid w:val="007E2A5D"/>
    <w:rsid w:val="007E2AA3"/>
    <w:rsid w:val="007E2ADA"/>
    <w:rsid w:val="007E2C64"/>
    <w:rsid w:val="007E2CC4"/>
    <w:rsid w:val="007E2D45"/>
    <w:rsid w:val="007E2DC4"/>
    <w:rsid w:val="007E2DDF"/>
    <w:rsid w:val="007E2E64"/>
    <w:rsid w:val="007E2E6A"/>
    <w:rsid w:val="007E2F62"/>
    <w:rsid w:val="007E2FC2"/>
    <w:rsid w:val="007E3022"/>
    <w:rsid w:val="007E33B3"/>
    <w:rsid w:val="007E33CE"/>
    <w:rsid w:val="007E34A5"/>
    <w:rsid w:val="007E393C"/>
    <w:rsid w:val="007E39C6"/>
    <w:rsid w:val="007E3AF5"/>
    <w:rsid w:val="007E3B86"/>
    <w:rsid w:val="007E3D29"/>
    <w:rsid w:val="007E3D70"/>
    <w:rsid w:val="007E3E21"/>
    <w:rsid w:val="007E3F07"/>
    <w:rsid w:val="007E3FA3"/>
    <w:rsid w:val="007E3FD1"/>
    <w:rsid w:val="007E3FF5"/>
    <w:rsid w:val="007E402D"/>
    <w:rsid w:val="007E41D8"/>
    <w:rsid w:val="007E4228"/>
    <w:rsid w:val="007E425F"/>
    <w:rsid w:val="007E4359"/>
    <w:rsid w:val="007E44F7"/>
    <w:rsid w:val="007E4577"/>
    <w:rsid w:val="007E45F0"/>
    <w:rsid w:val="007E4672"/>
    <w:rsid w:val="007E4739"/>
    <w:rsid w:val="007E473A"/>
    <w:rsid w:val="007E476E"/>
    <w:rsid w:val="007E477D"/>
    <w:rsid w:val="007E4862"/>
    <w:rsid w:val="007E48D6"/>
    <w:rsid w:val="007E4960"/>
    <w:rsid w:val="007E4B1E"/>
    <w:rsid w:val="007E4B3E"/>
    <w:rsid w:val="007E4BE4"/>
    <w:rsid w:val="007E4BE9"/>
    <w:rsid w:val="007E4C61"/>
    <w:rsid w:val="007E4CE9"/>
    <w:rsid w:val="007E4E5E"/>
    <w:rsid w:val="007E4EF8"/>
    <w:rsid w:val="007E4F4C"/>
    <w:rsid w:val="007E4F53"/>
    <w:rsid w:val="007E4F88"/>
    <w:rsid w:val="007E517B"/>
    <w:rsid w:val="007E51CE"/>
    <w:rsid w:val="007E5237"/>
    <w:rsid w:val="007E5482"/>
    <w:rsid w:val="007E55D6"/>
    <w:rsid w:val="007E569A"/>
    <w:rsid w:val="007E59B3"/>
    <w:rsid w:val="007E59C4"/>
    <w:rsid w:val="007E59C9"/>
    <w:rsid w:val="007E5A14"/>
    <w:rsid w:val="007E5A6D"/>
    <w:rsid w:val="007E5A79"/>
    <w:rsid w:val="007E5AB2"/>
    <w:rsid w:val="007E5B0E"/>
    <w:rsid w:val="007E5B40"/>
    <w:rsid w:val="007E5CB6"/>
    <w:rsid w:val="007E5D87"/>
    <w:rsid w:val="007E5DF6"/>
    <w:rsid w:val="007E5F89"/>
    <w:rsid w:val="007E5FA4"/>
    <w:rsid w:val="007E60DF"/>
    <w:rsid w:val="007E615E"/>
    <w:rsid w:val="007E621C"/>
    <w:rsid w:val="007E6229"/>
    <w:rsid w:val="007E6286"/>
    <w:rsid w:val="007E631A"/>
    <w:rsid w:val="007E65EB"/>
    <w:rsid w:val="007E6610"/>
    <w:rsid w:val="007E6692"/>
    <w:rsid w:val="007E6792"/>
    <w:rsid w:val="007E686F"/>
    <w:rsid w:val="007E694D"/>
    <w:rsid w:val="007E69AB"/>
    <w:rsid w:val="007E69BB"/>
    <w:rsid w:val="007E69DC"/>
    <w:rsid w:val="007E6A51"/>
    <w:rsid w:val="007E6A76"/>
    <w:rsid w:val="007E6BD6"/>
    <w:rsid w:val="007E6E54"/>
    <w:rsid w:val="007E701A"/>
    <w:rsid w:val="007E705E"/>
    <w:rsid w:val="007E707B"/>
    <w:rsid w:val="007E71B7"/>
    <w:rsid w:val="007E7272"/>
    <w:rsid w:val="007E7312"/>
    <w:rsid w:val="007E7326"/>
    <w:rsid w:val="007E741E"/>
    <w:rsid w:val="007E7438"/>
    <w:rsid w:val="007E74C0"/>
    <w:rsid w:val="007E7534"/>
    <w:rsid w:val="007E779A"/>
    <w:rsid w:val="007E7902"/>
    <w:rsid w:val="007E79DA"/>
    <w:rsid w:val="007E7A88"/>
    <w:rsid w:val="007E7AA2"/>
    <w:rsid w:val="007E7BEB"/>
    <w:rsid w:val="007E7C97"/>
    <w:rsid w:val="007E7E21"/>
    <w:rsid w:val="007E7E2D"/>
    <w:rsid w:val="007E7E3E"/>
    <w:rsid w:val="007F0225"/>
    <w:rsid w:val="007F0350"/>
    <w:rsid w:val="007F04EB"/>
    <w:rsid w:val="007F0557"/>
    <w:rsid w:val="007F062C"/>
    <w:rsid w:val="007F06AF"/>
    <w:rsid w:val="007F06F1"/>
    <w:rsid w:val="007F08FB"/>
    <w:rsid w:val="007F0913"/>
    <w:rsid w:val="007F0AA3"/>
    <w:rsid w:val="007F0AAB"/>
    <w:rsid w:val="007F0B9C"/>
    <w:rsid w:val="007F0FF1"/>
    <w:rsid w:val="007F1153"/>
    <w:rsid w:val="007F152B"/>
    <w:rsid w:val="007F1754"/>
    <w:rsid w:val="007F17CF"/>
    <w:rsid w:val="007F19D6"/>
    <w:rsid w:val="007F1B39"/>
    <w:rsid w:val="007F1BB2"/>
    <w:rsid w:val="007F1C26"/>
    <w:rsid w:val="007F1DBD"/>
    <w:rsid w:val="007F1F03"/>
    <w:rsid w:val="007F1F63"/>
    <w:rsid w:val="007F210F"/>
    <w:rsid w:val="007F23E1"/>
    <w:rsid w:val="007F249F"/>
    <w:rsid w:val="007F25A5"/>
    <w:rsid w:val="007F28D4"/>
    <w:rsid w:val="007F299E"/>
    <w:rsid w:val="007F2B04"/>
    <w:rsid w:val="007F2D18"/>
    <w:rsid w:val="007F2D9A"/>
    <w:rsid w:val="007F2E4F"/>
    <w:rsid w:val="007F2F30"/>
    <w:rsid w:val="007F3002"/>
    <w:rsid w:val="007F30F0"/>
    <w:rsid w:val="007F3108"/>
    <w:rsid w:val="007F3301"/>
    <w:rsid w:val="007F346E"/>
    <w:rsid w:val="007F34D1"/>
    <w:rsid w:val="007F35BF"/>
    <w:rsid w:val="007F36FA"/>
    <w:rsid w:val="007F3702"/>
    <w:rsid w:val="007F37A3"/>
    <w:rsid w:val="007F37D5"/>
    <w:rsid w:val="007F388E"/>
    <w:rsid w:val="007F393B"/>
    <w:rsid w:val="007F39C5"/>
    <w:rsid w:val="007F3A1C"/>
    <w:rsid w:val="007F3A84"/>
    <w:rsid w:val="007F3AD2"/>
    <w:rsid w:val="007F3BB7"/>
    <w:rsid w:val="007F3C66"/>
    <w:rsid w:val="007F3CF9"/>
    <w:rsid w:val="007F3D95"/>
    <w:rsid w:val="007F3F8B"/>
    <w:rsid w:val="007F3FA6"/>
    <w:rsid w:val="007F40FD"/>
    <w:rsid w:val="007F467D"/>
    <w:rsid w:val="007F490C"/>
    <w:rsid w:val="007F4B3F"/>
    <w:rsid w:val="007F4BA5"/>
    <w:rsid w:val="007F4BF1"/>
    <w:rsid w:val="007F4DB9"/>
    <w:rsid w:val="007F515F"/>
    <w:rsid w:val="007F51E9"/>
    <w:rsid w:val="007F52C3"/>
    <w:rsid w:val="007F5304"/>
    <w:rsid w:val="007F53BD"/>
    <w:rsid w:val="007F53F6"/>
    <w:rsid w:val="007F5627"/>
    <w:rsid w:val="007F5993"/>
    <w:rsid w:val="007F5BEC"/>
    <w:rsid w:val="007F5BF1"/>
    <w:rsid w:val="007F5D77"/>
    <w:rsid w:val="007F5EFB"/>
    <w:rsid w:val="007F62D2"/>
    <w:rsid w:val="007F6342"/>
    <w:rsid w:val="007F6416"/>
    <w:rsid w:val="007F6523"/>
    <w:rsid w:val="007F6641"/>
    <w:rsid w:val="007F6698"/>
    <w:rsid w:val="007F6766"/>
    <w:rsid w:val="007F676C"/>
    <w:rsid w:val="007F6826"/>
    <w:rsid w:val="007F693D"/>
    <w:rsid w:val="007F6C30"/>
    <w:rsid w:val="007F6D72"/>
    <w:rsid w:val="007F6F0B"/>
    <w:rsid w:val="007F6FA1"/>
    <w:rsid w:val="007F704D"/>
    <w:rsid w:val="007F73BD"/>
    <w:rsid w:val="007F74BF"/>
    <w:rsid w:val="007F75DC"/>
    <w:rsid w:val="007F763C"/>
    <w:rsid w:val="007F76B6"/>
    <w:rsid w:val="007F76B8"/>
    <w:rsid w:val="007F77DD"/>
    <w:rsid w:val="007F7944"/>
    <w:rsid w:val="007F796B"/>
    <w:rsid w:val="007F7AE0"/>
    <w:rsid w:val="007F7B0A"/>
    <w:rsid w:val="007F7B86"/>
    <w:rsid w:val="007F7D3B"/>
    <w:rsid w:val="007F7E93"/>
    <w:rsid w:val="007F7F8E"/>
    <w:rsid w:val="007F7FCE"/>
    <w:rsid w:val="00800007"/>
    <w:rsid w:val="00800010"/>
    <w:rsid w:val="008002B9"/>
    <w:rsid w:val="0080078A"/>
    <w:rsid w:val="008009A3"/>
    <w:rsid w:val="008009A6"/>
    <w:rsid w:val="00800B03"/>
    <w:rsid w:val="00800D92"/>
    <w:rsid w:val="00800F7D"/>
    <w:rsid w:val="00800FA9"/>
    <w:rsid w:val="00801134"/>
    <w:rsid w:val="00801155"/>
    <w:rsid w:val="0080115B"/>
    <w:rsid w:val="00801216"/>
    <w:rsid w:val="00801475"/>
    <w:rsid w:val="008014CF"/>
    <w:rsid w:val="00801542"/>
    <w:rsid w:val="008015B2"/>
    <w:rsid w:val="008015D6"/>
    <w:rsid w:val="00801697"/>
    <w:rsid w:val="008016CB"/>
    <w:rsid w:val="00801750"/>
    <w:rsid w:val="00801A23"/>
    <w:rsid w:val="00801A40"/>
    <w:rsid w:val="00801A81"/>
    <w:rsid w:val="00801AD1"/>
    <w:rsid w:val="00801B43"/>
    <w:rsid w:val="00801BFB"/>
    <w:rsid w:val="00801C03"/>
    <w:rsid w:val="00801C22"/>
    <w:rsid w:val="00801DB7"/>
    <w:rsid w:val="00801E41"/>
    <w:rsid w:val="00801F22"/>
    <w:rsid w:val="00801F4E"/>
    <w:rsid w:val="00801FCA"/>
    <w:rsid w:val="008021EE"/>
    <w:rsid w:val="00802368"/>
    <w:rsid w:val="008023AF"/>
    <w:rsid w:val="0080246E"/>
    <w:rsid w:val="008024B7"/>
    <w:rsid w:val="0080256D"/>
    <w:rsid w:val="00802763"/>
    <w:rsid w:val="008027FA"/>
    <w:rsid w:val="008028BF"/>
    <w:rsid w:val="00802911"/>
    <w:rsid w:val="00802962"/>
    <w:rsid w:val="00802B6D"/>
    <w:rsid w:val="00802B88"/>
    <w:rsid w:val="00802C62"/>
    <w:rsid w:val="00802D14"/>
    <w:rsid w:val="00802D48"/>
    <w:rsid w:val="00802D77"/>
    <w:rsid w:val="00802F17"/>
    <w:rsid w:val="00802FC2"/>
    <w:rsid w:val="00802FC3"/>
    <w:rsid w:val="008030AA"/>
    <w:rsid w:val="00803148"/>
    <w:rsid w:val="00803168"/>
    <w:rsid w:val="008032FC"/>
    <w:rsid w:val="0080344D"/>
    <w:rsid w:val="00803455"/>
    <w:rsid w:val="0080368F"/>
    <w:rsid w:val="00803775"/>
    <w:rsid w:val="008037E7"/>
    <w:rsid w:val="00803929"/>
    <w:rsid w:val="008039C4"/>
    <w:rsid w:val="008039D6"/>
    <w:rsid w:val="00803A0E"/>
    <w:rsid w:val="00803A41"/>
    <w:rsid w:val="00803B21"/>
    <w:rsid w:val="00803D13"/>
    <w:rsid w:val="00803EBC"/>
    <w:rsid w:val="00803EDD"/>
    <w:rsid w:val="00803F10"/>
    <w:rsid w:val="00803F3A"/>
    <w:rsid w:val="00803F43"/>
    <w:rsid w:val="00804038"/>
    <w:rsid w:val="00804274"/>
    <w:rsid w:val="0080430F"/>
    <w:rsid w:val="00804352"/>
    <w:rsid w:val="008043CF"/>
    <w:rsid w:val="00804432"/>
    <w:rsid w:val="008044EC"/>
    <w:rsid w:val="00804847"/>
    <w:rsid w:val="008048FF"/>
    <w:rsid w:val="00804A5A"/>
    <w:rsid w:val="00804B6F"/>
    <w:rsid w:val="00804B7D"/>
    <w:rsid w:val="00804B85"/>
    <w:rsid w:val="00804BE5"/>
    <w:rsid w:val="00804C16"/>
    <w:rsid w:val="00804DB7"/>
    <w:rsid w:val="00804DD5"/>
    <w:rsid w:val="00804FF2"/>
    <w:rsid w:val="008050C3"/>
    <w:rsid w:val="00805159"/>
    <w:rsid w:val="00805225"/>
    <w:rsid w:val="008052B9"/>
    <w:rsid w:val="0080546E"/>
    <w:rsid w:val="0080552D"/>
    <w:rsid w:val="00805581"/>
    <w:rsid w:val="008055BE"/>
    <w:rsid w:val="00805A05"/>
    <w:rsid w:val="00805BE1"/>
    <w:rsid w:val="00805C3E"/>
    <w:rsid w:val="00805D5B"/>
    <w:rsid w:val="00805D80"/>
    <w:rsid w:val="00805FB2"/>
    <w:rsid w:val="00806029"/>
    <w:rsid w:val="0080606A"/>
    <w:rsid w:val="008061FC"/>
    <w:rsid w:val="00806296"/>
    <w:rsid w:val="008064D2"/>
    <w:rsid w:val="008064EC"/>
    <w:rsid w:val="00806596"/>
    <w:rsid w:val="00806700"/>
    <w:rsid w:val="0080688D"/>
    <w:rsid w:val="00806B8B"/>
    <w:rsid w:val="00806D57"/>
    <w:rsid w:val="00806F7F"/>
    <w:rsid w:val="00806F8E"/>
    <w:rsid w:val="00806FCF"/>
    <w:rsid w:val="00807056"/>
    <w:rsid w:val="0080707F"/>
    <w:rsid w:val="0080712D"/>
    <w:rsid w:val="0080715D"/>
    <w:rsid w:val="008071E7"/>
    <w:rsid w:val="008072A8"/>
    <w:rsid w:val="008072AE"/>
    <w:rsid w:val="00807475"/>
    <w:rsid w:val="008075F5"/>
    <w:rsid w:val="00807723"/>
    <w:rsid w:val="00807821"/>
    <w:rsid w:val="00807990"/>
    <w:rsid w:val="008079DD"/>
    <w:rsid w:val="00807B7E"/>
    <w:rsid w:val="00807CDB"/>
    <w:rsid w:val="00807D34"/>
    <w:rsid w:val="00807F0A"/>
    <w:rsid w:val="00807FD0"/>
    <w:rsid w:val="00810073"/>
    <w:rsid w:val="008100A6"/>
    <w:rsid w:val="008102EB"/>
    <w:rsid w:val="00810398"/>
    <w:rsid w:val="008104A2"/>
    <w:rsid w:val="0081050C"/>
    <w:rsid w:val="0081055B"/>
    <w:rsid w:val="008106C6"/>
    <w:rsid w:val="008108B5"/>
    <w:rsid w:val="008108D4"/>
    <w:rsid w:val="00810917"/>
    <w:rsid w:val="008109DD"/>
    <w:rsid w:val="00810B9F"/>
    <w:rsid w:val="00810C5F"/>
    <w:rsid w:val="00810C69"/>
    <w:rsid w:val="00810CD9"/>
    <w:rsid w:val="00810CEE"/>
    <w:rsid w:val="00810D7F"/>
    <w:rsid w:val="00810DB8"/>
    <w:rsid w:val="00810DC6"/>
    <w:rsid w:val="00810E52"/>
    <w:rsid w:val="00810FF0"/>
    <w:rsid w:val="00811202"/>
    <w:rsid w:val="0081132B"/>
    <w:rsid w:val="0081140D"/>
    <w:rsid w:val="00811516"/>
    <w:rsid w:val="00811681"/>
    <w:rsid w:val="008116BF"/>
    <w:rsid w:val="00811838"/>
    <w:rsid w:val="00811A19"/>
    <w:rsid w:val="00811AD6"/>
    <w:rsid w:val="00811BBF"/>
    <w:rsid w:val="00811C98"/>
    <w:rsid w:val="00811D07"/>
    <w:rsid w:val="00811E26"/>
    <w:rsid w:val="00812119"/>
    <w:rsid w:val="0081218C"/>
    <w:rsid w:val="00812215"/>
    <w:rsid w:val="00812223"/>
    <w:rsid w:val="00812295"/>
    <w:rsid w:val="008122BE"/>
    <w:rsid w:val="008122FC"/>
    <w:rsid w:val="00812388"/>
    <w:rsid w:val="008126E2"/>
    <w:rsid w:val="0081278A"/>
    <w:rsid w:val="008127F5"/>
    <w:rsid w:val="008128D9"/>
    <w:rsid w:val="008129E8"/>
    <w:rsid w:val="00812A18"/>
    <w:rsid w:val="00812AA7"/>
    <w:rsid w:val="00812B09"/>
    <w:rsid w:val="00812BDF"/>
    <w:rsid w:val="00812C28"/>
    <w:rsid w:val="00812D5D"/>
    <w:rsid w:val="00812D67"/>
    <w:rsid w:val="00812DFA"/>
    <w:rsid w:val="00812FF3"/>
    <w:rsid w:val="0081313B"/>
    <w:rsid w:val="00813161"/>
    <w:rsid w:val="008131D4"/>
    <w:rsid w:val="0081322E"/>
    <w:rsid w:val="0081329B"/>
    <w:rsid w:val="008132B5"/>
    <w:rsid w:val="00813351"/>
    <w:rsid w:val="00813471"/>
    <w:rsid w:val="008134E8"/>
    <w:rsid w:val="00813545"/>
    <w:rsid w:val="0081355E"/>
    <w:rsid w:val="008135DA"/>
    <w:rsid w:val="008136F3"/>
    <w:rsid w:val="00813704"/>
    <w:rsid w:val="0081379F"/>
    <w:rsid w:val="00813913"/>
    <w:rsid w:val="00813AB0"/>
    <w:rsid w:val="00813ABF"/>
    <w:rsid w:val="00813B21"/>
    <w:rsid w:val="00813B89"/>
    <w:rsid w:val="00813C28"/>
    <w:rsid w:val="00813D5C"/>
    <w:rsid w:val="00813D76"/>
    <w:rsid w:val="00813E65"/>
    <w:rsid w:val="00813F61"/>
    <w:rsid w:val="00813F7A"/>
    <w:rsid w:val="0081414A"/>
    <w:rsid w:val="008141E0"/>
    <w:rsid w:val="0081434F"/>
    <w:rsid w:val="00814406"/>
    <w:rsid w:val="008144EC"/>
    <w:rsid w:val="00814512"/>
    <w:rsid w:val="008146AA"/>
    <w:rsid w:val="00814812"/>
    <w:rsid w:val="0081486B"/>
    <w:rsid w:val="00814983"/>
    <w:rsid w:val="00814985"/>
    <w:rsid w:val="00814A80"/>
    <w:rsid w:val="00814AC0"/>
    <w:rsid w:val="00814AD4"/>
    <w:rsid w:val="00814B55"/>
    <w:rsid w:val="00814C05"/>
    <w:rsid w:val="00814C5E"/>
    <w:rsid w:val="00814D2F"/>
    <w:rsid w:val="00814D76"/>
    <w:rsid w:val="00814D79"/>
    <w:rsid w:val="00814E8D"/>
    <w:rsid w:val="00815016"/>
    <w:rsid w:val="008150CC"/>
    <w:rsid w:val="00815425"/>
    <w:rsid w:val="0081563D"/>
    <w:rsid w:val="0081571C"/>
    <w:rsid w:val="008157D8"/>
    <w:rsid w:val="00815846"/>
    <w:rsid w:val="00815853"/>
    <w:rsid w:val="008158EC"/>
    <w:rsid w:val="00815AA3"/>
    <w:rsid w:val="00815AD7"/>
    <w:rsid w:val="00815B10"/>
    <w:rsid w:val="00815B85"/>
    <w:rsid w:val="00815BD9"/>
    <w:rsid w:val="00815C9F"/>
    <w:rsid w:val="00815D0D"/>
    <w:rsid w:val="00815E1D"/>
    <w:rsid w:val="00815E51"/>
    <w:rsid w:val="0081600F"/>
    <w:rsid w:val="008160CB"/>
    <w:rsid w:val="00816146"/>
    <w:rsid w:val="00816158"/>
    <w:rsid w:val="0081618A"/>
    <w:rsid w:val="008161EA"/>
    <w:rsid w:val="00816406"/>
    <w:rsid w:val="0081650E"/>
    <w:rsid w:val="008165FD"/>
    <w:rsid w:val="00816833"/>
    <w:rsid w:val="008168D4"/>
    <w:rsid w:val="008168EC"/>
    <w:rsid w:val="00816B03"/>
    <w:rsid w:val="00816BB8"/>
    <w:rsid w:val="00816E79"/>
    <w:rsid w:val="00816FCA"/>
    <w:rsid w:val="00816FE6"/>
    <w:rsid w:val="0081702C"/>
    <w:rsid w:val="0081712C"/>
    <w:rsid w:val="008171E6"/>
    <w:rsid w:val="008173FC"/>
    <w:rsid w:val="00817402"/>
    <w:rsid w:val="00817531"/>
    <w:rsid w:val="008175AA"/>
    <w:rsid w:val="008175E6"/>
    <w:rsid w:val="00817628"/>
    <w:rsid w:val="008177FE"/>
    <w:rsid w:val="00817849"/>
    <w:rsid w:val="00817977"/>
    <w:rsid w:val="00817B20"/>
    <w:rsid w:val="00817B3D"/>
    <w:rsid w:val="00817B65"/>
    <w:rsid w:val="00817C81"/>
    <w:rsid w:val="00817D03"/>
    <w:rsid w:val="00817DD3"/>
    <w:rsid w:val="00817E3B"/>
    <w:rsid w:val="00817FD2"/>
    <w:rsid w:val="00820138"/>
    <w:rsid w:val="00820151"/>
    <w:rsid w:val="0082015B"/>
    <w:rsid w:val="0082018D"/>
    <w:rsid w:val="008201C5"/>
    <w:rsid w:val="0082034E"/>
    <w:rsid w:val="0082056C"/>
    <w:rsid w:val="00820576"/>
    <w:rsid w:val="00820932"/>
    <w:rsid w:val="00820A25"/>
    <w:rsid w:val="00820AD2"/>
    <w:rsid w:val="00820AFA"/>
    <w:rsid w:val="00820B8D"/>
    <w:rsid w:val="00820CD7"/>
    <w:rsid w:val="00820DB4"/>
    <w:rsid w:val="00820DF8"/>
    <w:rsid w:val="00820EDF"/>
    <w:rsid w:val="00820F0D"/>
    <w:rsid w:val="00820FEA"/>
    <w:rsid w:val="0082101E"/>
    <w:rsid w:val="00821282"/>
    <w:rsid w:val="0082131E"/>
    <w:rsid w:val="0082159B"/>
    <w:rsid w:val="0082161B"/>
    <w:rsid w:val="00821625"/>
    <w:rsid w:val="008217B1"/>
    <w:rsid w:val="008218D9"/>
    <w:rsid w:val="00821BB1"/>
    <w:rsid w:val="00821C70"/>
    <w:rsid w:val="00821CAC"/>
    <w:rsid w:val="00821E0C"/>
    <w:rsid w:val="00821E82"/>
    <w:rsid w:val="00821F4E"/>
    <w:rsid w:val="00821FA6"/>
    <w:rsid w:val="00822041"/>
    <w:rsid w:val="008220D1"/>
    <w:rsid w:val="0082239A"/>
    <w:rsid w:val="008223AE"/>
    <w:rsid w:val="00822681"/>
    <w:rsid w:val="00822706"/>
    <w:rsid w:val="00822726"/>
    <w:rsid w:val="008227F0"/>
    <w:rsid w:val="00822880"/>
    <w:rsid w:val="0082296F"/>
    <w:rsid w:val="00822A52"/>
    <w:rsid w:val="00822B37"/>
    <w:rsid w:val="00822B8D"/>
    <w:rsid w:val="00822CA9"/>
    <w:rsid w:val="00822CF4"/>
    <w:rsid w:val="00823033"/>
    <w:rsid w:val="0082303F"/>
    <w:rsid w:val="00823073"/>
    <w:rsid w:val="00823228"/>
    <w:rsid w:val="008232C0"/>
    <w:rsid w:val="0082338E"/>
    <w:rsid w:val="008233BF"/>
    <w:rsid w:val="008234BD"/>
    <w:rsid w:val="00823526"/>
    <w:rsid w:val="00823595"/>
    <w:rsid w:val="00823619"/>
    <w:rsid w:val="00823714"/>
    <w:rsid w:val="00823860"/>
    <w:rsid w:val="008238F6"/>
    <w:rsid w:val="00823B9A"/>
    <w:rsid w:val="00823C8C"/>
    <w:rsid w:val="00823CD8"/>
    <w:rsid w:val="00823D48"/>
    <w:rsid w:val="00823E55"/>
    <w:rsid w:val="00823ED9"/>
    <w:rsid w:val="00823EEA"/>
    <w:rsid w:val="00823F9D"/>
    <w:rsid w:val="008240D0"/>
    <w:rsid w:val="00824108"/>
    <w:rsid w:val="008241AD"/>
    <w:rsid w:val="008241B7"/>
    <w:rsid w:val="008241D8"/>
    <w:rsid w:val="008241EB"/>
    <w:rsid w:val="0082424A"/>
    <w:rsid w:val="0082430F"/>
    <w:rsid w:val="0082443E"/>
    <w:rsid w:val="008244CF"/>
    <w:rsid w:val="008244ED"/>
    <w:rsid w:val="00824602"/>
    <w:rsid w:val="0082461D"/>
    <w:rsid w:val="00824816"/>
    <w:rsid w:val="0082496C"/>
    <w:rsid w:val="00824A6B"/>
    <w:rsid w:val="00824BC3"/>
    <w:rsid w:val="00824C1D"/>
    <w:rsid w:val="00824C26"/>
    <w:rsid w:val="00824C8B"/>
    <w:rsid w:val="00824CF7"/>
    <w:rsid w:val="00824D81"/>
    <w:rsid w:val="00824EC7"/>
    <w:rsid w:val="00824EFA"/>
    <w:rsid w:val="00825106"/>
    <w:rsid w:val="0082523F"/>
    <w:rsid w:val="00825298"/>
    <w:rsid w:val="00825375"/>
    <w:rsid w:val="00825451"/>
    <w:rsid w:val="0082554C"/>
    <w:rsid w:val="0082555F"/>
    <w:rsid w:val="00825729"/>
    <w:rsid w:val="00825784"/>
    <w:rsid w:val="008257D7"/>
    <w:rsid w:val="008258C1"/>
    <w:rsid w:val="00825957"/>
    <w:rsid w:val="00825965"/>
    <w:rsid w:val="00825991"/>
    <w:rsid w:val="00825A7C"/>
    <w:rsid w:val="00825A8D"/>
    <w:rsid w:val="00825BEE"/>
    <w:rsid w:val="00825D8F"/>
    <w:rsid w:val="00825E68"/>
    <w:rsid w:val="00825E80"/>
    <w:rsid w:val="00825EE3"/>
    <w:rsid w:val="008260A6"/>
    <w:rsid w:val="0082616E"/>
    <w:rsid w:val="0082618A"/>
    <w:rsid w:val="00826203"/>
    <w:rsid w:val="00826301"/>
    <w:rsid w:val="0082638B"/>
    <w:rsid w:val="00826407"/>
    <w:rsid w:val="00826447"/>
    <w:rsid w:val="008265CC"/>
    <w:rsid w:val="00826856"/>
    <w:rsid w:val="0082689D"/>
    <w:rsid w:val="008269F0"/>
    <w:rsid w:val="00826B09"/>
    <w:rsid w:val="00826BF2"/>
    <w:rsid w:val="00826C55"/>
    <w:rsid w:val="00826CCE"/>
    <w:rsid w:val="00826E65"/>
    <w:rsid w:val="00826F12"/>
    <w:rsid w:val="00827074"/>
    <w:rsid w:val="008270F5"/>
    <w:rsid w:val="00827137"/>
    <w:rsid w:val="008271AF"/>
    <w:rsid w:val="008271B6"/>
    <w:rsid w:val="00827303"/>
    <w:rsid w:val="00827364"/>
    <w:rsid w:val="008273F6"/>
    <w:rsid w:val="0082755A"/>
    <w:rsid w:val="0082758F"/>
    <w:rsid w:val="00827736"/>
    <w:rsid w:val="008277F2"/>
    <w:rsid w:val="00827824"/>
    <w:rsid w:val="00827984"/>
    <w:rsid w:val="008279FA"/>
    <w:rsid w:val="00827AD0"/>
    <w:rsid w:val="00827B56"/>
    <w:rsid w:val="00827BF3"/>
    <w:rsid w:val="00827C37"/>
    <w:rsid w:val="00827C93"/>
    <w:rsid w:val="00827EA3"/>
    <w:rsid w:val="00827FA3"/>
    <w:rsid w:val="00830026"/>
    <w:rsid w:val="008300D5"/>
    <w:rsid w:val="00830131"/>
    <w:rsid w:val="00830163"/>
    <w:rsid w:val="008301D8"/>
    <w:rsid w:val="0083020D"/>
    <w:rsid w:val="00830368"/>
    <w:rsid w:val="008303E0"/>
    <w:rsid w:val="008304C3"/>
    <w:rsid w:val="0083054E"/>
    <w:rsid w:val="008305B9"/>
    <w:rsid w:val="008305FB"/>
    <w:rsid w:val="008307A9"/>
    <w:rsid w:val="008307EB"/>
    <w:rsid w:val="008308C3"/>
    <w:rsid w:val="00830A1A"/>
    <w:rsid w:val="00830DA7"/>
    <w:rsid w:val="00830DB2"/>
    <w:rsid w:val="00830EBB"/>
    <w:rsid w:val="00830F80"/>
    <w:rsid w:val="00831338"/>
    <w:rsid w:val="00831372"/>
    <w:rsid w:val="00831390"/>
    <w:rsid w:val="00831805"/>
    <w:rsid w:val="00831982"/>
    <w:rsid w:val="00831AE2"/>
    <w:rsid w:val="00831AE8"/>
    <w:rsid w:val="00831AF0"/>
    <w:rsid w:val="00831B5B"/>
    <w:rsid w:val="00831BC8"/>
    <w:rsid w:val="00831BFC"/>
    <w:rsid w:val="00831C69"/>
    <w:rsid w:val="00831E32"/>
    <w:rsid w:val="00831E7C"/>
    <w:rsid w:val="00831F2F"/>
    <w:rsid w:val="00831F9A"/>
    <w:rsid w:val="008321CE"/>
    <w:rsid w:val="008321FE"/>
    <w:rsid w:val="00832258"/>
    <w:rsid w:val="008322D6"/>
    <w:rsid w:val="008323B3"/>
    <w:rsid w:val="00832440"/>
    <w:rsid w:val="0083257E"/>
    <w:rsid w:val="008327E7"/>
    <w:rsid w:val="0083286E"/>
    <w:rsid w:val="0083293E"/>
    <w:rsid w:val="00832AC8"/>
    <w:rsid w:val="00832ACB"/>
    <w:rsid w:val="00832BD0"/>
    <w:rsid w:val="00832C90"/>
    <w:rsid w:val="00832D25"/>
    <w:rsid w:val="00832D5F"/>
    <w:rsid w:val="00832E85"/>
    <w:rsid w:val="00832E95"/>
    <w:rsid w:val="00832E9F"/>
    <w:rsid w:val="00832F70"/>
    <w:rsid w:val="0083304D"/>
    <w:rsid w:val="008330C8"/>
    <w:rsid w:val="00833178"/>
    <w:rsid w:val="0083336D"/>
    <w:rsid w:val="008333FB"/>
    <w:rsid w:val="0083354A"/>
    <w:rsid w:val="00833610"/>
    <w:rsid w:val="0083362B"/>
    <w:rsid w:val="008336DE"/>
    <w:rsid w:val="00833762"/>
    <w:rsid w:val="00833791"/>
    <w:rsid w:val="00833799"/>
    <w:rsid w:val="00833A37"/>
    <w:rsid w:val="00833C1A"/>
    <w:rsid w:val="00833D09"/>
    <w:rsid w:val="00833D29"/>
    <w:rsid w:val="00833E37"/>
    <w:rsid w:val="00833FBB"/>
    <w:rsid w:val="0083401C"/>
    <w:rsid w:val="00834260"/>
    <w:rsid w:val="00834432"/>
    <w:rsid w:val="0083444C"/>
    <w:rsid w:val="008344BA"/>
    <w:rsid w:val="008344CC"/>
    <w:rsid w:val="008344EA"/>
    <w:rsid w:val="0083469E"/>
    <w:rsid w:val="008347A5"/>
    <w:rsid w:val="0083493F"/>
    <w:rsid w:val="00834AC9"/>
    <w:rsid w:val="00834D92"/>
    <w:rsid w:val="00834ED3"/>
    <w:rsid w:val="00834F74"/>
    <w:rsid w:val="00834F7F"/>
    <w:rsid w:val="00835065"/>
    <w:rsid w:val="0083516B"/>
    <w:rsid w:val="008351D9"/>
    <w:rsid w:val="00835238"/>
    <w:rsid w:val="00835291"/>
    <w:rsid w:val="00835449"/>
    <w:rsid w:val="008354AF"/>
    <w:rsid w:val="00835537"/>
    <w:rsid w:val="008358B0"/>
    <w:rsid w:val="0083590E"/>
    <w:rsid w:val="0083597C"/>
    <w:rsid w:val="008359F8"/>
    <w:rsid w:val="00835C2E"/>
    <w:rsid w:val="00835CF2"/>
    <w:rsid w:val="00835D01"/>
    <w:rsid w:val="00835E9B"/>
    <w:rsid w:val="00835EE2"/>
    <w:rsid w:val="00835F11"/>
    <w:rsid w:val="00836086"/>
    <w:rsid w:val="008360D6"/>
    <w:rsid w:val="0083617C"/>
    <w:rsid w:val="00836339"/>
    <w:rsid w:val="0083645D"/>
    <w:rsid w:val="008365AE"/>
    <w:rsid w:val="0083660D"/>
    <w:rsid w:val="008367D3"/>
    <w:rsid w:val="00836865"/>
    <w:rsid w:val="00836974"/>
    <w:rsid w:val="00836A1D"/>
    <w:rsid w:val="00836AE6"/>
    <w:rsid w:val="00836BF5"/>
    <w:rsid w:val="00836D03"/>
    <w:rsid w:val="00836F18"/>
    <w:rsid w:val="00836F79"/>
    <w:rsid w:val="0083712C"/>
    <w:rsid w:val="0083713B"/>
    <w:rsid w:val="0083722D"/>
    <w:rsid w:val="0083727D"/>
    <w:rsid w:val="00837333"/>
    <w:rsid w:val="008373DF"/>
    <w:rsid w:val="00837545"/>
    <w:rsid w:val="0083757F"/>
    <w:rsid w:val="0083771A"/>
    <w:rsid w:val="0083775A"/>
    <w:rsid w:val="0083778A"/>
    <w:rsid w:val="008377A1"/>
    <w:rsid w:val="008377D4"/>
    <w:rsid w:val="0083784A"/>
    <w:rsid w:val="008378FF"/>
    <w:rsid w:val="00837A24"/>
    <w:rsid w:val="00837A9F"/>
    <w:rsid w:val="00837B17"/>
    <w:rsid w:val="00837B18"/>
    <w:rsid w:val="00837B6F"/>
    <w:rsid w:val="00837D30"/>
    <w:rsid w:val="00837D6C"/>
    <w:rsid w:val="00837ECB"/>
    <w:rsid w:val="0084011E"/>
    <w:rsid w:val="00840141"/>
    <w:rsid w:val="0084017C"/>
    <w:rsid w:val="008401A3"/>
    <w:rsid w:val="00840212"/>
    <w:rsid w:val="008403F3"/>
    <w:rsid w:val="0084043C"/>
    <w:rsid w:val="00840572"/>
    <w:rsid w:val="0084071D"/>
    <w:rsid w:val="00840755"/>
    <w:rsid w:val="0084094B"/>
    <w:rsid w:val="00840A46"/>
    <w:rsid w:val="00840AD8"/>
    <w:rsid w:val="00840AE8"/>
    <w:rsid w:val="00840B3C"/>
    <w:rsid w:val="00840DDB"/>
    <w:rsid w:val="00840E9C"/>
    <w:rsid w:val="00840EB4"/>
    <w:rsid w:val="00841157"/>
    <w:rsid w:val="00841170"/>
    <w:rsid w:val="0084117D"/>
    <w:rsid w:val="0084125B"/>
    <w:rsid w:val="00841538"/>
    <w:rsid w:val="008415C7"/>
    <w:rsid w:val="0084163A"/>
    <w:rsid w:val="00841772"/>
    <w:rsid w:val="00841799"/>
    <w:rsid w:val="008417FF"/>
    <w:rsid w:val="0084181B"/>
    <w:rsid w:val="00841825"/>
    <w:rsid w:val="00841843"/>
    <w:rsid w:val="00841878"/>
    <w:rsid w:val="008418C5"/>
    <w:rsid w:val="00841A86"/>
    <w:rsid w:val="00841A9F"/>
    <w:rsid w:val="00841AA5"/>
    <w:rsid w:val="00841AAE"/>
    <w:rsid w:val="00841B0F"/>
    <w:rsid w:val="00841C34"/>
    <w:rsid w:val="00842152"/>
    <w:rsid w:val="008422E7"/>
    <w:rsid w:val="00842312"/>
    <w:rsid w:val="0084237F"/>
    <w:rsid w:val="00842470"/>
    <w:rsid w:val="008425F2"/>
    <w:rsid w:val="00842654"/>
    <w:rsid w:val="0084279A"/>
    <w:rsid w:val="008427E2"/>
    <w:rsid w:val="00842844"/>
    <w:rsid w:val="00842B89"/>
    <w:rsid w:val="00842C70"/>
    <w:rsid w:val="00842D4B"/>
    <w:rsid w:val="00842E8C"/>
    <w:rsid w:val="00842FC4"/>
    <w:rsid w:val="00843050"/>
    <w:rsid w:val="00843054"/>
    <w:rsid w:val="0084324A"/>
    <w:rsid w:val="0084347F"/>
    <w:rsid w:val="0084351F"/>
    <w:rsid w:val="008435C9"/>
    <w:rsid w:val="0084368A"/>
    <w:rsid w:val="008436C8"/>
    <w:rsid w:val="008437E0"/>
    <w:rsid w:val="0084392A"/>
    <w:rsid w:val="00843A43"/>
    <w:rsid w:val="00843BF4"/>
    <w:rsid w:val="00843C38"/>
    <w:rsid w:val="00843C8A"/>
    <w:rsid w:val="00843DF0"/>
    <w:rsid w:val="00843E76"/>
    <w:rsid w:val="008440B2"/>
    <w:rsid w:val="008443A5"/>
    <w:rsid w:val="00844470"/>
    <w:rsid w:val="00844479"/>
    <w:rsid w:val="0084449C"/>
    <w:rsid w:val="00844643"/>
    <w:rsid w:val="008446E0"/>
    <w:rsid w:val="00844788"/>
    <w:rsid w:val="008447CA"/>
    <w:rsid w:val="008447F0"/>
    <w:rsid w:val="0084481A"/>
    <w:rsid w:val="00844906"/>
    <w:rsid w:val="00844C50"/>
    <w:rsid w:val="00844DD3"/>
    <w:rsid w:val="00844E1A"/>
    <w:rsid w:val="00844EDD"/>
    <w:rsid w:val="00844F56"/>
    <w:rsid w:val="00844FA7"/>
    <w:rsid w:val="00844FB3"/>
    <w:rsid w:val="00844FCF"/>
    <w:rsid w:val="00845138"/>
    <w:rsid w:val="00845297"/>
    <w:rsid w:val="008452D7"/>
    <w:rsid w:val="008452DE"/>
    <w:rsid w:val="00845343"/>
    <w:rsid w:val="008453B0"/>
    <w:rsid w:val="00845497"/>
    <w:rsid w:val="008455A0"/>
    <w:rsid w:val="008456CE"/>
    <w:rsid w:val="00845780"/>
    <w:rsid w:val="00845A36"/>
    <w:rsid w:val="00845B22"/>
    <w:rsid w:val="00845BA9"/>
    <w:rsid w:val="00845C07"/>
    <w:rsid w:val="00845C65"/>
    <w:rsid w:val="00845DF1"/>
    <w:rsid w:val="00845FFF"/>
    <w:rsid w:val="00846250"/>
    <w:rsid w:val="0084640C"/>
    <w:rsid w:val="0084674A"/>
    <w:rsid w:val="00846787"/>
    <w:rsid w:val="008467DC"/>
    <w:rsid w:val="00846902"/>
    <w:rsid w:val="00846984"/>
    <w:rsid w:val="008469FC"/>
    <w:rsid w:val="00846A1E"/>
    <w:rsid w:val="00846B45"/>
    <w:rsid w:val="00846B55"/>
    <w:rsid w:val="00846B6D"/>
    <w:rsid w:val="00846DB5"/>
    <w:rsid w:val="00846F3D"/>
    <w:rsid w:val="00846F68"/>
    <w:rsid w:val="00847014"/>
    <w:rsid w:val="0084706E"/>
    <w:rsid w:val="00847118"/>
    <w:rsid w:val="00847174"/>
    <w:rsid w:val="008473E6"/>
    <w:rsid w:val="008477F5"/>
    <w:rsid w:val="00847832"/>
    <w:rsid w:val="00847896"/>
    <w:rsid w:val="008478D2"/>
    <w:rsid w:val="00847908"/>
    <w:rsid w:val="00847959"/>
    <w:rsid w:val="00847E07"/>
    <w:rsid w:val="0085002C"/>
    <w:rsid w:val="00850068"/>
    <w:rsid w:val="0085006E"/>
    <w:rsid w:val="0085011F"/>
    <w:rsid w:val="0085013F"/>
    <w:rsid w:val="008501AA"/>
    <w:rsid w:val="0085022D"/>
    <w:rsid w:val="00850297"/>
    <w:rsid w:val="008504D8"/>
    <w:rsid w:val="0085059C"/>
    <w:rsid w:val="00850639"/>
    <w:rsid w:val="00850689"/>
    <w:rsid w:val="008507DD"/>
    <w:rsid w:val="008509AE"/>
    <w:rsid w:val="00850AE4"/>
    <w:rsid w:val="00850CA7"/>
    <w:rsid w:val="00850E29"/>
    <w:rsid w:val="00850E4A"/>
    <w:rsid w:val="00850EA9"/>
    <w:rsid w:val="00850EEC"/>
    <w:rsid w:val="00850F4E"/>
    <w:rsid w:val="00850FC0"/>
    <w:rsid w:val="00851169"/>
    <w:rsid w:val="00851215"/>
    <w:rsid w:val="0085127A"/>
    <w:rsid w:val="0085133C"/>
    <w:rsid w:val="00851360"/>
    <w:rsid w:val="00851372"/>
    <w:rsid w:val="0085139F"/>
    <w:rsid w:val="00851427"/>
    <w:rsid w:val="0085142A"/>
    <w:rsid w:val="0085149C"/>
    <w:rsid w:val="0085172F"/>
    <w:rsid w:val="00851730"/>
    <w:rsid w:val="0085183A"/>
    <w:rsid w:val="008518FD"/>
    <w:rsid w:val="008519B5"/>
    <w:rsid w:val="008519FE"/>
    <w:rsid w:val="00851A1D"/>
    <w:rsid w:val="00851B6C"/>
    <w:rsid w:val="00851D07"/>
    <w:rsid w:val="00851D29"/>
    <w:rsid w:val="00851D5D"/>
    <w:rsid w:val="00851E9C"/>
    <w:rsid w:val="00851F68"/>
    <w:rsid w:val="0085205C"/>
    <w:rsid w:val="008520CE"/>
    <w:rsid w:val="00852188"/>
    <w:rsid w:val="008521C1"/>
    <w:rsid w:val="008522A0"/>
    <w:rsid w:val="00852432"/>
    <w:rsid w:val="00852510"/>
    <w:rsid w:val="00852659"/>
    <w:rsid w:val="008527DE"/>
    <w:rsid w:val="00852B2A"/>
    <w:rsid w:val="00852E08"/>
    <w:rsid w:val="00852E9C"/>
    <w:rsid w:val="0085301A"/>
    <w:rsid w:val="00853083"/>
    <w:rsid w:val="00853120"/>
    <w:rsid w:val="00853270"/>
    <w:rsid w:val="00853415"/>
    <w:rsid w:val="0085343D"/>
    <w:rsid w:val="008534C7"/>
    <w:rsid w:val="008534E4"/>
    <w:rsid w:val="008535C2"/>
    <w:rsid w:val="00853656"/>
    <w:rsid w:val="00853684"/>
    <w:rsid w:val="008536C1"/>
    <w:rsid w:val="00853766"/>
    <w:rsid w:val="00853773"/>
    <w:rsid w:val="008537EA"/>
    <w:rsid w:val="0085380F"/>
    <w:rsid w:val="008538EC"/>
    <w:rsid w:val="00853D95"/>
    <w:rsid w:val="00853D9B"/>
    <w:rsid w:val="00853DF6"/>
    <w:rsid w:val="00853EDF"/>
    <w:rsid w:val="00853EED"/>
    <w:rsid w:val="00853F93"/>
    <w:rsid w:val="00854029"/>
    <w:rsid w:val="008544D2"/>
    <w:rsid w:val="008545F9"/>
    <w:rsid w:val="008546F1"/>
    <w:rsid w:val="00854829"/>
    <w:rsid w:val="0085499A"/>
    <w:rsid w:val="00854B31"/>
    <w:rsid w:val="00854B46"/>
    <w:rsid w:val="00854D93"/>
    <w:rsid w:val="00854E33"/>
    <w:rsid w:val="00854EA6"/>
    <w:rsid w:val="00855075"/>
    <w:rsid w:val="0085518F"/>
    <w:rsid w:val="00855351"/>
    <w:rsid w:val="008553BA"/>
    <w:rsid w:val="008554AD"/>
    <w:rsid w:val="008554FA"/>
    <w:rsid w:val="0085583C"/>
    <w:rsid w:val="0085585B"/>
    <w:rsid w:val="00855958"/>
    <w:rsid w:val="00855C28"/>
    <w:rsid w:val="00855C5F"/>
    <w:rsid w:val="00855C69"/>
    <w:rsid w:val="00855CAC"/>
    <w:rsid w:val="00855CC5"/>
    <w:rsid w:val="00855CDC"/>
    <w:rsid w:val="00855F09"/>
    <w:rsid w:val="00856104"/>
    <w:rsid w:val="008561DB"/>
    <w:rsid w:val="0085667A"/>
    <w:rsid w:val="008566C5"/>
    <w:rsid w:val="0085673C"/>
    <w:rsid w:val="00856748"/>
    <w:rsid w:val="008567B8"/>
    <w:rsid w:val="008568C5"/>
    <w:rsid w:val="00856914"/>
    <w:rsid w:val="00856B17"/>
    <w:rsid w:val="00856C5B"/>
    <w:rsid w:val="00856CA9"/>
    <w:rsid w:val="00856CB9"/>
    <w:rsid w:val="00856CCD"/>
    <w:rsid w:val="00856D9F"/>
    <w:rsid w:val="00856DF0"/>
    <w:rsid w:val="00856EFA"/>
    <w:rsid w:val="00856F83"/>
    <w:rsid w:val="00856F9F"/>
    <w:rsid w:val="00856FA4"/>
    <w:rsid w:val="00856FC3"/>
    <w:rsid w:val="00856FE2"/>
    <w:rsid w:val="008571D6"/>
    <w:rsid w:val="008571E3"/>
    <w:rsid w:val="00857230"/>
    <w:rsid w:val="0085729D"/>
    <w:rsid w:val="008576A8"/>
    <w:rsid w:val="0085776B"/>
    <w:rsid w:val="008577A5"/>
    <w:rsid w:val="008579BF"/>
    <w:rsid w:val="00857A10"/>
    <w:rsid w:val="00857A3C"/>
    <w:rsid w:val="00857A97"/>
    <w:rsid w:val="00857AEB"/>
    <w:rsid w:val="00857C91"/>
    <w:rsid w:val="00857CDA"/>
    <w:rsid w:val="00857DEC"/>
    <w:rsid w:val="00857F15"/>
    <w:rsid w:val="00857F18"/>
    <w:rsid w:val="00857F4F"/>
    <w:rsid w:val="00857F68"/>
    <w:rsid w:val="00860011"/>
    <w:rsid w:val="0086004C"/>
    <w:rsid w:val="0086021A"/>
    <w:rsid w:val="00860220"/>
    <w:rsid w:val="008602FD"/>
    <w:rsid w:val="00860344"/>
    <w:rsid w:val="00860850"/>
    <w:rsid w:val="00860933"/>
    <w:rsid w:val="00860A88"/>
    <w:rsid w:val="00860AD7"/>
    <w:rsid w:val="00860B36"/>
    <w:rsid w:val="00860D0E"/>
    <w:rsid w:val="00860D21"/>
    <w:rsid w:val="00860E49"/>
    <w:rsid w:val="00860FC6"/>
    <w:rsid w:val="008611E7"/>
    <w:rsid w:val="00861460"/>
    <w:rsid w:val="0086148E"/>
    <w:rsid w:val="00861553"/>
    <w:rsid w:val="008615C2"/>
    <w:rsid w:val="008616A4"/>
    <w:rsid w:val="008616B5"/>
    <w:rsid w:val="00861787"/>
    <w:rsid w:val="008617D6"/>
    <w:rsid w:val="0086195E"/>
    <w:rsid w:val="0086198B"/>
    <w:rsid w:val="008619A0"/>
    <w:rsid w:val="008619FD"/>
    <w:rsid w:val="00861A84"/>
    <w:rsid w:val="00861B5D"/>
    <w:rsid w:val="00861BD0"/>
    <w:rsid w:val="00861C0D"/>
    <w:rsid w:val="00861C79"/>
    <w:rsid w:val="00861CF7"/>
    <w:rsid w:val="00861D68"/>
    <w:rsid w:val="00861DD8"/>
    <w:rsid w:val="00861E00"/>
    <w:rsid w:val="00861F5C"/>
    <w:rsid w:val="00861FE7"/>
    <w:rsid w:val="00861FFE"/>
    <w:rsid w:val="00862022"/>
    <w:rsid w:val="00862056"/>
    <w:rsid w:val="008620FA"/>
    <w:rsid w:val="00862121"/>
    <w:rsid w:val="008621D2"/>
    <w:rsid w:val="00862299"/>
    <w:rsid w:val="00862478"/>
    <w:rsid w:val="008624ED"/>
    <w:rsid w:val="00862529"/>
    <w:rsid w:val="00862630"/>
    <w:rsid w:val="008627C0"/>
    <w:rsid w:val="008627E9"/>
    <w:rsid w:val="00862874"/>
    <w:rsid w:val="008628A1"/>
    <w:rsid w:val="00862999"/>
    <w:rsid w:val="00862A8D"/>
    <w:rsid w:val="00862B2A"/>
    <w:rsid w:val="00862B51"/>
    <w:rsid w:val="00862DA0"/>
    <w:rsid w:val="00862DA6"/>
    <w:rsid w:val="00862DAC"/>
    <w:rsid w:val="00862E44"/>
    <w:rsid w:val="00862F4B"/>
    <w:rsid w:val="00862F9D"/>
    <w:rsid w:val="00863021"/>
    <w:rsid w:val="008630B8"/>
    <w:rsid w:val="00863104"/>
    <w:rsid w:val="00863270"/>
    <w:rsid w:val="00863298"/>
    <w:rsid w:val="00863407"/>
    <w:rsid w:val="00863452"/>
    <w:rsid w:val="008636FF"/>
    <w:rsid w:val="00863ADB"/>
    <w:rsid w:val="00863AF8"/>
    <w:rsid w:val="00863B91"/>
    <w:rsid w:val="00863BE5"/>
    <w:rsid w:val="00863DE9"/>
    <w:rsid w:val="00863E70"/>
    <w:rsid w:val="00864002"/>
    <w:rsid w:val="00864081"/>
    <w:rsid w:val="00864201"/>
    <w:rsid w:val="008643EA"/>
    <w:rsid w:val="00864407"/>
    <w:rsid w:val="0086446C"/>
    <w:rsid w:val="0086448D"/>
    <w:rsid w:val="00864682"/>
    <w:rsid w:val="008646CB"/>
    <w:rsid w:val="00864818"/>
    <w:rsid w:val="00864A1F"/>
    <w:rsid w:val="00864BD8"/>
    <w:rsid w:val="00864D43"/>
    <w:rsid w:val="00864DFE"/>
    <w:rsid w:val="00864E7E"/>
    <w:rsid w:val="00864EB1"/>
    <w:rsid w:val="00864F24"/>
    <w:rsid w:val="00864FC4"/>
    <w:rsid w:val="00865026"/>
    <w:rsid w:val="008651ED"/>
    <w:rsid w:val="00865399"/>
    <w:rsid w:val="008655FF"/>
    <w:rsid w:val="00865755"/>
    <w:rsid w:val="00865994"/>
    <w:rsid w:val="00865A8B"/>
    <w:rsid w:val="00865B7E"/>
    <w:rsid w:val="00865D21"/>
    <w:rsid w:val="00865D8C"/>
    <w:rsid w:val="00865DAB"/>
    <w:rsid w:val="00865DF7"/>
    <w:rsid w:val="00865EAC"/>
    <w:rsid w:val="00865ECF"/>
    <w:rsid w:val="00865ED7"/>
    <w:rsid w:val="00865EEF"/>
    <w:rsid w:val="00865F1D"/>
    <w:rsid w:val="00866096"/>
    <w:rsid w:val="008660D2"/>
    <w:rsid w:val="0086620D"/>
    <w:rsid w:val="00866301"/>
    <w:rsid w:val="00866356"/>
    <w:rsid w:val="0086639F"/>
    <w:rsid w:val="0086643D"/>
    <w:rsid w:val="008664F3"/>
    <w:rsid w:val="00866558"/>
    <w:rsid w:val="008666B6"/>
    <w:rsid w:val="0086679B"/>
    <w:rsid w:val="00866839"/>
    <w:rsid w:val="00866A64"/>
    <w:rsid w:val="00866B5A"/>
    <w:rsid w:val="00866B73"/>
    <w:rsid w:val="00866D33"/>
    <w:rsid w:val="0086706F"/>
    <w:rsid w:val="0086734F"/>
    <w:rsid w:val="0086749A"/>
    <w:rsid w:val="008674E8"/>
    <w:rsid w:val="0086767E"/>
    <w:rsid w:val="0086769B"/>
    <w:rsid w:val="00867722"/>
    <w:rsid w:val="0086789A"/>
    <w:rsid w:val="008679FA"/>
    <w:rsid w:val="00867A63"/>
    <w:rsid w:val="00867A71"/>
    <w:rsid w:val="00867AB9"/>
    <w:rsid w:val="00867C26"/>
    <w:rsid w:val="00867D4C"/>
    <w:rsid w:val="00867DBD"/>
    <w:rsid w:val="00867FA4"/>
    <w:rsid w:val="008701E1"/>
    <w:rsid w:val="008703EE"/>
    <w:rsid w:val="00870419"/>
    <w:rsid w:val="00870531"/>
    <w:rsid w:val="008705FD"/>
    <w:rsid w:val="008705FF"/>
    <w:rsid w:val="0087061E"/>
    <w:rsid w:val="0087077D"/>
    <w:rsid w:val="008707B9"/>
    <w:rsid w:val="008708A4"/>
    <w:rsid w:val="008708D7"/>
    <w:rsid w:val="008708E7"/>
    <w:rsid w:val="00870945"/>
    <w:rsid w:val="00870A47"/>
    <w:rsid w:val="00870C55"/>
    <w:rsid w:val="00870D15"/>
    <w:rsid w:val="00870D1A"/>
    <w:rsid w:val="00870DCD"/>
    <w:rsid w:val="00870DEC"/>
    <w:rsid w:val="00870DEE"/>
    <w:rsid w:val="00871011"/>
    <w:rsid w:val="0087128C"/>
    <w:rsid w:val="008713FF"/>
    <w:rsid w:val="008714A8"/>
    <w:rsid w:val="00871516"/>
    <w:rsid w:val="0087153E"/>
    <w:rsid w:val="0087154D"/>
    <w:rsid w:val="00871F23"/>
    <w:rsid w:val="00871FB4"/>
    <w:rsid w:val="00871FC0"/>
    <w:rsid w:val="00872185"/>
    <w:rsid w:val="008722CA"/>
    <w:rsid w:val="008723DD"/>
    <w:rsid w:val="00872460"/>
    <w:rsid w:val="008724C8"/>
    <w:rsid w:val="0087283B"/>
    <w:rsid w:val="00872857"/>
    <w:rsid w:val="008729B0"/>
    <w:rsid w:val="00872D48"/>
    <w:rsid w:val="00872D6C"/>
    <w:rsid w:val="0087306C"/>
    <w:rsid w:val="00873095"/>
    <w:rsid w:val="0087328F"/>
    <w:rsid w:val="008732B6"/>
    <w:rsid w:val="00873380"/>
    <w:rsid w:val="0087339F"/>
    <w:rsid w:val="008733F8"/>
    <w:rsid w:val="00873410"/>
    <w:rsid w:val="0087343F"/>
    <w:rsid w:val="008735F9"/>
    <w:rsid w:val="008736C2"/>
    <w:rsid w:val="008736CB"/>
    <w:rsid w:val="008738B6"/>
    <w:rsid w:val="00873922"/>
    <w:rsid w:val="00873959"/>
    <w:rsid w:val="00873A39"/>
    <w:rsid w:val="00873C04"/>
    <w:rsid w:val="00873CC0"/>
    <w:rsid w:val="00873E05"/>
    <w:rsid w:val="00873E20"/>
    <w:rsid w:val="00873E35"/>
    <w:rsid w:val="00873F4F"/>
    <w:rsid w:val="00873FF2"/>
    <w:rsid w:val="00873FF4"/>
    <w:rsid w:val="008740AE"/>
    <w:rsid w:val="00874114"/>
    <w:rsid w:val="008741C0"/>
    <w:rsid w:val="008741F2"/>
    <w:rsid w:val="008742C2"/>
    <w:rsid w:val="008742D9"/>
    <w:rsid w:val="00874331"/>
    <w:rsid w:val="008743AB"/>
    <w:rsid w:val="008743FB"/>
    <w:rsid w:val="008745F3"/>
    <w:rsid w:val="0087475E"/>
    <w:rsid w:val="00874900"/>
    <w:rsid w:val="00874905"/>
    <w:rsid w:val="00874BD2"/>
    <w:rsid w:val="00874DCC"/>
    <w:rsid w:val="00874DCF"/>
    <w:rsid w:val="00874F96"/>
    <w:rsid w:val="0087509C"/>
    <w:rsid w:val="008751BA"/>
    <w:rsid w:val="008751E9"/>
    <w:rsid w:val="00875554"/>
    <w:rsid w:val="00875809"/>
    <w:rsid w:val="008758F6"/>
    <w:rsid w:val="008759AC"/>
    <w:rsid w:val="00875B26"/>
    <w:rsid w:val="00875B30"/>
    <w:rsid w:val="00875BCF"/>
    <w:rsid w:val="00875C05"/>
    <w:rsid w:val="00875D25"/>
    <w:rsid w:val="00875D88"/>
    <w:rsid w:val="00875E2A"/>
    <w:rsid w:val="00875E9B"/>
    <w:rsid w:val="00875F8E"/>
    <w:rsid w:val="00876001"/>
    <w:rsid w:val="00876031"/>
    <w:rsid w:val="0087616F"/>
    <w:rsid w:val="00876269"/>
    <w:rsid w:val="0087637E"/>
    <w:rsid w:val="008765DC"/>
    <w:rsid w:val="0087660F"/>
    <w:rsid w:val="00876649"/>
    <w:rsid w:val="00876759"/>
    <w:rsid w:val="00876867"/>
    <w:rsid w:val="00876B58"/>
    <w:rsid w:val="00876CC8"/>
    <w:rsid w:val="00876CD3"/>
    <w:rsid w:val="00876D27"/>
    <w:rsid w:val="00876E7F"/>
    <w:rsid w:val="00876F76"/>
    <w:rsid w:val="00876FB4"/>
    <w:rsid w:val="0087700B"/>
    <w:rsid w:val="00877014"/>
    <w:rsid w:val="00877093"/>
    <w:rsid w:val="00877159"/>
    <w:rsid w:val="00877183"/>
    <w:rsid w:val="0087721F"/>
    <w:rsid w:val="008773AA"/>
    <w:rsid w:val="008774FE"/>
    <w:rsid w:val="00877675"/>
    <w:rsid w:val="008776D9"/>
    <w:rsid w:val="00877894"/>
    <w:rsid w:val="008778D1"/>
    <w:rsid w:val="008778E0"/>
    <w:rsid w:val="00877906"/>
    <w:rsid w:val="00877969"/>
    <w:rsid w:val="008779F1"/>
    <w:rsid w:val="00877BF1"/>
    <w:rsid w:val="00877BF4"/>
    <w:rsid w:val="00877C17"/>
    <w:rsid w:val="00877C9E"/>
    <w:rsid w:val="00877D90"/>
    <w:rsid w:val="00877DD7"/>
    <w:rsid w:val="00877DF1"/>
    <w:rsid w:val="00877E0A"/>
    <w:rsid w:val="00880089"/>
    <w:rsid w:val="00880282"/>
    <w:rsid w:val="00880431"/>
    <w:rsid w:val="00880775"/>
    <w:rsid w:val="008807E1"/>
    <w:rsid w:val="00880853"/>
    <w:rsid w:val="0088091E"/>
    <w:rsid w:val="008809A8"/>
    <w:rsid w:val="00880AC4"/>
    <w:rsid w:val="00880AE3"/>
    <w:rsid w:val="00880B3D"/>
    <w:rsid w:val="00880BE5"/>
    <w:rsid w:val="00880D7C"/>
    <w:rsid w:val="0088100D"/>
    <w:rsid w:val="00881081"/>
    <w:rsid w:val="00881195"/>
    <w:rsid w:val="008814ED"/>
    <w:rsid w:val="00881568"/>
    <w:rsid w:val="0088167E"/>
    <w:rsid w:val="0088168A"/>
    <w:rsid w:val="00881801"/>
    <w:rsid w:val="0088196A"/>
    <w:rsid w:val="00881AFB"/>
    <w:rsid w:val="00881C63"/>
    <w:rsid w:val="00881C71"/>
    <w:rsid w:val="00881D2B"/>
    <w:rsid w:val="00881E35"/>
    <w:rsid w:val="00881F8D"/>
    <w:rsid w:val="00881FF4"/>
    <w:rsid w:val="0088234D"/>
    <w:rsid w:val="0088241B"/>
    <w:rsid w:val="008824A7"/>
    <w:rsid w:val="00882568"/>
    <w:rsid w:val="0088257F"/>
    <w:rsid w:val="00882770"/>
    <w:rsid w:val="0088284C"/>
    <w:rsid w:val="00882970"/>
    <w:rsid w:val="00882998"/>
    <w:rsid w:val="00882A02"/>
    <w:rsid w:val="00882CAF"/>
    <w:rsid w:val="00882CC0"/>
    <w:rsid w:val="00882FAE"/>
    <w:rsid w:val="00883137"/>
    <w:rsid w:val="008831A7"/>
    <w:rsid w:val="00883225"/>
    <w:rsid w:val="008832D2"/>
    <w:rsid w:val="0088338F"/>
    <w:rsid w:val="0088339C"/>
    <w:rsid w:val="0088339D"/>
    <w:rsid w:val="008835FE"/>
    <w:rsid w:val="0088364A"/>
    <w:rsid w:val="0088364B"/>
    <w:rsid w:val="008837C2"/>
    <w:rsid w:val="008838DD"/>
    <w:rsid w:val="008838E4"/>
    <w:rsid w:val="008838EE"/>
    <w:rsid w:val="00883A7B"/>
    <w:rsid w:val="00883AAC"/>
    <w:rsid w:val="00883B95"/>
    <w:rsid w:val="00883CFC"/>
    <w:rsid w:val="00883F2B"/>
    <w:rsid w:val="00883F83"/>
    <w:rsid w:val="00884364"/>
    <w:rsid w:val="00884436"/>
    <w:rsid w:val="00884475"/>
    <w:rsid w:val="008844BA"/>
    <w:rsid w:val="0088450D"/>
    <w:rsid w:val="008845CA"/>
    <w:rsid w:val="00884638"/>
    <w:rsid w:val="0088465E"/>
    <w:rsid w:val="008846C6"/>
    <w:rsid w:val="00884814"/>
    <w:rsid w:val="00884BF9"/>
    <w:rsid w:val="00884CB0"/>
    <w:rsid w:val="00884E93"/>
    <w:rsid w:val="00884EDD"/>
    <w:rsid w:val="00884F15"/>
    <w:rsid w:val="0088526B"/>
    <w:rsid w:val="008852FA"/>
    <w:rsid w:val="008852FD"/>
    <w:rsid w:val="008853B4"/>
    <w:rsid w:val="008853C0"/>
    <w:rsid w:val="008854BA"/>
    <w:rsid w:val="00885553"/>
    <w:rsid w:val="00885575"/>
    <w:rsid w:val="008855A5"/>
    <w:rsid w:val="008856EC"/>
    <w:rsid w:val="008857B6"/>
    <w:rsid w:val="00885999"/>
    <w:rsid w:val="00885A51"/>
    <w:rsid w:val="00885B2E"/>
    <w:rsid w:val="00885B35"/>
    <w:rsid w:val="00885BDD"/>
    <w:rsid w:val="00885D3B"/>
    <w:rsid w:val="00885D75"/>
    <w:rsid w:val="00885DF8"/>
    <w:rsid w:val="00885E53"/>
    <w:rsid w:val="00885F60"/>
    <w:rsid w:val="0088606C"/>
    <w:rsid w:val="008860FF"/>
    <w:rsid w:val="00886251"/>
    <w:rsid w:val="00886366"/>
    <w:rsid w:val="008863E4"/>
    <w:rsid w:val="008864C3"/>
    <w:rsid w:val="008864DB"/>
    <w:rsid w:val="00886522"/>
    <w:rsid w:val="00886688"/>
    <w:rsid w:val="008867CF"/>
    <w:rsid w:val="0088692A"/>
    <w:rsid w:val="00886A15"/>
    <w:rsid w:val="00886AA6"/>
    <w:rsid w:val="00886B6A"/>
    <w:rsid w:val="00886BBE"/>
    <w:rsid w:val="00886D86"/>
    <w:rsid w:val="00886DD2"/>
    <w:rsid w:val="00887148"/>
    <w:rsid w:val="008872FD"/>
    <w:rsid w:val="0088733E"/>
    <w:rsid w:val="0088741D"/>
    <w:rsid w:val="008874ED"/>
    <w:rsid w:val="00887573"/>
    <w:rsid w:val="008875B5"/>
    <w:rsid w:val="0088775D"/>
    <w:rsid w:val="00887891"/>
    <w:rsid w:val="0088794B"/>
    <w:rsid w:val="0088798E"/>
    <w:rsid w:val="00887AAF"/>
    <w:rsid w:val="00887C06"/>
    <w:rsid w:val="00887C68"/>
    <w:rsid w:val="00887DC4"/>
    <w:rsid w:val="00887E2C"/>
    <w:rsid w:val="00887F63"/>
    <w:rsid w:val="0089001E"/>
    <w:rsid w:val="00890036"/>
    <w:rsid w:val="008900C7"/>
    <w:rsid w:val="0089018B"/>
    <w:rsid w:val="008902DF"/>
    <w:rsid w:val="00890313"/>
    <w:rsid w:val="00890432"/>
    <w:rsid w:val="0089055A"/>
    <w:rsid w:val="00890586"/>
    <w:rsid w:val="008908E7"/>
    <w:rsid w:val="00890978"/>
    <w:rsid w:val="008909AE"/>
    <w:rsid w:val="00890A13"/>
    <w:rsid w:val="00890A27"/>
    <w:rsid w:val="00890B09"/>
    <w:rsid w:val="00890C3E"/>
    <w:rsid w:val="00890CBD"/>
    <w:rsid w:val="00890DE7"/>
    <w:rsid w:val="00890E1F"/>
    <w:rsid w:val="00890E2E"/>
    <w:rsid w:val="00890ED3"/>
    <w:rsid w:val="00890FE3"/>
    <w:rsid w:val="008910A6"/>
    <w:rsid w:val="008910BF"/>
    <w:rsid w:val="008911AF"/>
    <w:rsid w:val="008912B7"/>
    <w:rsid w:val="00891334"/>
    <w:rsid w:val="0089155E"/>
    <w:rsid w:val="008915DC"/>
    <w:rsid w:val="00891836"/>
    <w:rsid w:val="008918B9"/>
    <w:rsid w:val="00891A26"/>
    <w:rsid w:val="00891C8D"/>
    <w:rsid w:val="00891E60"/>
    <w:rsid w:val="00891E68"/>
    <w:rsid w:val="0089205D"/>
    <w:rsid w:val="00892313"/>
    <w:rsid w:val="008924DA"/>
    <w:rsid w:val="00892695"/>
    <w:rsid w:val="008926C1"/>
    <w:rsid w:val="008926DE"/>
    <w:rsid w:val="00892745"/>
    <w:rsid w:val="00892832"/>
    <w:rsid w:val="00892874"/>
    <w:rsid w:val="00892A2C"/>
    <w:rsid w:val="00892A4A"/>
    <w:rsid w:val="00892B8B"/>
    <w:rsid w:val="00892BBA"/>
    <w:rsid w:val="00892BD5"/>
    <w:rsid w:val="00892C18"/>
    <w:rsid w:val="00892CF2"/>
    <w:rsid w:val="00892D3E"/>
    <w:rsid w:val="00892DFF"/>
    <w:rsid w:val="00892E74"/>
    <w:rsid w:val="00893048"/>
    <w:rsid w:val="00893192"/>
    <w:rsid w:val="00893239"/>
    <w:rsid w:val="008933C3"/>
    <w:rsid w:val="00893436"/>
    <w:rsid w:val="008936DF"/>
    <w:rsid w:val="008936F7"/>
    <w:rsid w:val="008936FA"/>
    <w:rsid w:val="0089376A"/>
    <w:rsid w:val="0089376F"/>
    <w:rsid w:val="00893917"/>
    <w:rsid w:val="00893966"/>
    <w:rsid w:val="00893AC8"/>
    <w:rsid w:val="00893B56"/>
    <w:rsid w:val="00893C5C"/>
    <w:rsid w:val="00893C89"/>
    <w:rsid w:val="00893C9E"/>
    <w:rsid w:val="00893D1A"/>
    <w:rsid w:val="00893E7F"/>
    <w:rsid w:val="00894030"/>
    <w:rsid w:val="00894065"/>
    <w:rsid w:val="00894094"/>
    <w:rsid w:val="008940C1"/>
    <w:rsid w:val="0089414B"/>
    <w:rsid w:val="00894175"/>
    <w:rsid w:val="00894467"/>
    <w:rsid w:val="00894478"/>
    <w:rsid w:val="008944A1"/>
    <w:rsid w:val="008944BA"/>
    <w:rsid w:val="008944EC"/>
    <w:rsid w:val="00894519"/>
    <w:rsid w:val="0089454F"/>
    <w:rsid w:val="008947FA"/>
    <w:rsid w:val="00894C2A"/>
    <w:rsid w:val="00894C98"/>
    <w:rsid w:val="00894E31"/>
    <w:rsid w:val="00894EF5"/>
    <w:rsid w:val="008950D8"/>
    <w:rsid w:val="00895111"/>
    <w:rsid w:val="008951AE"/>
    <w:rsid w:val="008952DF"/>
    <w:rsid w:val="00895390"/>
    <w:rsid w:val="008954A3"/>
    <w:rsid w:val="00895552"/>
    <w:rsid w:val="008955F8"/>
    <w:rsid w:val="008956CC"/>
    <w:rsid w:val="008956DA"/>
    <w:rsid w:val="008957EB"/>
    <w:rsid w:val="00895803"/>
    <w:rsid w:val="00895829"/>
    <w:rsid w:val="00895881"/>
    <w:rsid w:val="00895B1E"/>
    <w:rsid w:val="00895BFA"/>
    <w:rsid w:val="00895D3D"/>
    <w:rsid w:val="00895D3E"/>
    <w:rsid w:val="00895F7C"/>
    <w:rsid w:val="0089614B"/>
    <w:rsid w:val="0089622E"/>
    <w:rsid w:val="008963C2"/>
    <w:rsid w:val="00896558"/>
    <w:rsid w:val="008965B3"/>
    <w:rsid w:val="00896647"/>
    <w:rsid w:val="00896691"/>
    <w:rsid w:val="008966D3"/>
    <w:rsid w:val="008966F1"/>
    <w:rsid w:val="008966F6"/>
    <w:rsid w:val="008967FC"/>
    <w:rsid w:val="00896817"/>
    <w:rsid w:val="00896B7E"/>
    <w:rsid w:val="00896C24"/>
    <w:rsid w:val="00896C38"/>
    <w:rsid w:val="00896DC9"/>
    <w:rsid w:val="00896DCA"/>
    <w:rsid w:val="00896F53"/>
    <w:rsid w:val="00896F99"/>
    <w:rsid w:val="008970E7"/>
    <w:rsid w:val="0089724B"/>
    <w:rsid w:val="0089733F"/>
    <w:rsid w:val="00897691"/>
    <w:rsid w:val="0089778E"/>
    <w:rsid w:val="008978A3"/>
    <w:rsid w:val="008979AB"/>
    <w:rsid w:val="00897ACD"/>
    <w:rsid w:val="00897BC4"/>
    <w:rsid w:val="00897DC1"/>
    <w:rsid w:val="00897E8A"/>
    <w:rsid w:val="008A006A"/>
    <w:rsid w:val="008A007A"/>
    <w:rsid w:val="008A009D"/>
    <w:rsid w:val="008A0155"/>
    <w:rsid w:val="008A0261"/>
    <w:rsid w:val="008A026F"/>
    <w:rsid w:val="008A02CF"/>
    <w:rsid w:val="008A045B"/>
    <w:rsid w:val="008A06CE"/>
    <w:rsid w:val="008A076D"/>
    <w:rsid w:val="008A08EB"/>
    <w:rsid w:val="008A0B55"/>
    <w:rsid w:val="008A0B86"/>
    <w:rsid w:val="008A0CCF"/>
    <w:rsid w:val="008A0E36"/>
    <w:rsid w:val="008A0E80"/>
    <w:rsid w:val="008A0F66"/>
    <w:rsid w:val="008A1062"/>
    <w:rsid w:val="008A1089"/>
    <w:rsid w:val="008A10F8"/>
    <w:rsid w:val="008A1402"/>
    <w:rsid w:val="008A1431"/>
    <w:rsid w:val="008A15AB"/>
    <w:rsid w:val="008A17A6"/>
    <w:rsid w:val="008A17A8"/>
    <w:rsid w:val="008A17BD"/>
    <w:rsid w:val="008A19D9"/>
    <w:rsid w:val="008A1A0F"/>
    <w:rsid w:val="008A1D2D"/>
    <w:rsid w:val="008A1D6A"/>
    <w:rsid w:val="008A1D96"/>
    <w:rsid w:val="008A1DA1"/>
    <w:rsid w:val="008A1E17"/>
    <w:rsid w:val="008A1FAE"/>
    <w:rsid w:val="008A1FE9"/>
    <w:rsid w:val="008A202E"/>
    <w:rsid w:val="008A21AD"/>
    <w:rsid w:val="008A22ED"/>
    <w:rsid w:val="008A2350"/>
    <w:rsid w:val="008A2634"/>
    <w:rsid w:val="008A27CE"/>
    <w:rsid w:val="008A2ACA"/>
    <w:rsid w:val="008A2D2A"/>
    <w:rsid w:val="008A2DD3"/>
    <w:rsid w:val="008A2DE1"/>
    <w:rsid w:val="008A2E33"/>
    <w:rsid w:val="008A2E59"/>
    <w:rsid w:val="008A2F78"/>
    <w:rsid w:val="008A302B"/>
    <w:rsid w:val="008A3099"/>
    <w:rsid w:val="008A30E5"/>
    <w:rsid w:val="008A31D7"/>
    <w:rsid w:val="008A31FB"/>
    <w:rsid w:val="008A3286"/>
    <w:rsid w:val="008A3297"/>
    <w:rsid w:val="008A3499"/>
    <w:rsid w:val="008A3519"/>
    <w:rsid w:val="008A352A"/>
    <w:rsid w:val="008A3594"/>
    <w:rsid w:val="008A35FA"/>
    <w:rsid w:val="008A371D"/>
    <w:rsid w:val="008A3792"/>
    <w:rsid w:val="008A37B4"/>
    <w:rsid w:val="008A37D9"/>
    <w:rsid w:val="008A3BDC"/>
    <w:rsid w:val="008A3C4A"/>
    <w:rsid w:val="008A3C6C"/>
    <w:rsid w:val="008A3D29"/>
    <w:rsid w:val="008A3D44"/>
    <w:rsid w:val="008A3DDC"/>
    <w:rsid w:val="008A3EF3"/>
    <w:rsid w:val="008A3FE6"/>
    <w:rsid w:val="008A4120"/>
    <w:rsid w:val="008A4256"/>
    <w:rsid w:val="008A4354"/>
    <w:rsid w:val="008A46B9"/>
    <w:rsid w:val="008A46BA"/>
    <w:rsid w:val="008A47D6"/>
    <w:rsid w:val="008A489D"/>
    <w:rsid w:val="008A48F3"/>
    <w:rsid w:val="008A4926"/>
    <w:rsid w:val="008A4A02"/>
    <w:rsid w:val="008A4ACD"/>
    <w:rsid w:val="008A4ADF"/>
    <w:rsid w:val="008A4B52"/>
    <w:rsid w:val="008A4D81"/>
    <w:rsid w:val="008A4E8C"/>
    <w:rsid w:val="008A5033"/>
    <w:rsid w:val="008A512D"/>
    <w:rsid w:val="008A51D8"/>
    <w:rsid w:val="008A54AD"/>
    <w:rsid w:val="008A5500"/>
    <w:rsid w:val="008A56B7"/>
    <w:rsid w:val="008A57BA"/>
    <w:rsid w:val="008A57C9"/>
    <w:rsid w:val="008A59D6"/>
    <w:rsid w:val="008A5A07"/>
    <w:rsid w:val="008A5A1C"/>
    <w:rsid w:val="008A5AE6"/>
    <w:rsid w:val="008A5AED"/>
    <w:rsid w:val="008A5B1D"/>
    <w:rsid w:val="008A5B39"/>
    <w:rsid w:val="008A5B7E"/>
    <w:rsid w:val="008A5B82"/>
    <w:rsid w:val="008A5C3D"/>
    <w:rsid w:val="008A5C5C"/>
    <w:rsid w:val="008A5C9E"/>
    <w:rsid w:val="008A5D27"/>
    <w:rsid w:val="008A5E53"/>
    <w:rsid w:val="008A603C"/>
    <w:rsid w:val="008A6175"/>
    <w:rsid w:val="008A657E"/>
    <w:rsid w:val="008A6740"/>
    <w:rsid w:val="008A688D"/>
    <w:rsid w:val="008A6918"/>
    <w:rsid w:val="008A6A28"/>
    <w:rsid w:val="008A6BC1"/>
    <w:rsid w:val="008A6BF3"/>
    <w:rsid w:val="008A6C29"/>
    <w:rsid w:val="008A6CC1"/>
    <w:rsid w:val="008A71B4"/>
    <w:rsid w:val="008A738E"/>
    <w:rsid w:val="008A73B0"/>
    <w:rsid w:val="008A7438"/>
    <w:rsid w:val="008A74DD"/>
    <w:rsid w:val="008A7563"/>
    <w:rsid w:val="008A7680"/>
    <w:rsid w:val="008A7719"/>
    <w:rsid w:val="008A777E"/>
    <w:rsid w:val="008A7881"/>
    <w:rsid w:val="008A7A72"/>
    <w:rsid w:val="008A7AAE"/>
    <w:rsid w:val="008A7C43"/>
    <w:rsid w:val="008A7C8C"/>
    <w:rsid w:val="008A7E55"/>
    <w:rsid w:val="008A7E92"/>
    <w:rsid w:val="008A7F19"/>
    <w:rsid w:val="008A7F66"/>
    <w:rsid w:val="008B0057"/>
    <w:rsid w:val="008B009F"/>
    <w:rsid w:val="008B010E"/>
    <w:rsid w:val="008B0210"/>
    <w:rsid w:val="008B032B"/>
    <w:rsid w:val="008B052D"/>
    <w:rsid w:val="008B0533"/>
    <w:rsid w:val="008B05DE"/>
    <w:rsid w:val="008B060A"/>
    <w:rsid w:val="008B06C1"/>
    <w:rsid w:val="008B0758"/>
    <w:rsid w:val="008B08FC"/>
    <w:rsid w:val="008B0A4A"/>
    <w:rsid w:val="008B0A75"/>
    <w:rsid w:val="008B0BEF"/>
    <w:rsid w:val="008B0D47"/>
    <w:rsid w:val="008B0E9A"/>
    <w:rsid w:val="008B107C"/>
    <w:rsid w:val="008B11C3"/>
    <w:rsid w:val="008B122F"/>
    <w:rsid w:val="008B1267"/>
    <w:rsid w:val="008B133B"/>
    <w:rsid w:val="008B13C6"/>
    <w:rsid w:val="008B148A"/>
    <w:rsid w:val="008B14B8"/>
    <w:rsid w:val="008B1517"/>
    <w:rsid w:val="008B1648"/>
    <w:rsid w:val="008B1664"/>
    <w:rsid w:val="008B17A1"/>
    <w:rsid w:val="008B1813"/>
    <w:rsid w:val="008B18CD"/>
    <w:rsid w:val="008B1952"/>
    <w:rsid w:val="008B19BF"/>
    <w:rsid w:val="008B1AE5"/>
    <w:rsid w:val="008B1B2C"/>
    <w:rsid w:val="008B1BB0"/>
    <w:rsid w:val="008B1CD0"/>
    <w:rsid w:val="008B1DAB"/>
    <w:rsid w:val="008B1EC9"/>
    <w:rsid w:val="008B1EF3"/>
    <w:rsid w:val="008B2151"/>
    <w:rsid w:val="008B22BA"/>
    <w:rsid w:val="008B2393"/>
    <w:rsid w:val="008B2414"/>
    <w:rsid w:val="008B2562"/>
    <w:rsid w:val="008B2704"/>
    <w:rsid w:val="008B2808"/>
    <w:rsid w:val="008B2810"/>
    <w:rsid w:val="008B28A3"/>
    <w:rsid w:val="008B28FD"/>
    <w:rsid w:val="008B29AF"/>
    <w:rsid w:val="008B2A21"/>
    <w:rsid w:val="008B2A22"/>
    <w:rsid w:val="008B2BAC"/>
    <w:rsid w:val="008B2D22"/>
    <w:rsid w:val="008B309C"/>
    <w:rsid w:val="008B30B4"/>
    <w:rsid w:val="008B32BC"/>
    <w:rsid w:val="008B330D"/>
    <w:rsid w:val="008B350D"/>
    <w:rsid w:val="008B36E6"/>
    <w:rsid w:val="008B37FB"/>
    <w:rsid w:val="008B3825"/>
    <w:rsid w:val="008B3876"/>
    <w:rsid w:val="008B38F7"/>
    <w:rsid w:val="008B396F"/>
    <w:rsid w:val="008B39BA"/>
    <w:rsid w:val="008B39CD"/>
    <w:rsid w:val="008B3B88"/>
    <w:rsid w:val="008B3C1C"/>
    <w:rsid w:val="008B3C53"/>
    <w:rsid w:val="008B3C58"/>
    <w:rsid w:val="008B3CFF"/>
    <w:rsid w:val="008B3E87"/>
    <w:rsid w:val="008B3F98"/>
    <w:rsid w:val="008B40D4"/>
    <w:rsid w:val="008B4178"/>
    <w:rsid w:val="008B42C3"/>
    <w:rsid w:val="008B43A4"/>
    <w:rsid w:val="008B4415"/>
    <w:rsid w:val="008B444B"/>
    <w:rsid w:val="008B4494"/>
    <w:rsid w:val="008B4533"/>
    <w:rsid w:val="008B47CD"/>
    <w:rsid w:val="008B47CF"/>
    <w:rsid w:val="008B4827"/>
    <w:rsid w:val="008B4878"/>
    <w:rsid w:val="008B487C"/>
    <w:rsid w:val="008B4A63"/>
    <w:rsid w:val="008B4A72"/>
    <w:rsid w:val="008B4AA9"/>
    <w:rsid w:val="008B4B10"/>
    <w:rsid w:val="008B4B2E"/>
    <w:rsid w:val="008B4C32"/>
    <w:rsid w:val="008B4D5B"/>
    <w:rsid w:val="008B4DDA"/>
    <w:rsid w:val="008B4DF9"/>
    <w:rsid w:val="008B4E07"/>
    <w:rsid w:val="008B5059"/>
    <w:rsid w:val="008B526C"/>
    <w:rsid w:val="008B5678"/>
    <w:rsid w:val="008B56C7"/>
    <w:rsid w:val="008B5749"/>
    <w:rsid w:val="008B5806"/>
    <w:rsid w:val="008B5807"/>
    <w:rsid w:val="008B5977"/>
    <w:rsid w:val="008B5B3C"/>
    <w:rsid w:val="008B5B41"/>
    <w:rsid w:val="008B5BBD"/>
    <w:rsid w:val="008B5CC5"/>
    <w:rsid w:val="008B60BA"/>
    <w:rsid w:val="008B62E6"/>
    <w:rsid w:val="008B63A0"/>
    <w:rsid w:val="008B660D"/>
    <w:rsid w:val="008B683C"/>
    <w:rsid w:val="008B695A"/>
    <w:rsid w:val="008B6C39"/>
    <w:rsid w:val="008B6C6C"/>
    <w:rsid w:val="008B6CA8"/>
    <w:rsid w:val="008B6CC8"/>
    <w:rsid w:val="008B6D22"/>
    <w:rsid w:val="008B6D4C"/>
    <w:rsid w:val="008B6E7C"/>
    <w:rsid w:val="008B7095"/>
    <w:rsid w:val="008B7475"/>
    <w:rsid w:val="008B74E5"/>
    <w:rsid w:val="008B7510"/>
    <w:rsid w:val="008B7546"/>
    <w:rsid w:val="008B75AD"/>
    <w:rsid w:val="008B75FF"/>
    <w:rsid w:val="008B761A"/>
    <w:rsid w:val="008B7634"/>
    <w:rsid w:val="008B766B"/>
    <w:rsid w:val="008B771B"/>
    <w:rsid w:val="008B78A6"/>
    <w:rsid w:val="008B79D5"/>
    <w:rsid w:val="008B7AE1"/>
    <w:rsid w:val="008B7AF9"/>
    <w:rsid w:val="008B7C17"/>
    <w:rsid w:val="008B7CF3"/>
    <w:rsid w:val="008B7E0B"/>
    <w:rsid w:val="008BA1E3"/>
    <w:rsid w:val="008C0173"/>
    <w:rsid w:val="008C0195"/>
    <w:rsid w:val="008C0287"/>
    <w:rsid w:val="008C029F"/>
    <w:rsid w:val="008C02AD"/>
    <w:rsid w:val="008C02FE"/>
    <w:rsid w:val="008C0373"/>
    <w:rsid w:val="008C039D"/>
    <w:rsid w:val="008C041F"/>
    <w:rsid w:val="008C0450"/>
    <w:rsid w:val="008C06C7"/>
    <w:rsid w:val="008C06D8"/>
    <w:rsid w:val="008C0916"/>
    <w:rsid w:val="008C0933"/>
    <w:rsid w:val="008C0960"/>
    <w:rsid w:val="008C09F4"/>
    <w:rsid w:val="008C0A00"/>
    <w:rsid w:val="008C0AAD"/>
    <w:rsid w:val="008C0AC6"/>
    <w:rsid w:val="008C0B22"/>
    <w:rsid w:val="008C0C77"/>
    <w:rsid w:val="008C0FCD"/>
    <w:rsid w:val="008C1062"/>
    <w:rsid w:val="008C111F"/>
    <w:rsid w:val="008C12BD"/>
    <w:rsid w:val="008C1417"/>
    <w:rsid w:val="008C151D"/>
    <w:rsid w:val="008C1692"/>
    <w:rsid w:val="008C16B9"/>
    <w:rsid w:val="008C16FC"/>
    <w:rsid w:val="008C184B"/>
    <w:rsid w:val="008C1AB4"/>
    <w:rsid w:val="008C1B6D"/>
    <w:rsid w:val="008C1B7B"/>
    <w:rsid w:val="008C1D00"/>
    <w:rsid w:val="008C1E53"/>
    <w:rsid w:val="008C1F1B"/>
    <w:rsid w:val="008C2016"/>
    <w:rsid w:val="008C2131"/>
    <w:rsid w:val="008C21AC"/>
    <w:rsid w:val="008C21B1"/>
    <w:rsid w:val="008C2423"/>
    <w:rsid w:val="008C244B"/>
    <w:rsid w:val="008C24DF"/>
    <w:rsid w:val="008C2502"/>
    <w:rsid w:val="008C258B"/>
    <w:rsid w:val="008C2595"/>
    <w:rsid w:val="008C25EB"/>
    <w:rsid w:val="008C2701"/>
    <w:rsid w:val="008C2754"/>
    <w:rsid w:val="008C2757"/>
    <w:rsid w:val="008C286D"/>
    <w:rsid w:val="008C2BBD"/>
    <w:rsid w:val="008C2C3C"/>
    <w:rsid w:val="008C2D9D"/>
    <w:rsid w:val="008C2ED0"/>
    <w:rsid w:val="008C2F67"/>
    <w:rsid w:val="008C2FC6"/>
    <w:rsid w:val="008C2FE0"/>
    <w:rsid w:val="008C32E8"/>
    <w:rsid w:val="008C32F1"/>
    <w:rsid w:val="008C33F8"/>
    <w:rsid w:val="008C34A6"/>
    <w:rsid w:val="008C3627"/>
    <w:rsid w:val="008C37E7"/>
    <w:rsid w:val="008C383C"/>
    <w:rsid w:val="008C38F1"/>
    <w:rsid w:val="008C3917"/>
    <w:rsid w:val="008C3936"/>
    <w:rsid w:val="008C3B07"/>
    <w:rsid w:val="008C3BC1"/>
    <w:rsid w:val="008C3C06"/>
    <w:rsid w:val="008C3D72"/>
    <w:rsid w:val="008C3DC7"/>
    <w:rsid w:val="008C4029"/>
    <w:rsid w:val="008C4100"/>
    <w:rsid w:val="008C412F"/>
    <w:rsid w:val="008C41A3"/>
    <w:rsid w:val="008C4301"/>
    <w:rsid w:val="008C434B"/>
    <w:rsid w:val="008C443E"/>
    <w:rsid w:val="008C4499"/>
    <w:rsid w:val="008C46A3"/>
    <w:rsid w:val="008C46B1"/>
    <w:rsid w:val="008C4ABB"/>
    <w:rsid w:val="008C4AE9"/>
    <w:rsid w:val="008C4B79"/>
    <w:rsid w:val="008C4E2C"/>
    <w:rsid w:val="008C500A"/>
    <w:rsid w:val="008C501D"/>
    <w:rsid w:val="008C50FD"/>
    <w:rsid w:val="008C5228"/>
    <w:rsid w:val="008C52F3"/>
    <w:rsid w:val="008C5305"/>
    <w:rsid w:val="008C5365"/>
    <w:rsid w:val="008C5599"/>
    <w:rsid w:val="008C55E9"/>
    <w:rsid w:val="008C56BC"/>
    <w:rsid w:val="008C56BE"/>
    <w:rsid w:val="008C56C4"/>
    <w:rsid w:val="008C57A0"/>
    <w:rsid w:val="008C581E"/>
    <w:rsid w:val="008C59C3"/>
    <w:rsid w:val="008C5D9B"/>
    <w:rsid w:val="008C5E71"/>
    <w:rsid w:val="008C5F18"/>
    <w:rsid w:val="008C5F4C"/>
    <w:rsid w:val="008C6169"/>
    <w:rsid w:val="008C6285"/>
    <w:rsid w:val="008C62AC"/>
    <w:rsid w:val="008C63DD"/>
    <w:rsid w:val="008C63EB"/>
    <w:rsid w:val="008C64EE"/>
    <w:rsid w:val="008C666F"/>
    <w:rsid w:val="008C673D"/>
    <w:rsid w:val="008C6A3D"/>
    <w:rsid w:val="008C6A68"/>
    <w:rsid w:val="008C6DBA"/>
    <w:rsid w:val="008C6DE1"/>
    <w:rsid w:val="008C7031"/>
    <w:rsid w:val="008C70D0"/>
    <w:rsid w:val="008C713B"/>
    <w:rsid w:val="008C715B"/>
    <w:rsid w:val="008C735C"/>
    <w:rsid w:val="008C73D7"/>
    <w:rsid w:val="008C7422"/>
    <w:rsid w:val="008C747A"/>
    <w:rsid w:val="008C74A0"/>
    <w:rsid w:val="008C74E1"/>
    <w:rsid w:val="008C74E4"/>
    <w:rsid w:val="008C7700"/>
    <w:rsid w:val="008C776E"/>
    <w:rsid w:val="008C778C"/>
    <w:rsid w:val="008C784C"/>
    <w:rsid w:val="008C7A55"/>
    <w:rsid w:val="008C7BE2"/>
    <w:rsid w:val="008C7CB7"/>
    <w:rsid w:val="008C7CBC"/>
    <w:rsid w:val="008C7CEF"/>
    <w:rsid w:val="008C7D46"/>
    <w:rsid w:val="008C7DDC"/>
    <w:rsid w:val="008C7F5A"/>
    <w:rsid w:val="008C931B"/>
    <w:rsid w:val="008D0097"/>
    <w:rsid w:val="008D01DD"/>
    <w:rsid w:val="008D0222"/>
    <w:rsid w:val="008D024F"/>
    <w:rsid w:val="008D02D3"/>
    <w:rsid w:val="008D0342"/>
    <w:rsid w:val="008D0483"/>
    <w:rsid w:val="008D04C7"/>
    <w:rsid w:val="008D0627"/>
    <w:rsid w:val="008D07F9"/>
    <w:rsid w:val="008D08B5"/>
    <w:rsid w:val="008D0B51"/>
    <w:rsid w:val="008D0B78"/>
    <w:rsid w:val="008D0C78"/>
    <w:rsid w:val="008D0CA0"/>
    <w:rsid w:val="008D0EB0"/>
    <w:rsid w:val="008D0EF7"/>
    <w:rsid w:val="008D0F65"/>
    <w:rsid w:val="008D0F72"/>
    <w:rsid w:val="008D108B"/>
    <w:rsid w:val="008D12CE"/>
    <w:rsid w:val="008D1352"/>
    <w:rsid w:val="008D14C3"/>
    <w:rsid w:val="008D14CD"/>
    <w:rsid w:val="008D15AA"/>
    <w:rsid w:val="008D1728"/>
    <w:rsid w:val="008D17E5"/>
    <w:rsid w:val="008D1876"/>
    <w:rsid w:val="008D1964"/>
    <w:rsid w:val="008D1A44"/>
    <w:rsid w:val="008D1B94"/>
    <w:rsid w:val="008D1C50"/>
    <w:rsid w:val="008D1C79"/>
    <w:rsid w:val="008D1D1F"/>
    <w:rsid w:val="008D1D76"/>
    <w:rsid w:val="008D1F7E"/>
    <w:rsid w:val="008D200B"/>
    <w:rsid w:val="008D22C6"/>
    <w:rsid w:val="008D271D"/>
    <w:rsid w:val="008D27B0"/>
    <w:rsid w:val="008D2883"/>
    <w:rsid w:val="008D2993"/>
    <w:rsid w:val="008D29D7"/>
    <w:rsid w:val="008D2A7B"/>
    <w:rsid w:val="008D2B36"/>
    <w:rsid w:val="008D2B8D"/>
    <w:rsid w:val="008D2E48"/>
    <w:rsid w:val="008D2E8F"/>
    <w:rsid w:val="008D2F70"/>
    <w:rsid w:val="008D2FAB"/>
    <w:rsid w:val="008D3005"/>
    <w:rsid w:val="008D31B7"/>
    <w:rsid w:val="008D31EB"/>
    <w:rsid w:val="008D3275"/>
    <w:rsid w:val="008D3400"/>
    <w:rsid w:val="008D349C"/>
    <w:rsid w:val="008D34CC"/>
    <w:rsid w:val="008D34DE"/>
    <w:rsid w:val="008D371B"/>
    <w:rsid w:val="008D37E5"/>
    <w:rsid w:val="008D3916"/>
    <w:rsid w:val="008D3B94"/>
    <w:rsid w:val="008D3B99"/>
    <w:rsid w:val="008D3D6A"/>
    <w:rsid w:val="008D3D7A"/>
    <w:rsid w:val="008D3E3D"/>
    <w:rsid w:val="008D42AA"/>
    <w:rsid w:val="008D434C"/>
    <w:rsid w:val="008D4376"/>
    <w:rsid w:val="008D4391"/>
    <w:rsid w:val="008D4484"/>
    <w:rsid w:val="008D44F2"/>
    <w:rsid w:val="008D450D"/>
    <w:rsid w:val="008D45C3"/>
    <w:rsid w:val="008D45D6"/>
    <w:rsid w:val="008D466C"/>
    <w:rsid w:val="008D46D0"/>
    <w:rsid w:val="008D478D"/>
    <w:rsid w:val="008D4825"/>
    <w:rsid w:val="008D48BE"/>
    <w:rsid w:val="008D4905"/>
    <w:rsid w:val="008D49D7"/>
    <w:rsid w:val="008D4A96"/>
    <w:rsid w:val="008D4AC4"/>
    <w:rsid w:val="008D4AD2"/>
    <w:rsid w:val="008D4ADB"/>
    <w:rsid w:val="008D4D5A"/>
    <w:rsid w:val="008D4E19"/>
    <w:rsid w:val="008D4F04"/>
    <w:rsid w:val="008D4F34"/>
    <w:rsid w:val="008D5013"/>
    <w:rsid w:val="008D5322"/>
    <w:rsid w:val="008D5414"/>
    <w:rsid w:val="008D54E6"/>
    <w:rsid w:val="008D5579"/>
    <w:rsid w:val="008D59F6"/>
    <w:rsid w:val="008D5C4E"/>
    <w:rsid w:val="008D5DA2"/>
    <w:rsid w:val="008D5E7D"/>
    <w:rsid w:val="008D5F53"/>
    <w:rsid w:val="008D5FB0"/>
    <w:rsid w:val="008D6019"/>
    <w:rsid w:val="008D6041"/>
    <w:rsid w:val="008D604B"/>
    <w:rsid w:val="008D607E"/>
    <w:rsid w:val="008D612A"/>
    <w:rsid w:val="008D6248"/>
    <w:rsid w:val="008D631C"/>
    <w:rsid w:val="008D64A4"/>
    <w:rsid w:val="008D65F5"/>
    <w:rsid w:val="008D6945"/>
    <w:rsid w:val="008D6A90"/>
    <w:rsid w:val="008D6ADF"/>
    <w:rsid w:val="008D6B30"/>
    <w:rsid w:val="008D6C4C"/>
    <w:rsid w:val="008D6CB3"/>
    <w:rsid w:val="008D6FEC"/>
    <w:rsid w:val="008D7000"/>
    <w:rsid w:val="008D72A3"/>
    <w:rsid w:val="008D72B9"/>
    <w:rsid w:val="008D72E1"/>
    <w:rsid w:val="008D7364"/>
    <w:rsid w:val="008D74AD"/>
    <w:rsid w:val="008D7527"/>
    <w:rsid w:val="008D755D"/>
    <w:rsid w:val="008D7560"/>
    <w:rsid w:val="008D7631"/>
    <w:rsid w:val="008D77CC"/>
    <w:rsid w:val="008D77DC"/>
    <w:rsid w:val="008D77FF"/>
    <w:rsid w:val="008D782E"/>
    <w:rsid w:val="008D78BB"/>
    <w:rsid w:val="008D7900"/>
    <w:rsid w:val="008D7AB0"/>
    <w:rsid w:val="008D7B86"/>
    <w:rsid w:val="008D7BB1"/>
    <w:rsid w:val="008D7BE0"/>
    <w:rsid w:val="008D7C0F"/>
    <w:rsid w:val="008D7E1B"/>
    <w:rsid w:val="008D7EC7"/>
    <w:rsid w:val="008D7F47"/>
    <w:rsid w:val="008D7F5F"/>
    <w:rsid w:val="008D7F77"/>
    <w:rsid w:val="008D7F99"/>
    <w:rsid w:val="008E0058"/>
    <w:rsid w:val="008E00FF"/>
    <w:rsid w:val="008E01CA"/>
    <w:rsid w:val="008E01E5"/>
    <w:rsid w:val="008E020F"/>
    <w:rsid w:val="008E02E6"/>
    <w:rsid w:val="008E035A"/>
    <w:rsid w:val="008E03BF"/>
    <w:rsid w:val="008E03C6"/>
    <w:rsid w:val="008E047E"/>
    <w:rsid w:val="008E0486"/>
    <w:rsid w:val="008E058D"/>
    <w:rsid w:val="008E05B9"/>
    <w:rsid w:val="008E0687"/>
    <w:rsid w:val="008E0788"/>
    <w:rsid w:val="008E07BE"/>
    <w:rsid w:val="008E087C"/>
    <w:rsid w:val="008E0912"/>
    <w:rsid w:val="008E0A33"/>
    <w:rsid w:val="008E0A3C"/>
    <w:rsid w:val="008E0B3A"/>
    <w:rsid w:val="008E0BB8"/>
    <w:rsid w:val="008E0F99"/>
    <w:rsid w:val="008E1308"/>
    <w:rsid w:val="008E131B"/>
    <w:rsid w:val="008E1366"/>
    <w:rsid w:val="008E15A7"/>
    <w:rsid w:val="008E1635"/>
    <w:rsid w:val="008E18CB"/>
    <w:rsid w:val="008E19B4"/>
    <w:rsid w:val="008E1B22"/>
    <w:rsid w:val="008E1B61"/>
    <w:rsid w:val="008E1C56"/>
    <w:rsid w:val="008E1CEB"/>
    <w:rsid w:val="008E1D05"/>
    <w:rsid w:val="008E1D87"/>
    <w:rsid w:val="008E1F31"/>
    <w:rsid w:val="008E2043"/>
    <w:rsid w:val="008E207F"/>
    <w:rsid w:val="008E20BC"/>
    <w:rsid w:val="008E21C8"/>
    <w:rsid w:val="008E2204"/>
    <w:rsid w:val="008E224D"/>
    <w:rsid w:val="008E230D"/>
    <w:rsid w:val="008E2334"/>
    <w:rsid w:val="008E24CB"/>
    <w:rsid w:val="008E2622"/>
    <w:rsid w:val="008E2669"/>
    <w:rsid w:val="008E28BB"/>
    <w:rsid w:val="008E28EF"/>
    <w:rsid w:val="008E2A52"/>
    <w:rsid w:val="008E2A70"/>
    <w:rsid w:val="008E2A9E"/>
    <w:rsid w:val="008E32E8"/>
    <w:rsid w:val="008E3347"/>
    <w:rsid w:val="008E363E"/>
    <w:rsid w:val="008E378B"/>
    <w:rsid w:val="008E3893"/>
    <w:rsid w:val="008E3982"/>
    <w:rsid w:val="008E39FA"/>
    <w:rsid w:val="008E3A8A"/>
    <w:rsid w:val="008E3B80"/>
    <w:rsid w:val="008E3BD7"/>
    <w:rsid w:val="008E3D34"/>
    <w:rsid w:val="008E3DC8"/>
    <w:rsid w:val="008E3E81"/>
    <w:rsid w:val="008E3F60"/>
    <w:rsid w:val="008E3FBC"/>
    <w:rsid w:val="008E3FE1"/>
    <w:rsid w:val="008E409D"/>
    <w:rsid w:val="008E4107"/>
    <w:rsid w:val="008E41A0"/>
    <w:rsid w:val="008E436F"/>
    <w:rsid w:val="008E43AD"/>
    <w:rsid w:val="008E43E9"/>
    <w:rsid w:val="008E4496"/>
    <w:rsid w:val="008E4505"/>
    <w:rsid w:val="008E452D"/>
    <w:rsid w:val="008E4530"/>
    <w:rsid w:val="008E45BA"/>
    <w:rsid w:val="008E4697"/>
    <w:rsid w:val="008E46A7"/>
    <w:rsid w:val="008E4897"/>
    <w:rsid w:val="008E4AC8"/>
    <w:rsid w:val="008E4C23"/>
    <w:rsid w:val="008E4D27"/>
    <w:rsid w:val="008E4E55"/>
    <w:rsid w:val="008E502D"/>
    <w:rsid w:val="008E505A"/>
    <w:rsid w:val="008E50FE"/>
    <w:rsid w:val="008E5202"/>
    <w:rsid w:val="008E5242"/>
    <w:rsid w:val="008E5428"/>
    <w:rsid w:val="008E54C1"/>
    <w:rsid w:val="008E5510"/>
    <w:rsid w:val="008E5676"/>
    <w:rsid w:val="008E567B"/>
    <w:rsid w:val="008E5883"/>
    <w:rsid w:val="008E593B"/>
    <w:rsid w:val="008E5A6D"/>
    <w:rsid w:val="008E5A97"/>
    <w:rsid w:val="008E5B2E"/>
    <w:rsid w:val="008E5B9D"/>
    <w:rsid w:val="008E5BB8"/>
    <w:rsid w:val="008E5CD2"/>
    <w:rsid w:val="008E5CEA"/>
    <w:rsid w:val="008E5D87"/>
    <w:rsid w:val="008E5DA2"/>
    <w:rsid w:val="008E5DA9"/>
    <w:rsid w:val="008E5F2C"/>
    <w:rsid w:val="008E5FE9"/>
    <w:rsid w:val="008E60EA"/>
    <w:rsid w:val="008E62DC"/>
    <w:rsid w:val="008E6315"/>
    <w:rsid w:val="008E6410"/>
    <w:rsid w:val="008E64AC"/>
    <w:rsid w:val="008E6517"/>
    <w:rsid w:val="008E65AB"/>
    <w:rsid w:val="008E65C6"/>
    <w:rsid w:val="008E6741"/>
    <w:rsid w:val="008E6782"/>
    <w:rsid w:val="008E67C0"/>
    <w:rsid w:val="008E67EE"/>
    <w:rsid w:val="008E6825"/>
    <w:rsid w:val="008E68BF"/>
    <w:rsid w:val="008E68F0"/>
    <w:rsid w:val="008E6940"/>
    <w:rsid w:val="008E6949"/>
    <w:rsid w:val="008E69B2"/>
    <w:rsid w:val="008E6B8F"/>
    <w:rsid w:val="008E6C14"/>
    <w:rsid w:val="008E6CA9"/>
    <w:rsid w:val="008E6CBE"/>
    <w:rsid w:val="008E6EDB"/>
    <w:rsid w:val="008E6F76"/>
    <w:rsid w:val="008E6F85"/>
    <w:rsid w:val="008E7109"/>
    <w:rsid w:val="008E7147"/>
    <w:rsid w:val="008E71B9"/>
    <w:rsid w:val="008E71E2"/>
    <w:rsid w:val="008E74A1"/>
    <w:rsid w:val="008E74CE"/>
    <w:rsid w:val="008E74ED"/>
    <w:rsid w:val="008E74F8"/>
    <w:rsid w:val="008E7712"/>
    <w:rsid w:val="008E7762"/>
    <w:rsid w:val="008E784D"/>
    <w:rsid w:val="008E79EA"/>
    <w:rsid w:val="008E7A3C"/>
    <w:rsid w:val="008E7AEF"/>
    <w:rsid w:val="008E7B46"/>
    <w:rsid w:val="008E7B84"/>
    <w:rsid w:val="008E7BF0"/>
    <w:rsid w:val="008E7CBE"/>
    <w:rsid w:val="008E7D67"/>
    <w:rsid w:val="008E7EFB"/>
    <w:rsid w:val="008E7F45"/>
    <w:rsid w:val="008E7FA9"/>
    <w:rsid w:val="008F001F"/>
    <w:rsid w:val="008F0079"/>
    <w:rsid w:val="008F00E4"/>
    <w:rsid w:val="008F0145"/>
    <w:rsid w:val="008F01DD"/>
    <w:rsid w:val="008F01E1"/>
    <w:rsid w:val="008F025E"/>
    <w:rsid w:val="008F0323"/>
    <w:rsid w:val="008F0330"/>
    <w:rsid w:val="008F0351"/>
    <w:rsid w:val="008F03E2"/>
    <w:rsid w:val="008F0452"/>
    <w:rsid w:val="008F0484"/>
    <w:rsid w:val="008F050F"/>
    <w:rsid w:val="008F08A6"/>
    <w:rsid w:val="008F0903"/>
    <w:rsid w:val="008F0B6D"/>
    <w:rsid w:val="008F0C90"/>
    <w:rsid w:val="008F0D34"/>
    <w:rsid w:val="008F0DEF"/>
    <w:rsid w:val="008F0E21"/>
    <w:rsid w:val="008F0E4A"/>
    <w:rsid w:val="008F0EB6"/>
    <w:rsid w:val="008F0FCD"/>
    <w:rsid w:val="008F1069"/>
    <w:rsid w:val="008F13BF"/>
    <w:rsid w:val="008F1410"/>
    <w:rsid w:val="008F151F"/>
    <w:rsid w:val="008F1571"/>
    <w:rsid w:val="008F1599"/>
    <w:rsid w:val="008F15DD"/>
    <w:rsid w:val="008F1813"/>
    <w:rsid w:val="008F182F"/>
    <w:rsid w:val="008F188D"/>
    <w:rsid w:val="008F18F0"/>
    <w:rsid w:val="008F1D61"/>
    <w:rsid w:val="008F1DB3"/>
    <w:rsid w:val="008F1FA2"/>
    <w:rsid w:val="008F20EC"/>
    <w:rsid w:val="008F21AF"/>
    <w:rsid w:val="008F23B2"/>
    <w:rsid w:val="008F2416"/>
    <w:rsid w:val="008F24E4"/>
    <w:rsid w:val="008F2529"/>
    <w:rsid w:val="008F26AC"/>
    <w:rsid w:val="008F26CD"/>
    <w:rsid w:val="008F2892"/>
    <w:rsid w:val="008F28F5"/>
    <w:rsid w:val="008F2938"/>
    <w:rsid w:val="008F2A2F"/>
    <w:rsid w:val="008F2BB2"/>
    <w:rsid w:val="008F2D1F"/>
    <w:rsid w:val="008F2DC1"/>
    <w:rsid w:val="008F2E1B"/>
    <w:rsid w:val="008F2E20"/>
    <w:rsid w:val="008F2E5C"/>
    <w:rsid w:val="008F2E7A"/>
    <w:rsid w:val="008F2FA2"/>
    <w:rsid w:val="008F2FA9"/>
    <w:rsid w:val="008F302C"/>
    <w:rsid w:val="008F3332"/>
    <w:rsid w:val="008F33E4"/>
    <w:rsid w:val="008F3494"/>
    <w:rsid w:val="008F349B"/>
    <w:rsid w:val="008F358B"/>
    <w:rsid w:val="008F35CE"/>
    <w:rsid w:val="008F35FC"/>
    <w:rsid w:val="008F396B"/>
    <w:rsid w:val="008F39E7"/>
    <w:rsid w:val="008F3A04"/>
    <w:rsid w:val="008F3BCD"/>
    <w:rsid w:val="008F3CE6"/>
    <w:rsid w:val="008F3DC0"/>
    <w:rsid w:val="008F3EE7"/>
    <w:rsid w:val="008F3F8D"/>
    <w:rsid w:val="008F40EB"/>
    <w:rsid w:val="008F418B"/>
    <w:rsid w:val="008F43CA"/>
    <w:rsid w:val="008F44EE"/>
    <w:rsid w:val="008F4519"/>
    <w:rsid w:val="008F4615"/>
    <w:rsid w:val="008F4648"/>
    <w:rsid w:val="008F467E"/>
    <w:rsid w:val="008F4699"/>
    <w:rsid w:val="008F4791"/>
    <w:rsid w:val="008F490C"/>
    <w:rsid w:val="008F4921"/>
    <w:rsid w:val="008F492E"/>
    <w:rsid w:val="008F4A84"/>
    <w:rsid w:val="008F4B13"/>
    <w:rsid w:val="008F4D12"/>
    <w:rsid w:val="008F4D84"/>
    <w:rsid w:val="008F4E2C"/>
    <w:rsid w:val="008F4E3E"/>
    <w:rsid w:val="008F4EC4"/>
    <w:rsid w:val="008F4FF9"/>
    <w:rsid w:val="008F5027"/>
    <w:rsid w:val="008F5061"/>
    <w:rsid w:val="008F5174"/>
    <w:rsid w:val="008F55ED"/>
    <w:rsid w:val="008F561C"/>
    <w:rsid w:val="008F5867"/>
    <w:rsid w:val="008F5924"/>
    <w:rsid w:val="008F59AD"/>
    <w:rsid w:val="008F59C4"/>
    <w:rsid w:val="008F59F8"/>
    <w:rsid w:val="008F5A3F"/>
    <w:rsid w:val="008F5B94"/>
    <w:rsid w:val="008F5D97"/>
    <w:rsid w:val="008F5DBB"/>
    <w:rsid w:val="008F5E31"/>
    <w:rsid w:val="008F5FCE"/>
    <w:rsid w:val="008F605A"/>
    <w:rsid w:val="008F60C3"/>
    <w:rsid w:val="008F6128"/>
    <w:rsid w:val="008F634C"/>
    <w:rsid w:val="008F6455"/>
    <w:rsid w:val="008F64B6"/>
    <w:rsid w:val="008F64E9"/>
    <w:rsid w:val="008F6540"/>
    <w:rsid w:val="008F66D8"/>
    <w:rsid w:val="008F6732"/>
    <w:rsid w:val="008F67A3"/>
    <w:rsid w:val="008F67BE"/>
    <w:rsid w:val="008F67CF"/>
    <w:rsid w:val="008F684C"/>
    <w:rsid w:val="008F69D7"/>
    <w:rsid w:val="008F6A12"/>
    <w:rsid w:val="008F6BDB"/>
    <w:rsid w:val="008F6D31"/>
    <w:rsid w:val="008F6D64"/>
    <w:rsid w:val="008F6DE6"/>
    <w:rsid w:val="008F6F35"/>
    <w:rsid w:val="008F6F4C"/>
    <w:rsid w:val="008F70E5"/>
    <w:rsid w:val="008F7283"/>
    <w:rsid w:val="008F737B"/>
    <w:rsid w:val="008F73AE"/>
    <w:rsid w:val="008F747A"/>
    <w:rsid w:val="008F7523"/>
    <w:rsid w:val="008F7626"/>
    <w:rsid w:val="008F7717"/>
    <w:rsid w:val="008F7871"/>
    <w:rsid w:val="008F7A15"/>
    <w:rsid w:val="008F7AB2"/>
    <w:rsid w:val="008F7AD9"/>
    <w:rsid w:val="008F7FC3"/>
    <w:rsid w:val="00900153"/>
    <w:rsid w:val="00900330"/>
    <w:rsid w:val="00900364"/>
    <w:rsid w:val="009004DA"/>
    <w:rsid w:val="00900577"/>
    <w:rsid w:val="0090062A"/>
    <w:rsid w:val="00900713"/>
    <w:rsid w:val="00900728"/>
    <w:rsid w:val="0090089B"/>
    <w:rsid w:val="009008CC"/>
    <w:rsid w:val="009008ED"/>
    <w:rsid w:val="00900928"/>
    <w:rsid w:val="00900951"/>
    <w:rsid w:val="00900961"/>
    <w:rsid w:val="00900A79"/>
    <w:rsid w:val="00900B40"/>
    <w:rsid w:val="00900BCD"/>
    <w:rsid w:val="00900BE9"/>
    <w:rsid w:val="00900C9C"/>
    <w:rsid w:val="00900CE6"/>
    <w:rsid w:val="0090106C"/>
    <w:rsid w:val="0090132C"/>
    <w:rsid w:val="00901410"/>
    <w:rsid w:val="00901597"/>
    <w:rsid w:val="009015AB"/>
    <w:rsid w:val="0090164D"/>
    <w:rsid w:val="0090181E"/>
    <w:rsid w:val="00901A93"/>
    <w:rsid w:val="00901AAD"/>
    <w:rsid w:val="00901C2B"/>
    <w:rsid w:val="00901D51"/>
    <w:rsid w:val="00901F01"/>
    <w:rsid w:val="00901F5D"/>
    <w:rsid w:val="0090228A"/>
    <w:rsid w:val="009022D1"/>
    <w:rsid w:val="009022DA"/>
    <w:rsid w:val="00902302"/>
    <w:rsid w:val="00902393"/>
    <w:rsid w:val="009023D5"/>
    <w:rsid w:val="009025C5"/>
    <w:rsid w:val="00902711"/>
    <w:rsid w:val="00902777"/>
    <w:rsid w:val="00902883"/>
    <w:rsid w:val="009029ED"/>
    <w:rsid w:val="00902B18"/>
    <w:rsid w:val="00902B1D"/>
    <w:rsid w:val="00902B4A"/>
    <w:rsid w:val="00902B4C"/>
    <w:rsid w:val="00902D38"/>
    <w:rsid w:val="00902D69"/>
    <w:rsid w:val="00902DED"/>
    <w:rsid w:val="00902EE3"/>
    <w:rsid w:val="00903124"/>
    <w:rsid w:val="00903198"/>
    <w:rsid w:val="0090325C"/>
    <w:rsid w:val="009032C7"/>
    <w:rsid w:val="0090359D"/>
    <w:rsid w:val="0090369A"/>
    <w:rsid w:val="009036F3"/>
    <w:rsid w:val="00903743"/>
    <w:rsid w:val="009037EA"/>
    <w:rsid w:val="00903879"/>
    <w:rsid w:val="00903987"/>
    <w:rsid w:val="009039A4"/>
    <w:rsid w:val="00903B40"/>
    <w:rsid w:val="00903DA7"/>
    <w:rsid w:val="00903E2B"/>
    <w:rsid w:val="00903F30"/>
    <w:rsid w:val="00903FE5"/>
    <w:rsid w:val="00904056"/>
    <w:rsid w:val="009040F0"/>
    <w:rsid w:val="009041CF"/>
    <w:rsid w:val="00904266"/>
    <w:rsid w:val="0090441E"/>
    <w:rsid w:val="009044B6"/>
    <w:rsid w:val="00904587"/>
    <w:rsid w:val="009046C7"/>
    <w:rsid w:val="009046EC"/>
    <w:rsid w:val="00904841"/>
    <w:rsid w:val="00904940"/>
    <w:rsid w:val="009049AE"/>
    <w:rsid w:val="009049F6"/>
    <w:rsid w:val="00904D3E"/>
    <w:rsid w:val="00904D6A"/>
    <w:rsid w:val="00904F9E"/>
    <w:rsid w:val="0090510A"/>
    <w:rsid w:val="009051A7"/>
    <w:rsid w:val="00905228"/>
    <w:rsid w:val="0090525C"/>
    <w:rsid w:val="009054C3"/>
    <w:rsid w:val="00905522"/>
    <w:rsid w:val="0090570F"/>
    <w:rsid w:val="00905765"/>
    <w:rsid w:val="0090585C"/>
    <w:rsid w:val="009058AC"/>
    <w:rsid w:val="00905920"/>
    <w:rsid w:val="00905B5B"/>
    <w:rsid w:val="00905B85"/>
    <w:rsid w:val="00905BB7"/>
    <w:rsid w:val="00905C68"/>
    <w:rsid w:val="00905D20"/>
    <w:rsid w:val="00905E2D"/>
    <w:rsid w:val="00905E38"/>
    <w:rsid w:val="00905F97"/>
    <w:rsid w:val="00906069"/>
    <w:rsid w:val="009060BC"/>
    <w:rsid w:val="0090612D"/>
    <w:rsid w:val="009061FA"/>
    <w:rsid w:val="0090628F"/>
    <w:rsid w:val="0090639A"/>
    <w:rsid w:val="00906410"/>
    <w:rsid w:val="0090644B"/>
    <w:rsid w:val="009065B5"/>
    <w:rsid w:val="00906876"/>
    <w:rsid w:val="009068F2"/>
    <w:rsid w:val="00906B3F"/>
    <w:rsid w:val="00906BCE"/>
    <w:rsid w:val="00906BE4"/>
    <w:rsid w:val="00906C75"/>
    <w:rsid w:val="00906F6A"/>
    <w:rsid w:val="00907208"/>
    <w:rsid w:val="0090721E"/>
    <w:rsid w:val="00907220"/>
    <w:rsid w:val="00907303"/>
    <w:rsid w:val="009073CB"/>
    <w:rsid w:val="00907551"/>
    <w:rsid w:val="00907583"/>
    <w:rsid w:val="009076C0"/>
    <w:rsid w:val="00907721"/>
    <w:rsid w:val="00907835"/>
    <w:rsid w:val="009079AA"/>
    <w:rsid w:val="00907A6C"/>
    <w:rsid w:val="00907B84"/>
    <w:rsid w:val="00907BE8"/>
    <w:rsid w:val="00907CDF"/>
    <w:rsid w:val="00907D34"/>
    <w:rsid w:val="00907E2F"/>
    <w:rsid w:val="00907E63"/>
    <w:rsid w:val="009101FE"/>
    <w:rsid w:val="009102B1"/>
    <w:rsid w:val="00910320"/>
    <w:rsid w:val="009104D7"/>
    <w:rsid w:val="009106D9"/>
    <w:rsid w:val="0091071F"/>
    <w:rsid w:val="00910732"/>
    <w:rsid w:val="0091075E"/>
    <w:rsid w:val="00910850"/>
    <w:rsid w:val="00910923"/>
    <w:rsid w:val="009109EC"/>
    <w:rsid w:val="00910A3A"/>
    <w:rsid w:val="00910B85"/>
    <w:rsid w:val="00910EA8"/>
    <w:rsid w:val="00910F12"/>
    <w:rsid w:val="00910F24"/>
    <w:rsid w:val="00910FE3"/>
    <w:rsid w:val="00911065"/>
    <w:rsid w:val="009111B7"/>
    <w:rsid w:val="009111F5"/>
    <w:rsid w:val="00911214"/>
    <w:rsid w:val="00911266"/>
    <w:rsid w:val="009115D9"/>
    <w:rsid w:val="00911635"/>
    <w:rsid w:val="0091165D"/>
    <w:rsid w:val="00911706"/>
    <w:rsid w:val="00911719"/>
    <w:rsid w:val="00911835"/>
    <w:rsid w:val="009118C1"/>
    <w:rsid w:val="009119A1"/>
    <w:rsid w:val="009119A4"/>
    <w:rsid w:val="00911A76"/>
    <w:rsid w:val="00911AA5"/>
    <w:rsid w:val="00911AC0"/>
    <w:rsid w:val="00911AD5"/>
    <w:rsid w:val="00911D89"/>
    <w:rsid w:val="00911DB1"/>
    <w:rsid w:val="00911DCE"/>
    <w:rsid w:val="00911E75"/>
    <w:rsid w:val="00911F58"/>
    <w:rsid w:val="0091201E"/>
    <w:rsid w:val="0091221F"/>
    <w:rsid w:val="0091230E"/>
    <w:rsid w:val="00912326"/>
    <w:rsid w:val="00912330"/>
    <w:rsid w:val="009123DA"/>
    <w:rsid w:val="009123EB"/>
    <w:rsid w:val="00912423"/>
    <w:rsid w:val="009125B6"/>
    <w:rsid w:val="009125C8"/>
    <w:rsid w:val="009126C1"/>
    <w:rsid w:val="009126F3"/>
    <w:rsid w:val="0091270E"/>
    <w:rsid w:val="0091280A"/>
    <w:rsid w:val="0091280B"/>
    <w:rsid w:val="00912970"/>
    <w:rsid w:val="00912972"/>
    <w:rsid w:val="009129E6"/>
    <w:rsid w:val="00912ABD"/>
    <w:rsid w:val="00912B80"/>
    <w:rsid w:val="00912BB3"/>
    <w:rsid w:val="00912BE0"/>
    <w:rsid w:val="00912C84"/>
    <w:rsid w:val="00912D1D"/>
    <w:rsid w:val="00913085"/>
    <w:rsid w:val="0091311B"/>
    <w:rsid w:val="00913173"/>
    <w:rsid w:val="0091333A"/>
    <w:rsid w:val="009133A2"/>
    <w:rsid w:val="009133A3"/>
    <w:rsid w:val="0091342F"/>
    <w:rsid w:val="009135E2"/>
    <w:rsid w:val="009136FA"/>
    <w:rsid w:val="00913798"/>
    <w:rsid w:val="0091386A"/>
    <w:rsid w:val="0091390C"/>
    <w:rsid w:val="00913ABD"/>
    <w:rsid w:val="00913C3C"/>
    <w:rsid w:val="00913C9A"/>
    <w:rsid w:val="00913ECF"/>
    <w:rsid w:val="00913F1C"/>
    <w:rsid w:val="00913F26"/>
    <w:rsid w:val="00913F55"/>
    <w:rsid w:val="00913FB1"/>
    <w:rsid w:val="00914281"/>
    <w:rsid w:val="0091434A"/>
    <w:rsid w:val="009143B6"/>
    <w:rsid w:val="009144B6"/>
    <w:rsid w:val="0091458F"/>
    <w:rsid w:val="0091462C"/>
    <w:rsid w:val="009146EE"/>
    <w:rsid w:val="009148A7"/>
    <w:rsid w:val="009148E9"/>
    <w:rsid w:val="0091496F"/>
    <w:rsid w:val="00914A2F"/>
    <w:rsid w:val="00914A4F"/>
    <w:rsid w:val="00914AB1"/>
    <w:rsid w:val="00914AEF"/>
    <w:rsid w:val="00914B08"/>
    <w:rsid w:val="00914D0D"/>
    <w:rsid w:val="00914E90"/>
    <w:rsid w:val="00914F17"/>
    <w:rsid w:val="00914F34"/>
    <w:rsid w:val="00914FA8"/>
    <w:rsid w:val="0091509D"/>
    <w:rsid w:val="009150F3"/>
    <w:rsid w:val="00915164"/>
    <w:rsid w:val="009151B5"/>
    <w:rsid w:val="009151E8"/>
    <w:rsid w:val="00915226"/>
    <w:rsid w:val="0091532F"/>
    <w:rsid w:val="00915468"/>
    <w:rsid w:val="009155AE"/>
    <w:rsid w:val="009155B8"/>
    <w:rsid w:val="00915608"/>
    <w:rsid w:val="00915619"/>
    <w:rsid w:val="0091569F"/>
    <w:rsid w:val="009157D1"/>
    <w:rsid w:val="009157E0"/>
    <w:rsid w:val="009158AC"/>
    <w:rsid w:val="00915929"/>
    <w:rsid w:val="00915AB1"/>
    <w:rsid w:val="00915C3A"/>
    <w:rsid w:val="00915C8D"/>
    <w:rsid w:val="00915D6B"/>
    <w:rsid w:val="00915D76"/>
    <w:rsid w:val="00915F2F"/>
    <w:rsid w:val="00915F80"/>
    <w:rsid w:val="00916176"/>
    <w:rsid w:val="009161A2"/>
    <w:rsid w:val="009161B1"/>
    <w:rsid w:val="00916453"/>
    <w:rsid w:val="009164D5"/>
    <w:rsid w:val="00916735"/>
    <w:rsid w:val="0091674A"/>
    <w:rsid w:val="00916788"/>
    <w:rsid w:val="009167CA"/>
    <w:rsid w:val="009167F4"/>
    <w:rsid w:val="00916835"/>
    <w:rsid w:val="009169A6"/>
    <w:rsid w:val="00916AA6"/>
    <w:rsid w:val="00916B55"/>
    <w:rsid w:val="00916D06"/>
    <w:rsid w:val="00916D27"/>
    <w:rsid w:val="00916D8A"/>
    <w:rsid w:val="00916F13"/>
    <w:rsid w:val="0091708A"/>
    <w:rsid w:val="00917165"/>
    <w:rsid w:val="00917195"/>
    <w:rsid w:val="009172C2"/>
    <w:rsid w:val="009172FE"/>
    <w:rsid w:val="00917308"/>
    <w:rsid w:val="00917319"/>
    <w:rsid w:val="0091737D"/>
    <w:rsid w:val="009174C2"/>
    <w:rsid w:val="00917628"/>
    <w:rsid w:val="0091770B"/>
    <w:rsid w:val="00917727"/>
    <w:rsid w:val="00917792"/>
    <w:rsid w:val="009178B2"/>
    <w:rsid w:val="009179D1"/>
    <w:rsid w:val="00917ABB"/>
    <w:rsid w:val="00917B05"/>
    <w:rsid w:val="00917C6E"/>
    <w:rsid w:val="00917D5A"/>
    <w:rsid w:val="00917D72"/>
    <w:rsid w:val="00917DDF"/>
    <w:rsid w:val="00920018"/>
    <w:rsid w:val="009200D3"/>
    <w:rsid w:val="00920132"/>
    <w:rsid w:val="009204D4"/>
    <w:rsid w:val="00920550"/>
    <w:rsid w:val="009205F1"/>
    <w:rsid w:val="0092065C"/>
    <w:rsid w:val="0092070A"/>
    <w:rsid w:val="0092073E"/>
    <w:rsid w:val="0092091D"/>
    <w:rsid w:val="00920920"/>
    <w:rsid w:val="00920945"/>
    <w:rsid w:val="00920982"/>
    <w:rsid w:val="009209C5"/>
    <w:rsid w:val="00920B84"/>
    <w:rsid w:val="00920BC1"/>
    <w:rsid w:val="00920EED"/>
    <w:rsid w:val="00920FE2"/>
    <w:rsid w:val="009212B9"/>
    <w:rsid w:val="0092139C"/>
    <w:rsid w:val="00921405"/>
    <w:rsid w:val="00921539"/>
    <w:rsid w:val="00921621"/>
    <w:rsid w:val="009216E1"/>
    <w:rsid w:val="009217C4"/>
    <w:rsid w:val="0092187D"/>
    <w:rsid w:val="00921948"/>
    <w:rsid w:val="0092194B"/>
    <w:rsid w:val="009219FC"/>
    <w:rsid w:val="00921A71"/>
    <w:rsid w:val="00921C9E"/>
    <w:rsid w:val="00921CA9"/>
    <w:rsid w:val="00921CC0"/>
    <w:rsid w:val="00921D95"/>
    <w:rsid w:val="00921E36"/>
    <w:rsid w:val="00921E81"/>
    <w:rsid w:val="00921FA7"/>
    <w:rsid w:val="00921FCB"/>
    <w:rsid w:val="00922017"/>
    <w:rsid w:val="00922098"/>
    <w:rsid w:val="00922142"/>
    <w:rsid w:val="00922156"/>
    <w:rsid w:val="00922206"/>
    <w:rsid w:val="0092228D"/>
    <w:rsid w:val="009222AC"/>
    <w:rsid w:val="009222AD"/>
    <w:rsid w:val="0092232C"/>
    <w:rsid w:val="00922471"/>
    <w:rsid w:val="009225A1"/>
    <w:rsid w:val="00922752"/>
    <w:rsid w:val="009228B2"/>
    <w:rsid w:val="009228F0"/>
    <w:rsid w:val="00922BF3"/>
    <w:rsid w:val="00922D0E"/>
    <w:rsid w:val="00922D56"/>
    <w:rsid w:val="00922FB5"/>
    <w:rsid w:val="00922FC8"/>
    <w:rsid w:val="0092319E"/>
    <w:rsid w:val="009233FC"/>
    <w:rsid w:val="0092346E"/>
    <w:rsid w:val="00923521"/>
    <w:rsid w:val="009235CA"/>
    <w:rsid w:val="00923846"/>
    <w:rsid w:val="00923980"/>
    <w:rsid w:val="00923CB3"/>
    <w:rsid w:val="00923D0E"/>
    <w:rsid w:val="00923D57"/>
    <w:rsid w:val="00923D91"/>
    <w:rsid w:val="00923E30"/>
    <w:rsid w:val="00923E70"/>
    <w:rsid w:val="009240DF"/>
    <w:rsid w:val="00924471"/>
    <w:rsid w:val="0092454B"/>
    <w:rsid w:val="009247A6"/>
    <w:rsid w:val="009248AB"/>
    <w:rsid w:val="00924B42"/>
    <w:rsid w:val="00924C1E"/>
    <w:rsid w:val="00924C6F"/>
    <w:rsid w:val="00924DFA"/>
    <w:rsid w:val="00924E0A"/>
    <w:rsid w:val="00924E0F"/>
    <w:rsid w:val="00924F22"/>
    <w:rsid w:val="00924FCA"/>
    <w:rsid w:val="0092503D"/>
    <w:rsid w:val="009250B3"/>
    <w:rsid w:val="009250E5"/>
    <w:rsid w:val="009252C5"/>
    <w:rsid w:val="0092536A"/>
    <w:rsid w:val="009253EC"/>
    <w:rsid w:val="0092544A"/>
    <w:rsid w:val="0092545B"/>
    <w:rsid w:val="00925503"/>
    <w:rsid w:val="0092561E"/>
    <w:rsid w:val="009256CD"/>
    <w:rsid w:val="009258FA"/>
    <w:rsid w:val="0092595C"/>
    <w:rsid w:val="009259B6"/>
    <w:rsid w:val="009259C7"/>
    <w:rsid w:val="00925A08"/>
    <w:rsid w:val="00925A7F"/>
    <w:rsid w:val="00925A89"/>
    <w:rsid w:val="00925BD5"/>
    <w:rsid w:val="00925BD9"/>
    <w:rsid w:val="00925EC7"/>
    <w:rsid w:val="00925F4E"/>
    <w:rsid w:val="00925F7D"/>
    <w:rsid w:val="00926029"/>
    <w:rsid w:val="009260FB"/>
    <w:rsid w:val="00926308"/>
    <w:rsid w:val="00926322"/>
    <w:rsid w:val="00926418"/>
    <w:rsid w:val="00926443"/>
    <w:rsid w:val="00926512"/>
    <w:rsid w:val="0092665A"/>
    <w:rsid w:val="009266F6"/>
    <w:rsid w:val="00926AFC"/>
    <w:rsid w:val="00926B7D"/>
    <w:rsid w:val="00926BAE"/>
    <w:rsid w:val="00926BB3"/>
    <w:rsid w:val="00926E7C"/>
    <w:rsid w:val="00926F2F"/>
    <w:rsid w:val="00927049"/>
    <w:rsid w:val="0092711B"/>
    <w:rsid w:val="00927150"/>
    <w:rsid w:val="0092715E"/>
    <w:rsid w:val="00927239"/>
    <w:rsid w:val="00927245"/>
    <w:rsid w:val="0092744D"/>
    <w:rsid w:val="009274A3"/>
    <w:rsid w:val="00927620"/>
    <w:rsid w:val="00927628"/>
    <w:rsid w:val="00927740"/>
    <w:rsid w:val="00927751"/>
    <w:rsid w:val="009277DF"/>
    <w:rsid w:val="0092784B"/>
    <w:rsid w:val="00927B94"/>
    <w:rsid w:val="00927BC7"/>
    <w:rsid w:val="00927D0E"/>
    <w:rsid w:val="00927D89"/>
    <w:rsid w:val="00927DA4"/>
    <w:rsid w:val="00927EB3"/>
    <w:rsid w:val="00927FAC"/>
    <w:rsid w:val="009302A9"/>
    <w:rsid w:val="00930358"/>
    <w:rsid w:val="009303E0"/>
    <w:rsid w:val="0093049F"/>
    <w:rsid w:val="009304FA"/>
    <w:rsid w:val="0093051E"/>
    <w:rsid w:val="00930599"/>
    <w:rsid w:val="0093063C"/>
    <w:rsid w:val="0093068C"/>
    <w:rsid w:val="009306B2"/>
    <w:rsid w:val="0093077B"/>
    <w:rsid w:val="00930801"/>
    <w:rsid w:val="009308F6"/>
    <w:rsid w:val="009308FE"/>
    <w:rsid w:val="00930983"/>
    <w:rsid w:val="009309E4"/>
    <w:rsid w:val="00930A53"/>
    <w:rsid w:val="00930ABE"/>
    <w:rsid w:val="00930AD2"/>
    <w:rsid w:val="00930BC9"/>
    <w:rsid w:val="00930D06"/>
    <w:rsid w:val="00930D69"/>
    <w:rsid w:val="00930E87"/>
    <w:rsid w:val="00930F18"/>
    <w:rsid w:val="00930F5A"/>
    <w:rsid w:val="00930F75"/>
    <w:rsid w:val="0093101C"/>
    <w:rsid w:val="0093101D"/>
    <w:rsid w:val="0093124A"/>
    <w:rsid w:val="0093126A"/>
    <w:rsid w:val="00931286"/>
    <w:rsid w:val="009312D9"/>
    <w:rsid w:val="009313E8"/>
    <w:rsid w:val="009313FD"/>
    <w:rsid w:val="009315E7"/>
    <w:rsid w:val="00931640"/>
    <w:rsid w:val="00931692"/>
    <w:rsid w:val="009316ED"/>
    <w:rsid w:val="0093170B"/>
    <w:rsid w:val="00931802"/>
    <w:rsid w:val="00931885"/>
    <w:rsid w:val="00931A72"/>
    <w:rsid w:val="00931B92"/>
    <w:rsid w:val="00931D03"/>
    <w:rsid w:val="00931EAC"/>
    <w:rsid w:val="00931EB2"/>
    <w:rsid w:val="00931F5E"/>
    <w:rsid w:val="00931F7A"/>
    <w:rsid w:val="00931F99"/>
    <w:rsid w:val="009320E8"/>
    <w:rsid w:val="00932642"/>
    <w:rsid w:val="0093267A"/>
    <w:rsid w:val="0093267D"/>
    <w:rsid w:val="009326FC"/>
    <w:rsid w:val="009327F6"/>
    <w:rsid w:val="00932839"/>
    <w:rsid w:val="009329E4"/>
    <w:rsid w:val="00932AAA"/>
    <w:rsid w:val="00932AD8"/>
    <w:rsid w:val="00932ADD"/>
    <w:rsid w:val="00932C21"/>
    <w:rsid w:val="00932CCA"/>
    <w:rsid w:val="00932CFA"/>
    <w:rsid w:val="00932F63"/>
    <w:rsid w:val="00933063"/>
    <w:rsid w:val="0093323E"/>
    <w:rsid w:val="00933330"/>
    <w:rsid w:val="00933374"/>
    <w:rsid w:val="009334A3"/>
    <w:rsid w:val="00933573"/>
    <w:rsid w:val="009335B7"/>
    <w:rsid w:val="009336DE"/>
    <w:rsid w:val="009338B4"/>
    <w:rsid w:val="00933917"/>
    <w:rsid w:val="00933A08"/>
    <w:rsid w:val="00933AC0"/>
    <w:rsid w:val="00933AEB"/>
    <w:rsid w:val="00933D21"/>
    <w:rsid w:val="00933D4C"/>
    <w:rsid w:val="00933D93"/>
    <w:rsid w:val="00933ED8"/>
    <w:rsid w:val="00933F62"/>
    <w:rsid w:val="00933F9C"/>
    <w:rsid w:val="0093402F"/>
    <w:rsid w:val="0093412D"/>
    <w:rsid w:val="00934166"/>
    <w:rsid w:val="00934167"/>
    <w:rsid w:val="009342BA"/>
    <w:rsid w:val="00934361"/>
    <w:rsid w:val="009343B5"/>
    <w:rsid w:val="009343EB"/>
    <w:rsid w:val="00934498"/>
    <w:rsid w:val="009346A6"/>
    <w:rsid w:val="00934A59"/>
    <w:rsid w:val="00934A76"/>
    <w:rsid w:val="00934AF5"/>
    <w:rsid w:val="00934C98"/>
    <w:rsid w:val="00934E19"/>
    <w:rsid w:val="00934E85"/>
    <w:rsid w:val="00934F05"/>
    <w:rsid w:val="00934F81"/>
    <w:rsid w:val="00934F90"/>
    <w:rsid w:val="00935083"/>
    <w:rsid w:val="009350F0"/>
    <w:rsid w:val="009351F0"/>
    <w:rsid w:val="00935358"/>
    <w:rsid w:val="0093538E"/>
    <w:rsid w:val="009353AF"/>
    <w:rsid w:val="00935426"/>
    <w:rsid w:val="009354AC"/>
    <w:rsid w:val="009354D1"/>
    <w:rsid w:val="0093553F"/>
    <w:rsid w:val="009356FC"/>
    <w:rsid w:val="00935851"/>
    <w:rsid w:val="009358CA"/>
    <w:rsid w:val="00935953"/>
    <w:rsid w:val="009359D7"/>
    <w:rsid w:val="009359F6"/>
    <w:rsid w:val="00935B2E"/>
    <w:rsid w:val="00935C39"/>
    <w:rsid w:val="00935EC0"/>
    <w:rsid w:val="00936032"/>
    <w:rsid w:val="00936092"/>
    <w:rsid w:val="009361D7"/>
    <w:rsid w:val="009361F3"/>
    <w:rsid w:val="00936265"/>
    <w:rsid w:val="009362E4"/>
    <w:rsid w:val="009363FC"/>
    <w:rsid w:val="0093645F"/>
    <w:rsid w:val="009364B3"/>
    <w:rsid w:val="00936517"/>
    <w:rsid w:val="00936538"/>
    <w:rsid w:val="00936549"/>
    <w:rsid w:val="009365F6"/>
    <w:rsid w:val="0093674B"/>
    <w:rsid w:val="009368E7"/>
    <w:rsid w:val="0093693F"/>
    <w:rsid w:val="009369CD"/>
    <w:rsid w:val="00936A0A"/>
    <w:rsid w:val="00936ABF"/>
    <w:rsid w:val="00936B14"/>
    <w:rsid w:val="00936BD3"/>
    <w:rsid w:val="00936C65"/>
    <w:rsid w:val="00936D6C"/>
    <w:rsid w:val="009370C1"/>
    <w:rsid w:val="0093718D"/>
    <w:rsid w:val="009371BF"/>
    <w:rsid w:val="00937312"/>
    <w:rsid w:val="009373F6"/>
    <w:rsid w:val="0093750B"/>
    <w:rsid w:val="009375F8"/>
    <w:rsid w:val="0093762C"/>
    <w:rsid w:val="009376BF"/>
    <w:rsid w:val="009377E5"/>
    <w:rsid w:val="00937841"/>
    <w:rsid w:val="00937888"/>
    <w:rsid w:val="009378E7"/>
    <w:rsid w:val="0093797E"/>
    <w:rsid w:val="00937A58"/>
    <w:rsid w:val="00937B05"/>
    <w:rsid w:val="00937CF3"/>
    <w:rsid w:val="00937D92"/>
    <w:rsid w:val="00937E72"/>
    <w:rsid w:val="00937E7D"/>
    <w:rsid w:val="009400DF"/>
    <w:rsid w:val="0094020B"/>
    <w:rsid w:val="009402A2"/>
    <w:rsid w:val="0094034C"/>
    <w:rsid w:val="00940526"/>
    <w:rsid w:val="0094079C"/>
    <w:rsid w:val="009407CB"/>
    <w:rsid w:val="009407F4"/>
    <w:rsid w:val="00940918"/>
    <w:rsid w:val="00940BDD"/>
    <w:rsid w:val="00940BE5"/>
    <w:rsid w:val="00940C36"/>
    <w:rsid w:val="00940DD2"/>
    <w:rsid w:val="00940EED"/>
    <w:rsid w:val="00940F7C"/>
    <w:rsid w:val="0094103F"/>
    <w:rsid w:val="009410DC"/>
    <w:rsid w:val="00941155"/>
    <w:rsid w:val="00941360"/>
    <w:rsid w:val="009414F0"/>
    <w:rsid w:val="0094165D"/>
    <w:rsid w:val="00941781"/>
    <w:rsid w:val="009417C9"/>
    <w:rsid w:val="00941851"/>
    <w:rsid w:val="00941882"/>
    <w:rsid w:val="0094192D"/>
    <w:rsid w:val="0094199A"/>
    <w:rsid w:val="00941A73"/>
    <w:rsid w:val="00941AA5"/>
    <w:rsid w:val="00941AF6"/>
    <w:rsid w:val="00941C7A"/>
    <w:rsid w:val="00941C7C"/>
    <w:rsid w:val="00941CFD"/>
    <w:rsid w:val="00941D1C"/>
    <w:rsid w:val="00941DE6"/>
    <w:rsid w:val="00941F24"/>
    <w:rsid w:val="00941F8A"/>
    <w:rsid w:val="009420C9"/>
    <w:rsid w:val="0094212D"/>
    <w:rsid w:val="0094214D"/>
    <w:rsid w:val="009421EF"/>
    <w:rsid w:val="0094221F"/>
    <w:rsid w:val="00942278"/>
    <w:rsid w:val="009423A4"/>
    <w:rsid w:val="00942467"/>
    <w:rsid w:val="00942470"/>
    <w:rsid w:val="0094253B"/>
    <w:rsid w:val="0094263D"/>
    <w:rsid w:val="00942766"/>
    <w:rsid w:val="009427D3"/>
    <w:rsid w:val="00942F2A"/>
    <w:rsid w:val="00942F41"/>
    <w:rsid w:val="00942FFF"/>
    <w:rsid w:val="009430B9"/>
    <w:rsid w:val="00943159"/>
    <w:rsid w:val="0094330F"/>
    <w:rsid w:val="00943426"/>
    <w:rsid w:val="00943622"/>
    <w:rsid w:val="00943634"/>
    <w:rsid w:val="0094364D"/>
    <w:rsid w:val="009436C7"/>
    <w:rsid w:val="0094395A"/>
    <w:rsid w:val="00943A7C"/>
    <w:rsid w:val="00943B6E"/>
    <w:rsid w:val="00943DF0"/>
    <w:rsid w:val="00943F79"/>
    <w:rsid w:val="00943FC9"/>
    <w:rsid w:val="00943FD3"/>
    <w:rsid w:val="0094409D"/>
    <w:rsid w:val="009440A5"/>
    <w:rsid w:val="0094417B"/>
    <w:rsid w:val="009442A6"/>
    <w:rsid w:val="00944305"/>
    <w:rsid w:val="00944306"/>
    <w:rsid w:val="0094442A"/>
    <w:rsid w:val="009444FB"/>
    <w:rsid w:val="00944674"/>
    <w:rsid w:val="00944757"/>
    <w:rsid w:val="00944853"/>
    <w:rsid w:val="009448EA"/>
    <w:rsid w:val="00944923"/>
    <w:rsid w:val="00944954"/>
    <w:rsid w:val="009449C4"/>
    <w:rsid w:val="00944A4E"/>
    <w:rsid w:val="00944B30"/>
    <w:rsid w:val="00944C29"/>
    <w:rsid w:val="00944C72"/>
    <w:rsid w:val="00944EA0"/>
    <w:rsid w:val="00944F54"/>
    <w:rsid w:val="00944F68"/>
    <w:rsid w:val="0094548D"/>
    <w:rsid w:val="009454BE"/>
    <w:rsid w:val="009455D1"/>
    <w:rsid w:val="009456C3"/>
    <w:rsid w:val="0094584E"/>
    <w:rsid w:val="009458F3"/>
    <w:rsid w:val="00945964"/>
    <w:rsid w:val="00945965"/>
    <w:rsid w:val="00945A78"/>
    <w:rsid w:val="00945B36"/>
    <w:rsid w:val="00945D1A"/>
    <w:rsid w:val="00945DD2"/>
    <w:rsid w:val="0094607E"/>
    <w:rsid w:val="009460C7"/>
    <w:rsid w:val="009461AD"/>
    <w:rsid w:val="00946227"/>
    <w:rsid w:val="00946381"/>
    <w:rsid w:val="0094639E"/>
    <w:rsid w:val="0094653A"/>
    <w:rsid w:val="0094654C"/>
    <w:rsid w:val="009466FF"/>
    <w:rsid w:val="0094672B"/>
    <w:rsid w:val="00946B55"/>
    <w:rsid w:val="00946D92"/>
    <w:rsid w:val="00946D96"/>
    <w:rsid w:val="00946DAB"/>
    <w:rsid w:val="00946ECA"/>
    <w:rsid w:val="00946EE5"/>
    <w:rsid w:val="00946F8A"/>
    <w:rsid w:val="00947062"/>
    <w:rsid w:val="009470C5"/>
    <w:rsid w:val="00947173"/>
    <w:rsid w:val="009471A5"/>
    <w:rsid w:val="009471B3"/>
    <w:rsid w:val="00947294"/>
    <w:rsid w:val="009472FC"/>
    <w:rsid w:val="0094739B"/>
    <w:rsid w:val="009473D0"/>
    <w:rsid w:val="00947542"/>
    <w:rsid w:val="009475A0"/>
    <w:rsid w:val="0094764D"/>
    <w:rsid w:val="009478F4"/>
    <w:rsid w:val="00947D15"/>
    <w:rsid w:val="00947D5C"/>
    <w:rsid w:val="00947D8A"/>
    <w:rsid w:val="00947DB6"/>
    <w:rsid w:val="00947EC7"/>
    <w:rsid w:val="00947F93"/>
    <w:rsid w:val="009501AC"/>
    <w:rsid w:val="009501D2"/>
    <w:rsid w:val="00950231"/>
    <w:rsid w:val="0095023A"/>
    <w:rsid w:val="00950379"/>
    <w:rsid w:val="009503A1"/>
    <w:rsid w:val="00950535"/>
    <w:rsid w:val="0095062F"/>
    <w:rsid w:val="00950847"/>
    <w:rsid w:val="00950A11"/>
    <w:rsid w:val="00950B12"/>
    <w:rsid w:val="00950D3E"/>
    <w:rsid w:val="00950E33"/>
    <w:rsid w:val="00950F2F"/>
    <w:rsid w:val="00950F5F"/>
    <w:rsid w:val="00950F9D"/>
    <w:rsid w:val="009512DE"/>
    <w:rsid w:val="009513BE"/>
    <w:rsid w:val="009513D4"/>
    <w:rsid w:val="009513DF"/>
    <w:rsid w:val="0095153B"/>
    <w:rsid w:val="00951591"/>
    <w:rsid w:val="009516FC"/>
    <w:rsid w:val="00951837"/>
    <w:rsid w:val="0095187A"/>
    <w:rsid w:val="0095188E"/>
    <w:rsid w:val="00951966"/>
    <w:rsid w:val="009519C8"/>
    <w:rsid w:val="009519F1"/>
    <w:rsid w:val="00951AAB"/>
    <w:rsid w:val="00951B40"/>
    <w:rsid w:val="00951D45"/>
    <w:rsid w:val="00951E4C"/>
    <w:rsid w:val="00951EDE"/>
    <w:rsid w:val="00951F09"/>
    <w:rsid w:val="00952052"/>
    <w:rsid w:val="009520DF"/>
    <w:rsid w:val="0095220B"/>
    <w:rsid w:val="009522DC"/>
    <w:rsid w:val="0095248C"/>
    <w:rsid w:val="0095248E"/>
    <w:rsid w:val="009524A3"/>
    <w:rsid w:val="00952630"/>
    <w:rsid w:val="009526BB"/>
    <w:rsid w:val="00952790"/>
    <w:rsid w:val="009527BA"/>
    <w:rsid w:val="00952870"/>
    <w:rsid w:val="0095289B"/>
    <w:rsid w:val="009528B6"/>
    <w:rsid w:val="0095299F"/>
    <w:rsid w:val="009529BA"/>
    <w:rsid w:val="00952A83"/>
    <w:rsid w:val="00952DC7"/>
    <w:rsid w:val="00952F5A"/>
    <w:rsid w:val="009532B0"/>
    <w:rsid w:val="00953314"/>
    <w:rsid w:val="0095362E"/>
    <w:rsid w:val="00953678"/>
    <w:rsid w:val="009537DB"/>
    <w:rsid w:val="00953CD2"/>
    <w:rsid w:val="00953D2F"/>
    <w:rsid w:val="00953D39"/>
    <w:rsid w:val="00953D55"/>
    <w:rsid w:val="00953FAE"/>
    <w:rsid w:val="00953FE7"/>
    <w:rsid w:val="00954299"/>
    <w:rsid w:val="00954424"/>
    <w:rsid w:val="00954464"/>
    <w:rsid w:val="009544B0"/>
    <w:rsid w:val="009544D1"/>
    <w:rsid w:val="0095452B"/>
    <w:rsid w:val="0095453F"/>
    <w:rsid w:val="00954616"/>
    <w:rsid w:val="009546C4"/>
    <w:rsid w:val="009547CC"/>
    <w:rsid w:val="00954820"/>
    <w:rsid w:val="0095487A"/>
    <w:rsid w:val="009548AE"/>
    <w:rsid w:val="00954A04"/>
    <w:rsid w:val="00954B39"/>
    <w:rsid w:val="00954C3C"/>
    <w:rsid w:val="00954D0F"/>
    <w:rsid w:val="00954D96"/>
    <w:rsid w:val="00954E58"/>
    <w:rsid w:val="00954F04"/>
    <w:rsid w:val="00955118"/>
    <w:rsid w:val="0095515B"/>
    <w:rsid w:val="009551D2"/>
    <w:rsid w:val="00955244"/>
    <w:rsid w:val="009553C8"/>
    <w:rsid w:val="00955533"/>
    <w:rsid w:val="00955592"/>
    <w:rsid w:val="009556F3"/>
    <w:rsid w:val="0095578D"/>
    <w:rsid w:val="009557E3"/>
    <w:rsid w:val="009558B6"/>
    <w:rsid w:val="0095592B"/>
    <w:rsid w:val="00955983"/>
    <w:rsid w:val="00955AD4"/>
    <w:rsid w:val="00955ADE"/>
    <w:rsid w:val="00955B62"/>
    <w:rsid w:val="00955B8B"/>
    <w:rsid w:val="00955CC9"/>
    <w:rsid w:val="0095605E"/>
    <w:rsid w:val="0095618D"/>
    <w:rsid w:val="009561FB"/>
    <w:rsid w:val="009563F9"/>
    <w:rsid w:val="00956719"/>
    <w:rsid w:val="00956770"/>
    <w:rsid w:val="009567E2"/>
    <w:rsid w:val="009567FE"/>
    <w:rsid w:val="00956866"/>
    <w:rsid w:val="0095696D"/>
    <w:rsid w:val="00956A49"/>
    <w:rsid w:val="00956A5C"/>
    <w:rsid w:val="00956C30"/>
    <w:rsid w:val="00956C5F"/>
    <w:rsid w:val="00956CC0"/>
    <w:rsid w:val="00956E93"/>
    <w:rsid w:val="00957260"/>
    <w:rsid w:val="009572AC"/>
    <w:rsid w:val="009572EA"/>
    <w:rsid w:val="00957324"/>
    <w:rsid w:val="0095753B"/>
    <w:rsid w:val="00957557"/>
    <w:rsid w:val="009577C5"/>
    <w:rsid w:val="00957950"/>
    <w:rsid w:val="0095797E"/>
    <w:rsid w:val="00957A94"/>
    <w:rsid w:val="00957B9B"/>
    <w:rsid w:val="00957BF2"/>
    <w:rsid w:val="00957C80"/>
    <w:rsid w:val="00957D34"/>
    <w:rsid w:val="00957D7D"/>
    <w:rsid w:val="00957F07"/>
    <w:rsid w:val="0096012B"/>
    <w:rsid w:val="009601A6"/>
    <w:rsid w:val="00960212"/>
    <w:rsid w:val="009603CF"/>
    <w:rsid w:val="00960465"/>
    <w:rsid w:val="0096046E"/>
    <w:rsid w:val="00960501"/>
    <w:rsid w:val="00960523"/>
    <w:rsid w:val="00960556"/>
    <w:rsid w:val="009605C0"/>
    <w:rsid w:val="00960811"/>
    <w:rsid w:val="00960882"/>
    <w:rsid w:val="009608D3"/>
    <w:rsid w:val="00960B21"/>
    <w:rsid w:val="00960CE2"/>
    <w:rsid w:val="00960D50"/>
    <w:rsid w:val="00960D7A"/>
    <w:rsid w:val="00960E66"/>
    <w:rsid w:val="00961042"/>
    <w:rsid w:val="00961075"/>
    <w:rsid w:val="00961317"/>
    <w:rsid w:val="00961393"/>
    <w:rsid w:val="00961473"/>
    <w:rsid w:val="00961530"/>
    <w:rsid w:val="0096153D"/>
    <w:rsid w:val="009618B4"/>
    <w:rsid w:val="009618DC"/>
    <w:rsid w:val="00961AD4"/>
    <w:rsid w:val="00961B1B"/>
    <w:rsid w:val="00961BDE"/>
    <w:rsid w:val="00961D7E"/>
    <w:rsid w:val="00961E0D"/>
    <w:rsid w:val="00961E73"/>
    <w:rsid w:val="00961EB6"/>
    <w:rsid w:val="00961FFF"/>
    <w:rsid w:val="00962006"/>
    <w:rsid w:val="0096208E"/>
    <w:rsid w:val="009620FB"/>
    <w:rsid w:val="009621E0"/>
    <w:rsid w:val="009621F5"/>
    <w:rsid w:val="009622A3"/>
    <w:rsid w:val="00962438"/>
    <w:rsid w:val="00962499"/>
    <w:rsid w:val="00962627"/>
    <w:rsid w:val="009626A8"/>
    <w:rsid w:val="00962901"/>
    <w:rsid w:val="00962938"/>
    <w:rsid w:val="00962939"/>
    <w:rsid w:val="00962AE2"/>
    <w:rsid w:val="00962D5E"/>
    <w:rsid w:val="00962DF3"/>
    <w:rsid w:val="00962F23"/>
    <w:rsid w:val="009630AA"/>
    <w:rsid w:val="00963231"/>
    <w:rsid w:val="00963233"/>
    <w:rsid w:val="00963284"/>
    <w:rsid w:val="009632D2"/>
    <w:rsid w:val="009632DB"/>
    <w:rsid w:val="0096338D"/>
    <w:rsid w:val="009634CC"/>
    <w:rsid w:val="00963528"/>
    <w:rsid w:val="00963656"/>
    <w:rsid w:val="0096366F"/>
    <w:rsid w:val="00963783"/>
    <w:rsid w:val="00963AAC"/>
    <w:rsid w:val="00963AEA"/>
    <w:rsid w:val="00963C1C"/>
    <w:rsid w:val="00963F38"/>
    <w:rsid w:val="00964222"/>
    <w:rsid w:val="00964243"/>
    <w:rsid w:val="00964247"/>
    <w:rsid w:val="00964269"/>
    <w:rsid w:val="009643BC"/>
    <w:rsid w:val="009644CE"/>
    <w:rsid w:val="009644DC"/>
    <w:rsid w:val="00964508"/>
    <w:rsid w:val="009645E5"/>
    <w:rsid w:val="0096489B"/>
    <w:rsid w:val="00964ACD"/>
    <w:rsid w:val="00964B31"/>
    <w:rsid w:val="00964C2D"/>
    <w:rsid w:val="00964D96"/>
    <w:rsid w:val="00964E31"/>
    <w:rsid w:val="00964E86"/>
    <w:rsid w:val="00964F31"/>
    <w:rsid w:val="00964FD2"/>
    <w:rsid w:val="0096500B"/>
    <w:rsid w:val="00965112"/>
    <w:rsid w:val="00965223"/>
    <w:rsid w:val="009654A4"/>
    <w:rsid w:val="0096559C"/>
    <w:rsid w:val="009655AF"/>
    <w:rsid w:val="0096582E"/>
    <w:rsid w:val="00965885"/>
    <w:rsid w:val="009658C9"/>
    <w:rsid w:val="009658E5"/>
    <w:rsid w:val="009659E3"/>
    <w:rsid w:val="00965ACC"/>
    <w:rsid w:val="00965AD4"/>
    <w:rsid w:val="00965EAE"/>
    <w:rsid w:val="009660C8"/>
    <w:rsid w:val="00966394"/>
    <w:rsid w:val="00966585"/>
    <w:rsid w:val="00966816"/>
    <w:rsid w:val="00966831"/>
    <w:rsid w:val="009668CB"/>
    <w:rsid w:val="00966963"/>
    <w:rsid w:val="009669D5"/>
    <w:rsid w:val="009669E6"/>
    <w:rsid w:val="00966C44"/>
    <w:rsid w:val="00966C6D"/>
    <w:rsid w:val="00966D38"/>
    <w:rsid w:val="00966F40"/>
    <w:rsid w:val="00966F4E"/>
    <w:rsid w:val="00966F6B"/>
    <w:rsid w:val="00966FA8"/>
    <w:rsid w:val="00966FC8"/>
    <w:rsid w:val="00967009"/>
    <w:rsid w:val="00967011"/>
    <w:rsid w:val="00967032"/>
    <w:rsid w:val="0096706C"/>
    <w:rsid w:val="009670D6"/>
    <w:rsid w:val="0096727E"/>
    <w:rsid w:val="00967291"/>
    <w:rsid w:val="009672BD"/>
    <w:rsid w:val="00967339"/>
    <w:rsid w:val="009673FA"/>
    <w:rsid w:val="0096746D"/>
    <w:rsid w:val="009674D1"/>
    <w:rsid w:val="00967512"/>
    <w:rsid w:val="00967596"/>
    <w:rsid w:val="009676A7"/>
    <w:rsid w:val="00967701"/>
    <w:rsid w:val="00967A80"/>
    <w:rsid w:val="00967C91"/>
    <w:rsid w:val="00967E41"/>
    <w:rsid w:val="00967EBB"/>
    <w:rsid w:val="00967F3F"/>
    <w:rsid w:val="00967FD1"/>
    <w:rsid w:val="00967FFE"/>
    <w:rsid w:val="00970257"/>
    <w:rsid w:val="009703EA"/>
    <w:rsid w:val="009703EB"/>
    <w:rsid w:val="0097048C"/>
    <w:rsid w:val="00970775"/>
    <w:rsid w:val="0097090C"/>
    <w:rsid w:val="00970C76"/>
    <w:rsid w:val="00970DEF"/>
    <w:rsid w:val="00970E90"/>
    <w:rsid w:val="00970F03"/>
    <w:rsid w:val="0097109D"/>
    <w:rsid w:val="009710BC"/>
    <w:rsid w:val="0097129F"/>
    <w:rsid w:val="009713A5"/>
    <w:rsid w:val="00971423"/>
    <w:rsid w:val="00971533"/>
    <w:rsid w:val="0097158E"/>
    <w:rsid w:val="0097167B"/>
    <w:rsid w:val="009717F5"/>
    <w:rsid w:val="009718AD"/>
    <w:rsid w:val="0097190A"/>
    <w:rsid w:val="00971A27"/>
    <w:rsid w:val="00971B34"/>
    <w:rsid w:val="00971D38"/>
    <w:rsid w:val="00971E7F"/>
    <w:rsid w:val="00972409"/>
    <w:rsid w:val="009725C9"/>
    <w:rsid w:val="0097264D"/>
    <w:rsid w:val="00972756"/>
    <w:rsid w:val="009729CB"/>
    <w:rsid w:val="00972A57"/>
    <w:rsid w:val="00972A5E"/>
    <w:rsid w:val="00972A68"/>
    <w:rsid w:val="00972AE1"/>
    <w:rsid w:val="00972D1C"/>
    <w:rsid w:val="00972E2C"/>
    <w:rsid w:val="00972EDB"/>
    <w:rsid w:val="00972F6F"/>
    <w:rsid w:val="00972FED"/>
    <w:rsid w:val="00972FEF"/>
    <w:rsid w:val="0097306A"/>
    <w:rsid w:val="009730A8"/>
    <w:rsid w:val="00973251"/>
    <w:rsid w:val="00973814"/>
    <w:rsid w:val="00973830"/>
    <w:rsid w:val="009738C9"/>
    <w:rsid w:val="009738DD"/>
    <w:rsid w:val="009738E6"/>
    <w:rsid w:val="0097390E"/>
    <w:rsid w:val="00973A51"/>
    <w:rsid w:val="00973C02"/>
    <w:rsid w:val="00973F31"/>
    <w:rsid w:val="00974021"/>
    <w:rsid w:val="0097415F"/>
    <w:rsid w:val="00974176"/>
    <w:rsid w:val="0097420B"/>
    <w:rsid w:val="00974249"/>
    <w:rsid w:val="009742C2"/>
    <w:rsid w:val="00974397"/>
    <w:rsid w:val="009745B0"/>
    <w:rsid w:val="00974817"/>
    <w:rsid w:val="00974A2D"/>
    <w:rsid w:val="00974A74"/>
    <w:rsid w:val="00974AB5"/>
    <w:rsid w:val="00974B21"/>
    <w:rsid w:val="00974BDC"/>
    <w:rsid w:val="00974EC0"/>
    <w:rsid w:val="00974F65"/>
    <w:rsid w:val="009752E3"/>
    <w:rsid w:val="009753B2"/>
    <w:rsid w:val="00975407"/>
    <w:rsid w:val="009754E0"/>
    <w:rsid w:val="00975512"/>
    <w:rsid w:val="009755E2"/>
    <w:rsid w:val="0097566A"/>
    <w:rsid w:val="00975681"/>
    <w:rsid w:val="0097570B"/>
    <w:rsid w:val="009759FE"/>
    <w:rsid w:val="00975A16"/>
    <w:rsid w:val="00975A89"/>
    <w:rsid w:val="00975AA2"/>
    <w:rsid w:val="00975AB0"/>
    <w:rsid w:val="00975B7B"/>
    <w:rsid w:val="00975BAD"/>
    <w:rsid w:val="00975BC0"/>
    <w:rsid w:val="00975D21"/>
    <w:rsid w:val="00975DEA"/>
    <w:rsid w:val="00975EC3"/>
    <w:rsid w:val="00975ECD"/>
    <w:rsid w:val="00975FA7"/>
    <w:rsid w:val="009760CE"/>
    <w:rsid w:val="0097610A"/>
    <w:rsid w:val="00976146"/>
    <w:rsid w:val="0097614A"/>
    <w:rsid w:val="0097616B"/>
    <w:rsid w:val="0097640C"/>
    <w:rsid w:val="00976471"/>
    <w:rsid w:val="009764D3"/>
    <w:rsid w:val="009765ED"/>
    <w:rsid w:val="00976697"/>
    <w:rsid w:val="00976752"/>
    <w:rsid w:val="00976827"/>
    <w:rsid w:val="00976920"/>
    <w:rsid w:val="00976961"/>
    <w:rsid w:val="00976A91"/>
    <w:rsid w:val="00976AB2"/>
    <w:rsid w:val="00976AF0"/>
    <w:rsid w:val="00976CD8"/>
    <w:rsid w:val="00976DB7"/>
    <w:rsid w:val="009770A6"/>
    <w:rsid w:val="009770DE"/>
    <w:rsid w:val="00977126"/>
    <w:rsid w:val="009771BA"/>
    <w:rsid w:val="00977228"/>
    <w:rsid w:val="009773F5"/>
    <w:rsid w:val="00977405"/>
    <w:rsid w:val="0097744A"/>
    <w:rsid w:val="00977555"/>
    <w:rsid w:val="0097764C"/>
    <w:rsid w:val="00977822"/>
    <w:rsid w:val="00977857"/>
    <w:rsid w:val="00977A1F"/>
    <w:rsid w:val="00977B97"/>
    <w:rsid w:val="00977D3D"/>
    <w:rsid w:val="00977D40"/>
    <w:rsid w:val="00977D49"/>
    <w:rsid w:val="0098000C"/>
    <w:rsid w:val="009801EF"/>
    <w:rsid w:val="009802BE"/>
    <w:rsid w:val="009802E7"/>
    <w:rsid w:val="00980378"/>
    <w:rsid w:val="009803AA"/>
    <w:rsid w:val="009803B1"/>
    <w:rsid w:val="0098047B"/>
    <w:rsid w:val="009804F7"/>
    <w:rsid w:val="009805E9"/>
    <w:rsid w:val="0098078D"/>
    <w:rsid w:val="009807AC"/>
    <w:rsid w:val="009807FD"/>
    <w:rsid w:val="00980976"/>
    <w:rsid w:val="00980B24"/>
    <w:rsid w:val="00980C33"/>
    <w:rsid w:val="00980CB8"/>
    <w:rsid w:val="00980DC7"/>
    <w:rsid w:val="00980DCD"/>
    <w:rsid w:val="00980E19"/>
    <w:rsid w:val="00980E3D"/>
    <w:rsid w:val="00980E8D"/>
    <w:rsid w:val="00980EA3"/>
    <w:rsid w:val="00980F2F"/>
    <w:rsid w:val="0098104E"/>
    <w:rsid w:val="00981179"/>
    <w:rsid w:val="009811CB"/>
    <w:rsid w:val="0098123C"/>
    <w:rsid w:val="00981338"/>
    <w:rsid w:val="0098134A"/>
    <w:rsid w:val="0098148C"/>
    <w:rsid w:val="00981541"/>
    <w:rsid w:val="0098168F"/>
    <w:rsid w:val="0098198E"/>
    <w:rsid w:val="00981AE3"/>
    <w:rsid w:val="00981B6D"/>
    <w:rsid w:val="00981DB4"/>
    <w:rsid w:val="00981E8F"/>
    <w:rsid w:val="00981ED6"/>
    <w:rsid w:val="00981F79"/>
    <w:rsid w:val="00981FAA"/>
    <w:rsid w:val="00982046"/>
    <w:rsid w:val="0098204C"/>
    <w:rsid w:val="00982055"/>
    <w:rsid w:val="009822FE"/>
    <w:rsid w:val="0098230E"/>
    <w:rsid w:val="0098237E"/>
    <w:rsid w:val="009824B5"/>
    <w:rsid w:val="0098284A"/>
    <w:rsid w:val="009828CE"/>
    <w:rsid w:val="00982928"/>
    <w:rsid w:val="009829EE"/>
    <w:rsid w:val="00982B11"/>
    <w:rsid w:val="00982B83"/>
    <w:rsid w:val="00982B90"/>
    <w:rsid w:val="00982C5B"/>
    <w:rsid w:val="00982CF1"/>
    <w:rsid w:val="00982F76"/>
    <w:rsid w:val="009831C7"/>
    <w:rsid w:val="00983212"/>
    <w:rsid w:val="00983387"/>
    <w:rsid w:val="009834A0"/>
    <w:rsid w:val="0098355C"/>
    <w:rsid w:val="009835DE"/>
    <w:rsid w:val="00983686"/>
    <w:rsid w:val="0098368F"/>
    <w:rsid w:val="00983758"/>
    <w:rsid w:val="009838C6"/>
    <w:rsid w:val="0098393F"/>
    <w:rsid w:val="009839E1"/>
    <w:rsid w:val="00983A46"/>
    <w:rsid w:val="00983BF2"/>
    <w:rsid w:val="00983D6E"/>
    <w:rsid w:val="00983DA4"/>
    <w:rsid w:val="00983EDD"/>
    <w:rsid w:val="00983F48"/>
    <w:rsid w:val="00983F6C"/>
    <w:rsid w:val="00983FBB"/>
    <w:rsid w:val="0098405D"/>
    <w:rsid w:val="00984179"/>
    <w:rsid w:val="00984280"/>
    <w:rsid w:val="00984435"/>
    <w:rsid w:val="009849BF"/>
    <w:rsid w:val="00984A99"/>
    <w:rsid w:val="00984AD9"/>
    <w:rsid w:val="00984B59"/>
    <w:rsid w:val="00984BBF"/>
    <w:rsid w:val="00984D02"/>
    <w:rsid w:val="00984D3B"/>
    <w:rsid w:val="00984DB3"/>
    <w:rsid w:val="00984E3B"/>
    <w:rsid w:val="00984F0B"/>
    <w:rsid w:val="00984F8C"/>
    <w:rsid w:val="00985303"/>
    <w:rsid w:val="00985429"/>
    <w:rsid w:val="00985504"/>
    <w:rsid w:val="00985529"/>
    <w:rsid w:val="0098555E"/>
    <w:rsid w:val="00985684"/>
    <w:rsid w:val="00985C1F"/>
    <w:rsid w:val="00985CEE"/>
    <w:rsid w:val="00985CF6"/>
    <w:rsid w:val="00985D18"/>
    <w:rsid w:val="00985F64"/>
    <w:rsid w:val="00986156"/>
    <w:rsid w:val="009861D4"/>
    <w:rsid w:val="009862CE"/>
    <w:rsid w:val="00986337"/>
    <w:rsid w:val="009863B3"/>
    <w:rsid w:val="009863F0"/>
    <w:rsid w:val="0098641D"/>
    <w:rsid w:val="0098650C"/>
    <w:rsid w:val="009865DA"/>
    <w:rsid w:val="00986617"/>
    <w:rsid w:val="00986832"/>
    <w:rsid w:val="009868CE"/>
    <w:rsid w:val="009869D9"/>
    <w:rsid w:val="00986B7B"/>
    <w:rsid w:val="00986B7E"/>
    <w:rsid w:val="00986BDD"/>
    <w:rsid w:val="00986D46"/>
    <w:rsid w:val="00986D69"/>
    <w:rsid w:val="00986D86"/>
    <w:rsid w:val="00987222"/>
    <w:rsid w:val="00987248"/>
    <w:rsid w:val="00987292"/>
    <w:rsid w:val="0098734C"/>
    <w:rsid w:val="00987556"/>
    <w:rsid w:val="009875BE"/>
    <w:rsid w:val="00987788"/>
    <w:rsid w:val="009878F9"/>
    <w:rsid w:val="009879E4"/>
    <w:rsid w:val="00987B4B"/>
    <w:rsid w:val="00987B79"/>
    <w:rsid w:val="00987B88"/>
    <w:rsid w:val="00987B9F"/>
    <w:rsid w:val="00987C0A"/>
    <w:rsid w:val="00987CDF"/>
    <w:rsid w:val="00987D28"/>
    <w:rsid w:val="00987E5A"/>
    <w:rsid w:val="00987F09"/>
    <w:rsid w:val="00990032"/>
    <w:rsid w:val="0099010A"/>
    <w:rsid w:val="00990225"/>
    <w:rsid w:val="0099033B"/>
    <w:rsid w:val="009903D6"/>
    <w:rsid w:val="00990494"/>
    <w:rsid w:val="00990511"/>
    <w:rsid w:val="00990622"/>
    <w:rsid w:val="009906FA"/>
    <w:rsid w:val="0099078E"/>
    <w:rsid w:val="009907E0"/>
    <w:rsid w:val="0099090B"/>
    <w:rsid w:val="00990A12"/>
    <w:rsid w:val="00990A1F"/>
    <w:rsid w:val="00990AA1"/>
    <w:rsid w:val="00990BF2"/>
    <w:rsid w:val="00990C29"/>
    <w:rsid w:val="00990C41"/>
    <w:rsid w:val="00990F95"/>
    <w:rsid w:val="0099139C"/>
    <w:rsid w:val="009913D1"/>
    <w:rsid w:val="0099177F"/>
    <w:rsid w:val="00991780"/>
    <w:rsid w:val="009917A7"/>
    <w:rsid w:val="009917AA"/>
    <w:rsid w:val="009917B3"/>
    <w:rsid w:val="009917FA"/>
    <w:rsid w:val="009917FE"/>
    <w:rsid w:val="00991804"/>
    <w:rsid w:val="0099189D"/>
    <w:rsid w:val="00991991"/>
    <w:rsid w:val="00991A01"/>
    <w:rsid w:val="00991A5D"/>
    <w:rsid w:val="00991ADA"/>
    <w:rsid w:val="00991B01"/>
    <w:rsid w:val="00991C6B"/>
    <w:rsid w:val="00991D02"/>
    <w:rsid w:val="00991EE9"/>
    <w:rsid w:val="00991EF8"/>
    <w:rsid w:val="00991F32"/>
    <w:rsid w:val="00991FF0"/>
    <w:rsid w:val="0099219C"/>
    <w:rsid w:val="009922BC"/>
    <w:rsid w:val="00992308"/>
    <w:rsid w:val="00992781"/>
    <w:rsid w:val="0099298A"/>
    <w:rsid w:val="00992BCC"/>
    <w:rsid w:val="00992C19"/>
    <w:rsid w:val="00992D44"/>
    <w:rsid w:val="00992DF5"/>
    <w:rsid w:val="00992E07"/>
    <w:rsid w:val="00992E6D"/>
    <w:rsid w:val="00992FDD"/>
    <w:rsid w:val="00993048"/>
    <w:rsid w:val="0099312F"/>
    <w:rsid w:val="009933FF"/>
    <w:rsid w:val="009935B6"/>
    <w:rsid w:val="0099371B"/>
    <w:rsid w:val="0099373C"/>
    <w:rsid w:val="009939D4"/>
    <w:rsid w:val="00993AAF"/>
    <w:rsid w:val="00993AD2"/>
    <w:rsid w:val="00993B37"/>
    <w:rsid w:val="00993C52"/>
    <w:rsid w:val="00993E9A"/>
    <w:rsid w:val="00994027"/>
    <w:rsid w:val="00994066"/>
    <w:rsid w:val="009940B3"/>
    <w:rsid w:val="0099410C"/>
    <w:rsid w:val="00994507"/>
    <w:rsid w:val="009946F6"/>
    <w:rsid w:val="00994702"/>
    <w:rsid w:val="00994735"/>
    <w:rsid w:val="0099475B"/>
    <w:rsid w:val="00994785"/>
    <w:rsid w:val="0099496C"/>
    <w:rsid w:val="00994A37"/>
    <w:rsid w:val="00994C97"/>
    <w:rsid w:val="00994DBA"/>
    <w:rsid w:val="00994E97"/>
    <w:rsid w:val="00995345"/>
    <w:rsid w:val="0099552C"/>
    <w:rsid w:val="009955D0"/>
    <w:rsid w:val="009956C2"/>
    <w:rsid w:val="009956EB"/>
    <w:rsid w:val="00995758"/>
    <w:rsid w:val="0099596F"/>
    <w:rsid w:val="00995A46"/>
    <w:rsid w:val="00995D37"/>
    <w:rsid w:val="00995DB1"/>
    <w:rsid w:val="00995E43"/>
    <w:rsid w:val="00995F3E"/>
    <w:rsid w:val="00995FB4"/>
    <w:rsid w:val="009960B3"/>
    <w:rsid w:val="00996259"/>
    <w:rsid w:val="009962FA"/>
    <w:rsid w:val="009963B4"/>
    <w:rsid w:val="009964AA"/>
    <w:rsid w:val="00996630"/>
    <w:rsid w:val="009966C4"/>
    <w:rsid w:val="0099675B"/>
    <w:rsid w:val="009967BF"/>
    <w:rsid w:val="009967ED"/>
    <w:rsid w:val="0099682C"/>
    <w:rsid w:val="0099687C"/>
    <w:rsid w:val="009968B9"/>
    <w:rsid w:val="0099693C"/>
    <w:rsid w:val="009969CD"/>
    <w:rsid w:val="00996A1C"/>
    <w:rsid w:val="00996A5F"/>
    <w:rsid w:val="00996B24"/>
    <w:rsid w:val="00996B42"/>
    <w:rsid w:val="00996B5F"/>
    <w:rsid w:val="00996BD5"/>
    <w:rsid w:val="00996BDB"/>
    <w:rsid w:val="00996C53"/>
    <w:rsid w:val="00996D29"/>
    <w:rsid w:val="00996DD2"/>
    <w:rsid w:val="00996DEB"/>
    <w:rsid w:val="00996E9E"/>
    <w:rsid w:val="00996EF7"/>
    <w:rsid w:val="00996F51"/>
    <w:rsid w:val="00997003"/>
    <w:rsid w:val="0099708E"/>
    <w:rsid w:val="00997103"/>
    <w:rsid w:val="00997147"/>
    <w:rsid w:val="00997193"/>
    <w:rsid w:val="00997423"/>
    <w:rsid w:val="00997632"/>
    <w:rsid w:val="00997757"/>
    <w:rsid w:val="00997971"/>
    <w:rsid w:val="009979CE"/>
    <w:rsid w:val="00997A44"/>
    <w:rsid w:val="00997A53"/>
    <w:rsid w:val="00997B46"/>
    <w:rsid w:val="00997B5B"/>
    <w:rsid w:val="00997BBC"/>
    <w:rsid w:val="00997BCE"/>
    <w:rsid w:val="00997D13"/>
    <w:rsid w:val="00997D87"/>
    <w:rsid w:val="00997E01"/>
    <w:rsid w:val="00997E44"/>
    <w:rsid w:val="00997E5C"/>
    <w:rsid w:val="00997EB8"/>
    <w:rsid w:val="00997FD9"/>
    <w:rsid w:val="009A0075"/>
    <w:rsid w:val="009A0145"/>
    <w:rsid w:val="009A019D"/>
    <w:rsid w:val="009A0357"/>
    <w:rsid w:val="009A0364"/>
    <w:rsid w:val="009A041B"/>
    <w:rsid w:val="009A047C"/>
    <w:rsid w:val="009A055A"/>
    <w:rsid w:val="009A060A"/>
    <w:rsid w:val="009A0635"/>
    <w:rsid w:val="009A07F1"/>
    <w:rsid w:val="009A07F5"/>
    <w:rsid w:val="009A0811"/>
    <w:rsid w:val="009A08F7"/>
    <w:rsid w:val="009A0914"/>
    <w:rsid w:val="009A09AB"/>
    <w:rsid w:val="009A0AFA"/>
    <w:rsid w:val="009A0BE0"/>
    <w:rsid w:val="009A0C9D"/>
    <w:rsid w:val="009A0D43"/>
    <w:rsid w:val="009A0D79"/>
    <w:rsid w:val="009A0D87"/>
    <w:rsid w:val="009A0E24"/>
    <w:rsid w:val="009A11A4"/>
    <w:rsid w:val="009A12CA"/>
    <w:rsid w:val="009A13E6"/>
    <w:rsid w:val="009A13E7"/>
    <w:rsid w:val="009A1645"/>
    <w:rsid w:val="009A16A5"/>
    <w:rsid w:val="009A1715"/>
    <w:rsid w:val="009A1928"/>
    <w:rsid w:val="009A1979"/>
    <w:rsid w:val="009A1A2C"/>
    <w:rsid w:val="009A1B4E"/>
    <w:rsid w:val="009A1CAB"/>
    <w:rsid w:val="009A1D2D"/>
    <w:rsid w:val="009A1D95"/>
    <w:rsid w:val="009A1ECD"/>
    <w:rsid w:val="009A1F48"/>
    <w:rsid w:val="009A1F49"/>
    <w:rsid w:val="009A1FB8"/>
    <w:rsid w:val="009A205F"/>
    <w:rsid w:val="009A2142"/>
    <w:rsid w:val="009A214B"/>
    <w:rsid w:val="009A21B0"/>
    <w:rsid w:val="009A2276"/>
    <w:rsid w:val="009A26B8"/>
    <w:rsid w:val="009A26D4"/>
    <w:rsid w:val="009A26EC"/>
    <w:rsid w:val="009A26F9"/>
    <w:rsid w:val="009A271D"/>
    <w:rsid w:val="009A2764"/>
    <w:rsid w:val="009A2876"/>
    <w:rsid w:val="009A29E7"/>
    <w:rsid w:val="009A2A69"/>
    <w:rsid w:val="009A2AA9"/>
    <w:rsid w:val="009A2AF2"/>
    <w:rsid w:val="009A2C22"/>
    <w:rsid w:val="009A2D59"/>
    <w:rsid w:val="009A2EE3"/>
    <w:rsid w:val="009A2F74"/>
    <w:rsid w:val="009A31DD"/>
    <w:rsid w:val="009A3245"/>
    <w:rsid w:val="009A3388"/>
    <w:rsid w:val="009A33A3"/>
    <w:rsid w:val="009A34D5"/>
    <w:rsid w:val="009A3591"/>
    <w:rsid w:val="009A359C"/>
    <w:rsid w:val="009A35F4"/>
    <w:rsid w:val="009A3673"/>
    <w:rsid w:val="009A36EC"/>
    <w:rsid w:val="009A374A"/>
    <w:rsid w:val="009A378D"/>
    <w:rsid w:val="009A39E6"/>
    <w:rsid w:val="009A3A4D"/>
    <w:rsid w:val="009A3C9C"/>
    <w:rsid w:val="009A3CDA"/>
    <w:rsid w:val="009A3E49"/>
    <w:rsid w:val="009A3FCA"/>
    <w:rsid w:val="009A40E8"/>
    <w:rsid w:val="009A4112"/>
    <w:rsid w:val="009A4120"/>
    <w:rsid w:val="009A4151"/>
    <w:rsid w:val="009A439E"/>
    <w:rsid w:val="009A455C"/>
    <w:rsid w:val="009A45A9"/>
    <w:rsid w:val="009A46A1"/>
    <w:rsid w:val="009A46ED"/>
    <w:rsid w:val="009A47A5"/>
    <w:rsid w:val="009A47C9"/>
    <w:rsid w:val="009A4828"/>
    <w:rsid w:val="009A483D"/>
    <w:rsid w:val="009A49CC"/>
    <w:rsid w:val="009A4AB7"/>
    <w:rsid w:val="009A4B96"/>
    <w:rsid w:val="009A4C08"/>
    <w:rsid w:val="009A4CD7"/>
    <w:rsid w:val="009A4D6B"/>
    <w:rsid w:val="009A4F49"/>
    <w:rsid w:val="009A4F77"/>
    <w:rsid w:val="009A502A"/>
    <w:rsid w:val="009A5052"/>
    <w:rsid w:val="009A50AF"/>
    <w:rsid w:val="009A50C8"/>
    <w:rsid w:val="009A5196"/>
    <w:rsid w:val="009A51EA"/>
    <w:rsid w:val="009A52EE"/>
    <w:rsid w:val="009A5394"/>
    <w:rsid w:val="009A564A"/>
    <w:rsid w:val="009A58A9"/>
    <w:rsid w:val="009A59D8"/>
    <w:rsid w:val="009A5D07"/>
    <w:rsid w:val="009A5DC4"/>
    <w:rsid w:val="009A5E84"/>
    <w:rsid w:val="009A5F2F"/>
    <w:rsid w:val="009A6160"/>
    <w:rsid w:val="009A6171"/>
    <w:rsid w:val="009A6184"/>
    <w:rsid w:val="009A634A"/>
    <w:rsid w:val="009A6476"/>
    <w:rsid w:val="009A6492"/>
    <w:rsid w:val="009A64B2"/>
    <w:rsid w:val="009A655A"/>
    <w:rsid w:val="009A6609"/>
    <w:rsid w:val="009A676D"/>
    <w:rsid w:val="009A684B"/>
    <w:rsid w:val="009A68D0"/>
    <w:rsid w:val="009A6AC8"/>
    <w:rsid w:val="009A6AE8"/>
    <w:rsid w:val="009A6B1F"/>
    <w:rsid w:val="009A6C86"/>
    <w:rsid w:val="009A6CB8"/>
    <w:rsid w:val="009A6F40"/>
    <w:rsid w:val="009A7016"/>
    <w:rsid w:val="009A704C"/>
    <w:rsid w:val="009A70F2"/>
    <w:rsid w:val="009A7156"/>
    <w:rsid w:val="009A72F8"/>
    <w:rsid w:val="009A7327"/>
    <w:rsid w:val="009A744E"/>
    <w:rsid w:val="009A74CB"/>
    <w:rsid w:val="009A75AE"/>
    <w:rsid w:val="009A75BF"/>
    <w:rsid w:val="009A7642"/>
    <w:rsid w:val="009A77C3"/>
    <w:rsid w:val="009A78A3"/>
    <w:rsid w:val="009A7909"/>
    <w:rsid w:val="009A7C66"/>
    <w:rsid w:val="009A7D43"/>
    <w:rsid w:val="009A7EC6"/>
    <w:rsid w:val="009A7F37"/>
    <w:rsid w:val="009B00D5"/>
    <w:rsid w:val="009B0195"/>
    <w:rsid w:val="009B0253"/>
    <w:rsid w:val="009B0434"/>
    <w:rsid w:val="009B0538"/>
    <w:rsid w:val="009B0567"/>
    <w:rsid w:val="009B0594"/>
    <w:rsid w:val="009B05E8"/>
    <w:rsid w:val="009B076F"/>
    <w:rsid w:val="009B0881"/>
    <w:rsid w:val="009B08C1"/>
    <w:rsid w:val="009B090F"/>
    <w:rsid w:val="009B0A4A"/>
    <w:rsid w:val="009B0A59"/>
    <w:rsid w:val="009B0B4F"/>
    <w:rsid w:val="009B0B90"/>
    <w:rsid w:val="009B0BA9"/>
    <w:rsid w:val="009B0DB5"/>
    <w:rsid w:val="009B0E5B"/>
    <w:rsid w:val="009B0F49"/>
    <w:rsid w:val="009B10A0"/>
    <w:rsid w:val="009B1165"/>
    <w:rsid w:val="009B1192"/>
    <w:rsid w:val="009B1267"/>
    <w:rsid w:val="009B12BE"/>
    <w:rsid w:val="009B1306"/>
    <w:rsid w:val="009B1318"/>
    <w:rsid w:val="009B13A2"/>
    <w:rsid w:val="009B13C1"/>
    <w:rsid w:val="009B13E9"/>
    <w:rsid w:val="009B1476"/>
    <w:rsid w:val="009B169E"/>
    <w:rsid w:val="009B16A5"/>
    <w:rsid w:val="009B172A"/>
    <w:rsid w:val="009B175B"/>
    <w:rsid w:val="009B1820"/>
    <w:rsid w:val="009B1B79"/>
    <w:rsid w:val="009B1C84"/>
    <w:rsid w:val="009B1F24"/>
    <w:rsid w:val="009B1F65"/>
    <w:rsid w:val="009B1F73"/>
    <w:rsid w:val="009B1FA5"/>
    <w:rsid w:val="009B2115"/>
    <w:rsid w:val="009B21A4"/>
    <w:rsid w:val="009B22E6"/>
    <w:rsid w:val="009B2391"/>
    <w:rsid w:val="009B275A"/>
    <w:rsid w:val="009B279C"/>
    <w:rsid w:val="009B27C4"/>
    <w:rsid w:val="009B2960"/>
    <w:rsid w:val="009B29F5"/>
    <w:rsid w:val="009B2A04"/>
    <w:rsid w:val="009B2A2B"/>
    <w:rsid w:val="009B2BC3"/>
    <w:rsid w:val="009B2D71"/>
    <w:rsid w:val="009B2F18"/>
    <w:rsid w:val="009B2F1F"/>
    <w:rsid w:val="009B2F3C"/>
    <w:rsid w:val="009B314C"/>
    <w:rsid w:val="009B3386"/>
    <w:rsid w:val="009B35E1"/>
    <w:rsid w:val="009B3600"/>
    <w:rsid w:val="009B368D"/>
    <w:rsid w:val="009B37AF"/>
    <w:rsid w:val="009B3904"/>
    <w:rsid w:val="009B395E"/>
    <w:rsid w:val="009B39AC"/>
    <w:rsid w:val="009B3B38"/>
    <w:rsid w:val="009B3B44"/>
    <w:rsid w:val="009B3C5D"/>
    <w:rsid w:val="009B3CB2"/>
    <w:rsid w:val="009B3D90"/>
    <w:rsid w:val="009B3DE5"/>
    <w:rsid w:val="009B3E32"/>
    <w:rsid w:val="009B3E84"/>
    <w:rsid w:val="009B415D"/>
    <w:rsid w:val="009B41BB"/>
    <w:rsid w:val="009B4413"/>
    <w:rsid w:val="009B44C4"/>
    <w:rsid w:val="009B4720"/>
    <w:rsid w:val="009B47AF"/>
    <w:rsid w:val="009B489D"/>
    <w:rsid w:val="009B4926"/>
    <w:rsid w:val="009B49BC"/>
    <w:rsid w:val="009B49F5"/>
    <w:rsid w:val="009B4B53"/>
    <w:rsid w:val="009B4B9B"/>
    <w:rsid w:val="009B5184"/>
    <w:rsid w:val="009B5191"/>
    <w:rsid w:val="009B51E0"/>
    <w:rsid w:val="009B548F"/>
    <w:rsid w:val="009B55ED"/>
    <w:rsid w:val="009B565B"/>
    <w:rsid w:val="009B566A"/>
    <w:rsid w:val="009B58E8"/>
    <w:rsid w:val="009B5A43"/>
    <w:rsid w:val="009B5A51"/>
    <w:rsid w:val="009B5BF5"/>
    <w:rsid w:val="009B5C70"/>
    <w:rsid w:val="009B5C90"/>
    <w:rsid w:val="009B5EAF"/>
    <w:rsid w:val="009B5F86"/>
    <w:rsid w:val="009B6037"/>
    <w:rsid w:val="009B61BC"/>
    <w:rsid w:val="009B61D3"/>
    <w:rsid w:val="009B63AD"/>
    <w:rsid w:val="009B6454"/>
    <w:rsid w:val="009B65F3"/>
    <w:rsid w:val="009B66B3"/>
    <w:rsid w:val="009B66CF"/>
    <w:rsid w:val="009B6744"/>
    <w:rsid w:val="009B67C0"/>
    <w:rsid w:val="009B6882"/>
    <w:rsid w:val="009B68F9"/>
    <w:rsid w:val="009B69A1"/>
    <w:rsid w:val="009B6A7A"/>
    <w:rsid w:val="009B6B26"/>
    <w:rsid w:val="009B6C5D"/>
    <w:rsid w:val="009B6D72"/>
    <w:rsid w:val="009B6DD2"/>
    <w:rsid w:val="009B6F19"/>
    <w:rsid w:val="009B6F74"/>
    <w:rsid w:val="009B6FA6"/>
    <w:rsid w:val="009B7120"/>
    <w:rsid w:val="009B7387"/>
    <w:rsid w:val="009B75C0"/>
    <w:rsid w:val="009B766B"/>
    <w:rsid w:val="009B76F1"/>
    <w:rsid w:val="009B77B8"/>
    <w:rsid w:val="009B795C"/>
    <w:rsid w:val="009B79CA"/>
    <w:rsid w:val="009B7A6E"/>
    <w:rsid w:val="009B7AA1"/>
    <w:rsid w:val="009B7AE7"/>
    <w:rsid w:val="009B7BBC"/>
    <w:rsid w:val="009B7CA1"/>
    <w:rsid w:val="009B7DC2"/>
    <w:rsid w:val="009B7DC3"/>
    <w:rsid w:val="009C0036"/>
    <w:rsid w:val="009C00D6"/>
    <w:rsid w:val="009C01F0"/>
    <w:rsid w:val="009C02C8"/>
    <w:rsid w:val="009C035D"/>
    <w:rsid w:val="009C0436"/>
    <w:rsid w:val="009C04A8"/>
    <w:rsid w:val="009C04B8"/>
    <w:rsid w:val="009C0639"/>
    <w:rsid w:val="009C0649"/>
    <w:rsid w:val="009C065A"/>
    <w:rsid w:val="009C08A0"/>
    <w:rsid w:val="009C0A16"/>
    <w:rsid w:val="009C0B9B"/>
    <w:rsid w:val="009C0C34"/>
    <w:rsid w:val="009C0CBF"/>
    <w:rsid w:val="009C0CEA"/>
    <w:rsid w:val="009C0E0F"/>
    <w:rsid w:val="009C0E71"/>
    <w:rsid w:val="009C0EFC"/>
    <w:rsid w:val="009C0F8E"/>
    <w:rsid w:val="009C104A"/>
    <w:rsid w:val="009C104F"/>
    <w:rsid w:val="009C106E"/>
    <w:rsid w:val="009C1075"/>
    <w:rsid w:val="009C10E1"/>
    <w:rsid w:val="009C1286"/>
    <w:rsid w:val="009C1316"/>
    <w:rsid w:val="009C136C"/>
    <w:rsid w:val="009C14A7"/>
    <w:rsid w:val="009C152C"/>
    <w:rsid w:val="009C1542"/>
    <w:rsid w:val="009C1659"/>
    <w:rsid w:val="009C1740"/>
    <w:rsid w:val="009C199C"/>
    <w:rsid w:val="009C1A18"/>
    <w:rsid w:val="009C1B7F"/>
    <w:rsid w:val="009C1BA6"/>
    <w:rsid w:val="009C1C2E"/>
    <w:rsid w:val="009C1DCE"/>
    <w:rsid w:val="009C1DD5"/>
    <w:rsid w:val="009C1FEC"/>
    <w:rsid w:val="009C2095"/>
    <w:rsid w:val="009C2122"/>
    <w:rsid w:val="009C21DA"/>
    <w:rsid w:val="009C222C"/>
    <w:rsid w:val="009C2265"/>
    <w:rsid w:val="009C229E"/>
    <w:rsid w:val="009C2336"/>
    <w:rsid w:val="009C234E"/>
    <w:rsid w:val="009C24A0"/>
    <w:rsid w:val="009C258C"/>
    <w:rsid w:val="009C26DB"/>
    <w:rsid w:val="009C26F8"/>
    <w:rsid w:val="009C275E"/>
    <w:rsid w:val="009C2789"/>
    <w:rsid w:val="009C28F5"/>
    <w:rsid w:val="009C2971"/>
    <w:rsid w:val="009C2972"/>
    <w:rsid w:val="009C29B4"/>
    <w:rsid w:val="009C2A66"/>
    <w:rsid w:val="009C2C45"/>
    <w:rsid w:val="009C2D6D"/>
    <w:rsid w:val="009C2DE0"/>
    <w:rsid w:val="009C2F11"/>
    <w:rsid w:val="009C2F8D"/>
    <w:rsid w:val="009C2FEC"/>
    <w:rsid w:val="009C2FF8"/>
    <w:rsid w:val="009C3214"/>
    <w:rsid w:val="009C327C"/>
    <w:rsid w:val="009C32E1"/>
    <w:rsid w:val="009C3329"/>
    <w:rsid w:val="009C337E"/>
    <w:rsid w:val="009C36AE"/>
    <w:rsid w:val="009C37BD"/>
    <w:rsid w:val="009C3842"/>
    <w:rsid w:val="009C3871"/>
    <w:rsid w:val="009C3872"/>
    <w:rsid w:val="009C3A55"/>
    <w:rsid w:val="009C3A6D"/>
    <w:rsid w:val="009C3C5F"/>
    <w:rsid w:val="009C3CC7"/>
    <w:rsid w:val="009C3CD0"/>
    <w:rsid w:val="009C3CD2"/>
    <w:rsid w:val="009C3D0A"/>
    <w:rsid w:val="009C3D98"/>
    <w:rsid w:val="009C3DBF"/>
    <w:rsid w:val="009C3F0E"/>
    <w:rsid w:val="009C3F3F"/>
    <w:rsid w:val="009C40C8"/>
    <w:rsid w:val="009C420B"/>
    <w:rsid w:val="009C423D"/>
    <w:rsid w:val="009C4339"/>
    <w:rsid w:val="009C4361"/>
    <w:rsid w:val="009C43EE"/>
    <w:rsid w:val="009C47F7"/>
    <w:rsid w:val="009C488E"/>
    <w:rsid w:val="009C48A1"/>
    <w:rsid w:val="009C4CEE"/>
    <w:rsid w:val="009C4EFE"/>
    <w:rsid w:val="009C4F2D"/>
    <w:rsid w:val="009C5258"/>
    <w:rsid w:val="009C5375"/>
    <w:rsid w:val="009C53B5"/>
    <w:rsid w:val="009C54DD"/>
    <w:rsid w:val="009C5568"/>
    <w:rsid w:val="009C57FA"/>
    <w:rsid w:val="009C593A"/>
    <w:rsid w:val="009C59A4"/>
    <w:rsid w:val="009C5A0E"/>
    <w:rsid w:val="009C5AC8"/>
    <w:rsid w:val="009C5AE9"/>
    <w:rsid w:val="009C5B09"/>
    <w:rsid w:val="009C5B42"/>
    <w:rsid w:val="009C5CDB"/>
    <w:rsid w:val="009C5E21"/>
    <w:rsid w:val="009C5F47"/>
    <w:rsid w:val="009C610A"/>
    <w:rsid w:val="009C614A"/>
    <w:rsid w:val="009C626E"/>
    <w:rsid w:val="009C640C"/>
    <w:rsid w:val="009C6455"/>
    <w:rsid w:val="009C688A"/>
    <w:rsid w:val="009C69C8"/>
    <w:rsid w:val="009C6A34"/>
    <w:rsid w:val="009C6AAF"/>
    <w:rsid w:val="009C6B11"/>
    <w:rsid w:val="009C6BE3"/>
    <w:rsid w:val="009C6D06"/>
    <w:rsid w:val="009C6F33"/>
    <w:rsid w:val="009C6F5C"/>
    <w:rsid w:val="009C7031"/>
    <w:rsid w:val="009C70DC"/>
    <w:rsid w:val="009C7182"/>
    <w:rsid w:val="009C71F8"/>
    <w:rsid w:val="009C7240"/>
    <w:rsid w:val="009C724C"/>
    <w:rsid w:val="009C733D"/>
    <w:rsid w:val="009C7369"/>
    <w:rsid w:val="009C73C4"/>
    <w:rsid w:val="009C74C1"/>
    <w:rsid w:val="009C756D"/>
    <w:rsid w:val="009C78EC"/>
    <w:rsid w:val="009C790B"/>
    <w:rsid w:val="009C7932"/>
    <w:rsid w:val="009C79AB"/>
    <w:rsid w:val="009C7A91"/>
    <w:rsid w:val="009C7AD5"/>
    <w:rsid w:val="009C7BB4"/>
    <w:rsid w:val="009C7BDE"/>
    <w:rsid w:val="009C7D6E"/>
    <w:rsid w:val="009C7FFA"/>
    <w:rsid w:val="009D0058"/>
    <w:rsid w:val="009D0059"/>
    <w:rsid w:val="009D00F4"/>
    <w:rsid w:val="009D01FE"/>
    <w:rsid w:val="009D032D"/>
    <w:rsid w:val="009D05C9"/>
    <w:rsid w:val="009D066B"/>
    <w:rsid w:val="009D06DD"/>
    <w:rsid w:val="009D0780"/>
    <w:rsid w:val="009D0870"/>
    <w:rsid w:val="009D0A17"/>
    <w:rsid w:val="009D0BEF"/>
    <w:rsid w:val="009D0C3A"/>
    <w:rsid w:val="009D0D39"/>
    <w:rsid w:val="009D0D50"/>
    <w:rsid w:val="009D0D5F"/>
    <w:rsid w:val="009D0E4A"/>
    <w:rsid w:val="009D0ECE"/>
    <w:rsid w:val="009D0F0C"/>
    <w:rsid w:val="009D1023"/>
    <w:rsid w:val="009D104E"/>
    <w:rsid w:val="009D1153"/>
    <w:rsid w:val="009D12A9"/>
    <w:rsid w:val="009D136B"/>
    <w:rsid w:val="009D155F"/>
    <w:rsid w:val="009D15A9"/>
    <w:rsid w:val="009D16B5"/>
    <w:rsid w:val="009D18AA"/>
    <w:rsid w:val="009D19AC"/>
    <w:rsid w:val="009D1A80"/>
    <w:rsid w:val="009D1B83"/>
    <w:rsid w:val="009D1C52"/>
    <w:rsid w:val="009D1C81"/>
    <w:rsid w:val="009D1DB4"/>
    <w:rsid w:val="009D1E44"/>
    <w:rsid w:val="009D1EF0"/>
    <w:rsid w:val="009D1F66"/>
    <w:rsid w:val="009D20DF"/>
    <w:rsid w:val="009D22E8"/>
    <w:rsid w:val="009D233C"/>
    <w:rsid w:val="009D2447"/>
    <w:rsid w:val="009D2573"/>
    <w:rsid w:val="009D2579"/>
    <w:rsid w:val="009D25E8"/>
    <w:rsid w:val="009D2669"/>
    <w:rsid w:val="009D2825"/>
    <w:rsid w:val="009D2832"/>
    <w:rsid w:val="009D2881"/>
    <w:rsid w:val="009D28B9"/>
    <w:rsid w:val="009D2977"/>
    <w:rsid w:val="009D297E"/>
    <w:rsid w:val="009D2A0D"/>
    <w:rsid w:val="009D2BD4"/>
    <w:rsid w:val="009D2C2C"/>
    <w:rsid w:val="009D2D09"/>
    <w:rsid w:val="009D2D52"/>
    <w:rsid w:val="009D2E1E"/>
    <w:rsid w:val="009D2E78"/>
    <w:rsid w:val="009D2EF3"/>
    <w:rsid w:val="009D2FBB"/>
    <w:rsid w:val="009D302B"/>
    <w:rsid w:val="009D303F"/>
    <w:rsid w:val="009D31E0"/>
    <w:rsid w:val="009D328B"/>
    <w:rsid w:val="009D329C"/>
    <w:rsid w:val="009D3381"/>
    <w:rsid w:val="009D33D2"/>
    <w:rsid w:val="009D361D"/>
    <w:rsid w:val="009D36A9"/>
    <w:rsid w:val="009D371B"/>
    <w:rsid w:val="009D3733"/>
    <w:rsid w:val="009D373B"/>
    <w:rsid w:val="009D398A"/>
    <w:rsid w:val="009D39B7"/>
    <w:rsid w:val="009D3A08"/>
    <w:rsid w:val="009D3AF9"/>
    <w:rsid w:val="009D3BB2"/>
    <w:rsid w:val="009D3BBD"/>
    <w:rsid w:val="009D3F52"/>
    <w:rsid w:val="009D3F5B"/>
    <w:rsid w:val="009D3FB8"/>
    <w:rsid w:val="009D40EB"/>
    <w:rsid w:val="009D4183"/>
    <w:rsid w:val="009D4210"/>
    <w:rsid w:val="009D42B1"/>
    <w:rsid w:val="009D43AE"/>
    <w:rsid w:val="009D4422"/>
    <w:rsid w:val="009D44CD"/>
    <w:rsid w:val="009D45D4"/>
    <w:rsid w:val="009D46B3"/>
    <w:rsid w:val="009D4761"/>
    <w:rsid w:val="009D48D4"/>
    <w:rsid w:val="009D4A19"/>
    <w:rsid w:val="009D4C63"/>
    <w:rsid w:val="009D4C8B"/>
    <w:rsid w:val="009D4CA2"/>
    <w:rsid w:val="009D4D35"/>
    <w:rsid w:val="009D4D5D"/>
    <w:rsid w:val="009D4DA0"/>
    <w:rsid w:val="009D4FA7"/>
    <w:rsid w:val="009D5209"/>
    <w:rsid w:val="009D5427"/>
    <w:rsid w:val="009D5497"/>
    <w:rsid w:val="009D554B"/>
    <w:rsid w:val="009D55D3"/>
    <w:rsid w:val="009D56B8"/>
    <w:rsid w:val="009D5711"/>
    <w:rsid w:val="009D574D"/>
    <w:rsid w:val="009D58A0"/>
    <w:rsid w:val="009D58C2"/>
    <w:rsid w:val="009D591D"/>
    <w:rsid w:val="009D5964"/>
    <w:rsid w:val="009D5991"/>
    <w:rsid w:val="009D59EE"/>
    <w:rsid w:val="009D5BE7"/>
    <w:rsid w:val="009D5EBF"/>
    <w:rsid w:val="009D5F4B"/>
    <w:rsid w:val="009D5F8F"/>
    <w:rsid w:val="009D5FF9"/>
    <w:rsid w:val="009D608A"/>
    <w:rsid w:val="009D619D"/>
    <w:rsid w:val="009D646F"/>
    <w:rsid w:val="009D649A"/>
    <w:rsid w:val="009D6611"/>
    <w:rsid w:val="009D68A8"/>
    <w:rsid w:val="009D68AE"/>
    <w:rsid w:val="009D6BD7"/>
    <w:rsid w:val="009D6D35"/>
    <w:rsid w:val="009D6D8C"/>
    <w:rsid w:val="009D6DB8"/>
    <w:rsid w:val="009D7054"/>
    <w:rsid w:val="009D70AD"/>
    <w:rsid w:val="009D718E"/>
    <w:rsid w:val="009D72B8"/>
    <w:rsid w:val="009D73EF"/>
    <w:rsid w:val="009D7421"/>
    <w:rsid w:val="009D74F4"/>
    <w:rsid w:val="009D77CF"/>
    <w:rsid w:val="009D7B62"/>
    <w:rsid w:val="009D7C9D"/>
    <w:rsid w:val="009D7CE8"/>
    <w:rsid w:val="009D7CF0"/>
    <w:rsid w:val="009D7E32"/>
    <w:rsid w:val="009D7E82"/>
    <w:rsid w:val="009D7E8B"/>
    <w:rsid w:val="009D7EA3"/>
    <w:rsid w:val="009E00C0"/>
    <w:rsid w:val="009E013A"/>
    <w:rsid w:val="009E01EC"/>
    <w:rsid w:val="009E0221"/>
    <w:rsid w:val="009E02F8"/>
    <w:rsid w:val="009E034F"/>
    <w:rsid w:val="009E038B"/>
    <w:rsid w:val="009E0417"/>
    <w:rsid w:val="009E04D5"/>
    <w:rsid w:val="009E0639"/>
    <w:rsid w:val="009E06DC"/>
    <w:rsid w:val="009E0930"/>
    <w:rsid w:val="009E0A17"/>
    <w:rsid w:val="009E0A3C"/>
    <w:rsid w:val="009E0B38"/>
    <w:rsid w:val="009E0D1A"/>
    <w:rsid w:val="009E0D47"/>
    <w:rsid w:val="009E0DE1"/>
    <w:rsid w:val="009E1132"/>
    <w:rsid w:val="009E1199"/>
    <w:rsid w:val="009E122C"/>
    <w:rsid w:val="009E14DD"/>
    <w:rsid w:val="009E1586"/>
    <w:rsid w:val="009E15F5"/>
    <w:rsid w:val="009E1683"/>
    <w:rsid w:val="009E1838"/>
    <w:rsid w:val="009E1878"/>
    <w:rsid w:val="009E18A1"/>
    <w:rsid w:val="009E18DB"/>
    <w:rsid w:val="009E1901"/>
    <w:rsid w:val="009E19AE"/>
    <w:rsid w:val="009E19B8"/>
    <w:rsid w:val="009E1CB3"/>
    <w:rsid w:val="009E1F06"/>
    <w:rsid w:val="009E1FE1"/>
    <w:rsid w:val="009E21BC"/>
    <w:rsid w:val="009E2237"/>
    <w:rsid w:val="009E23E2"/>
    <w:rsid w:val="009E2474"/>
    <w:rsid w:val="009E260C"/>
    <w:rsid w:val="009E261F"/>
    <w:rsid w:val="009E274B"/>
    <w:rsid w:val="009E27DE"/>
    <w:rsid w:val="009E2B3F"/>
    <w:rsid w:val="009E2B55"/>
    <w:rsid w:val="009E2CAB"/>
    <w:rsid w:val="009E2F32"/>
    <w:rsid w:val="009E2FB0"/>
    <w:rsid w:val="009E2FE5"/>
    <w:rsid w:val="009E30C6"/>
    <w:rsid w:val="009E33EB"/>
    <w:rsid w:val="009E347F"/>
    <w:rsid w:val="009E3507"/>
    <w:rsid w:val="009E35D4"/>
    <w:rsid w:val="009E36C0"/>
    <w:rsid w:val="009E3815"/>
    <w:rsid w:val="009E3852"/>
    <w:rsid w:val="009E389F"/>
    <w:rsid w:val="009E392D"/>
    <w:rsid w:val="009E397B"/>
    <w:rsid w:val="009E39AD"/>
    <w:rsid w:val="009E3A42"/>
    <w:rsid w:val="009E3B3D"/>
    <w:rsid w:val="009E3CA7"/>
    <w:rsid w:val="009E3E1E"/>
    <w:rsid w:val="009E3E6F"/>
    <w:rsid w:val="009E3E97"/>
    <w:rsid w:val="009E3EEE"/>
    <w:rsid w:val="009E3F49"/>
    <w:rsid w:val="009E3FE3"/>
    <w:rsid w:val="009E4017"/>
    <w:rsid w:val="009E407A"/>
    <w:rsid w:val="009E4100"/>
    <w:rsid w:val="009E4232"/>
    <w:rsid w:val="009E4257"/>
    <w:rsid w:val="009E4307"/>
    <w:rsid w:val="009E4325"/>
    <w:rsid w:val="009E44B0"/>
    <w:rsid w:val="009E44D0"/>
    <w:rsid w:val="009E44E0"/>
    <w:rsid w:val="009E44E3"/>
    <w:rsid w:val="009E44EB"/>
    <w:rsid w:val="009E4529"/>
    <w:rsid w:val="009E4559"/>
    <w:rsid w:val="009E4834"/>
    <w:rsid w:val="009E48CC"/>
    <w:rsid w:val="009E4AE7"/>
    <w:rsid w:val="009E4C3E"/>
    <w:rsid w:val="009E4D39"/>
    <w:rsid w:val="009E4D44"/>
    <w:rsid w:val="009E4E32"/>
    <w:rsid w:val="009E4E42"/>
    <w:rsid w:val="009E4E8A"/>
    <w:rsid w:val="009E5117"/>
    <w:rsid w:val="009E512B"/>
    <w:rsid w:val="009E51F0"/>
    <w:rsid w:val="009E52B1"/>
    <w:rsid w:val="009E53AC"/>
    <w:rsid w:val="009E5452"/>
    <w:rsid w:val="009E5483"/>
    <w:rsid w:val="009E54C9"/>
    <w:rsid w:val="009E54E9"/>
    <w:rsid w:val="009E5517"/>
    <w:rsid w:val="009E562A"/>
    <w:rsid w:val="009E56D8"/>
    <w:rsid w:val="009E56FE"/>
    <w:rsid w:val="009E582C"/>
    <w:rsid w:val="009E5849"/>
    <w:rsid w:val="009E5948"/>
    <w:rsid w:val="009E59E0"/>
    <w:rsid w:val="009E5A49"/>
    <w:rsid w:val="009E5B08"/>
    <w:rsid w:val="009E5BCA"/>
    <w:rsid w:val="009E5BD0"/>
    <w:rsid w:val="009E5BF6"/>
    <w:rsid w:val="009E5C31"/>
    <w:rsid w:val="009E5E7B"/>
    <w:rsid w:val="009E5E95"/>
    <w:rsid w:val="009E5EF4"/>
    <w:rsid w:val="009E6086"/>
    <w:rsid w:val="009E6191"/>
    <w:rsid w:val="009E6271"/>
    <w:rsid w:val="009E629F"/>
    <w:rsid w:val="009E62C1"/>
    <w:rsid w:val="009E62C7"/>
    <w:rsid w:val="009E6300"/>
    <w:rsid w:val="009E6408"/>
    <w:rsid w:val="009E6556"/>
    <w:rsid w:val="009E660C"/>
    <w:rsid w:val="009E667B"/>
    <w:rsid w:val="009E68CC"/>
    <w:rsid w:val="009E69AF"/>
    <w:rsid w:val="009E69DD"/>
    <w:rsid w:val="009E69DF"/>
    <w:rsid w:val="009E6C22"/>
    <w:rsid w:val="009E6CC6"/>
    <w:rsid w:val="009E6F02"/>
    <w:rsid w:val="009E6F6F"/>
    <w:rsid w:val="009E722C"/>
    <w:rsid w:val="009E724D"/>
    <w:rsid w:val="009E72EF"/>
    <w:rsid w:val="009E735C"/>
    <w:rsid w:val="009E7637"/>
    <w:rsid w:val="009E76AA"/>
    <w:rsid w:val="009E776B"/>
    <w:rsid w:val="009E7899"/>
    <w:rsid w:val="009E789D"/>
    <w:rsid w:val="009E7949"/>
    <w:rsid w:val="009E79E1"/>
    <w:rsid w:val="009E7BE8"/>
    <w:rsid w:val="009E7C6E"/>
    <w:rsid w:val="009E7E0C"/>
    <w:rsid w:val="009E7E23"/>
    <w:rsid w:val="009E7EA0"/>
    <w:rsid w:val="009EEC72"/>
    <w:rsid w:val="009F0109"/>
    <w:rsid w:val="009F01BA"/>
    <w:rsid w:val="009F01E9"/>
    <w:rsid w:val="009F0203"/>
    <w:rsid w:val="009F021D"/>
    <w:rsid w:val="009F030C"/>
    <w:rsid w:val="009F0320"/>
    <w:rsid w:val="009F03E7"/>
    <w:rsid w:val="009F046F"/>
    <w:rsid w:val="009F050D"/>
    <w:rsid w:val="009F060E"/>
    <w:rsid w:val="009F0648"/>
    <w:rsid w:val="009F09D4"/>
    <w:rsid w:val="009F0A34"/>
    <w:rsid w:val="009F0A52"/>
    <w:rsid w:val="009F0ACB"/>
    <w:rsid w:val="009F0D63"/>
    <w:rsid w:val="009F0D6B"/>
    <w:rsid w:val="009F0F07"/>
    <w:rsid w:val="009F1037"/>
    <w:rsid w:val="009F1166"/>
    <w:rsid w:val="009F137F"/>
    <w:rsid w:val="009F1438"/>
    <w:rsid w:val="009F14D2"/>
    <w:rsid w:val="009F1796"/>
    <w:rsid w:val="009F1906"/>
    <w:rsid w:val="009F1A90"/>
    <w:rsid w:val="009F1AB9"/>
    <w:rsid w:val="009F1AC5"/>
    <w:rsid w:val="009F1CA7"/>
    <w:rsid w:val="009F1DFA"/>
    <w:rsid w:val="009F1F71"/>
    <w:rsid w:val="009F229D"/>
    <w:rsid w:val="009F22E4"/>
    <w:rsid w:val="009F2594"/>
    <w:rsid w:val="009F2609"/>
    <w:rsid w:val="009F2644"/>
    <w:rsid w:val="009F29C1"/>
    <w:rsid w:val="009F2AF3"/>
    <w:rsid w:val="009F2D04"/>
    <w:rsid w:val="009F2E17"/>
    <w:rsid w:val="009F2FCD"/>
    <w:rsid w:val="009F30C2"/>
    <w:rsid w:val="009F322F"/>
    <w:rsid w:val="009F328D"/>
    <w:rsid w:val="009F32A8"/>
    <w:rsid w:val="009F33DF"/>
    <w:rsid w:val="009F33E4"/>
    <w:rsid w:val="009F3479"/>
    <w:rsid w:val="009F359D"/>
    <w:rsid w:val="009F3857"/>
    <w:rsid w:val="009F38C4"/>
    <w:rsid w:val="009F3906"/>
    <w:rsid w:val="009F3971"/>
    <w:rsid w:val="009F3A06"/>
    <w:rsid w:val="009F3B11"/>
    <w:rsid w:val="009F3BB0"/>
    <w:rsid w:val="009F3BD1"/>
    <w:rsid w:val="009F3D1D"/>
    <w:rsid w:val="009F3DD1"/>
    <w:rsid w:val="009F3E08"/>
    <w:rsid w:val="009F3E15"/>
    <w:rsid w:val="009F3ECF"/>
    <w:rsid w:val="009F3F4E"/>
    <w:rsid w:val="009F3F50"/>
    <w:rsid w:val="009F4080"/>
    <w:rsid w:val="009F40A0"/>
    <w:rsid w:val="009F40A4"/>
    <w:rsid w:val="009F4151"/>
    <w:rsid w:val="009F4157"/>
    <w:rsid w:val="009F428C"/>
    <w:rsid w:val="009F42DA"/>
    <w:rsid w:val="009F4341"/>
    <w:rsid w:val="009F438E"/>
    <w:rsid w:val="009F4439"/>
    <w:rsid w:val="009F48C5"/>
    <w:rsid w:val="009F4931"/>
    <w:rsid w:val="009F4957"/>
    <w:rsid w:val="009F4D6D"/>
    <w:rsid w:val="009F4D88"/>
    <w:rsid w:val="009F4DFC"/>
    <w:rsid w:val="009F4E87"/>
    <w:rsid w:val="009F4EA4"/>
    <w:rsid w:val="009F4FB4"/>
    <w:rsid w:val="009F5023"/>
    <w:rsid w:val="009F52FF"/>
    <w:rsid w:val="009F535A"/>
    <w:rsid w:val="009F5461"/>
    <w:rsid w:val="009F56A6"/>
    <w:rsid w:val="009F56CB"/>
    <w:rsid w:val="009F5893"/>
    <w:rsid w:val="009F5926"/>
    <w:rsid w:val="009F594B"/>
    <w:rsid w:val="009F5B6D"/>
    <w:rsid w:val="009F5C33"/>
    <w:rsid w:val="009F5D2D"/>
    <w:rsid w:val="009F5D4F"/>
    <w:rsid w:val="009F602C"/>
    <w:rsid w:val="009F61E0"/>
    <w:rsid w:val="009F61F9"/>
    <w:rsid w:val="009F623D"/>
    <w:rsid w:val="009F642A"/>
    <w:rsid w:val="009F644D"/>
    <w:rsid w:val="009F66B8"/>
    <w:rsid w:val="009F6868"/>
    <w:rsid w:val="009F687A"/>
    <w:rsid w:val="009F6902"/>
    <w:rsid w:val="009F6A2F"/>
    <w:rsid w:val="009F6BBA"/>
    <w:rsid w:val="009F6C79"/>
    <w:rsid w:val="009F6C81"/>
    <w:rsid w:val="009F6CAA"/>
    <w:rsid w:val="009F6D77"/>
    <w:rsid w:val="009F6E30"/>
    <w:rsid w:val="009F6F85"/>
    <w:rsid w:val="009F7037"/>
    <w:rsid w:val="009F70DA"/>
    <w:rsid w:val="009F725A"/>
    <w:rsid w:val="009F730A"/>
    <w:rsid w:val="009F737E"/>
    <w:rsid w:val="009F7497"/>
    <w:rsid w:val="009F755E"/>
    <w:rsid w:val="009F76AE"/>
    <w:rsid w:val="009F77AB"/>
    <w:rsid w:val="009F788F"/>
    <w:rsid w:val="009F78CA"/>
    <w:rsid w:val="009F7B53"/>
    <w:rsid w:val="009F7DC9"/>
    <w:rsid w:val="009F7E53"/>
    <w:rsid w:val="009F7F52"/>
    <w:rsid w:val="009F7F6C"/>
    <w:rsid w:val="00A000FF"/>
    <w:rsid w:val="00A00183"/>
    <w:rsid w:val="00A001BA"/>
    <w:rsid w:val="00A00216"/>
    <w:rsid w:val="00A00373"/>
    <w:rsid w:val="00A004C7"/>
    <w:rsid w:val="00A0052D"/>
    <w:rsid w:val="00A007F3"/>
    <w:rsid w:val="00A008C5"/>
    <w:rsid w:val="00A008F1"/>
    <w:rsid w:val="00A00B4F"/>
    <w:rsid w:val="00A00BF3"/>
    <w:rsid w:val="00A00C1C"/>
    <w:rsid w:val="00A00F5C"/>
    <w:rsid w:val="00A010BE"/>
    <w:rsid w:val="00A010E9"/>
    <w:rsid w:val="00A01195"/>
    <w:rsid w:val="00A011AA"/>
    <w:rsid w:val="00A011CB"/>
    <w:rsid w:val="00A01209"/>
    <w:rsid w:val="00A0136D"/>
    <w:rsid w:val="00A0153A"/>
    <w:rsid w:val="00A0180B"/>
    <w:rsid w:val="00A018A4"/>
    <w:rsid w:val="00A01918"/>
    <w:rsid w:val="00A019F0"/>
    <w:rsid w:val="00A01D5B"/>
    <w:rsid w:val="00A01D68"/>
    <w:rsid w:val="00A01EFA"/>
    <w:rsid w:val="00A01FA4"/>
    <w:rsid w:val="00A02013"/>
    <w:rsid w:val="00A020CE"/>
    <w:rsid w:val="00A022C4"/>
    <w:rsid w:val="00A023A2"/>
    <w:rsid w:val="00A023E4"/>
    <w:rsid w:val="00A023EB"/>
    <w:rsid w:val="00A026BB"/>
    <w:rsid w:val="00A026FB"/>
    <w:rsid w:val="00A0273C"/>
    <w:rsid w:val="00A02794"/>
    <w:rsid w:val="00A029CF"/>
    <w:rsid w:val="00A02B55"/>
    <w:rsid w:val="00A02D5B"/>
    <w:rsid w:val="00A02DE3"/>
    <w:rsid w:val="00A02F6D"/>
    <w:rsid w:val="00A02FEB"/>
    <w:rsid w:val="00A03021"/>
    <w:rsid w:val="00A03063"/>
    <w:rsid w:val="00A03159"/>
    <w:rsid w:val="00A032E3"/>
    <w:rsid w:val="00A033DC"/>
    <w:rsid w:val="00A03502"/>
    <w:rsid w:val="00A0363F"/>
    <w:rsid w:val="00A03644"/>
    <w:rsid w:val="00A0370C"/>
    <w:rsid w:val="00A03712"/>
    <w:rsid w:val="00A03738"/>
    <w:rsid w:val="00A0377B"/>
    <w:rsid w:val="00A03850"/>
    <w:rsid w:val="00A039B9"/>
    <w:rsid w:val="00A03C19"/>
    <w:rsid w:val="00A03C98"/>
    <w:rsid w:val="00A03CFB"/>
    <w:rsid w:val="00A0409C"/>
    <w:rsid w:val="00A040C7"/>
    <w:rsid w:val="00A04210"/>
    <w:rsid w:val="00A042D6"/>
    <w:rsid w:val="00A0469E"/>
    <w:rsid w:val="00A046FE"/>
    <w:rsid w:val="00A04775"/>
    <w:rsid w:val="00A04A22"/>
    <w:rsid w:val="00A04C2C"/>
    <w:rsid w:val="00A04D04"/>
    <w:rsid w:val="00A04D1F"/>
    <w:rsid w:val="00A04D43"/>
    <w:rsid w:val="00A04EA7"/>
    <w:rsid w:val="00A04EDD"/>
    <w:rsid w:val="00A04FDD"/>
    <w:rsid w:val="00A05005"/>
    <w:rsid w:val="00A05071"/>
    <w:rsid w:val="00A0509B"/>
    <w:rsid w:val="00A051EE"/>
    <w:rsid w:val="00A05208"/>
    <w:rsid w:val="00A05264"/>
    <w:rsid w:val="00A0545A"/>
    <w:rsid w:val="00A054AA"/>
    <w:rsid w:val="00A054DB"/>
    <w:rsid w:val="00A05686"/>
    <w:rsid w:val="00A05713"/>
    <w:rsid w:val="00A05757"/>
    <w:rsid w:val="00A057C8"/>
    <w:rsid w:val="00A0583D"/>
    <w:rsid w:val="00A0585D"/>
    <w:rsid w:val="00A05867"/>
    <w:rsid w:val="00A05870"/>
    <w:rsid w:val="00A058C2"/>
    <w:rsid w:val="00A05915"/>
    <w:rsid w:val="00A05953"/>
    <w:rsid w:val="00A05972"/>
    <w:rsid w:val="00A05B26"/>
    <w:rsid w:val="00A05B56"/>
    <w:rsid w:val="00A05BB4"/>
    <w:rsid w:val="00A05C00"/>
    <w:rsid w:val="00A05C05"/>
    <w:rsid w:val="00A05C5D"/>
    <w:rsid w:val="00A05CCC"/>
    <w:rsid w:val="00A05EA9"/>
    <w:rsid w:val="00A05F57"/>
    <w:rsid w:val="00A05FF7"/>
    <w:rsid w:val="00A060FB"/>
    <w:rsid w:val="00A061B1"/>
    <w:rsid w:val="00A06271"/>
    <w:rsid w:val="00A06333"/>
    <w:rsid w:val="00A063EB"/>
    <w:rsid w:val="00A064FA"/>
    <w:rsid w:val="00A066B5"/>
    <w:rsid w:val="00A0672F"/>
    <w:rsid w:val="00A06770"/>
    <w:rsid w:val="00A06891"/>
    <w:rsid w:val="00A06897"/>
    <w:rsid w:val="00A06AB5"/>
    <w:rsid w:val="00A06BEB"/>
    <w:rsid w:val="00A06D38"/>
    <w:rsid w:val="00A06D92"/>
    <w:rsid w:val="00A06DB2"/>
    <w:rsid w:val="00A06E63"/>
    <w:rsid w:val="00A06E77"/>
    <w:rsid w:val="00A06ED0"/>
    <w:rsid w:val="00A0718E"/>
    <w:rsid w:val="00A07313"/>
    <w:rsid w:val="00A07416"/>
    <w:rsid w:val="00A075AC"/>
    <w:rsid w:val="00A075CD"/>
    <w:rsid w:val="00A07670"/>
    <w:rsid w:val="00A07705"/>
    <w:rsid w:val="00A0787B"/>
    <w:rsid w:val="00A07A26"/>
    <w:rsid w:val="00A07C77"/>
    <w:rsid w:val="00A07D93"/>
    <w:rsid w:val="00A07DE7"/>
    <w:rsid w:val="00A07E85"/>
    <w:rsid w:val="00A07EA9"/>
    <w:rsid w:val="00A07FAC"/>
    <w:rsid w:val="00A07FC2"/>
    <w:rsid w:val="00A10053"/>
    <w:rsid w:val="00A101C7"/>
    <w:rsid w:val="00A1025C"/>
    <w:rsid w:val="00A102FE"/>
    <w:rsid w:val="00A10429"/>
    <w:rsid w:val="00A104C8"/>
    <w:rsid w:val="00A1061E"/>
    <w:rsid w:val="00A10630"/>
    <w:rsid w:val="00A106C9"/>
    <w:rsid w:val="00A10787"/>
    <w:rsid w:val="00A1084D"/>
    <w:rsid w:val="00A10856"/>
    <w:rsid w:val="00A10899"/>
    <w:rsid w:val="00A10922"/>
    <w:rsid w:val="00A10AAA"/>
    <w:rsid w:val="00A10B24"/>
    <w:rsid w:val="00A10C02"/>
    <w:rsid w:val="00A10D0C"/>
    <w:rsid w:val="00A10D14"/>
    <w:rsid w:val="00A10D54"/>
    <w:rsid w:val="00A10F8A"/>
    <w:rsid w:val="00A10F8B"/>
    <w:rsid w:val="00A11046"/>
    <w:rsid w:val="00A110FF"/>
    <w:rsid w:val="00A11155"/>
    <w:rsid w:val="00A1128E"/>
    <w:rsid w:val="00A112F3"/>
    <w:rsid w:val="00A115E2"/>
    <w:rsid w:val="00A115F1"/>
    <w:rsid w:val="00A11633"/>
    <w:rsid w:val="00A11644"/>
    <w:rsid w:val="00A11712"/>
    <w:rsid w:val="00A118C8"/>
    <w:rsid w:val="00A119E6"/>
    <w:rsid w:val="00A11A15"/>
    <w:rsid w:val="00A11A7B"/>
    <w:rsid w:val="00A11C32"/>
    <w:rsid w:val="00A11C4C"/>
    <w:rsid w:val="00A11FF7"/>
    <w:rsid w:val="00A12395"/>
    <w:rsid w:val="00A1250D"/>
    <w:rsid w:val="00A1254D"/>
    <w:rsid w:val="00A12633"/>
    <w:rsid w:val="00A1269D"/>
    <w:rsid w:val="00A1280D"/>
    <w:rsid w:val="00A12818"/>
    <w:rsid w:val="00A12854"/>
    <w:rsid w:val="00A1288C"/>
    <w:rsid w:val="00A12C72"/>
    <w:rsid w:val="00A12CB2"/>
    <w:rsid w:val="00A12D50"/>
    <w:rsid w:val="00A12DF5"/>
    <w:rsid w:val="00A13058"/>
    <w:rsid w:val="00A13085"/>
    <w:rsid w:val="00A130BF"/>
    <w:rsid w:val="00A13103"/>
    <w:rsid w:val="00A13151"/>
    <w:rsid w:val="00A131A3"/>
    <w:rsid w:val="00A13390"/>
    <w:rsid w:val="00A1344D"/>
    <w:rsid w:val="00A134AD"/>
    <w:rsid w:val="00A135AA"/>
    <w:rsid w:val="00A138BF"/>
    <w:rsid w:val="00A138CC"/>
    <w:rsid w:val="00A13BDF"/>
    <w:rsid w:val="00A13C65"/>
    <w:rsid w:val="00A13CC2"/>
    <w:rsid w:val="00A13D4A"/>
    <w:rsid w:val="00A13E43"/>
    <w:rsid w:val="00A13E6A"/>
    <w:rsid w:val="00A13E6B"/>
    <w:rsid w:val="00A13ED5"/>
    <w:rsid w:val="00A13F04"/>
    <w:rsid w:val="00A13F07"/>
    <w:rsid w:val="00A13FAB"/>
    <w:rsid w:val="00A13FBD"/>
    <w:rsid w:val="00A14059"/>
    <w:rsid w:val="00A1405F"/>
    <w:rsid w:val="00A1428A"/>
    <w:rsid w:val="00A1430A"/>
    <w:rsid w:val="00A143EE"/>
    <w:rsid w:val="00A14451"/>
    <w:rsid w:val="00A14464"/>
    <w:rsid w:val="00A14599"/>
    <w:rsid w:val="00A146A2"/>
    <w:rsid w:val="00A146D1"/>
    <w:rsid w:val="00A147D8"/>
    <w:rsid w:val="00A149E5"/>
    <w:rsid w:val="00A14A6B"/>
    <w:rsid w:val="00A14C07"/>
    <w:rsid w:val="00A14C20"/>
    <w:rsid w:val="00A14C42"/>
    <w:rsid w:val="00A14D01"/>
    <w:rsid w:val="00A14E5D"/>
    <w:rsid w:val="00A150BB"/>
    <w:rsid w:val="00A1525C"/>
    <w:rsid w:val="00A1564E"/>
    <w:rsid w:val="00A156C4"/>
    <w:rsid w:val="00A1572B"/>
    <w:rsid w:val="00A1582D"/>
    <w:rsid w:val="00A15836"/>
    <w:rsid w:val="00A1586A"/>
    <w:rsid w:val="00A15AB8"/>
    <w:rsid w:val="00A15BE4"/>
    <w:rsid w:val="00A15E0E"/>
    <w:rsid w:val="00A15F43"/>
    <w:rsid w:val="00A16105"/>
    <w:rsid w:val="00A161E3"/>
    <w:rsid w:val="00A16388"/>
    <w:rsid w:val="00A165D8"/>
    <w:rsid w:val="00A166E7"/>
    <w:rsid w:val="00A166F1"/>
    <w:rsid w:val="00A1679C"/>
    <w:rsid w:val="00A16852"/>
    <w:rsid w:val="00A16926"/>
    <w:rsid w:val="00A16A6F"/>
    <w:rsid w:val="00A16A85"/>
    <w:rsid w:val="00A16BA9"/>
    <w:rsid w:val="00A16CF7"/>
    <w:rsid w:val="00A16E03"/>
    <w:rsid w:val="00A16F72"/>
    <w:rsid w:val="00A17028"/>
    <w:rsid w:val="00A1732C"/>
    <w:rsid w:val="00A17331"/>
    <w:rsid w:val="00A1733F"/>
    <w:rsid w:val="00A1736E"/>
    <w:rsid w:val="00A17731"/>
    <w:rsid w:val="00A178BF"/>
    <w:rsid w:val="00A1794B"/>
    <w:rsid w:val="00A17983"/>
    <w:rsid w:val="00A17A5C"/>
    <w:rsid w:val="00A17A73"/>
    <w:rsid w:val="00A17AF4"/>
    <w:rsid w:val="00A17B41"/>
    <w:rsid w:val="00A17BE4"/>
    <w:rsid w:val="00A17C5F"/>
    <w:rsid w:val="00A17D63"/>
    <w:rsid w:val="00A17E23"/>
    <w:rsid w:val="00A17F8B"/>
    <w:rsid w:val="00A20092"/>
    <w:rsid w:val="00A200CD"/>
    <w:rsid w:val="00A2012F"/>
    <w:rsid w:val="00A20499"/>
    <w:rsid w:val="00A204AF"/>
    <w:rsid w:val="00A2050F"/>
    <w:rsid w:val="00A20574"/>
    <w:rsid w:val="00A20685"/>
    <w:rsid w:val="00A20740"/>
    <w:rsid w:val="00A207AA"/>
    <w:rsid w:val="00A20849"/>
    <w:rsid w:val="00A208C0"/>
    <w:rsid w:val="00A20AAC"/>
    <w:rsid w:val="00A20B75"/>
    <w:rsid w:val="00A20C00"/>
    <w:rsid w:val="00A20CE5"/>
    <w:rsid w:val="00A20CF2"/>
    <w:rsid w:val="00A20F11"/>
    <w:rsid w:val="00A20F17"/>
    <w:rsid w:val="00A20FDA"/>
    <w:rsid w:val="00A2103B"/>
    <w:rsid w:val="00A2112A"/>
    <w:rsid w:val="00A21175"/>
    <w:rsid w:val="00A211B7"/>
    <w:rsid w:val="00A2121C"/>
    <w:rsid w:val="00A21258"/>
    <w:rsid w:val="00A21301"/>
    <w:rsid w:val="00A21315"/>
    <w:rsid w:val="00A21374"/>
    <w:rsid w:val="00A214AF"/>
    <w:rsid w:val="00A2152C"/>
    <w:rsid w:val="00A2166D"/>
    <w:rsid w:val="00A2168B"/>
    <w:rsid w:val="00A21711"/>
    <w:rsid w:val="00A217D1"/>
    <w:rsid w:val="00A218E6"/>
    <w:rsid w:val="00A219D9"/>
    <w:rsid w:val="00A21AAD"/>
    <w:rsid w:val="00A21BFF"/>
    <w:rsid w:val="00A21C8A"/>
    <w:rsid w:val="00A21D9F"/>
    <w:rsid w:val="00A21F2D"/>
    <w:rsid w:val="00A21FD2"/>
    <w:rsid w:val="00A2220B"/>
    <w:rsid w:val="00A22217"/>
    <w:rsid w:val="00A22388"/>
    <w:rsid w:val="00A22400"/>
    <w:rsid w:val="00A22469"/>
    <w:rsid w:val="00A22476"/>
    <w:rsid w:val="00A226AA"/>
    <w:rsid w:val="00A22772"/>
    <w:rsid w:val="00A22B2B"/>
    <w:rsid w:val="00A22D2C"/>
    <w:rsid w:val="00A22D55"/>
    <w:rsid w:val="00A22E00"/>
    <w:rsid w:val="00A22E3C"/>
    <w:rsid w:val="00A22E7B"/>
    <w:rsid w:val="00A22F08"/>
    <w:rsid w:val="00A232FC"/>
    <w:rsid w:val="00A2333D"/>
    <w:rsid w:val="00A23350"/>
    <w:rsid w:val="00A234A0"/>
    <w:rsid w:val="00A237D4"/>
    <w:rsid w:val="00A23ACD"/>
    <w:rsid w:val="00A23C46"/>
    <w:rsid w:val="00A23C79"/>
    <w:rsid w:val="00A23E60"/>
    <w:rsid w:val="00A23FED"/>
    <w:rsid w:val="00A2408A"/>
    <w:rsid w:val="00A2408D"/>
    <w:rsid w:val="00A2416D"/>
    <w:rsid w:val="00A24197"/>
    <w:rsid w:val="00A244E1"/>
    <w:rsid w:val="00A24512"/>
    <w:rsid w:val="00A24547"/>
    <w:rsid w:val="00A246AB"/>
    <w:rsid w:val="00A24979"/>
    <w:rsid w:val="00A24B7E"/>
    <w:rsid w:val="00A24C92"/>
    <w:rsid w:val="00A24D1A"/>
    <w:rsid w:val="00A24E0A"/>
    <w:rsid w:val="00A24E37"/>
    <w:rsid w:val="00A24EF5"/>
    <w:rsid w:val="00A24FBA"/>
    <w:rsid w:val="00A25030"/>
    <w:rsid w:val="00A25107"/>
    <w:rsid w:val="00A25206"/>
    <w:rsid w:val="00A2523B"/>
    <w:rsid w:val="00A2525D"/>
    <w:rsid w:val="00A2526E"/>
    <w:rsid w:val="00A252F4"/>
    <w:rsid w:val="00A256AA"/>
    <w:rsid w:val="00A258EB"/>
    <w:rsid w:val="00A25A1B"/>
    <w:rsid w:val="00A25AB5"/>
    <w:rsid w:val="00A25C3D"/>
    <w:rsid w:val="00A25C9B"/>
    <w:rsid w:val="00A25D84"/>
    <w:rsid w:val="00A25E1B"/>
    <w:rsid w:val="00A25E70"/>
    <w:rsid w:val="00A25EF3"/>
    <w:rsid w:val="00A25F6E"/>
    <w:rsid w:val="00A2606D"/>
    <w:rsid w:val="00A26162"/>
    <w:rsid w:val="00A2617D"/>
    <w:rsid w:val="00A261F8"/>
    <w:rsid w:val="00A264BE"/>
    <w:rsid w:val="00A264E2"/>
    <w:rsid w:val="00A264F2"/>
    <w:rsid w:val="00A268B0"/>
    <w:rsid w:val="00A268B4"/>
    <w:rsid w:val="00A26905"/>
    <w:rsid w:val="00A26A60"/>
    <w:rsid w:val="00A26AB7"/>
    <w:rsid w:val="00A26C2F"/>
    <w:rsid w:val="00A26C96"/>
    <w:rsid w:val="00A26D19"/>
    <w:rsid w:val="00A26FD9"/>
    <w:rsid w:val="00A27000"/>
    <w:rsid w:val="00A270C5"/>
    <w:rsid w:val="00A2711B"/>
    <w:rsid w:val="00A271D5"/>
    <w:rsid w:val="00A27233"/>
    <w:rsid w:val="00A27235"/>
    <w:rsid w:val="00A27274"/>
    <w:rsid w:val="00A272FE"/>
    <w:rsid w:val="00A273A4"/>
    <w:rsid w:val="00A273E1"/>
    <w:rsid w:val="00A273EA"/>
    <w:rsid w:val="00A2745E"/>
    <w:rsid w:val="00A27833"/>
    <w:rsid w:val="00A279EA"/>
    <w:rsid w:val="00A27B25"/>
    <w:rsid w:val="00A27BA0"/>
    <w:rsid w:val="00A27BCA"/>
    <w:rsid w:val="00A27BEE"/>
    <w:rsid w:val="00A27C90"/>
    <w:rsid w:val="00A27D79"/>
    <w:rsid w:val="00A27E0F"/>
    <w:rsid w:val="00A27E71"/>
    <w:rsid w:val="00A27E79"/>
    <w:rsid w:val="00A27F1E"/>
    <w:rsid w:val="00A27FB0"/>
    <w:rsid w:val="00A27FF4"/>
    <w:rsid w:val="00A30042"/>
    <w:rsid w:val="00A3026F"/>
    <w:rsid w:val="00A30335"/>
    <w:rsid w:val="00A3043F"/>
    <w:rsid w:val="00A3089F"/>
    <w:rsid w:val="00A308D5"/>
    <w:rsid w:val="00A30955"/>
    <w:rsid w:val="00A309EC"/>
    <w:rsid w:val="00A30A57"/>
    <w:rsid w:val="00A30B34"/>
    <w:rsid w:val="00A30B40"/>
    <w:rsid w:val="00A30B4D"/>
    <w:rsid w:val="00A30B98"/>
    <w:rsid w:val="00A30BD0"/>
    <w:rsid w:val="00A30C5E"/>
    <w:rsid w:val="00A30C82"/>
    <w:rsid w:val="00A30CDC"/>
    <w:rsid w:val="00A30D89"/>
    <w:rsid w:val="00A30DB0"/>
    <w:rsid w:val="00A30E45"/>
    <w:rsid w:val="00A30ED8"/>
    <w:rsid w:val="00A30F1E"/>
    <w:rsid w:val="00A30F48"/>
    <w:rsid w:val="00A30F86"/>
    <w:rsid w:val="00A3104F"/>
    <w:rsid w:val="00A310F4"/>
    <w:rsid w:val="00A311C8"/>
    <w:rsid w:val="00A312E3"/>
    <w:rsid w:val="00A31327"/>
    <w:rsid w:val="00A316F2"/>
    <w:rsid w:val="00A318B2"/>
    <w:rsid w:val="00A31987"/>
    <w:rsid w:val="00A31A20"/>
    <w:rsid w:val="00A31A29"/>
    <w:rsid w:val="00A31A3C"/>
    <w:rsid w:val="00A31B8A"/>
    <w:rsid w:val="00A31BF3"/>
    <w:rsid w:val="00A31CE1"/>
    <w:rsid w:val="00A31D2B"/>
    <w:rsid w:val="00A31DDC"/>
    <w:rsid w:val="00A31E8D"/>
    <w:rsid w:val="00A31F08"/>
    <w:rsid w:val="00A31F0C"/>
    <w:rsid w:val="00A31FC1"/>
    <w:rsid w:val="00A31FFD"/>
    <w:rsid w:val="00A3209C"/>
    <w:rsid w:val="00A321BF"/>
    <w:rsid w:val="00A321EE"/>
    <w:rsid w:val="00A32341"/>
    <w:rsid w:val="00A32413"/>
    <w:rsid w:val="00A32563"/>
    <w:rsid w:val="00A3263B"/>
    <w:rsid w:val="00A32877"/>
    <w:rsid w:val="00A328BA"/>
    <w:rsid w:val="00A32985"/>
    <w:rsid w:val="00A32A8C"/>
    <w:rsid w:val="00A32AA2"/>
    <w:rsid w:val="00A32AF7"/>
    <w:rsid w:val="00A32CB2"/>
    <w:rsid w:val="00A32D67"/>
    <w:rsid w:val="00A330BA"/>
    <w:rsid w:val="00A330D0"/>
    <w:rsid w:val="00A33318"/>
    <w:rsid w:val="00A33640"/>
    <w:rsid w:val="00A336F6"/>
    <w:rsid w:val="00A337DB"/>
    <w:rsid w:val="00A33A2F"/>
    <w:rsid w:val="00A33CD2"/>
    <w:rsid w:val="00A33CE6"/>
    <w:rsid w:val="00A33F3F"/>
    <w:rsid w:val="00A33FA5"/>
    <w:rsid w:val="00A34000"/>
    <w:rsid w:val="00A34002"/>
    <w:rsid w:val="00A3407B"/>
    <w:rsid w:val="00A3414D"/>
    <w:rsid w:val="00A3425E"/>
    <w:rsid w:val="00A3433E"/>
    <w:rsid w:val="00A346C7"/>
    <w:rsid w:val="00A346FE"/>
    <w:rsid w:val="00A347DE"/>
    <w:rsid w:val="00A347F5"/>
    <w:rsid w:val="00A348FE"/>
    <w:rsid w:val="00A349CB"/>
    <w:rsid w:val="00A34A40"/>
    <w:rsid w:val="00A34C10"/>
    <w:rsid w:val="00A34CD8"/>
    <w:rsid w:val="00A34E3D"/>
    <w:rsid w:val="00A34ED6"/>
    <w:rsid w:val="00A34FFC"/>
    <w:rsid w:val="00A35060"/>
    <w:rsid w:val="00A351A6"/>
    <w:rsid w:val="00A351E1"/>
    <w:rsid w:val="00A35261"/>
    <w:rsid w:val="00A35434"/>
    <w:rsid w:val="00A354E2"/>
    <w:rsid w:val="00A35655"/>
    <w:rsid w:val="00A3569C"/>
    <w:rsid w:val="00A356A1"/>
    <w:rsid w:val="00A35897"/>
    <w:rsid w:val="00A358C8"/>
    <w:rsid w:val="00A35917"/>
    <w:rsid w:val="00A359F2"/>
    <w:rsid w:val="00A35AE5"/>
    <w:rsid w:val="00A35C58"/>
    <w:rsid w:val="00A35DF3"/>
    <w:rsid w:val="00A35E87"/>
    <w:rsid w:val="00A35F5B"/>
    <w:rsid w:val="00A36033"/>
    <w:rsid w:val="00A361DC"/>
    <w:rsid w:val="00A3620A"/>
    <w:rsid w:val="00A36281"/>
    <w:rsid w:val="00A362E6"/>
    <w:rsid w:val="00A3637C"/>
    <w:rsid w:val="00A3648D"/>
    <w:rsid w:val="00A365EB"/>
    <w:rsid w:val="00A3666F"/>
    <w:rsid w:val="00A3667E"/>
    <w:rsid w:val="00A36772"/>
    <w:rsid w:val="00A367C2"/>
    <w:rsid w:val="00A367E8"/>
    <w:rsid w:val="00A36884"/>
    <w:rsid w:val="00A369F5"/>
    <w:rsid w:val="00A36AAC"/>
    <w:rsid w:val="00A36CA7"/>
    <w:rsid w:val="00A36CFF"/>
    <w:rsid w:val="00A36DAC"/>
    <w:rsid w:val="00A37049"/>
    <w:rsid w:val="00A370D7"/>
    <w:rsid w:val="00A373B1"/>
    <w:rsid w:val="00A3748D"/>
    <w:rsid w:val="00A374A3"/>
    <w:rsid w:val="00A3763D"/>
    <w:rsid w:val="00A37640"/>
    <w:rsid w:val="00A3773E"/>
    <w:rsid w:val="00A3786B"/>
    <w:rsid w:val="00A378FD"/>
    <w:rsid w:val="00A37914"/>
    <w:rsid w:val="00A37A8C"/>
    <w:rsid w:val="00A37B23"/>
    <w:rsid w:val="00A37B9E"/>
    <w:rsid w:val="00A37D54"/>
    <w:rsid w:val="00A40121"/>
    <w:rsid w:val="00A401B1"/>
    <w:rsid w:val="00A402CA"/>
    <w:rsid w:val="00A40310"/>
    <w:rsid w:val="00A40355"/>
    <w:rsid w:val="00A4044A"/>
    <w:rsid w:val="00A4058A"/>
    <w:rsid w:val="00A4070A"/>
    <w:rsid w:val="00A408AD"/>
    <w:rsid w:val="00A408AF"/>
    <w:rsid w:val="00A40AB0"/>
    <w:rsid w:val="00A40B92"/>
    <w:rsid w:val="00A40CAE"/>
    <w:rsid w:val="00A40CD1"/>
    <w:rsid w:val="00A40D33"/>
    <w:rsid w:val="00A40DAD"/>
    <w:rsid w:val="00A40E3B"/>
    <w:rsid w:val="00A40E7F"/>
    <w:rsid w:val="00A40E83"/>
    <w:rsid w:val="00A40FCD"/>
    <w:rsid w:val="00A410C2"/>
    <w:rsid w:val="00A41194"/>
    <w:rsid w:val="00A411A8"/>
    <w:rsid w:val="00A41297"/>
    <w:rsid w:val="00A4131F"/>
    <w:rsid w:val="00A41453"/>
    <w:rsid w:val="00A41707"/>
    <w:rsid w:val="00A417A9"/>
    <w:rsid w:val="00A417FC"/>
    <w:rsid w:val="00A41817"/>
    <w:rsid w:val="00A41838"/>
    <w:rsid w:val="00A4189D"/>
    <w:rsid w:val="00A41992"/>
    <w:rsid w:val="00A41B9A"/>
    <w:rsid w:val="00A41C94"/>
    <w:rsid w:val="00A41D6D"/>
    <w:rsid w:val="00A41E3D"/>
    <w:rsid w:val="00A41EB2"/>
    <w:rsid w:val="00A41FF0"/>
    <w:rsid w:val="00A42071"/>
    <w:rsid w:val="00A4239C"/>
    <w:rsid w:val="00A423D3"/>
    <w:rsid w:val="00A423E5"/>
    <w:rsid w:val="00A423F7"/>
    <w:rsid w:val="00A424B4"/>
    <w:rsid w:val="00A42566"/>
    <w:rsid w:val="00A425A8"/>
    <w:rsid w:val="00A425C2"/>
    <w:rsid w:val="00A42674"/>
    <w:rsid w:val="00A4278F"/>
    <w:rsid w:val="00A427D0"/>
    <w:rsid w:val="00A42865"/>
    <w:rsid w:val="00A42916"/>
    <w:rsid w:val="00A4292A"/>
    <w:rsid w:val="00A42993"/>
    <w:rsid w:val="00A42A12"/>
    <w:rsid w:val="00A42D33"/>
    <w:rsid w:val="00A42D34"/>
    <w:rsid w:val="00A42D56"/>
    <w:rsid w:val="00A42D9B"/>
    <w:rsid w:val="00A42DB7"/>
    <w:rsid w:val="00A42DD2"/>
    <w:rsid w:val="00A43131"/>
    <w:rsid w:val="00A431C4"/>
    <w:rsid w:val="00A43222"/>
    <w:rsid w:val="00A4323C"/>
    <w:rsid w:val="00A43249"/>
    <w:rsid w:val="00A43370"/>
    <w:rsid w:val="00A43372"/>
    <w:rsid w:val="00A43479"/>
    <w:rsid w:val="00A435C8"/>
    <w:rsid w:val="00A4361D"/>
    <w:rsid w:val="00A4363A"/>
    <w:rsid w:val="00A438C6"/>
    <w:rsid w:val="00A43971"/>
    <w:rsid w:val="00A43BE4"/>
    <w:rsid w:val="00A43BE7"/>
    <w:rsid w:val="00A43CE9"/>
    <w:rsid w:val="00A43DAC"/>
    <w:rsid w:val="00A44038"/>
    <w:rsid w:val="00A44079"/>
    <w:rsid w:val="00A442C5"/>
    <w:rsid w:val="00A4437F"/>
    <w:rsid w:val="00A44441"/>
    <w:rsid w:val="00A4444F"/>
    <w:rsid w:val="00A4451B"/>
    <w:rsid w:val="00A445C6"/>
    <w:rsid w:val="00A44626"/>
    <w:rsid w:val="00A44656"/>
    <w:rsid w:val="00A44688"/>
    <w:rsid w:val="00A44730"/>
    <w:rsid w:val="00A44828"/>
    <w:rsid w:val="00A448B4"/>
    <w:rsid w:val="00A44918"/>
    <w:rsid w:val="00A449C7"/>
    <w:rsid w:val="00A44A8D"/>
    <w:rsid w:val="00A44AC5"/>
    <w:rsid w:val="00A44B4D"/>
    <w:rsid w:val="00A44C5E"/>
    <w:rsid w:val="00A44F8E"/>
    <w:rsid w:val="00A450A2"/>
    <w:rsid w:val="00A450BE"/>
    <w:rsid w:val="00A45214"/>
    <w:rsid w:val="00A4521E"/>
    <w:rsid w:val="00A45506"/>
    <w:rsid w:val="00A45550"/>
    <w:rsid w:val="00A4555D"/>
    <w:rsid w:val="00A45563"/>
    <w:rsid w:val="00A45584"/>
    <w:rsid w:val="00A455DE"/>
    <w:rsid w:val="00A45668"/>
    <w:rsid w:val="00A45AF7"/>
    <w:rsid w:val="00A45D28"/>
    <w:rsid w:val="00A45EEA"/>
    <w:rsid w:val="00A45F40"/>
    <w:rsid w:val="00A46010"/>
    <w:rsid w:val="00A4602E"/>
    <w:rsid w:val="00A460B0"/>
    <w:rsid w:val="00A460B3"/>
    <w:rsid w:val="00A46100"/>
    <w:rsid w:val="00A46447"/>
    <w:rsid w:val="00A464C5"/>
    <w:rsid w:val="00A465E0"/>
    <w:rsid w:val="00A46686"/>
    <w:rsid w:val="00A46775"/>
    <w:rsid w:val="00A468B1"/>
    <w:rsid w:val="00A46BDE"/>
    <w:rsid w:val="00A46C03"/>
    <w:rsid w:val="00A46E24"/>
    <w:rsid w:val="00A46EB6"/>
    <w:rsid w:val="00A46ED3"/>
    <w:rsid w:val="00A46F1B"/>
    <w:rsid w:val="00A46F64"/>
    <w:rsid w:val="00A47190"/>
    <w:rsid w:val="00A4724D"/>
    <w:rsid w:val="00A473A8"/>
    <w:rsid w:val="00A47428"/>
    <w:rsid w:val="00A474D3"/>
    <w:rsid w:val="00A47518"/>
    <w:rsid w:val="00A47542"/>
    <w:rsid w:val="00A47621"/>
    <w:rsid w:val="00A476E5"/>
    <w:rsid w:val="00A4780C"/>
    <w:rsid w:val="00A47878"/>
    <w:rsid w:val="00A478D3"/>
    <w:rsid w:val="00A47A9A"/>
    <w:rsid w:val="00A47AA8"/>
    <w:rsid w:val="00A47B7E"/>
    <w:rsid w:val="00A47D03"/>
    <w:rsid w:val="00A47DA6"/>
    <w:rsid w:val="00A47DB2"/>
    <w:rsid w:val="00A47E7D"/>
    <w:rsid w:val="00A50002"/>
    <w:rsid w:val="00A504C4"/>
    <w:rsid w:val="00A50631"/>
    <w:rsid w:val="00A50705"/>
    <w:rsid w:val="00A50771"/>
    <w:rsid w:val="00A5079C"/>
    <w:rsid w:val="00A50807"/>
    <w:rsid w:val="00A5088F"/>
    <w:rsid w:val="00A508CD"/>
    <w:rsid w:val="00A50935"/>
    <w:rsid w:val="00A50980"/>
    <w:rsid w:val="00A50CDE"/>
    <w:rsid w:val="00A50CEE"/>
    <w:rsid w:val="00A50D75"/>
    <w:rsid w:val="00A50E5F"/>
    <w:rsid w:val="00A50E9A"/>
    <w:rsid w:val="00A50EC0"/>
    <w:rsid w:val="00A50FB9"/>
    <w:rsid w:val="00A51376"/>
    <w:rsid w:val="00A5152B"/>
    <w:rsid w:val="00A5154B"/>
    <w:rsid w:val="00A515CA"/>
    <w:rsid w:val="00A51720"/>
    <w:rsid w:val="00A51744"/>
    <w:rsid w:val="00A518DB"/>
    <w:rsid w:val="00A5199B"/>
    <w:rsid w:val="00A519AF"/>
    <w:rsid w:val="00A519B5"/>
    <w:rsid w:val="00A519DC"/>
    <w:rsid w:val="00A51DEB"/>
    <w:rsid w:val="00A51FAB"/>
    <w:rsid w:val="00A5206F"/>
    <w:rsid w:val="00A52085"/>
    <w:rsid w:val="00A5208E"/>
    <w:rsid w:val="00A520A8"/>
    <w:rsid w:val="00A5215B"/>
    <w:rsid w:val="00A52248"/>
    <w:rsid w:val="00A52347"/>
    <w:rsid w:val="00A52459"/>
    <w:rsid w:val="00A524AE"/>
    <w:rsid w:val="00A524B5"/>
    <w:rsid w:val="00A52626"/>
    <w:rsid w:val="00A5294E"/>
    <w:rsid w:val="00A52A25"/>
    <w:rsid w:val="00A52A74"/>
    <w:rsid w:val="00A52AA5"/>
    <w:rsid w:val="00A52AE1"/>
    <w:rsid w:val="00A52BDF"/>
    <w:rsid w:val="00A52BE6"/>
    <w:rsid w:val="00A52C42"/>
    <w:rsid w:val="00A52C67"/>
    <w:rsid w:val="00A52D3A"/>
    <w:rsid w:val="00A52D55"/>
    <w:rsid w:val="00A52DB6"/>
    <w:rsid w:val="00A52E38"/>
    <w:rsid w:val="00A52E9D"/>
    <w:rsid w:val="00A52E9F"/>
    <w:rsid w:val="00A52F37"/>
    <w:rsid w:val="00A52FAA"/>
    <w:rsid w:val="00A52FC4"/>
    <w:rsid w:val="00A53053"/>
    <w:rsid w:val="00A531ED"/>
    <w:rsid w:val="00A534D8"/>
    <w:rsid w:val="00A535FB"/>
    <w:rsid w:val="00A53641"/>
    <w:rsid w:val="00A53655"/>
    <w:rsid w:val="00A5365D"/>
    <w:rsid w:val="00A536D3"/>
    <w:rsid w:val="00A53714"/>
    <w:rsid w:val="00A53800"/>
    <w:rsid w:val="00A53848"/>
    <w:rsid w:val="00A5389A"/>
    <w:rsid w:val="00A538CB"/>
    <w:rsid w:val="00A539BC"/>
    <w:rsid w:val="00A53C01"/>
    <w:rsid w:val="00A53C32"/>
    <w:rsid w:val="00A53C4B"/>
    <w:rsid w:val="00A53C9A"/>
    <w:rsid w:val="00A53D3A"/>
    <w:rsid w:val="00A53F2D"/>
    <w:rsid w:val="00A54155"/>
    <w:rsid w:val="00A5432D"/>
    <w:rsid w:val="00A54632"/>
    <w:rsid w:val="00A546B7"/>
    <w:rsid w:val="00A54847"/>
    <w:rsid w:val="00A54A09"/>
    <w:rsid w:val="00A54A47"/>
    <w:rsid w:val="00A54AD9"/>
    <w:rsid w:val="00A54B36"/>
    <w:rsid w:val="00A54B6D"/>
    <w:rsid w:val="00A54B8C"/>
    <w:rsid w:val="00A54D87"/>
    <w:rsid w:val="00A54EE2"/>
    <w:rsid w:val="00A54FDF"/>
    <w:rsid w:val="00A5502F"/>
    <w:rsid w:val="00A55175"/>
    <w:rsid w:val="00A551F8"/>
    <w:rsid w:val="00A55228"/>
    <w:rsid w:val="00A55719"/>
    <w:rsid w:val="00A558D0"/>
    <w:rsid w:val="00A5593C"/>
    <w:rsid w:val="00A5598B"/>
    <w:rsid w:val="00A5598C"/>
    <w:rsid w:val="00A559E0"/>
    <w:rsid w:val="00A55A1E"/>
    <w:rsid w:val="00A55A4A"/>
    <w:rsid w:val="00A55AFF"/>
    <w:rsid w:val="00A55BCB"/>
    <w:rsid w:val="00A55CC3"/>
    <w:rsid w:val="00A55D2B"/>
    <w:rsid w:val="00A55F65"/>
    <w:rsid w:val="00A561B6"/>
    <w:rsid w:val="00A562E3"/>
    <w:rsid w:val="00A56457"/>
    <w:rsid w:val="00A564BD"/>
    <w:rsid w:val="00A564DD"/>
    <w:rsid w:val="00A56537"/>
    <w:rsid w:val="00A5666F"/>
    <w:rsid w:val="00A567C5"/>
    <w:rsid w:val="00A567D7"/>
    <w:rsid w:val="00A56816"/>
    <w:rsid w:val="00A56865"/>
    <w:rsid w:val="00A568C2"/>
    <w:rsid w:val="00A568E8"/>
    <w:rsid w:val="00A568F3"/>
    <w:rsid w:val="00A56A75"/>
    <w:rsid w:val="00A56AA9"/>
    <w:rsid w:val="00A56AB3"/>
    <w:rsid w:val="00A56C36"/>
    <w:rsid w:val="00A56C7D"/>
    <w:rsid w:val="00A56EF3"/>
    <w:rsid w:val="00A56F34"/>
    <w:rsid w:val="00A56FBD"/>
    <w:rsid w:val="00A56FC4"/>
    <w:rsid w:val="00A5709C"/>
    <w:rsid w:val="00A570B6"/>
    <w:rsid w:val="00A571A4"/>
    <w:rsid w:val="00A5722D"/>
    <w:rsid w:val="00A5734A"/>
    <w:rsid w:val="00A5753B"/>
    <w:rsid w:val="00A57550"/>
    <w:rsid w:val="00A575CF"/>
    <w:rsid w:val="00A575EC"/>
    <w:rsid w:val="00A575FC"/>
    <w:rsid w:val="00A57602"/>
    <w:rsid w:val="00A576ED"/>
    <w:rsid w:val="00A57700"/>
    <w:rsid w:val="00A5775C"/>
    <w:rsid w:val="00A578B4"/>
    <w:rsid w:val="00A5790E"/>
    <w:rsid w:val="00A57971"/>
    <w:rsid w:val="00A5797C"/>
    <w:rsid w:val="00A57988"/>
    <w:rsid w:val="00A57A17"/>
    <w:rsid w:val="00A57A71"/>
    <w:rsid w:val="00A57BDE"/>
    <w:rsid w:val="00A57C71"/>
    <w:rsid w:val="00A57E8F"/>
    <w:rsid w:val="00A57ED4"/>
    <w:rsid w:val="00A57EFB"/>
    <w:rsid w:val="00A57F4B"/>
    <w:rsid w:val="00A57F7B"/>
    <w:rsid w:val="00A60030"/>
    <w:rsid w:val="00A601BA"/>
    <w:rsid w:val="00A601F5"/>
    <w:rsid w:val="00A602DA"/>
    <w:rsid w:val="00A60300"/>
    <w:rsid w:val="00A6030D"/>
    <w:rsid w:val="00A6035D"/>
    <w:rsid w:val="00A603F4"/>
    <w:rsid w:val="00A60521"/>
    <w:rsid w:val="00A6058F"/>
    <w:rsid w:val="00A60640"/>
    <w:rsid w:val="00A607E4"/>
    <w:rsid w:val="00A6086D"/>
    <w:rsid w:val="00A60A51"/>
    <w:rsid w:val="00A60C55"/>
    <w:rsid w:val="00A60E83"/>
    <w:rsid w:val="00A60F45"/>
    <w:rsid w:val="00A60F65"/>
    <w:rsid w:val="00A61086"/>
    <w:rsid w:val="00A610BA"/>
    <w:rsid w:val="00A610E3"/>
    <w:rsid w:val="00A61234"/>
    <w:rsid w:val="00A612B6"/>
    <w:rsid w:val="00A614F6"/>
    <w:rsid w:val="00A615BF"/>
    <w:rsid w:val="00A61618"/>
    <w:rsid w:val="00A61826"/>
    <w:rsid w:val="00A61910"/>
    <w:rsid w:val="00A61C6A"/>
    <w:rsid w:val="00A61DCE"/>
    <w:rsid w:val="00A61DEC"/>
    <w:rsid w:val="00A61EC2"/>
    <w:rsid w:val="00A61F8F"/>
    <w:rsid w:val="00A622BE"/>
    <w:rsid w:val="00A623BC"/>
    <w:rsid w:val="00A6259F"/>
    <w:rsid w:val="00A626A5"/>
    <w:rsid w:val="00A626F8"/>
    <w:rsid w:val="00A62783"/>
    <w:rsid w:val="00A62957"/>
    <w:rsid w:val="00A62A35"/>
    <w:rsid w:val="00A62A37"/>
    <w:rsid w:val="00A62ECA"/>
    <w:rsid w:val="00A62EFF"/>
    <w:rsid w:val="00A62F8F"/>
    <w:rsid w:val="00A62FE3"/>
    <w:rsid w:val="00A63077"/>
    <w:rsid w:val="00A630B9"/>
    <w:rsid w:val="00A63115"/>
    <w:rsid w:val="00A6327B"/>
    <w:rsid w:val="00A633A0"/>
    <w:rsid w:val="00A633EC"/>
    <w:rsid w:val="00A63482"/>
    <w:rsid w:val="00A634A9"/>
    <w:rsid w:val="00A634B2"/>
    <w:rsid w:val="00A6350E"/>
    <w:rsid w:val="00A63596"/>
    <w:rsid w:val="00A635AA"/>
    <w:rsid w:val="00A635CF"/>
    <w:rsid w:val="00A63740"/>
    <w:rsid w:val="00A638CC"/>
    <w:rsid w:val="00A6391E"/>
    <w:rsid w:val="00A6393C"/>
    <w:rsid w:val="00A63952"/>
    <w:rsid w:val="00A63CE7"/>
    <w:rsid w:val="00A63D7C"/>
    <w:rsid w:val="00A640B3"/>
    <w:rsid w:val="00A64141"/>
    <w:rsid w:val="00A641D7"/>
    <w:rsid w:val="00A641E0"/>
    <w:rsid w:val="00A6424E"/>
    <w:rsid w:val="00A64362"/>
    <w:rsid w:val="00A645B8"/>
    <w:rsid w:val="00A6464A"/>
    <w:rsid w:val="00A6473F"/>
    <w:rsid w:val="00A6480C"/>
    <w:rsid w:val="00A64831"/>
    <w:rsid w:val="00A6483A"/>
    <w:rsid w:val="00A64A15"/>
    <w:rsid w:val="00A64B9F"/>
    <w:rsid w:val="00A64C14"/>
    <w:rsid w:val="00A64C18"/>
    <w:rsid w:val="00A64FB5"/>
    <w:rsid w:val="00A64FD4"/>
    <w:rsid w:val="00A65046"/>
    <w:rsid w:val="00A65099"/>
    <w:rsid w:val="00A65191"/>
    <w:rsid w:val="00A653CC"/>
    <w:rsid w:val="00A653EE"/>
    <w:rsid w:val="00A65436"/>
    <w:rsid w:val="00A654AC"/>
    <w:rsid w:val="00A6563E"/>
    <w:rsid w:val="00A6567C"/>
    <w:rsid w:val="00A656CF"/>
    <w:rsid w:val="00A656DE"/>
    <w:rsid w:val="00A6584C"/>
    <w:rsid w:val="00A65869"/>
    <w:rsid w:val="00A65884"/>
    <w:rsid w:val="00A6588A"/>
    <w:rsid w:val="00A658B1"/>
    <w:rsid w:val="00A658B2"/>
    <w:rsid w:val="00A6593C"/>
    <w:rsid w:val="00A65AB3"/>
    <w:rsid w:val="00A65B9A"/>
    <w:rsid w:val="00A65CC0"/>
    <w:rsid w:val="00A65D15"/>
    <w:rsid w:val="00A65D7B"/>
    <w:rsid w:val="00A65EC3"/>
    <w:rsid w:val="00A6603C"/>
    <w:rsid w:val="00A66081"/>
    <w:rsid w:val="00A66237"/>
    <w:rsid w:val="00A6624B"/>
    <w:rsid w:val="00A662D8"/>
    <w:rsid w:val="00A66386"/>
    <w:rsid w:val="00A663A4"/>
    <w:rsid w:val="00A663C0"/>
    <w:rsid w:val="00A6647B"/>
    <w:rsid w:val="00A664CA"/>
    <w:rsid w:val="00A66636"/>
    <w:rsid w:val="00A6667D"/>
    <w:rsid w:val="00A66804"/>
    <w:rsid w:val="00A66898"/>
    <w:rsid w:val="00A66953"/>
    <w:rsid w:val="00A6696B"/>
    <w:rsid w:val="00A66A56"/>
    <w:rsid w:val="00A66BD9"/>
    <w:rsid w:val="00A66C40"/>
    <w:rsid w:val="00A66CAA"/>
    <w:rsid w:val="00A67090"/>
    <w:rsid w:val="00A671A7"/>
    <w:rsid w:val="00A671BA"/>
    <w:rsid w:val="00A672B6"/>
    <w:rsid w:val="00A673E8"/>
    <w:rsid w:val="00A67434"/>
    <w:rsid w:val="00A67521"/>
    <w:rsid w:val="00A6758D"/>
    <w:rsid w:val="00A6763B"/>
    <w:rsid w:val="00A67746"/>
    <w:rsid w:val="00A678E2"/>
    <w:rsid w:val="00A679A7"/>
    <w:rsid w:val="00A67A7A"/>
    <w:rsid w:val="00A67AB6"/>
    <w:rsid w:val="00A67C72"/>
    <w:rsid w:val="00A67CE0"/>
    <w:rsid w:val="00A67D05"/>
    <w:rsid w:val="00A67DF9"/>
    <w:rsid w:val="00A67E81"/>
    <w:rsid w:val="00A67F03"/>
    <w:rsid w:val="00A67F24"/>
    <w:rsid w:val="00A70036"/>
    <w:rsid w:val="00A7013F"/>
    <w:rsid w:val="00A70219"/>
    <w:rsid w:val="00A702C3"/>
    <w:rsid w:val="00A7035A"/>
    <w:rsid w:val="00A70390"/>
    <w:rsid w:val="00A703FE"/>
    <w:rsid w:val="00A7040A"/>
    <w:rsid w:val="00A706E9"/>
    <w:rsid w:val="00A707CE"/>
    <w:rsid w:val="00A707F5"/>
    <w:rsid w:val="00A708AA"/>
    <w:rsid w:val="00A708AE"/>
    <w:rsid w:val="00A708C7"/>
    <w:rsid w:val="00A70B54"/>
    <w:rsid w:val="00A70BBE"/>
    <w:rsid w:val="00A70C3C"/>
    <w:rsid w:val="00A70E25"/>
    <w:rsid w:val="00A70E38"/>
    <w:rsid w:val="00A70E81"/>
    <w:rsid w:val="00A70F49"/>
    <w:rsid w:val="00A70FA7"/>
    <w:rsid w:val="00A7106A"/>
    <w:rsid w:val="00A71134"/>
    <w:rsid w:val="00A7120E"/>
    <w:rsid w:val="00A7130A"/>
    <w:rsid w:val="00A7132A"/>
    <w:rsid w:val="00A71345"/>
    <w:rsid w:val="00A7140F"/>
    <w:rsid w:val="00A71636"/>
    <w:rsid w:val="00A718D4"/>
    <w:rsid w:val="00A71B4B"/>
    <w:rsid w:val="00A71C41"/>
    <w:rsid w:val="00A71CEA"/>
    <w:rsid w:val="00A71D29"/>
    <w:rsid w:val="00A71D4A"/>
    <w:rsid w:val="00A71DBC"/>
    <w:rsid w:val="00A71E3D"/>
    <w:rsid w:val="00A71EA9"/>
    <w:rsid w:val="00A71F88"/>
    <w:rsid w:val="00A72064"/>
    <w:rsid w:val="00A72147"/>
    <w:rsid w:val="00A721CE"/>
    <w:rsid w:val="00A72261"/>
    <w:rsid w:val="00A72338"/>
    <w:rsid w:val="00A723C4"/>
    <w:rsid w:val="00A72546"/>
    <w:rsid w:val="00A725A4"/>
    <w:rsid w:val="00A725FB"/>
    <w:rsid w:val="00A7267F"/>
    <w:rsid w:val="00A726AE"/>
    <w:rsid w:val="00A72779"/>
    <w:rsid w:val="00A72A97"/>
    <w:rsid w:val="00A72B40"/>
    <w:rsid w:val="00A72BBA"/>
    <w:rsid w:val="00A72CA7"/>
    <w:rsid w:val="00A72CEF"/>
    <w:rsid w:val="00A72DB8"/>
    <w:rsid w:val="00A72E68"/>
    <w:rsid w:val="00A72E7D"/>
    <w:rsid w:val="00A72F76"/>
    <w:rsid w:val="00A72F7B"/>
    <w:rsid w:val="00A72FBB"/>
    <w:rsid w:val="00A73056"/>
    <w:rsid w:val="00A731EC"/>
    <w:rsid w:val="00A7335E"/>
    <w:rsid w:val="00A733A7"/>
    <w:rsid w:val="00A7341E"/>
    <w:rsid w:val="00A734A4"/>
    <w:rsid w:val="00A736C6"/>
    <w:rsid w:val="00A736D3"/>
    <w:rsid w:val="00A73777"/>
    <w:rsid w:val="00A737D6"/>
    <w:rsid w:val="00A73843"/>
    <w:rsid w:val="00A73986"/>
    <w:rsid w:val="00A7398F"/>
    <w:rsid w:val="00A73A30"/>
    <w:rsid w:val="00A73B7D"/>
    <w:rsid w:val="00A73C8B"/>
    <w:rsid w:val="00A73DF5"/>
    <w:rsid w:val="00A73EE3"/>
    <w:rsid w:val="00A73F08"/>
    <w:rsid w:val="00A73F25"/>
    <w:rsid w:val="00A73FE4"/>
    <w:rsid w:val="00A745BE"/>
    <w:rsid w:val="00A746C5"/>
    <w:rsid w:val="00A746D4"/>
    <w:rsid w:val="00A7474F"/>
    <w:rsid w:val="00A7490F"/>
    <w:rsid w:val="00A749D5"/>
    <w:rsid w:val="00A74AFA"/>
    <w:rsid w:val="00A74C00"/>
    <w:rsid w:val="00A74CA3"/>
    <w:rsid w:val="00A74E18"/>
    <w:rsid w:val="00A74EA8"/>
    <w:rsid w:val="00A74EC2"/>
    <w:rsid w:val="00A74F7F"/>
    <w:rsid w:val="00A750C6"/>
    <w:rsid w:val="00A7522F"/>
    <w:rsid w:val="00A75241"/>
    <w:rsid w:val="00A75352"/>
    <w:rsid w:val="00A75393"/>
    <w:rsid w:val="00A7545F"/>
    <w:rsid w:val="00A75480"/>
    <w:rsid w:val="00A754B4"/>
    <w:rsid w:val="00A75646"/>
    <w:rsid w:val="00A75650"/>
    <w:rsid w:val="00A75661"/>
    <w:rsid w:val="00A757C6"/>
    <w:rsid w:val="00A7586E"/>
    <w:rsid w:val="00A75948"/>
    <w:rsid w:val="00A759E1"/>
    <w:rsid w:val="00A759EE"/>
    <w:rsid w:val="00A75AEA"/>
    <w:rsid w:val="00A75C05"/>
    <w:rsid w:val="00A75E7D"/>
    <w:rsid w:val="00A760D7"/>
    <w:rsid w:val="00A76205"/>
    <w:rsid w:val="00A7627E"/>
    <w:rsid w:val="00A762AA"/>
    <w:rsid w:val="00A7637D"/>
    <w:rsid w:val="00A765BF"/>
    <w:rsid w:val="00A766CA"/>
    <w:rsid w:val="00A766EC"/>
    <w:rsid w:val="00A767C1"/>
    <w:rsid w:val="00A769C0"/>
    <w:rsid w:val="00A76B3D"/>
    <w:rsid w:val="00A76C87"/>
    <w:rsid w:val="00A76D59"/>
    <w:rsid w:val="00A76F51"/>
    <w:rsid w:val="00A76FDF"/>
    <w:rsid w:val="00A77001"/>
    <w:rsid w:val="00A771B2"/>
    <w:rsid w:val="00A7728C"/>
    <w:rsid w:val="00A77439"/>
    <w:rsid w:val="00A774C5"/>
    <w:rsid w:val="00A77684"/>
    <w:rsid w:val="00A7768C"/>
    <w:rsid w:val="00A77737"/>
    <w:rsid w:val="00A77758"/>
    <w:rsid w:val="00A778AE"/>
    <w:rsid w:val="00A77A7A"/>
    <w:rsid w:val="00A77A96"/>
    <w:rsid w:val="00A77B68"/>
    <w:rsid w:val="00A77B95"/>
    <w:rsid w:val="00A77C45"/>
    <w:rsid w:val="00A77C8D"/>
    <w:rsid w:val="00A77C94"/>
    <w:rsid w:val="00A77F20"/>
    <w:rsid w:val="00A8006F"/>
    <w:rsid w:val="00A80182"/>
    <w:rsid w:val="00A8046A"/>
    <w:rsid w:val="00A80471"/>
    <w:rsid w:val="00A8047D"/>
    <w:rsid w:val="00A804E8"/>
    <w:rsid w:val="00A8070C"/>
    <w:rsid w:val="00A8077F"/>
    <w:rsid w:val="00A808A9"/>
    <w:rsid w:val="00A809D4"/>
    <w:rsid w:val="00A80A38"/>
    <w:rsid w:val="00A80ADE"/>
    <w:rsid w:val="00A80C0A"/>
    <w:rsid w:val="00A80C8F"/>
    <w:rsid w:val="00A80D23"/>
    <w:rsid w:val="00A80E00"/>
    <w:rsid w:val="00A80E6D"/>
    <w:rsid w:val="00A80E93"/>
    <w:rsid w:val="00A8102C"/>
    <w:rsid w:val="00A810A5"/>
    <w:rsid w:val="00A810EC"/>
    <w:rsid w:val="00A81144"/>
    <w:rsid w:val="00A81159"/>
    <w:rsid w:val="00A8115D"/>
    <w:rsid w:val="00A81166"/>
    <w:rsid w:val="00A81188"/>
    <w:rsid w:val="00A8169E"/>
    <w:rsid w:val="00A816EA"/>
    <w:rsid w:val="00A81728"/>
    <w:rsid w:val="00A817DD"/>
    <w:rsid w:val="00A81817"/>
    <w:rsid w:val="00A81A66"/>
    <w:rsid w:val="00A81A72"/>
    <w:rsid w:val="00A81B18"/>
    <w:rsid w:val="00A81BF1"/>
    <w:rsid w:val="00A81C51"/>
    <w:rsid w:val="00A81CAF"/>
    <w:rsid w:val="00A81CCD"/>
    <w:rsid w:val="00A81CD1"/>
    <w:rsid w:val="00A81E21"/>
    <w:rsid w:val="00A81EFD"/>
    <w:rsid w:val="00A81F2E"/>
    <w:rsid w:val="00A82032"/>
    <w:rsid w:val="00A820B6"/>
    <w:rsid w:val="00A8214B"/>
    <w:rsid w:val="00A8215F"/>
    <w:rsid w:val="00A82237"/>
    <w:rsid w:val="00A82559"/>
    <w:rsid w:val="00A82601"/>
    <w:rsid w:val="00A8272D"/>
    <w:rsid w:val="00A828BB"/>
    <w:rsid w:val="00A829A2"/>
    <w:rsid w:val="00A82ABD"/>
    <w:rsid w:val="00A82BF7"/>
    <w:rsid w:val="00A82DCF"/>
    <w:rsid w:val="00A82EAB"/>
    <w:rsid w:val="00A8310B"/>
    <w:rsid w:val="00A83128"/>
    <w:rsid w:val="00A831AD"/>
    <w:rsid w:val="00A832B8"/>
    <w:rsid w:val="00A8349F"/>
    <w:rsid w:val="00A835B4"/>
    <w:rsid w:val="00A83661"/>
    <w:rsid w:val="00A83695"/>
    <w:rsid w:val="00A83895"/>
    <w:rsid w:val="00A8395D"/>
    <w:rsid w:val="00A83A3D"/>
    <w:rsid w:val="00A83ABC"/>
    <w:rsid w:val="00A83B0B"/>
    <w:rsid w:val="00A83BC2"/>
    <w:rsid w:val="00A83CEB"/>
    <w:rsid w:val="00A83D14"/>
    <w:rsid w:val="00A83E91"/>
    <w:rsid w:val="00A83FCB"/>
    <w:rsid w:val="00A840B6"/>
    <w:rsid w:val="00A841E4"/>
    <w:rsid w:val="00A84228"/>
    <w:rsid w:val="00A8422E"/>
    <w:rsid w:val="00A842AE"/>
    <w:rsid w:val="00A842EF"/>
    <w:rsid w:val="00A842FE"/>
    <w:rsid w:val="00A84441"/>
    <w:rsid w:val="00A8455B"/>
    <w:rsid w:val="00A84570"/>
    <w:rsid w:val="00A8457A"/>
    <w:rsid w:val="00A845B4"/>
    <w:rsid w:val="00A846B6"/>
    <w:rsid w:val="00A846E7"/>
    <w:rsid w:val="00A8474B"/>
    <w:rsid w:val="00A84788"/>
    <w:rsid w:val="00A8482D"/>
    <w:rsid w:val="00A848AE"/>
    <w:rsid w:val="00A84940"/>
    <w:rsid w:val="00A849FA"/>
    <w:rsid w:val="00A84A4B"/>
    <w:rsid w:val="00A84AA0"/>
    <w:rsid w:val="00A84B0A"/>
    <w:rsid w:val="00A84BB5"/>
    <w:rsid w:val="00A84BCF"/>
    <w:rsid w:val="00A84C82"/>
    <w:rsid w:val="00A84CAD"/>
    <w:rsid w:val="00A84D95"/>
    <w:rsid w:val="00A850F3"/>
    <w:rsid w:val="00A85309"/>
    <w:rsid w:val="00A85467"/>
    <w:rsid w:val="00A8551B"/>
    <w:rsid w:val="00A85579"/>
    <w:rsid w:val="00A855CA"/>
    <w:rsid w:val="00A855D0"/>
    <w:rsid w:val="00A8566C"/>
    <w:rsid w:val="00A8584A"/>
    <w:rsid w:val="00A859E7"/>
    <w:rsid w:val="00A85D30"/>
    <w:rsid w:val="00A85D82"/>
    <w:rsid w:val="00A85E92"/>
    <w:rsid w:val="00A85EED"/>
    <w:rsid w:val="00A86218"/>
    <w:rsid w:val="00A862AF"/>
    <w:rsid w:val="00A86302"/>
    <w:rsid w:val="00A86487"/>
    <w:rsid w:val="00A865D6"/>
    <w:rsid w:val="00A86768"/>
    <w:rsid w:val="00A867C4"/>
    <w:rsid w:val="00A8689B"/>
    <w:rsid w:val="00A86B89"/>
    <w:rsid w:val="00A86EFE"/>
    <w:rsid w:val="00A86FD8"/>
    <w:rsid w:val="00A8716D"/>
    <w:rsid w:val="00A87193"/>
    <w:rsid w:val="00A872A2"/>
    <w:rsid w:val="00A87382"/>
    <w:rsid w:val="00A873D6"/>
    <w:rsid w:val="00A8745C"/>
    <w:rsid w:val="00A8756C"/>
    <w:rsid w:val="00A87663"/>
    <w:rsid w:val="00A876DC"/>
    <w:rsid w:val="00A87715"/>
    <w:rsid w:val="00A8772D"/>
    <w:rsid w:val="00A87755"/>
    <w:rsid w:val="00A877EE"/>
    <w:rsid w:val="00A8783F"/>
    <w:rsid w:val="00A8784F"/>
    <w:rsid w:val="00A878ED"/>
    <w:rsid w:val="00A878F7"/>
    <w:rsid w:val="00A8790C"/>
    <w:rsid w:val="00A87B1E"/>
    <w:rsid w:val="00A87B1F"/>
    <w:rsid w:val="00A87B7A"/>
    <w:rsid w:val="00A87D42"/>
    <w:rsid w:val="00A87D98"/>
    <w:rsid w:val="00A87F51"/>
    <w:rsid w:val="00A9001E"/>
    <w:rsid w:val="00A9010A"/>
    <w:rsid w:val="00A9026F"/>
    <w:rsid w:val="00A90296"/>
    <w:rsid w:val="00A90446"/>
    <w:rsid w:val="00A90559"/>
    <w:rsid w:val="00A905C0"/>
    <w:rsid w:val="00A90646"/>
    <w:rsid w:val="00A90750"/>
    <w:rsid w:val="00A907A6"/>
    <w:rsid w:val="00A90A81"/>
    <w:rsid w:val="00A90C22"/>
    <w:rsid w:val="00A90C6F"/>
    <w:rsid w:val="00A90CE4"/>
    <w:rsid w:val="00A90D51"/>
    <w:rsid w:val="00A90D66"/>
    <w:rsid w:val="00A90DD1"/>
    <w:rsid w:val="00A90E88"/>
    <w:rsid w:val="00A90ED0"/>
    <w:rsid w:val="00A9101B"/>
    <w:rsid w:val="00A91033"/>
    <w:rsid w:val="00A91090"/>
    <w:rsid w:val="00A912DD"/>
    <w:rsid w:val="00A91372"/>
    <w:rsid w:val="00A915B4"/>
    <w:rsid w:val="00A917BC"/>
    <w:rsid w:val="00A9180E"/>
    <w:rsid w:val="00A918AA"/>
    <w:rsid w:val="00A918F8"/>
    <w:rsid w:val="00A9194D"/>
    <w:rsid w:val="00A919C6"/>
    <w:rsid w:val="00A91A49"/>
    <w:rsid w:val="00A91B08"/>
    <w:rsid w:val="00A91B9E"/>
    <w:rsid w:val="00A91BC8"/>
    <w:rsid w:val="00A91BE4"/>
    <w:rsid w:val="00A91DFF"/>
    <w:rsid w:val="00A91E25"/>
    <w:rsid w:val="00A91F4D"/>
    <w:rsid w:val="00A920B2"/>
    <w:rsid w:val="00A92124"/>
    <w:rsid w:val="00A9221B"/>
    <w:rsid w:val="00A92253"/>
    <w:rsid w:val="00A922A2"/>
    <w:rsid w:val="00A9235D"/>
    <w:rsid w:val="00A92494"/>
    <w:rsid w:val="00A924D9"/>
    <w:rsid w:val="00A9252B"/>
    <w:rsid w:val="00A92799"/>
    <w:rsid w:val="00A92823"/>
    <w:rsid w:val="00A92955"/>
    <w:rsid w:val="00A92BB2"/>
    <w:rsid w:val="00A92C6C"/>
    <w:rsid w:val="00A92E5C"/>
    <w:rsid w:val="00A92E95"/>
    <w:rsid w:val="00A92F3C"/>
    <w:rsid w:val="00A92F42"/>
    <w:rsid w:val="00A92F4A"/>
    <w:rsid w:val="00A92F6E"/>
    <w:rsid w:val="00A93008"/>
    <w:rsid w:val="00A930AF"/>
    <w:rsid w:val="00A930C6"/>
    <w:rsid w:val="00A93238"/>
    <w:rsid w:val="00A932C0"/>
    <w:rsid w:val="00A9344F"/>
    <w:rsid w:val="00A935A6"/>
    <w:rsid w:val="00A935B6"/>
    <w:rsid w:val="00A93740"/>
    <w:rsid w:val="00A937E3"/>
    <w:rsid w:val="00A937EE"/>
    <w:rsid w:val="00A9382F"/>
    <w:rsid w:val="00A938BA"/>
    <w:rsid w:val="00A93929"/>
    <w:rsid w:val="00A93A3B"/>
    <w:rsid w:val="00A93A76"/>
    <w:rsid w:val="00A93B13"/>
    <w:rsid w:val="00A93BEF"/>
    <w:rsid w:val="00A93D51"/>
    <w:rsid w:val="00A9409F"/>
    <w:rsid w:val="00A941F5"/>
    <w:rsid w:val="00A9420F"/>
    <w:rsid w:val="00A942CC"/>
    <w:rsid w:val="00A9434A"/>
    <w:rsid w:val="00A94895"/>
    <w:rsid w:val="00A94951"/>
    <w:rsid w:val="00A949C1"/>
    <w:rsid w:val="00A94AF0"/>
    <w:rsid w:val="00A94CE6"/>
    <w:rsid w:val="00A94E13"/>
    <w:rsid w:val="00A94E64"/>
    <w:rsid w:val="00A94E73"/>
    <w:rsid w:val="00A94EAD"/>
    <w:rsid w:val="00A94F2B"/>
    <w:rsid w:val="00A95094"/>
    <w:rsid w:val="00A95175"/>
    <w:rsid w:val="00A95220"/>
    <w:rsid w:val="00A95237"/>
    <w:rsid w:val="00A952EB"/>
    <w:rsid w:val="00A95448"/>
    <w:rsid w:val="00A9564F"/>
    <w:rsid w:val="00A959A1"/>
    <w:rsid w:val="00A959E7"/>
    <w:rsid w:val="00A95AE1"/>
    <w:rsid w:val="00A95BE1"/>
    <w:rsid w:val="00A95E47"/>
    <w:rsid w:val="00A95FC2"/>
    <w:rsid w:val="00A96126"/>
    <w:rsid w:val="00A96666"/>
    <w:rsid w:val="00A966BE"/>
    <w:rsid w:val="00A96765"/>
    <w:rsid w:val="00A9681C"/>
    <w:rsid w:val="00A96A5A"/>
    <w:rsid w:val="00A96A7D"/>
    <w:rsid w:val="00A96D07"/>
    <w:rsid w:val="00A96D0B"/>
    <w:rsid w:val="00A96ED5"/>
    <w:rsid w:val="00A970AF"/>
    <w:rsid w:val="00A97202"/>
    <w:rsid w:val="00A97247"/>
    <w:rsid w:val="00A97425"/>
    <w:rsid w:val="00A974EE"/>
    <w:rsid w:val="00A97528"/>
    <w:rsid w:val="00A97888"/>
    <w:rsid w:val="00A979AD"/>
    <w:rsid w:val="00A97A87"/>
    <w:rsid w:val="00A97A90"/>
    <w:rsid w:val="00A97B17"/>
    <w:rsid w:val="00A97DB8"/>
    <w:rsid w:val="00A97E7D"/>
    <w:rsid w:val="00A97EF6"/>
    <w:rsid w:val="00AA00CF"/>
    <w:rsid w:val="00AA026D"/>
    <w:rsid w:val="00AA04CC"/>
    <w:rsid w:val="00AA06F1"/>
    <w:rsid w:val="00AA09DC"/>
    <w:rsid w:val="00AA0A4A"/>
    <w:rsid w:val="00AA0B42"/>
    <w:rsid w:val="00AA0B8D"/>
    <w:rsid w:val="00AA0C04"/>
    <w:rsid w:val="00AA0C46"/>
    <w:rsid w:val="00AA0C4A"/>
    <w:rsid w:val="00AA0C64"/>
    <w:rsid w:val="00AA0D1D"/>
    <w:rsid w:val="00AA0DB3"/>
    <w:rsid w:val="00AA0DE1"/>
    <w:rsid w:val="00AA1088"/>
    <w:rsid w:val="00AA1158"/>
    <w:rsid w:val="00AA14CF"/>
    <w:rsid w:val="00AA171F"/>
    <w:rsid w:val="00AA18C7"/>
    <w:rsid w:val="00AA18D2"/>
    <w:rsid w:val="00AA1923"/>
    <w:rsid w:val="00AA1925"/>
    <w:rsid w:val="00AA1A45"/>
    <w:rsid w:val="00AA1C63"/>
    <w:rsid w:val="00AA1E29"/>
    <w:rsid w:val="00AA1F25"/>
    <w:rsid w:val="00AA1F40"/>
    <w:rsid w:val="00AA2067"/>
    <w:rsid w:val="00AA2076"/>
    <w:rsid w:val="00AA20C8"/>
    <w:rsid w:val="00AA22C7"/>
    <w:rsid w:val="00AA2755"/>
    <w:rsid w:val="00AA277C"/>
    <w:rsid w:val="00AA279B"/>
    <w:rsid w:val="00AA289B"/>
    <w:rsid w:val="00AA28EF"/>
    <w:rsid w:val="00AA2A0A"/>
    <w:rsid w:val="00AA2B59"/>
    <w:rsid w:val="00AA2BE7"/>
    <w:rsid w:val="00AA2D88"/>
    <w:rsid w:val="00AA2EAB"/>
    <w:rsid w:val="00AA2F22"/>
    <w:rsid w:val="00AA302F"/>
    <w:rsid w:val="00AA30EE"/>
    <w:rsid w:val="00AA3181"/>
    <w:rsid w:val="00AA31EC"/>
    <w:rsid w:val="00AA3241"/>
    <w:rsid w:val="00AA325A"/>
    <w:rsid w:val="00AA32C8"/>
    <w:rsid w:val="00AA32D5"/>
    <w:rsid w:val="00AA341F"/>
    <w:rsid w:val="00AA3623"/>
    <w:rsid w:val="00AA3652"/>
    <w:rsid w:val="00AA38BE"/>
    <w:rsid w:val="00AA3947"/>
    <w:rsid w:val="00AA3948"/>
    <w:rsid w:val="00AA39A6"/>
    <w:rsid w:val="00AA3A87"/>
    <w:rsid w:val="00AA3C66"/>
    <w:rsid w:val="00AA3CC6"/>
    <w:rsid w:val="00AA3E0C"/>
    <w:rsid w:val="00AA3E9E"/>
    <w:rsid w:val="00AA3FE5"/>
    <w:rsid w:val="00AA4104"/>
    <w:rsid w:val="00AA4316"/>
    <w:rsid w:val="00AA4437"/>
    <w:rsid w:val="00AA444D"/>
    <w:rsid w:val="00AA44FA"/>
    <w:rsid w:val="00AA455D"/>
    <w:rsid w:val="00AA4624"/>
    <w:rsid w:val="00AA468D"/>
    <w:rsid w:val="00AA4698"/>
    <w:rsid w:val="00AA475D"/>
    <w:rsid w:val="00AA48C2"/>
    <w:rsid w:val="00AA4B10"/>
    <w:rsid w:val="00AA4B1B"/>
    <w:rsid w:val="00AA4DD0"/>
    <w:rsid w:val="00AA5273"/>
    <w:rsid w:val="00AA53B1"/>
    <w:rsid w:val="00AA551B"/>
    <w:rsid w:val="00AA59DD"/>
    <w:rsid w:val="00AA5BFF"/>
    <w:rsid w:val="00AA5D88"/>
    <w:rsid w:val="00AA5E44"/>
    <w:rsid w:val="00AA5ED9"/>
    <w:rsid w:val="00AA5F36"/>
    <w:rsid w:val="00AA5F70"/>
    <w:rsid w:val="00AA604D"/>
    <w:rsid w:val="00AA617E"/>
    <w:rsid w:val="00AA61BA"/>
    <w:rsid w:val="00AA62D4"/>
    <w:rsid w:val="00AA6B10"/>
    <w:rsid w:val="00AA6B2E"/>
    <w:rsid w:val="00AA6B75"/>
    <w:rsid w:val="00AA6BB1"/>
    <w:rsid w:val="00AA6D25"/>
    <w:rsid w:val="00AA6D79"/>
    <w:rsid w:val="00AA6E18"/>
    <w:rsid w:val="00AA6E28"/>
    <w:rsid w:val="00AA6E72"/>
    <w:rsid w:val="00AA6EB3"/>
    <w:rsid w:val="00AA6ECF"/>
    <w:rsid w:val="00AA6EE9"/>
    <w:rsid w:val="00AA6F11"/>
    <w:rsid w:val="00AA6F6C"/>
    <w:rsid w:val="00AA6F8E"/>
    <w:rsid w:val="00AA6FA1"/>
    <w:rsid w:val="00AA7033"/>
    <w:rsid w:val="00AA7254"/>
    <w:rsid w:val="00AA728D"/>
    <w:rsid w:val="00AA72E1"/>
    <w:rsid w:val="00AA73F1"/>
    <w:rsid w:val="00AA7457"/>
    <w:rsid w:val="00AA74F3"/>
    <w:rsid w:val="00AA786B"/>
    <w:rsid w:val="00AA7875"/>
    <w:rsid w:val="00AA78A3"/>
    <w:rsid w:val="00AA7951"/>
    <w:rsid w:val="00AA79DE"/>
    <w:rsid w:val="00AA7AE8"/>
    <w:rsid w:val="00AA7B6B"/>
    <w:rsid w:val="00AA7B9C"/>
    <w:rsid w:val="00AA7BD7"/>
    <w:rsid w:val="00AA7BF3"/>
    <w:rsid w:val="00AA7C2A"/>
    <w:rsid w:val="00AA7C74"/>
    <w:rsid w:val="00AA7D15"/>
    <w:rsid w:val="00AA7DCF"/>
    <w:rsid w:val="00AA7E74"/>
    <w:rsid w:val="00AB00A3"/>
    <w:rsid w:val="00AB013F"/>
    <w:rsid w:val="00AB0146"/>
    <w:rsid w:val="00AB0195"/>
    <w:rsid w:val="00AB0283"/>
    <w:rsid w:val="00AB0389"/>
    <w:rsid w:val="00AB0491"/>
    <w:rsid w:val="00AB04D8"/>
    <w:rsid w:val="00AB04F6"/>
    <w:rsid w:val="00AB0842"/>
    <w:rsid w:val="00AB09DD"/>
    <w:rsid w:val="00AB0A06"/>
    <w:rsid w:val="00AB0AA6"/>
    <w:rsid w:val="00AB0ADC"/>
    <w:rsid w:val="00AB0DE0"/>
    <w:rsid w:val="00AB0E83"/>
    <w:rsid w:val="00AB101B"/>
    <w:rsid w:val="00AB11D1"/>
    <w:rsid w:val="00AB12AD"/>
    <w:rsid w:val="00AB141A"/>
    <w:rsid w:val="00AB1788"/>
    <w:rsid w:val="00AB1827"/>
    <w:rsid w:val="00AB1906"/>
    <w:rsid w:val="00AB1961"/>
    <w:rsid w:val="00AB1AEF"/>
    <w:rsid w:val="00AB1BE1"/>
    <w:rsid w:val="00AB1C77"/>
    <w:rsid w:val="00AB1D83"/>
    <w:rsid w:val="00AB1F2D"/>
    <w:rsid w:val="00AB20F2"/>
    <w:rsid w:val="00AB20FE"/>
    <w:rsid w:val="00AB2114"/>
    <w:rsid w:val="00AB236E"/>
    <w:rsid w:val="00AB2441"/>
    <w:rsid w:val="00AB2521"/>
    <w:rsid w:val="00AB2562"/>
    <w:rsid w:val="00AB25A7"/>
    <w:rsid w:val="00AB25DF"/>
    <w:rsid w:val="00AB2606"/>
    <w:rsid w:val="00AB26B3"/>
    <w:rsid w:val="00AB2784"/>
    <w:rsid w:val="00AB27A6"/>
    <w:rsid w:val="00AB2820"/>
    <w:rsid w:val="00AB2906"/>
    <w:rsid w:val="00AB2C16"/>
    <w:rsid w:val="00AB2D8C"/>
    <w:rsid w:val="00AB2DB9"/>
    <w:rsid w:val="00AB2F3B"/>
    <w:rsid w:val="00AB2F97"/>
    <w:rsid w:val="00AB2FF9"/>
    <w:rsid w:val="00AB3081"/>
    <w:rsid w:val="00AB314D"/>
    <w:rsid w:val="00AB3357"/>
    <w:rsid w:val="00AB3386"/>
    <w:rsid w:val="00AB3601"/>
    <w:rsid w:val="00AB376D"/>
    <w:rsid w:val="00AB3907"/>
    <w:rsid w:val="00AB3A7C"/>
    <w:rsid w:val="00AB3B2D"/>
    <w:rsid w:val="00AB3C35"/>
    <w:rsid w:val="00AB3D17"/>
    <w:rsid w:val="00AB3E23"/>
    <w:rsid w:val="00AB3F99"/>
    <w:rsid w:val="00AB409D"/>
    <w:rsid w:val="00AB444F"/>
    <w:rsid w:val="00AB4768"/>
    <w:rsid w:val="00AB478F"/>
    <w:rsid w:val="00AB48B8"/>
    <w:rsid w:val="00AB48C0"/>
    <w:rsid w:val="00AB4984"/>
    <w:rsid w:val="00AB4995"/>
    <w:rsid w:val="00AB4C73"/>
    <w:rsid w:val="00AB4D62"/>
    <w:rsid w:val="00AB4E13"/>
    <w:rsid w:val="00AB4F7E"/>
    <w:rsid w:val="00AB4F9A"/>
    <w:rsid w:val="00AB5039"/>
    <w:rsid w:val="00AB50D6"/>
    <w:rsid w:val="00AB50FB"/>
    <w:rsid w:val="00AB5130"/>
    <w:rsid w:val="00AB5192"/>
    <w:rsid w:val="00AB53A6"/>
    <w:rsid w:val="00AB53F7"/>
    <w:rsid w:val="00AB54B3"/>
    <w:rsid w:val="00AB54E1"/>
    <w:rsid w:val="00AB54EF"/>
    <w:rsid w:val="00AB551F"/>
    <w:rsid w:val="00AB580C"/>
    <w:rsid w:val="00AB5887"/>
    <w:rsid w:val="00AB5A27"/>
    <w:rsid w:val="00AB5AE5"/>
    <w:rsid w:val="00AB5B42"/>
    <w:rsid w:val="00AB5BE0"/>
    <w:rsid w:val="00AB638B"/>
    <w:rsid w:val="00AB63CC"/>
    <w:rsid w:val="00AB63F8"/>
    <w:rsid w:val="00AB6446"/>
    <w:rsid w:val="00AB64E0"/>
    <w:rsid w:val="00AB66A6"/>
    <w:rsid w:val="00AB6709"/>
    <w:rsid w:val="00AB6837"/>
    <w:rsid w:val="00AB6958"/>
    <w:rsid w:val="00AB69BE"/>
    <w:rsid w:val="00AB69D5"/>
    <w:rsid w:val="00AB69F7"/>
    <w:rsid w:val="00AB6E3B"/>
    <w:rsid w:val="00AB6EC5"/>
    <w:rsid w:val="00AB7106"/>
    <w:rsid w:val="00AB7115"/>
    <w:rsid w:val="00AB7129"/>
    <w:rsid w:val="00AB713D"/>
    <w:rsid w:val="00AB7178"/>
    <w:rsid w:val="00AB7213"/>
    <w:rsid w:val="00AB7284"/>
    <w:rsid w:val="00AB7298"/>
    <w:rsid w:val="00AB72CE"/>
    <w:rsid w:val="00AB7497"/>
    <w:rsid w:val="00AB763E"/>
    <w:rsid w:val="00AB78D5"/>
    <w:rsid w:val="00AB7ACE"/>
    <w:rsid w:val="00AB7CB2"/>
    <w:rsid w:val="00AB7DF4"/>
    <w:rsid w:val="00AB7E37"/>
    <w:rsid w:val="00AB7EE0"/>
    <w:rsid w:val="00AB7F58"/>
    <w:rsid w:val="00AC00B9"/>
    <w:rsid w:val="00AC01F9"/>
    <w:rsid w:val="00AC03A4"/>
    <w:rsid w:val="00AC0457"/>
    <w:rsid w:val="00AC04E3"/>
    <w:rsid w:val="00AC0544"/>
    <w:rsid w:val="00AC0586"/>
    <w:rsid w:val="00AC05AC"/>
    <w:rsid w:val="00AC05F0"/>
    <w:rsid w:val="00AC05F3"/>
    <w:rsid w:val="00AC05F7"/>
    <w:rsid w:val="00AC05FC"/>
    <w:rsid w:val="00AC06D0"/>
    <w:rsid w:val="00AC0716"/>
    <w:rsid w:val="00AC0882"/>
    <w:rsid w:val="00AC088C"/>
    <w:rsid w:val="00AC09CF"/>
    <w:rsid w:val="00AC0A57"/>
    <w:rsid w:val="00AC0B9E"/>
    <w:rsid w:val="00AC0D7A"/>
    <w:rsid w:val="00AC1025"/>
    <w:rsid w:val="00AC111B"/>
    <w:rsid w:val="00AC1159"/>
    <w:rsid w:val="00AC11CB"/>
    <w:rsid w:val="00AC1225"/>
    <w:rsid w:val="00AC1227"/>
    <w:rsid w:val="00AC12AE"/>
    <w:rsid w:val="00AC1304"/>
    <w:rsid w:val="00AC1384"/>
    <w:rsid w:val="00AC15D1"/>
    <w:rsid w:val="00AC15EB"/>
    <w:rsid w:val="00AC162D"/>
    <w:rsid w:val="00AC1661"/>
    <w:rsid w:val="00AC167E"/>
    <w:rsid w:val="00AC173D"/>
    <w:rsid w:val="00AC18B9"/>
    <w:rsid w:val="00AC1B06"/>
    <w:rsid w:val="00AC1B4E"/>
    <w:rsid w:val="00AC1C54"/>
    <w:rsid w:val="00AC1F69"/>
    <w:rsid w:val="00AC1FB0"/>
    <w:rsid w:val="00AC20D5"/>
    <w:rsid w:val="00AC2189"/>
    <w:rsid w:val="00AC22CA"/>
    <w:rsid w:val="00AC236B"/>
    <w:rsid w:val="00AC2589"/>
    <w:rsid w:val="00AC2685"/>
    <w:rsid w:val="00AC26BA"/>
    <w:rsid w:val="00AC27AF"/>
    <w:rsid w:val="00AC28A0"/>
    <w:rsid w:val="00AC2A6C"/>
    <w:rsid w:val="00AC2BB7"/>
    <w:rsid w:val="00AC2D9D"/>
    <w:rsid w:val="00AC2E20"/>
    <w:rsid w:val="00AC2E66"/>
    <w:rsid w:val="00AC2EEB"/>
    <w:rsid w:val="00AC323F"/>
    <w:rsid w:val="00AC3242"/>
    <w:rsid w:val="00AC3301"/>
    <w:rsid w:val="00AC35DF"/>
    <w:rsid w:val="00AC3679"/>
    <w:rsid w:val="00AC36D7"/>
    <w:rsid w:val="00AC3A62"/>
    <w:rsid w:val="00AC3B5B"/>
    <w:rsid w:val="00AC3C53"/>
    <w:rsid w:val="00AC3DBE"/>
    <w:rsid w:val="00AC3DFE"/>
    <w:rsid w:val="00AC403E"/>
    <w:rsid w:val="00AC409A"/>
    <w:rsid w:val="00AC41AE"/>
    <w:rsid w:val="00AC41CE"/>
    <w:rsid w:val="00AC424F"/>
    <w:rsid w:val="00AC43A2"/>
    <w:rsid w:val="00AC43E0"/>
    <w:rsid w:val="00AC4447"/>
    <w:rsid w:val="00AC44CE"/>
    <w:rsid w:val="00AC453E"/>
    <w:rsid w:val="00AC46DD"/>
    <w:rsid w:val="00AC46F4"/>
    <w:rsid w:val="00AC4753"/>
    <w:rsid w:val="00AC483E"/>
    <w:rsid w:val="00AC49CA"/>
    <w:rsid w:val="00AC49D7"/>
    <w:rsid w:val="00AC4C68"/>
    <w:rsid w:val="00AC4C79"/>
    <w:rsid w:val="00AC4DB0"/>
    <w:rsid w:val="00AC4F32"/>
    <w:rsid w:val="00AC4FFE"/>
    <w:rsid w:val="00AC5142"/>
    <w:rsid w:val="00AC51A3"/>
    <w:rsid w:val="00AC525C"/>
    <w:rsid w:val="00AC564F"/>
    <w:rsid w:val="00AC567D"/>
    <w:rsid w:val="00AC5858"/>
    <w:rsid w:val="00AC58E8"/>
    <w:rsid w:val="00AC5926"/>
    <w:rsid w:val="00AC59B0"/>
    <w:rsid w:val="00AC59E1"/>
    <w:rsid w:val="00AC5B3D"/>
    <w:rsid w:val="00AC5BC2"/>
    <w:rsid w:val="00AC5CF1"/>
    <w:rsid w:val="00AC5DAE"/>
    <w:rsid w:val="00AC5DFE"/>
    <w:rsid w:val="00AC5EA2"/>
    <w:rsid w:val="00AC6035"/>
    <w:rsid w:val="00AC6166"/>
    <w:rsid w:val="00AC63E0"/>
    <w:rsid w:val="00AC64F6"/>
    <w:rsid w:val="00AC6560"/>
    <w:rsid w:val="00AC673B"/>
    <w:rsid w:val="00AC6795"/>
    <w:rsid w:val="00AC6AAE"/>
    <w:rsid w:val="00AC6B95"/>
    <w:rsid w:val="00AC6CC5"/>
    <w:rsid w:val="00AC6DA5"/>
    <w:rsid w:val="00AC6DD0"/>
    <w:rsid w:val="00AC6E24"/>
    <w:rsid w:val="00AC6E65"/>
    <w:rsid w:val="00AC6EF9"/>
    <w:rsid w:val="00AC7033"/>
    <w:rsid w:val="00AC72A5"/>
    <w:rsid w:val="00AC72D3"/>
    <w:rsid w:val="00AC7355"/>
    <w:rsid w:val="00AC774B"/>
    <w:rsid w:val="00AC78D4"/>
    <w:rsid w:val="00AC78FE"/>
    <w:rsid w:val="00AC7AF8"/>
    <w:rsid w:val="00AC7D4C"/>
    <w:rsid w:val="00AC7DB2"/>
    <w:rsid w:val="00AC7DC5"/>
    <w:rsid w:val="00AC7E98"/>
    <w:rsid w:val="00AC7FE1"/>
    <w:rsid w:val="00AD0010"/>
    <w:rsid w:val="00AD06A5"/>
    <w:rsid w:val="00AD06C5"/>
    <w:rsid w:val="00AD0861"/>
    <w:rsid w:val="00AD08F0"/>
    <w:rsid w:val="00AD095E"/>
    <w:rsid w:val="00AD09CC"/>
    <w:rsid w:val="00AD0AD8"/>
    <w:rsid w:val="00AD0B6C"/>
    <w:rsid w:val="00AD0C1B"/>
    <w:rsid w:val="00AD0CC6"/>
    <w:rsid w:val="00AD0CEC"/>
    <w:rsid w:val="00AD0D5F"/>
    <w:rsid w:val="00AD0D81"/>
    <w:rsid w:val="00AD0E5F"/>
    <w:rsid w:val="00AD0E61"/>
    <w:rsid w:val="00AD10AA"/>
    <w:rsid w:val="00AD114C"/>
    <w:rsid w:val="00AD1191"/>
    <w:rsid w:val="00AD11CC"/>
    <w:rsid w:val="00AD13FB"/>
    <w:rsid w:val="00AD162A"/>
    <w:rsid w:val="00AD16CC"/>
    <w:rsid w:val="00AD1756"/>
    <w:rsid w:val="00AD17E1"/>
    <w:rsid w:val="00AD1902"/>
    <w:rsid w:val="00AD1AB5"/>
    <w:rsid w:val="00AD1D59"/>
    <w:rsid w:val="00AD1DA9"/>
    <w:rsid w:val="00AD1F26"/>
    <w:rsid w:val="00AD1F88"/>
    <w:rsid w:val="00AD205F"/>
    <w:rsid w:val="00AD220F"/>
    <w:rsid w:val="00AD2224"/>
    <w:rsid w:val="00AD22BA"/>
    <w:rsid w:val="00AD2301"/>
    <w:rsid w:val="00AD239B"/>
    <w:rsid w:val="00AD239C"/>
    <w:rsid w:val="00AD24C4"/>
    <w:rsid w:val="00AD24CD"/>
    <w:rsid w:val="00AD24E3"/>
    <w:rsid w:val="00AD25A5"/>
    <w:rsid w:val="00AD25AA"/>
    <w:rsid w:val="00AD25E8"/>
    <w:rsid w:val="00AD2629"/>
    <w:rsid w:val="00AD265F"/>
    <w:rsid w:val="00AD27D2"/>
    <w:rsid w:val="00AD27FA"/>
    <w:rsid w:val="00AD281B"/>
    <w:rsid w:val="00AD2841"/>
    <w:rsid w:val="00AD2898"/>
    <w:rsid w:val="00AD295F"/>
    <w:rsid w:val="00AD29D2"/>
    <w:rsid w:val="00AD2A22"/>
    <w:rsid w:val="00AD2ACB"/>
    <w:rsid w:val="00AD2B26"/>
    <w:rsid w:val="00AD2C5D"/>
    <w:rsid w:val="00AD2D8B"/>
    <w:rsid w:val="00AD2DFE"/>
    <w:rsid w:val="00AD2F2E"/>
    <w:rsid w:val="00AD3250"/>
    <w:rsid w:val="00AD32DD"/>
    <w:rsid w:val="00AD36B9"/>
    <w:rsid w:val="00AD3714"/>
    <w:rsid w:val="00AD389F"/>
    <w:rsid w:val="00AD3946"/>
    <w:rsid w:val="00AD3A06"/>
    <w:rsid w:val="00AD3B3C"/>
    <w:rsid w:val="00AD3C8F"/>
    <w:rsid w:val="00AD3C95"/>
    <w:rsid w:val="00AD3DB2"/>
    <w:rsid w:val="00AD3E11"/>
    <w:rsid w:val="00AD3EC8"/>
    <w:rsid w:val="00AD3F5A"/>
    <w:rsid w:val="00AD4042"/>
    <w:rsid w:val="00AD43F3"/>
    <w:rsid w:val="00AD45A5"/>
    <w:rsid w:val="00AD468B"/>
    <w:rsid w:val="00AD492C"/>
    <w:rsid w:val="00AD4D16"/>
    <w:rsid w:val="00AD4E05"/>
    <w:rsid w:val="00AD4E2B"/>
    <w:rsid w:val="00AD4F45"/>
    <w:rsid w:val="00AD4F6F"/>
    <w:rsid w:val="00AD4F8F"/>
    <w:rsid w:val="00AD4FA1"/>
    <w:rsid w:val="00AD4FD7"/>
    <w:rsid w:val="00AD511C"/>
    <w:rsid w:val="00AD5176"/>
    <w:rsid w:val="00AD5360"/>
    <w:rsid w:val="00AD562C"/>
    <w:rsid w:val="00AD570E"/>
    <w:rsid w:val="00AD578D"/>
    <w:rsid w:val="00AD58F3"/>
    <w:rsid w:val="00AD591C"/>
    <w:rsid w:val="00AD5CB6"/>
    <w:rsid w:val="00AD5CC6"/>
    <w:rsid w:val="00AD5D1D"/>
    <w:rsid w:val="00AD5D67"/>
    <w:rsid w:val="00AD5E5D"/>
    <w:rsid w:val="00AD5FB4"/>
    <w:rsid w:val="00AD6220"/>
    <w:rsid w:val="00AD623C"/>
    <w:rsid w:val="00AD62EB"/>
    <w:rsid w:val="00AD6411"/>
    <w:rsid w:val="00AD6479"/>
    <w:rsid w:val="00AD64A9"/>
    <w:rsid w:val="00AD65FA"/>
    <w:rsid w:val="00AD6635"/>
    <w:rsid w:val="00AD6773"/>
    <w:rsid w:val="00AD677E"/>
    <w:rsid w:val="00AD6786"/>
    <w:rsid w:val="00AD67BE"/>
    <w:rsid w:val="00AD68DE"/>
    <w:rsid w:val="00AD6AC6"/>
    <w:rsid w:val="00AD6ADE"/>
    <w:rsid w:val="00AD6BB3"/>
    <w:rsid w:val="00AD6CDD"/>
    <w:rsid w:val="00AD6CE6"/>
    <w:rsid w:val="00AD6EAA"/>
    <w:rsid w:val="00AD6FB4"/>
    <w:rsid w:val="00AD70F4"/>
    <w:rsid w:val="00AD718A"/>
    <w:rsid w:val="00AD71F2"/>
    <w:rsid w:val="00AD7565"/>
    <w:rsid w:val="00AD76AA"/>
    <w:rsid w:val="00AD776B"/>
    <w:rsid w:val="00AD77BF"/>
    <w:rsid w:val="00AD78AB"/>
    <w:rsid w:val="00AD793B"/>
    <w:rsid w:val="00AD7BFD"/>
    <w:rsid w:val="00AD7D9C"/>
    <w:rsid w:val="00AD7DA3"/>
    <w:rsid w:val="00AD7FB7"/>
    <w:rsid w:val="00ADBBBB"/>
    <w:rsid w:val="00AE008B"/>
    <w:rsid w:val="00AE0203"/>
    <w:rsid w:val="00AE023F"/>
    <w:rsid w:val="00AE0305"/>
    <w:rsid w:val="00AE0319"/>
    <w:rsid w:val="00AE031D"/>
    <w:rsid w:val="00AE05A2"/>
    <w:rsid w:val="00AE05A4"/>
    <w:rsid w:val="00AE06BC"/>
    <w:rsid w:val="00AE081A"/>
    <w:rsid w:val="00AE086B"/>
    <w:rsid w:val="00AE09F2"/>
    <w:rsid w:val="00AE0A18"/>
    <w:rsid w:val="00AE0A1B"/>
    <w:rsid w:val="00AE0AA1"/>
    <w:rsid w:val="00AE0AC0"/>
    <w:rsid w:val="00AE0B12"/>
    <w:rsid w:val="00AE0B23"/>
    <w:rsid w:val="00AE0C0D"/>
    <w:rsid w:val="00AE0D4E"/>
    <w:rsid w:val="00AE1127"/>
    <w:rsid w:val="00AE1129"/>
    <w:rsid w:val="00AE116D"/>
    <w:rsid w:val="00AE11A4"/>
    <w:rsid w:val="00AE122E"/>
    <w:rsid w:val="00AE12F6"/>
    <w:rsid w:val="00AE133F"/>
    <w:rsid w:val="00AE14AD"/>
    <w:rsid w:val="00AE14B2"/>
    <w:rsid w:val="00AE157F"/>
    <w:rsid w:val="00AE16D4"/>
    <w:rsid w:val="00AE1CA9"/>
    <w:rsid w:val="00AE1E68"/>
    <w:rsid w:val="00AE2135"/>
    <w:rsid w:val="00AE21FE"/>
    <w:rsid w:val="00AE222B"/>
    <w:rsid w:val="00AE22A8"/>
    <w:rsid w:val="00AE22F0"/>
    <w:rsid w:val="00AE23AE"/>
    <w:rsid w:val="00AE2418"/>
    <w:rsid w:val="00AE25DA"/>
    <w:rsid w:val="00AE260E"/>
    <w:rsid w:val="00AE265C"/>
    <w:rsid w:val="00AE27F8"/>
    <w:rsid w:val="00AE297C"/>
    <w:rsid w:val="00AE29AC"/>
    <w:rsid w:val="00AE29EB"/>
    <w:rsid w:val="00AE2A4A"/>
    <w:rsid w:val="00AE2B76"/>
    <w:rsid w:val="00AE2B7B"/>
    <w:rsid w:val="00AE2C3D"/>
    <w:rsid w:val="00AE2D34"/>
    <w:rsid w:val="00AE2DE0"/>
    <w:rsid w:val="00AE2F15"/>
    <w:rsid w:val="00AE2F65"/>
    <w:rsid w:val="00AE2FA9"/>
    <w:rsid w:val="00AE3140"/>
    <w:rsid w:val="00AE3212"/>
    <w:rsid w:val="00AE32BA"/>
    <w:rsid w:val="00AE3335"/>
    <w:rsid w:val="00AE3365"/>
    <w:rsid w:val="00AE33B0"/>
    <w:rsid w:val="00AE344B"/>
    <w:rsid w:val="00AE34AE"/>
    <w:rsid w:val="00AE35DE"/>
    <w:rsid w:val="00AE377D"/>
    <w:rsid w:val="00AE37E6"/>
    <w:rsid w:val="00AE383E"/>
    <w:rsid w:val="00AE3841"/>
    <w:rsid w:val="00AE38A1"/>
    <w:rsid w:val="00AE3927"/>
    <w:rsid w:val="00AE3955"/>
    <w:rsid w:val="00AE3B66"/>
    <w:rsid w:val="00AE3D68"/>
    <w:rsid w:val="00AE3D74"/>
    <w:rsid w:val="00AE3F01"/>
    <w:rsid w:val="00AE41FB"/>
    <w:rsid w:val="00AE4205"/>
    <w:rsid w:val="00AE427C"/>
    <w:rsid w:val="00AE432E"/>
    <w:rsid w:val="00AE441F"/>
    <w:rsid w:val="00AE4430"/>
    <w:rsid w:val="00AE44A1"/>
    <w:rsid w:val="00AE44AE"/>
    <w:rsid w:val="00AE44D9"/>
    <w:rsid w:val="00AE4546"/>
    <w:rsid w:val="00AE45CB"/>
    <w:rsid w:val="00AE462F"/>
    <w:rsid w:val="00AE4644"/>
    <w:rsid w:val="00AE4686"/>
    <w:rsid w:val="00AE48F2"/>
    <w:rsid w:val="00AE4B56"/>
    <w:rsid w:val="00AE4C5E"/>
    <w:rsid w:val="00AE4E2E"/>
    <w:rsid w:val="00AE4F74"/>
    <w:rsid w:val="00AE51C1"/>
    <w:rsid w:val="00AE5230"/>
    <w:rsid w:val="00AE52E0"/>
    <w:rsid w:val="00AE5461"/>
    <w:rsid w:val="00AE54CD"/>
    <w:rsid w:val="00AE5628"/>
    <w:rsid w:val="00AE56AE"/>
    <w:rsid w:val="00AE5708"/>
    <w:rsid w:val="00AE58AB"/>
    <w:rsid w:val="00AE5971"/>
    <w:rsid w:val="00AE5E05"/>
    <w:rsid w:val="00AE5F71"/>
    <w:rsid w:val="00AE5FF1"/>
    <w:rsid w:val="00AE633A"/>
    <w:rsid w:val="00AE6583"/>
    <w:rsid w:val="00AE6584"/>
    <w:rsid w:val="00AE6C4A"/>
    <w:rsid w:val="00AE6D4D"/>
    <w:rsid w:val="00AE6EFD"/>
    <w:rsid w:val="00AE6FEF"/>
    <w:rsid w:val="00AE6FF5"/>
    <w:rsid w:val="00AE70A3"/>
    <w:rsid w:val="00AE71BD"/>
    <w:rsid w:val="00AE7249"/>
    <w:rsid w:val="00AE72F6"/>
    <w:rsid w:val="00AE73D9"/>
    <w:rsid w:val="00AE7554"/>
    <w:rsid w:val="00AE764C"/>
    <w:rsid w:val="00AE7678"/>
    <w:rsid w:val="00AE7755"/>
    <w:rsid w:val="00AE7788"/>
    <w:rsid w:val="00AE783F"/>
    <w:rsid w:val="00AE79C1"/>
    <w:rsid w:val="00AE7A1E"/>
    <w:rsid w:val="00AE7BE5"/>
    <w:rsid w:val="00AE7C25"/>
    <w:rsid w:val="00AE7D62"/>
    <w:rsid w:val="00AE7D7B"/>
    <w:rsid w:val="00AE7E3F"/>
    <w:rsid w:val="00AE7E87"/>
    <w:rsid w:val="00AF0039"/>
    <w:rsid w:val="00AF0065"/>
    <w:rsid w:val="00AF0272"/>
    <w:rsid w:val="00AF0396"/>
    <w:rsid w:val="00AF04D1"/>
    <w:rsid w:val="00AF0625"/>
    <w:rsid w:val="00AF0728"/>
    <w:rsid w:val="00AF0752"/>
    <w:rsid w:val="00AF076B"/>
    <w:rsid w:val="00AF0817"/>
    <w:rsid w:val="00AF088D"/>
    <w:rsid w:val="00AF08FF"/>
    <w:rsid w:val="00AF0ADF"/>
    <w:rsid w:val="00AF0B26"/>
    <w:rsid w:val="00AF0CE2"/>
    <w:rsid w:val="00AF0D82"/>
    <w:rsid w:val="00AF0E08"/>
    <w:rsid w:val="00AF0E3A"/>
    <w:rsid w:val="00AF1003"/>
    <w:rsid w:val="00AF10C1"/>
    <w:rsid w:val="00AF110A"/>
    <w:rsid w:val="00AF11FE"/>
    <w:rsid w:val="00AF129A"/>
    <w:rsid w:val="00AF147B"/>
    <w:rsid w:val="00AF15A8"/>
    <w:rsid w:val="00AF166D"/>
    <w:rsid w:val="00AF16B8"/>
    <w:rsid w:val="00AF17D7"/>
    <w:rsid w:val="00AF1858"/>
    <w:rsid w:val="00AF1918"/>
    <w:rsid w:val="00AF191B"/>
    <w:rsid w:val="00AF197A"/>
    <w:rsid w:val="00AF1A4B"/>
    <w:rsid w:val="00AF1AA7"/>
    <w:rsid w:val="00AF1BAD"/>
    <w:rsid w:val="00AF1D47"/>
    <w:rsid w:val="00AF1DD1"/>
    <w:rsid w:val="00AF1E10"/>
    <w:rsid w:val="00AF1F22"/>
    <w:rsid w:val="00AF2143"/>
    <w:rsid w:val="00AF21C9"/>
    <w:rsid w:val="00AF22EC"/>
    <w:rsid w:val="00AF2304"/>
    <w:rsid w:val="00AF2396"/>
    <w:rsid w:val="00AF241C"/>
    <w:rsid w:val="00AF242C"/>
    <w:rsid w:val="00AF248B"/>
    <w:rsid w:val="00AF249F"/>
    <w:rsid w:val="00AF2616"/>
    <w:rsid w:val="00AF262E"/>
    <w:rsid w:val="00AF2743"/>
    <w:rsid w:val="00AF281F"/>
    <w:rsid w:val="00AF2A46"/>
    <w:rsid w:val="00AF2AC5"/>
    <w:rsid w:val="00AF2B62"/>
    <w:rsid w:val="00AF2BF1"/>
    <w:rsid w:val="00AF2C09"/>
    <w:rsid w:val="00AF2EA8"/>
    <w:rsid w:val="00AF2FB0"/>
    <w:rsid w:val="00AF317B"/>
    <w:rsid w:val="00AF3287"/>
    <w:rsid w:val="00AF355A"/>
    <w:rsid w:val="00AF3591"/>
    <w:rsid w:val="00AF35AA"/>
    <w:rsid w:val="00AF36AE"/>
    <w:rsid w:val="00AF36EE"/>
    <w:rsid w:val="00AF37A8"/>
    <w:rsid w:val="00AF37BC"/>
    <w:rsid w:val="00AF37E0"/>
    <w:rsid w:val="00AF3961"/>
    <w:rsid w:val="00AF39AB"/>
    <w:rsid w:val="00AF39EF"/>
    <w:rsid w:val="00AF3A23"/>
    <w:rsid w:val="00AF3A2F"/>
    <w:rsid w:val="00AF3A5F"/>
    <w:rsid w:val="00AF3AA7"/>
    <w:rsid w:val="00AF3AC8"/>
    <w:rsid w:val="00AF3B18"/>
    <w:rsid w:val="00AF3B3C"/>
    <w:rsid w:val="00AF3B53"/>
    <w:rsid w:val="00AF3C6F"/>
    <w:rsid w:val="00AF3C83"/>
    <w:rsid w:val="00AF3CB4"/>
    <w:rsid w:val="00AF3CCD"/>
    <w:rsid w:val="00AF3DD1"/>
    <w:rsid w:val="00AF3DE4"/>
    <w:rsid w:val="00AF400E"/>
    <w:rsid w:val="00AF40B6"/>
    <w:rsid w:val="00AF4163"/>
    <w:rsid w:val="00AF4171"/>
    <w:rsid w:val="00AF418B"/>
    <w:rsid w:val="00AF41E9"/>
    <w:rsid w:val="00AF4211"/>
    <w:rsid w:val="00AF4231"/>
    <w:rsid w:val="00AF47F5"/>
    <w:rsid w:val="00AF4815"/>
    <w:rsid w:val="00AF48A3"/>
    <w:rsid w:val="00AF48E6"/>
    <w:rsid w:val="00AF49E5"/>
    <w:rsid w:val="00AF4A83"/>
    <w:rsid w:val="00AF4B78"/>
    <w:rsid w:val="00AF4BE8"/>
    <w:rsid w:val="00AF4BF9"/>
    <w:rsid w:val="00AF4C24"/>
    <w:rsid w:val="00AF4C7C"/>
    <w:rsid w:val="00AF4CCB"/>
    <w:rsid w:val="00AF4DF4"/>
    <w:rsid w:val="00AF4E56"/>
    <w:rsid w:val="00AF4FAF"/>
    <w:rsid w:val="00AF4FF8"/>
    <w:rsid w:val="00AF4FFE"/>
    <w:rsid w:val="00AF51FB"/>
    <w:rsid w:val="00AF53DD"/>
    <w:rsid w:val="00AF53ED"/>
    <w:rsid w:val="00AF56A8"/>
    <w:rsid w:val="00AF57E7"/>
    <w:rsid w:val="00AF5824"/>
    <w:rsid w:val="00AF583A"/>
    <w:rsid w:val="00AF5B28"/>
    <w:rsid w:val="00AF5B68"/>
    <w:rsid w:val="00AF5BAA"/>
    <w:rsid w:val="00AF5D58"/>
    <w:rsid w:val="00AF5DE0"/>
    <w:rsid w:val="00AF5EB1"/>
    <w:rsid w:val="00AF5EE9"/>
    <w:rsid w:val="00AF5F69"/>
    <w:rsid w:val="00AF5F91"/>
    <w:rsid w:val="00AF601B"/>
    <w:rsid w:val="00AF6101"/>
    <w:rsid w:val="00AF61BF"/>
    <w:rsid w:val="00AF6224"/>
    <w:rsid w:val="00AF639A"/>
    <w:rsid w:val="00AF64DB"/>
    <w:rsid w:val="00AF65C2"/>
    <w:rsid w:val="00AF6697"/>
    <w:rsid w:val="00AF67AE"/>
    <w:rsid w:val="00AF67D1"/>
    <w:rsid w:val="00AF6909"/>
    <w:rsid w:val="00AF69B9"/>
    <w:rsid w:val="00AF6B7D"/>
    <w:rsid w:val="00AF6BD3"/>
    <w:rsid w:val="00AF6D71"/>
    <w:rsid w:val="00AF6DB2"/>
    <w:rsid w:val="00AF6E9F"/>
    <w:rsid w:val="00AF7377"/>
    <w:rsid w:val="00AF74CA"/>
    <w:rsid w:val="00AF74E0"/>
    <w:rsid w:val="00AF75EE"/>
    <w:rsid w:val="00AF7695"/>
    <w:rsid w:val="00AF7BE5"/>
    <w:rsid w:val="00AF7DA9"/>
    <w:rsid w:val="00B00188"/>
    <w:rsid w:val="00B00422"/>
    <w:rsid w:val="00B0049E"/>
    <w:rsid w:val="00B004E7"/>
    <w:rsid w:val="00B00561"/>
    <w:rsid w:val="00B00630"/>
    <w:rsid w:val="00B00661"/>
    <w:rsid w:val="00B00692"/>
    <w:rsid w:val="00B008C0"/>
    <w:rsid w:val="00B00CFD"/>
    <w:rsid w:val="00B00D40"/>
    <w:rsid w:val="00B00D85"/>
    <w:rsid w:val="00B00DD7"/>
    <w:rsid w:val="00B00E85"/>
    <w:rsid w:val="00B00F18"/>
    <w:rsid w:val="00B00F3E"/>
    <w:rsid w:val="00B00F6D"/>
    <w:rsid w:val="00B01179"/>
    <w:rsid w:val="00B01418"/>
    <w:rsid w:val="00B0161C"/>
    <w:rsid w:val="00B01A14"/>
    <w:rsid w:val="00B01A8E"/>
    <w:rsid w:val="00B01BE1"/>
    <w:rsid w:val="00B01CB3"/>
    <w:rsid w:val="00B01D3C"/>
    <w:rsid w:val="00B02199"/>
    <w:rsid w:val="00B023A1"/>
    <w:rsid w:val="00B026F4"/>
    <w:rsid w:val="00B027E3"/>
    <w:rsid w:val="00B02AC6"/>
    <w:rsid w:val="00B02B3B"/>
    <w:rsid w:val="00B02B96"/>
    <w:rsid w:val="00B02CD8"/>
    <w:rsid w:val="00B02F4D"/>
    <w:rsid w:val="00B02F69"/>
    <w:rsid w:val="00B03238"/>
    <w:rsid w:val="00B033BB"/>
    <w:rsid w:val="00B033BE"/>
    <w:rsid w:val="00B03583"/>
    <w:rsid w:val="00B035AC"/>
    <w:rsid w:val="00B03738"/>
    <w:rsid w:val="00B038C0"/>
    <w:rsid w:val="00B03A7C"/>
    <w:rsid w:val="00B03A80"/>
    <w:rsid w:val="00B03D1A"/>
    <w:rsid w:val="00B03E4F"/>
    <w:rsid w:val="00B03FB0"/>
    <w:rsid w:val="00B040AD"/>
    <w:rsid w:val="00B043FC"/>
    <w:rsid w:val="00B04465"/>
    <w:rsid w:val="00B04497"/>
    <w:rsid w:val="00B044C8"/>
    <w:rsid w:val="00B044CD"/>
    <w:rsid w:val="00B04557"/>
    <w:rsid w:val="00B0464F"/>
    <w:rsid w:val="00B046D7"/>
    <w:rsid w:val="00B04750"/>
    <w:rsid w:val="00B047A6"/>
    <w:rsid w:val="00B047F9"/>
    <w:rsid w:val="00B04836"/>
    <w:rsid w:val="00B04978"/>
    <w:rsid w:val="00B04B30"/>
    <w:rsid w:val="00B04C1D"/>
    <w:rsid w:val="00B04CB0"/>
    <w:rsid w:val="00B04CC7"/>
    <w:rsid w:val="00B04D1F"/>
    <w:rsid w:val="00B04FA6"/>
    <w:rsid w:val="00B0505E"/>
    <w:rsid w:val="00B05194"/>
    <w:rsid w:val="00B0519E"/>
    <w:rsid w:val="00B05284"/>
    <w:rsid w:val="00B052CA"/>
    <w:rsid w:val="00B053EB"/>
    <w:rsid w:val="00B05443"/>
    <w:rsid w:val="00B0547D"/>
    <w:rsid w:val="00B054D3"/>
    <w:rsid w:val="00B05509"/>
    <w:rsid w:val="00B0557F"/>
    <w:rsid w:val="00B0580A"/>
    <w:rsid w:val="00B05927"/>
    <w:rsid w:val="00B05931"/>
    <w:rsid w:val="00B0594F"/>
    <w:rsid w:val="00B05981"/>
    <w:rsid w:val="00B059AF"/>
    <w:rsid w:val="00B05ACB"/>
    <w:rsid w:val="00B05B07"/>
    <w:rsid w:val="00B05B19"/>
    <w:rsid w:val="00B05B4D"/>
    <w:rsid w:val="00B05CF5"/>
    <w:rsid w:val="00B05F9A"/>
    <w:rsid w:val="00B05FE2"/>
    <w:rsid w:val="00B060B5"/>
    <w:rsid w:val="00B06212"/>
    <w:rsid w:val="00B06484"/>
    <w:rsid w:val="00B064D9"/>
    <w:rsid w:val="00B0669F"/>
    <w:rsid w:val="00B06788"/>
    <w:rsid w:val="00B06798"/>
    <w:rsid w:val="00B06817"/>
    <w:rsid w:val="00B0689C"/>
    <w:rsid w:val="00B069E6"/>
    <w:rsid w:val="00B06A32"/>
    <w:rsid w:val="00B06DC8"/>
    <w:rsid w:val="00B06E15"/>
    <w:rsid w:val="00B06E8F"/>
    <w:rsid w:val="00B06EE3"/>
    <w:rsid w:val="00B0703C"/>
    <w:rsid w:val="00B07059"/>
    <w:rsid w:val="00B071D9"/>
    <w:rsid w:val="00B07234"/>
    <w:rsid w:val="00B072B4"/>
    <w:rsid w:val="00B07363"/>
    <w:rsid w:val="00B0760D"/>
    <w:rsid w:val="00B07689"/>
    <w:rsid w:val="00B076CD"/>
    <w:rsid w:val="00B077C6"/>
    <w:rsid w:val="00B07810"/>
    <w:rsid w:val="00B07821"/>
    <w:rsid w:val="00B07843"/>
    <w:rsid w:val="00B0787D"/>
    <w:rsid w:val="00B07995"/>
    <w:rsid w:val="00B079F2"/>
    <w:rsid w:val="00B07B50"/>
    <w:rsid w:val="00B07D45"/>
    <w:rsid w:val="00B07EC4"/>
    <w:rsid w:val="00B07EFC"/>
    <w:rsid w:val="00B07F4B"/>
    <w:rsid w:val="00B10250"/>
    <w:rsid w:val="00B1029C"/>
    <w:rsid w:val="00B102BF"/>
    <w:rsid w:val="00B10342"/>
    <w:rsid w:val="00B10437"/>
    <w:rsid w:val="00B104AB"/>
    <w:rsid w:val="00B10526"/>
    <w:rsid w:val="00B10586"/>
    <w:rsid w:val="00B105B3"/>
    <w:rsid w:val="00B105E6"/>
    <w:rsid w:val="00B10665"/>
    <w:rsid w:val="00B106CA"/>
    <w:rsid w:val="00B1074E"/>
    <w:rsid w:val="00B10808"/>
    <w:rsid w:val="00B109B9"/>
    <w:rsid w:val="00B109D0"/>
    <w:rsid w:val="00B10A2B"/>
    <w:rsid w:val="00B10A49"/>
    <w:rsid w:val="00B10ADF"/>
    <w:rsid w:val="00B10B0D"/>
    <w:rsid w:val="00B10B10"/>
    <w:rsid w:val="00B10B25"/>
    <w:rsid w:val="00B10CD1"/>
    <w:rsid w:val="00B10D14"/>
    <w:rsid w:val="00B10D2F"/>
    <w:rsid w:val="00B10DCD"/>
    <w:rsid w:val="00B10E2F"/>
    <w:rsid w:val="00B10E3E"/>
    <w:rsid w:val="00B10F33"/>
    <w:rsid w:val="00B115F7"/>
    <w:rsid w:val="00B11647"/>
    <w:rsid w:val="00B11744"/>
    <w:rsid w:val="00B117E2"/>
    <w:rsid w:val="00B117E4"/>
    <w:rsid w:val="00B11846"/>
    <w:rsid w:val="00B119D5"/>
    <w:rsid w:val="00B119E4"/>
    <w:rsid w:val="00B11B72"/>
    <w:rsid w:val="00B11B78"/>
    <w:rsid w:val="00B11C4B"/>
    <w:rsid w:val="00B11CAD"/>
    <w:rsid w:val="00B11E8B"/>
    <w:rsid w:val="00B1201D"/>
    <w:rsid w:val="00B12093"/>
    <w:rsid w:val="00B12146"/>
    <w:rsid w:val="00B12223"/>
    <w:rsid w:val="00B12245"/>
    <w:rsid w:val="00B122EE"/>
    <w:rsid w:val="00B12371"/>
    <w:rsid w:val="00B12576"/>
    <w:rsid w:val="00B126D6"/>
    <w:rsid w:val="00B12852"/>
    <w:rsid w:val="00B12A8E"/>
    <w:rsid w:val="00B12A95"/>
    <w:rsid w:val="00B12B40"/>
    <w:rsid w:val="00B12C0F"/>
    <w:rsid w:val="00B12C66"/>
    <w:rsid w:val="00B12E05"/>
    <w:rsid w:val="00B12E56"/>
    <w:rsid w:val="00B12FF2"/>
    <w:rsid w:val="00B13134"/>
    <w:rsid w:val="00B1318F"/>
    <w:rsid w:val="00B131DE"/>
    <w:rsid w:val="00B13287"/>
    <w:rsid w:val="00B13294"/>
    <w:rsid w:val="00B132DE"/>
    <w:rsid w:val="00B132E9"/>
    <w:rsid w:val="00B13328"/>
    <w:rsid w:val="00B133B3"/>
    <w:rsid w:val="00B13403"/>
    <w:rsid w:val="00B13445"/>
    <w:rsid w:val="00B13551"/>
    <w:rsid w:val="00B1369C"/>
    <w:rsid w:val="00B13A4F"/>
    <w:rsid w:val="00B13A95"/>
    <w:rsid w:val="00B13CAE"/>
    <w:rsid w:val="00B13D29"/>
    <w:rsid w:val="00B13E14"/>
    <w:rsid w:val="00B13E27"/>
    <w:rsid w:val="00B13E83"/>
    <w:rsid w:val="00B13E96"/>
    <w:rsid w:val="00B14285"/>
    <w:rsid w:val="00B14318"/>
    <w:rsid w:val="00B1441C"/>
    <w:rsid w:val="00B145BF"/>
    <w:rsid w:val="00B145ED"/>
    <w:rsid w:val="00B146B8"/>
    <w:rsid w:val="00B14726"/>
    <w:rsid w:val="00B147D1"/>
    <w:rsid w:val="00B14825"/>
    <w:rsid w:val="00B148A8"/>
    <w:rsid w:val="00B14983"/>
    <w:rsid w:val="00B14A26"/>
    <w:rsid w:val="00B14A4B"/>
    <w:rsid w:val="00B14AE9"/>
    <w:rsid w:val="00B14AFD"/>
    <w:rsid w:val="00B14F7F"/>
    <w:rsid w:val="00B1500B"/>
    <w:rsid w:val="00B15015"/>
    <w:rsid w:val="00B15037"/>
    <w:rsid w:val="00B1524D"/>
    <w:rsid w:val="00B15277"/>
    <w:rsid w:val="00B152E6"/>
    <w:rsid w:val="00B153A1"/>
    <w:rsid w:val="00B15533"/>
    <w:rsid w:val="00B1574E"/>
    <w:rsid w:val="00B157B2"/>
    <w:rsid w:val="00B157F1"/>
    <w:rsid w:val="00B157F9"/>
    <w:rsid w:val="00B15953"/>
    <w:rsid w:val="00B15A3B"/>
    <w:rsid w:val="00B15A4F"/>
    <w:rsid w:val="00B15AE4"/>
    <w:rsid w:val="00B15AE5"/>
    <w:rsid w:val="00B15B69"/>
    <w:rsid w:val="00B15B94"/>
    <w:rsid w:val="00B15CEC"/>
    <w:rsid w:val="00B16151"/>
    <w:rsid w:val="00B16246"/>
    <w:rsid w:val="00B163A0"/>
    <w:rsid w:val="00B165A6"/>
    <w:rsid w:val="00B166D3"/>
    <w:rsid w:val="00B16881"/>
    <w:rsid w:val="00B1694A"/>
    <w:rsid w:val="00B16965"/>
    <w:rsid w:val="00B169F2"/>
    <w:rsid w:val="00B16A23"/>
    <w:rsid w:val="00B16B1B"/>
    <w:rsid w:val="00B16B1D"/>
    <w:rsid w:val="00B16B1E"/>
    <w:rsid w:val="00B16B92"/>
    <w:rsid w:val="00B16D0E"/>
    <w:rsid w:val="00B16D5B"/>
    <w:rsid w:val="00B16E87"/>
    <w:rsid w:val="00B16E88"/>
    <w:rsid w:val="00B16FCB"/>
    <w:rsid w:val="00B16FF3"/>
    <w:rsid w:val="00B17081"/>
    <w:rsid w:val="00B170D1"/>
    <w:rsid w:val="00B17229"/>
    <w:rsid w:val="00B17235"/>
    <w:rsid w:val="00B17241"/>
    <w:rsid w:val="00B17392"/>
    <w:rsid w:val="00B174D3"/>
    <w:rsid w:val="00B1762D"/>
    <w:rsid w:val="00B17640"/>
    <w:rsid w:val="00B17666"/>
    <w:rsid w:val="00B17812"/>
    <w:rsid w:val="00B1785A"/>
    <w:rsid w:val="00B179E8"/>
    <w:rsid w:val="00B17C6F"/>
    <w:rsid w:val="00B17CFD"/>
    <w:rsid w:val="00B17D9B"/>
    <w:rsid w:val="00B17DAD"/>
    <w:rsid w:val="00B17DB5"/>
    <w:rsid w:val="00B17E95"/>
    <w:rsid w:val="00B20139"/>
    <w:rsid w:val="00B2016D"/>
    <w:rsid w:val="00B201BE"/>
    <w:rsid w:val="00B202F6"/>
    <w:rsid w:val="00B20318"/>
    <w:rsid w:val="00B2033C"/>
    <w:rsid w:val="00B203ED"/>
    <w:rsid w:val="00B20474"/>
    <w:rsid w:val="00B204C0"/>
    <w:rsid w:val="00B20546"/>
    <w:rsid w:val="00B2092D"/>
    <w:rsid w:val="00B209A2"/>
    <w:rsid w:val="00B20ACF"/>
    <w:rsid w:val="00B20C91"/>
    <w:rsid w:val="00B20E00"/>
    <w:rsid w:val="00B21104"/>
    <w:rsid w:val="00B21261"/>
    <w:rsid w:val="00B2137B"/>
    <w:rsid w:val="00B214E0"/>
    <w:rsid w:val="00B21532"/>
    <w:rsid w:val="00B21639"/>
    <w:rsid w:val="00B218DB"/>
    <w:rsid w:val="00B21991"/>
    <w:rsid w:val="00B21994"/>
    <w:rsid w:val="00B219B4"/>
    <w:rsid w:val="00B21A1C"/>
    <w:rsid w:val="00B21A8D"/>
    <w:rsid w:val="00B21ACA"/>
    <w:rsid w:val="00B21B25"/>
    <w:rsid w:val="00B21B46"/>
    <w:rsid w:val="00B21BD0"/>
    <w:rsid w:val="00B22000"/>
    <w:rsid w:val="00B2201D"/>
    <w:rsid w:val="00B22156"/>
    <w:rsid w:val="00B2216E"/>
    <w:rsid w:val="00B22201"/>
    <w:rsid w:val="00B22230"/>
    <w:rsid w:val="00B222B6"/>
    <w:rsid w:val="00B222D7"/>
    <w:rsid w:val="00B223E1"/>
    <w:rsid w:val="00B225B6"/>
    <w:rsid w:val="00B225C7"/>
    <w:rsid w:val="00B22623"/>
    <w:rsid w:val="00B226DC"/>
    <w:rsid w:val="00B22992"/>
    <w:rsid w:val="00B22B66"/>
    <w:rsid w:val="00B22E5B"/>
    <w:rsid w:val="00B22FD4"/>
    <w:rsid w:val="00B230B6"/>
    <w:rsid w:val="00B230C2"/>
    <w:rsid w:val="00B231BA"/>
    <w:rsid w:val="00B2329D"/>
    <w:rsid w:val="00B23360"/>
    <w:rsid w:val="00B23380"/>
    <w:rsid w:val="00B23560"/>
    <w:rsid w:val="00B2364C"/>
    <w:rsid w:val="00B2366E"/>
    <w:rsid w:val="00B236E3"/>
    <w:rsid w:val="00B236E4"/>
    <w:rsid w:val="00B236FA"/>
    <w:rsid w:val="00B237F1"/>
    <w:rsid w:val="00B2385F"/>
    <w:rsid w:val="00B23932"/>
    <w:rsid w:val="00B23934"/>
    <w:rsid w:val="00B2399F"/>
    <w:rsid w:val="00B239BA"/>
    <w:rsid w:val="00B23AD5"/>
    <w:rsid w:val="00B23C87"/>
    <w:rsid w:val="00B23C92"/>
    <w:rsid w:val="00B23EE5"/>
    <w:rsid w:val="00B23FFE"/>
    <w:rsid w:val="00B2405B"/>
    <w:rsid w:val="00B2416B"/>
    <w:rsid w:val="00B24206"/>
    <w:rsid w:val="00B2424C"/>
    <w:rsid w:val="00B2425A"/>
    <w:rsid w:val="00B244B3"/>
    <w:rsid w:val="00B244D2"/>
    <w:rsid w:val="00B245E9"/>
    <w:rsid w:val="00B24C9B"/>
    <w:rsid w:val="00B24D47"/>
    <w:rsid w:val="00B24E7C"/>
    <w:rsid w:val="00B24F2E"/>
    <w:rsid w:val="00B24F43"/>
    <w:rsid w:val="00B24F46"/>
    <w:rsid w:val="00B24FA0"/>
    <w:rsid w:val="00B251C3"/>
    <w:rsid w:val="00B252E7"/>
    <w:rsid w:val="00B25414"/>
    <w:rsid w:val="00B25439"/>
    <w:rsid w:val="00B2547E"/>
    <w:rsid w:val="00B2582C"/>
    <w:rsid w:val="00B25846"/>
    <w:rsid w:val="00B2596E"/>
    <w:rsid w:val="00B25A07"/>
    <w:rsid w:val="00B25A53"/>
    <w:rsid w:val="00B25BBA"/>
    <w:rsid w:val="00B25C85"/>
    <w:rsid w:val="00B25C94"/>
    <w:rsid w:val="00B25CD2"/>
    <w:rsid w:val="00B25CFF"/>
    <w:rsid w:val="00B25E07"/>
    <w:rsid w:val="00B25E66"/>
    <w:rsid w:val="00B2627D"/>
    <w:rsid w:val="00B2643E"/>
    <w:rsid w:val="00B26717"/>
    <w:rsid w:val="00B267D8"/>
    <w:rsid w:val="00B26911"/>
    <w:rsid w:val="00B2692A"/>
    <w:rsid w:val="00B26C30"/>
    <w:rsid w:val="00B26D18"/>
    <w:rsid w:val="00B26D5C"/>
    <w:rsid w:val="00B26ECE"/>
    <w:rsid w:val="00B27090"/>
    <w:rsid w:val="00B27157"/>
    <w:rsid w:val="00B271EF"/>
    <w:rsid w:val="00B27266"/>
    <w:rsid w:val="00B272D8"/>
    <w:rsid w:val="00B27348"/>
    <w:rsid w:val="00B274CD"/>
    <w:rsid w:val="00B27709"/>
    <w:rsid w:val="00B27752"/>
    <w:rsid w:val="00B2790A"/>
    <w:rsid w:val="00B279E3"/>
    <w:rsid w:val="00B27A69"/>
    <w:rsid w:val="00B27B6F"/>
    <w:rsid w:val="00B27C57"/>
    <w:rsid w:val="00B27C5A"/>
    <w:rsid w:val="00B27CDF"/>
    <w:rsid w:val="00B27D8B"/>
    <w:rsid w:val="00B27D8C"/>
    <w:rsid w:val="00B27E66"/>
    <w:rsid w:val="00B27EAE"/>
    <w:rsid w:val="00B301A6"/>
    <w:rsid w:val="00B302B9"/>
    <w:rsid w:val="00B30338"/>
    <w:rsid w:val="00B30401"/>
    <w:rsid w:val="00B3040C"/>
    <w:rsid w:val="00B30566"/>
    <w:rsid w:val="00B305C3"/>
    <w:rsid w:val="00B305D2"/>
    <w:rsid w:val="00B305EE"/>
    <w:rsid w:val="00B3073A"/>
    <w:rsid w:val="00B3082E"/>
    <w:rsid w:val="00B30913"/>
    <w:rsid w:val="00B30978"/>
    <w:rsid w:val="00B3098C"/>
    <w:rsid w:val="00B30AB7"/>
    <w:rsid w:val="00B30AF2"/>
    <w:rsid w:val="00B30B6D"/>
    <w:rsid w:val="00B30B99"/>
    <w:rsid w:val="00B30C18"/>
    <w:rsid w:val="00B30C9A"/>
    <w:rsid w:val="00B30D1E"/>
    <w:rsid w:val="00B30E66"/>
    <w:rsid w:val="00B31169"/>
    <w:rsid w:val="00B31219"/>
    <w:rsid w:val="00B314A2"/>
    <w:rsid w:val="00B314C2"/>
    <w:rsid w:val="00B31532"/>
    <w:rsid w:val="00B31561"/>
    <w:rsid w:val="00B31621"/>
    <w:rsid w:val="00B318BD"/>
    <w:rsid w:val="00B31A3B"/>
    <w:rsid w:val="00B31A73"/>
    <w:rsid w:val="00B31AA0"/>
    <w:rsid w:val="00B31B9C"/>
    <w:rsid w:val="00B31BED"/>
    <w:rsid w:val="00B31C63"/>
    <w:rsid w:val="00B31D18"/>
    <w:rsid w:val="00B31F11"/>
    <w:rsid w:val="00B32095"/>
    <w:rsid w:val="00B320D7"/>
    <w:rsid w:val="00B321D4"/>
    <w:rsid w:val="00B326B6"/>
    <w:rsid w:val="00B326D0"/>
    <w:rsid w:val="00B3273F"/>
    <w:rsid w:val="00B32772"/>
    <w:rsid w:val="00B32811"/>
    <w:rsid w:val="00B32905"/>
    <w:rsid w:val="00B3292A"/>
    <w:rsid w:val="00B32A1D"/>
    <w:rsid w:val="00B32A74"/>
    <w:rsid w:val="00B32B1D"/>
    <w:rsid w:val="00B32B6F"/>
    <w:rsid w:val="00B32BE7"/>
    <w:rsid w:val="00B32C26"/>
    <w:rsid w:val="00B32DE3"/>
    <w:rsid w:val="00B32F5E"/>
    <w:rsid w:val="00B332EA"/>
    <w:rsid w:val="00B3363E"/>
    <w:rsid w:val="00B3374C"/>
    <w:rsid w:val="00B33800"/>
    <w:rsid w:val="00B33911"/>
    <w:rsid w:val="00B33AB2"/>
    <w:rsid w:val="00B33AEA"/>
    <w:rsid w:val="00B33DD7"/>
    <w:rsid w:val="00B33DF2"/>
    <w:rsid w:val="00B33FFE"/>
    <w:rsid w:val="00B342F6"/>
    <w:rsid w:val="00B3443D"/>
    <w:rsid w:val="00B344A8"/>
    <w:rsid w:val="00B3463A"/>
    <w:rsid w:val="00B346BF"/>
    <w:rsid w:val="00B346FC"/>
    <w:rsid w:val="00B3476D"/>
    <w:rsid w:val="00B347FA"/>
    <w:rsid w:val="00B347FF"/>
    <w:rsid w:val="00B34850"/>
    <w:rsid w:val="00B34918"/>
    <w:rsid w:val="00B34981"/>
    <w:rsid w:val="00B34A12"/>
    <w:rsid w:val="00B34AEB"/>
    <w:rsid w:val="00B34B31"/>
    <w:rsid w:val="00B34C20"/>
    <w:rsid w:val="00B34E79"/>
    <w:rsid w:val="00B34FBD"/>
    <w:rsid w:val="00B35077"/>
    <w:rsid w:val="00B350E8"/>
    <w:rsid w:val="00B351CE"/>
    <w:rsid w:val="00B353C0"/>
    <w:rsid w:val="00B353D8"/>
    <w:rsid w:val="00B35418"/>
    <w:rsid w:val="00B354C5"/>
    <w:rsid w:val="00B356B0"/>
    <w:rsid w:val="00B35B3F"/>
    <w:rsid w:val="00B35B4F"/>
    <w:rsid w:val="00B35B58"/>
    <w:rsid w:val="00B35B9D"/>
    <w:rsid w:val="00B35CE5"/>
    <w:rsid w:val="00B35D1E"/>
    <w:rsid w:val="00B35D1F"/>
    <w:rsid w:val="00B35DA1"/>
    <w:rsid w:val="00B35F81"/>
    <w:rsid w:val="00B3601B"/>
    <w:rsid w:val="00B36160"/>
    <w:rsid w:val="00B36306"/>
    <w:rsid w:val="00B363AC"/>
    <w:rsid w:val="00B363E6"/>
    <w:rsid w:val="00B36442"/>
    <w:rsid w:val="00B3645D"/>
    <w:rsid w:val="00B3645F"/>
    <w:rsid w:val="00B36520"/>
    <w:rsid w:val="00B36535"/>
    <w:rsid w:val="00B36720"/>
    <w:rsid w:val="00B36748"/>
    <w:rsid w:val="00B36965"/>
    <w:rsid w:val="00B369DE"/>
    <w:rsid w:val="00B36A04"/>
    <w:rsid w:val="00B36ADA"/>
    <w:rsid w:val="00B36AE0"/>
    <w:rsid w:val="00B36DAF"/>
    <w:rsid w:val="00B36FF6"/>
    <w:rsid w:val="00B370A1"/>
    <w:rsid w:val="00B37184"/>
    <w:rsid w:val="00B37238"/>
    <w:rsid w:val="00B37527"/>
    <w:rsid w:val="00B3754F"/>
    <w:rsid w:val="00B3768A"/>
    <w:rsid w:val="00B376B6"/>
    <w:rsid w:val="00B376C3"/>
    <w:rsid w:val="00B3790F"/>
    <w:rsid w:val="00B379A2"/>
    <w:rsid w:val="00B379C2"/>
    <w:rsid w:val="00B379D6"/>
    <w:rsid w:val="00B37A34"/>
    <w:rsid w:val="00B37A39"/>
    <w:rsid w:val="00B37B0D"/>
    <w:rsid w:val="00B37D08"/>
    <w:rsid w:val="00B37EAB"/>
    <w:rsid w:val="00B37EF5"/>
    <w:rsid w:val="00B37F6A"/>
    <w:rsid w:val="00B4015E"/>
    <w:rsid w:val="00B40173"/>
    <w:rsid w:val="00B401BA"/>
    <w:rsid w:val="00B4024E"/>
    <w:rsid w:val="00B40373"/>
    <w:rsid w:val="00B404BA"/>
    <w:rsid w:val="00B405AC"/>
    <w:rsid w:val="00B405F9"/>
    <w:rsid w:val="00B40679"/>
    <w:rsid w:val="00B40688"/>
    <w:rsid w:val="00B40778"/>
    <w:rsid w:val="00B40CA6"/>
    <w:rsid w:val="00B40EA6"/>
    <w:rsid w:val="00B40F68"/>
    <w:rsid w:val="00B40F79"/>
    <w:rsid w:val="00B40FBA"/>
    <w:rsid w:val="00B410D6"/>
    <w:rsid w:val="00B4111D"/>
    <w:rsid w:val="00B41229"/>
    <w:rsid w:val="00B41320"/>
    <w:rsid w:val="00B41349"/>
    <w:rsid w:val="00B41355"/>
    <w:rsid w:val="00B41359"/>
    <w:rsid w:val="00B413AA"/>
    <w:rsid w:val="00B41493"/>
    <w:rsid w:val="00B41515"/>
    <w:rsid w:val="00B415B9"/>
    <w:rsid w:val="00B4163E"/>
    <w:rsid w:val="00B4165A"/>
    <w:rsid w:val="00B4166F"/>
    <w:rsid w:val="00B41745"/>
    <w:rsid w:val="00B41881"/>
    <w:rsid w:val="00B41890"/>
    <w:rsid w:val="00B41978"/>
    <w:rsid w:val="00B41A17"/>
    <w:rsid w:val="00B41DE7"/>
    <w:rsid w:val="00B41E64"/>
    <w:rsid w:val="00B41EE1"/>
    <w:rsid w:val="00B41F12"/>
    <w:rsid w:val="00B420DF"/>
    <w:rsid w:val="00B4212F"/>
    <w:rsid w:val="00B42475"/>
    <w:rsid w:val="00B4249D"/>
    <w:rsid w:val="00B4263F"/>
    <w:rsid w:val="00B4292A"/>
    <w:rsid w:val="00B42DE7"/>
    <w:rsid w:val="00B42DEC"/>
    <w:rsid w:val="00B42E36"/>
    <w:rsid w:val="00B4308D"/>
    <w:rsid w:val="00B431A7"/>
    <w:rsid w:val="00B43435"/>
    <w:rsid w:val="00B43462"/>
    <w:rsid w:val="00B43471"/>
    <w:rsid w:val="00B434B7"/>
    <w:rsid w:val="00B43670"/>
    <w:rsid w:val="00B437C4"/>
    <w:rsid w:val="00B437E1"/>
    <w:rsid w:val="00B439FC"/>
    <w:rsid w:val="00B43A7E"/>
    <w:rsid w:val="00B43AF7"/>
    <w:rsid w:val="00B43B09"/>
    <w:rsid w:val="00B43B5D"/>
    <w:rsid w:val="00B43B93"/>
    <w:rsid w:val="00B43C6F"/>
    <w:rsid w:val="00B43C77"/>
    <w:rsid w:val="00B43CDB"/>
    <w:rsid w:val="00B43DCA"/>
    <w:rsid w:val="00B43EB1"/>
    <w:rsid w:val="00B43F54"/>
    <w:rsid w:val="00B43FD8"/>
    <w:rsid w:val="00B441C4"/>
    <w:rsid w:val="00B44289"/>
    <w:rsid w:val="00B443CD"/>
    <w:rsid w:val="00B444A0"/>
    <w:rsid w:val="00B4458B"/>
    <w:rsid w:val="00B445E9"/>
    <w:rsid w:val="00B44795"/>
    <w:rsid w:val="00B44A28"/>
    <w:rsid w:val="00B44A47"/>
    <w:rsid w:val="00B44B28"/>
    <w:rsid w:val="00B44BD8"/>
    <w:rsid w:val="00B44C75"/>
    <w:rsid w:val="00B44C81"/>
    <w:rsid w:val="00B44D02"/>
    <w:rsid w:val="00B44D70"/>
    <w:rsid w:val="00B44D92"/>
    <w:rsid w:val="00B44E45"/>
    <w:rsid w:val="00B4505E"/>
    <w:rsid w:val="00B45197"/>
    <w:rsid w:val="00B45234"/>
    <w:rsid w:val="00B4524E"/>
    <w:rsid w:val="00B4526E"/>
    <w:rsid w:val="00B45320"/>
    <w:rsid w:val="00B4545D"/>
    <w:rsid w:val="00B455E0"/>
    <w:rsid w:val="00B455E3"/>
    <w:rsid w:val="00B455ED"/>
    <w:rsid w:val="00B45649"/>
    <w:rsid w:val="00B456DC"/>
    <w:rsid w:val="00B45716"/>
    <w:rsid w:val="00B4577C"/>
    <w:rsid w:val="00B457B3"/>
    <w:rsid w:val="00B45876"/>
    <w:rsid w:val="00B45A2C"/>
    <w:rsid w:val="00B45A3F"/>
    <w:rsid w:val="00B45BBE"/>
    <w:rsid w:val="00B45BC6"/>
    <w:rsid w:val="00B45D46"/>
    <w:rsid w:val="00B45E1F"/>
    <w:rsid w:val="00B45E24"/>
    <w:rsid w:val="00B46154"/>
    <w:rsid w:val="00B461AC"/>
    <w:rsid w:val="00B461CA"/>
    <w:rsid w:val="00B462BB"/>
    <w:rsid w:val="00B462D5"/>
    <w:rsid w:val="00B463E9"/>
    <w:rsid w:val="00B46436"/>
    <w:rsid w:val="00B46620"/>
    <w:rsid w:val="00B46734"/>
    <w:rsid w:val="00B467BA"/>
    <w:rsid w:val="00B46AE6"/>
    <w:rsid w:val="00B46CB8"/>
    <w:rsid w:val="00B46EA5"/>
    <w:rsid w:val="00B46EB7"/>
    <w:rsid w:val="00B46F33"/>
    <w:rsid w:val="00B471C7"/>
    <w:rsid w:val="00B47304"/>
    <w:rsid w:val="00B4734E"/>
    <w:rsid w:val="00B474EB"/>
    <w:rsid w:val="00B47524"/>
    <w:rsid w:val="00B4757E"/>
    <w:rsid w:val="00B477F1"/>
    <w:rsid w:val="00B479CD"/>
    <w:rsid w:val="00B47B68"/>
    <w:rsid w:val="00B47C20"/>
    <w:rsid w:val="00B47D5C"/>
    <w:rsid w:val="00B47D7A"/>
    <w:rsid w:val="00B47DA2"/>
    <w:rsid w:val="00B47F18"/>
    <w:rsid w:val="00B47F26"/>
    <w:rsid w:val="00B50078"/>
    <w:rsid w:val="00B501B6"/>
    <w:rsid w:val="00B50228"/>
    <w:rsid w:val="00B50279"/>
    <w:rsid w:val="00B50285"/>
    <w:rsid w:val="00B502AE"/>
    <w:rsid w:val="00B502E8"/>
    <w:rsid w:val="00B50305"/>
    <w:rsid w:val="00B50320"/>
    <w:rsid w:val="00B503E0"/>
    <w:rsid w:val="00B50403"/>
    <w:rsid w:val="00B504E4"/>
    <w:rsid w:val="00B50547"/>
    <w:rsid w:val="00B5077C"/>
    <w:rsid w:val="00B50781"/>
    <w:rsid w:val="00B507C9"/>
    <w:rsid w:val="00B50870"/>
    <w:rsid w:val="00B5091C"/>
    <w:rsid w:val="00B50ABA"/>
    <w:rsid w:val="00B50B60"/>
    <w:rsid w:val="00B50C85"/>
    <w:rsid w:val="00B50D0C"/>
    <w:rsid w:val="00B50EC5"/>
    <w:rsid w:val="00B50F49"/>
    <w:rsid w:val="00B50F92"/>
    <w:rsid w:val="00B51071"/>
    <w:rsid w:val="00B51218"/>
    <w:rsid w:val="00B5131B"/>
    <w:rsid w:val="00B513D1"/>
    <w:rsid w:val="00B51469"/>
    <w:rsid w:val="00B516E4"/>
    <w:rsid w:val="00B51709"/>
    <w:rsid w:val="00B5193B"/>
    <w:rsid w:val="00B519B8"/>
    <w:rsid w:val="00B519D5"/>
    <w:rsid w:val="00B519FA"/>
    <w:rsid w:val="00B51A6A"/>
    <w:rsid w:val="00B51C36"/>
    <w:rsid w:val="00B51CA7"/>
    <w:rsid w:val="00B51CCE"/>
    <w:rsid w:val="00B51F9B"/>
    <w:rsid w:val="00B52075"/>
    <w:rsid w:val="00B52123"/>
    <w:rsid w:val="00B52146"/>
    <w:rsid w:val="00B52314"/>
    <w:rsid w:val="00B52352"/>
    <w:rsid w:val="00B523C3"/>
    <w:rsid w:val="00B52494"/>
    <w:rsid w:val="00B524DB"/>
    <w:rsid w:val="00B5255D"/>
    <w:rsid w:val="00B52747"/>
    <w:rsid w:val="00B52772"/>
    <w:rsid w:val="00B5295A"/>
    <w:rsid w:val="00B52A2F"/>
    <w:rsid w:val="00B52A41"/>
    <w:rsid w:val="00B52AAC"/>
    <w:rsid w:val="00B52CA3"/>
    <w:rsid w:val="00B52CBD"/>
    <w:rsid w:val="00B52D1D"/>
    <w:rsid w:val="00B52E00"/>
    <w:rsid w:val="00B52E25"/>
    <w:rsid w:val="00B52FE3"/>
    <w:rsid w:val="00B53040"/>
    <w:rsid w:val="00B531AC"/>
    <w:rsid w:val="00B5321E"/>
    <w:rsid w:val="00B5326E"/>
    <w:rsid w:val="00B532B9"/>
    <w:rsid w:val="00B53405"/>
    <w:rsid w:val="00B534C9"/>
    <w:rsid w:val="00B5379C"/>
    <w:rsid w:val="00B53806"/>
    <w:rsid w:val="00B53915"/>
    <w:rsid w:val="00B5397E"/>
    <w:rsid w:val="00B53A1F"/>
    <w:rsid w:val="00B53A37"/>
    <w:rsid w:val="00B53A45"/>
    <w:rsid w:val="00B53AC8"/>
    <w:rsid w:val="00B53AD2"/>
    <w:rsid w:val="00B53C70"/>
    <w:rsid w:val="00B53CA6"/>
    <w:rsid w:val="00B53E19"/>
    <w:rsid w:val="00B53FB7"/>
    <w:rsid w:val="00B54002"/>
    <w:rsid w:val="00B541CF"/>
    <w:rsid w:val="00B54233"/>
    <w:rsid w:val="00B542DE"/>
    <w:rsid w:val="00B54318"/>
    <w:rsid w:val="00B543F3"/>
    <w:rsid w:val="00B54403"/>
    <w:rsid w:val="00B54539"/>
    <w:rsid w:val="00B546D1"/>
    <w:rsid w:val="00B5474F"/>
    <w:rsid w:val="00B547BE"/>
    <w:rsid w:val="00B548F9"/>
    <w:rsid w:val="00B54A05"/>
    <w:rsid w:val="00B54D08"/>
    <w:rsid w:val="00B54D37"/>
    <w:rsid w:val="00B54EEF"/>
    <w:rsid w:val="00B54FAA"/>
    <w:rsid w:val="00B55029"/>
    <w:rsid w:val="00B55076"/>
    <w:rsid w:val="00B5509D"/>
    <w:rsid w:val="00B5511D"/>
    <w:rsid w:val="00B551E5"/>
    <w:rsid w:val="00B552C0"/>
    <w:rsid w:val="00B55429"/>
    <w:rsid w:val="00B556D9"/>
    <w:rsid w:val="00B557B5"/>
    <w:rsid w:val="00B5589B"/>
    <w:rsid w:val="00B558C6"/>
    <w:rsid w:val="00B55ACE"/>
    <w:rsid w:val="00B55B3C"/>
    <w:rsid w:val="00B55D48"/>
    <w:rsid w:val="00B55DAD"/>
    <w:rsid w:val="00B55E1B"/>
    <w:rsid w:val="00B55E28"/>
    <w:rsid w:val="00B55E5B"/>
    <w:rsid w:val="00B5602C"/>
    <w:rsid w:val="00B56057"/>
    <w:rsid w:val="00B560DC"/>
    <w:rsid w:val="00B56173"/>
    <w:rsid w:val="00B56224"/>
    <w:rsid w:val="00B56248"/>
    <w:rsid w:val="00B562F7"/>
    <w:rsid w:val="00B5646B"/>
    <w:rsid w:val="00B5656F"/>
    <w:rsid w:val="00B56581"/>
    <w:rsid w:val="00B566B3"/>
    <w:rsid w:val="00B5673C"/>
    <w:rsid w:val="00B567D2"/>
    <w:rsid w:val="00B568B7"/>
    <w:rsid w:val="00B568C8"/>
    <w:rsid w:val="00B569C4"/>
    <w:rsid w:val="00B56A9C"/>
    <w:rsid w:val="00B56AE0"/>
    <w:rsid w:val="00B56B89"/>
    <w:rsid w:val="00B56E51"/>
    <w:rsid w:val="00B56EE3"/>
    <w:rsid w:val="00B56F7D"/>
    <w:rsid w:val="00B5755F"/>
    <w:rsid w:val="00B5762B"/>
    <w:rsid w:val="00B577D5"/>
    <w:rsid w:val="00B5793F"/>
    <w:rsid w:val="00B57A3D"/>
    <w:rsid w:val="00B57AC5"/>
    <w:rsid w:val="00B57BAE"/>
    <w:rsid w:val="00B57EBF"/>
    <w:rsid w:val="00B60042"/>
    <w:rsid w:val="00B600A4"/>
    <w:rsid w:val="00B60523"/>
    <w:rsid w:val="00B60547"/>
    <w:rsid w:val="00B605E2"/>
    <w:rsid w:val="00B6076F"/>
    <w:rsid w:val="00B607EB"/>
    <w:rsid w:val="00B60805"/>
    <w:rsid w:val="00B608A3"/>
    <w:rsid w:val="00B609EA"/>
    <w:rsid w:val="00B60C6D"/>
    <w:rsid w:val="00B60CAF"/>
    <w:rsid w:val="00B60D0A"/>
    <w:rsid w:val="00B60D12"/>
    <w:rsid w:val="00B60D64"/>
    <w:rsid w:val="00B60EB5"/>
    <w:rsid w:val="00B60F41"/>
    <w:rsid w:val="00B60FE5"/>
    <w:rsid w:val="00B610AE"/>
    <w:rsid w:val="00B611B5"/>
    <w:rsid w:val="00B611E1"/>
    <w:rsid w:val="00B61296"/>
    <w:rsid w:val="00B613C5"/>
    <w:rsid w:val="00B6142E"/>
    <w:rsid w:val="00B6144E"/>
    <w:rsid w:val="00B61468"/>
    <w:rsid w:val="00B614D1"/>
    <w:rsid w:val="00B615AB"/>
    <w:rsid w:val="00B615D9"/>
    <w:rsid w:val="00B618E4"/>
    <w:rsid w:val="00B6191C"/>
    <w:rsid w:val="00B61BCF"/>
    <w:rsid w:val="00B61C51"/>
    <w:rsid w:val="00B61CD7"/>
    <w:rsid w:val="00B61D3C"/>
    <w:rsid w:val="00B61DA9"/>
    <w:rsid w:val="00B61DF9"/>
    <w:rsid w:val="00B61EC9"/>
    <w:rsid w:val="00B62048"/>
    <w:rsid w:val="00B6209D"/>
    <w:rsid w:val="00B6220F"/>
    <w:rsid w:val="00B622B4"/>
    <w:rsid w:val="00B62305"/>
    <w:rsid w:val="00B6247C"/>
    <w:rsid w:val="00B6274E"/>
    <w:rsid w:val="00B62984"/>
    <w:rsid w:val="00B62AB1"/>
    <w:rsid w:val="00B62AD5"/>
    <w:rsid w:val="00B62BD3"/>
    <w:rsid w:val="00B62C7A"/>
    <w:rsid w:val="00B62C80"/>
    <w:rsid w:val="00B62C92"/>
    <w:rsid w:val="00B62D5A"/>
    <w:rsid w:val="00B62DF6"/>
    <w:rsid w:val="00B62E27"/>
    <w:rsid w:val="00B62EFC"/>
    <w:rsid w:val="00B62F84"/>
    <w:rsid w:val="00B62FAB"/>
    <w:rsid w:val="00B630DF"/>
    <w:rsid w:val="00B63118"/>
    <w:rsid w:val="00B631A0"/>
    <w:rsid w:val="00B63243"/>
    <w:rsid w:val="00B632CA"/>
    <w:rsid w:val="00B632FD"/>
    <w:rsid w:val="00B63598"/>
    <w:rsid w:val="00B63651"/>
    <w:rsid w:val="00B63721"/>
    <w:rsid w:val="00B63761"/>
    <w:rsid w:val="00B638EB"/>
    <w:rsid w:val="00B63972"/>
    <w:rsid w:val="00B63B46"/>
    <w:rsid w:val="00B63B97"/>
    <w:rsid w:val="00B63BB4"/>
    <w:rsid w:val="00B63BCC"/>
    <w:rsid w:val="00B63C86"/>
    <w:rsid w:val="00B63CEF"/>
    <w:rsid w:val="00B63D9B"/>
    <w:rsid w:val="00B63EC3"/>
    <w:rsid w:val="00B63F6F"/>
    <w:rsid w:val="00B640D0"/>
    <w:rsid w:val="00B6418B"/>
    <w:rsid w:val="00B64192"/>
    <w:rsid w:val="00B641D7"/>
    <w:rsid w:val="00B643FC"/>
    <w:rsid w:val="00B645A4"/>
    <w:rsid w:val="00B645A7"/>
    <w:rsid w:val="00B645C4"/>
    <w:rsid w:val="00B6460B"/>
    <w:rsid w:val="00B64636"/>
    <w:rsid w:val="00B64672"/>
    <w:rsid w:val="00B64894"/>
    <w:rsid w:val="00B64AB9"/>
    <w:rsid w:val="00B64CB3"/>
    <w:rsid w:val="00B64D9F"/>
    <w:rsid w:val="00B64DE4"/>
    <w:rsid w:val="00B64E99"/>
    <w:rsid w:val="00B64ECC"/>
    <w:rsid w:val="00B64F11"/>
    <w:rsid w:val="00B65198"/>
    <w:rsid w:val="00B651ED"/>
    <w:rsid w:val="00B65321"/>
    <w:rsid w:val="00B6537A"/>
    <w:rsid w:val="00B653B6"/>
    <w:rsid w:val="00B6561D"/>
    <w:rsid w:val="00B656E4"/>
    <w:rsid w:val="00B65762"/>
    <w:rsid w:val="00B6577E"/>
    <w:rsid w:val="00B65804"/>
    <w:rsid w:val="00B658D6"/>
    <w:rsid w:val="00B658EC"/>
    <w:rsid w:val="00B65A2A"/>
    <w:rsid w:val="00B65A77"/>
    <w:rsid w:val="00B65A78"/>
    <w:rsid w:val="00B65BD7"/>
    <w:rsid w:val="00B65DE9"/>
    <w:rsid w:val="00B65E73"/>
    <w:rsid w:val="00B65F9D"/>
    <w:rsid w:val="00B66006"/>
    <w:rsid w:val="00B66032"/>
    <w:rsid w:val="00B660FC"/>
    <w:rsid w:val="00B66169"/>
    <w:rsid w:val="00B6623F"/>
    <w:rsid w:val="00B662CB"/>
    <w:rsid w:val="00B66469"/>
    <w:rsid w:val="00B66562"/>
    <w:rsid w:val="00B665A5"/>
    <w:rsid w:val="00B665E8"/>
    <w:rsid w:val="00B6665D"/>
    <w:rsid w:val="00B66670"/>
    <w:rsid w:val="00B669CC"/>
    <w:rsid w:val="00B66B83"/>
    <w:rsid w:val="00B66C03"/>
    <w:rsid w:val="00B66C84"/>
    <w:rsid w:val="00B6705E"/>
    <w:rsid w:val="00B67155"/>
    <w:rsid w:val="00B67174"/>
    <w:rsid w:val="00B671E7"/>
    <w:rsid w:val="00B6720C"/>
    <w:rsid w:val="00B67309"/>
    <w:rsid w:val="00B67311"/>
    <w:rsid w:val="00B674F2"/>
    <w:rsid w:val="00B6763F"/>
    <w:rsid w:val="00B6770E"/>
    <w:rsid w:val="00B67952"/>
    <w:rsid w:val="00B6797A"/>
    <w:rsid w:val="00B679E0"/>
    <w:rsid w:val="00B67A68"/>
    <w:rsid w:val="00B67B2A"/>
    <w:rsid w:val="00B67BC7"/>
    <w:rsid w:val="00B67C6B"/>
    <w:rsid w:val="00B67D63"/>
    <w:rsid w:val="00B67DAF"/>
    <w:rsid w:val="00B67E4F"/>
    <w:rsid w:val="00B70088"/>
    <w:rsid w:val="00B701CA"/>
    <w:rsid w:val="00B70306"/>
    <w:rsid w:val="00B704C6"/>
    <w:rsid w:val="00B704F9"/>
    <w:rsid w:val="00B7057C"/>
    <w:rsid w:val="00B70623"/>
    <w:rsid w:val="00B7067F"/>
    <w:rsid w:val="00B70790"/>
    <w:rsid w:val="00B708C8"/>
    <w:rsid w:val="00B708D3"/>
    <w:rsid w:val="00B708DD"/>
    <w:rsid w:val="00B709DE"/>
    <w:rsid w:val="00B70A6D"/>
    <w:rsid w:val="00B70AD4"/>
    <w:rsid w:val="00B70ADA"/>
    <w:rsid w:val="00B70BD3"/>
    <w:rsid w:val="00B70CC5"/>
    <w:rsid w:val="00B70DB1"/>
    <w:rsid w:val="00B70E59"/>
    <w:rsid w:val="00B70EB8"/>
    <w:rsid w:val="00B70F3A"/>
    <w:rsid w:val="00B71077"/>
    <w:rsid w:val="00B710B7"/>
    <w:rsid w:val="00B711E4"/>
    <w:rsid w:val="00B71442"/>
    <w:rsid w:val="00B7149F"/>
    <w:rsid w:val="00B715EB"/>
    <w:rsid w:val="00B716A0"/>
    <w:rsid w:val="00B717BA"/>
    <w:rsid w:val="00B71907"/>
    <w:rsid w:val="00B7197F"/>
    <w:rsid w:val="00B71A8B"/>
    <w:rsid w:val="00B71B17"/>
    <w:rsid w:val="00B71C8C"/>
    <w:rsid w:val="00B71D18"/>
    <w:rsid w:val="00B71FBB"/>
    <w:rsid w:val="00B720B7"/>
    <w:rsid w:val="00B721C0"/>
    <w:rsid w:val="00B72278"/>
    <w:rsid w:val="00B72323"/>
    <w:rsid w:val="00B72630"/>
    <w:rsid w:val="00B726CE"/>
    <w:rsid w:val="00B72701"/>
    <w:rsid w:val="00B72745"/>
    <w:rsid w:val="00B728F7"/>
    <w:rsid w:val="00B729B6"/>
    <w:rsid w:val="00B72A1E"/>
    <w:rsid w:val="00B72D00"/>
    <w:rsid w:val="00B72D34"/>
    <w:rsid w:val="00B72DBA"/>
    <w:rsid w:val="00B72DE6"/>
    <w:rsid w:val="00B72EFB"/>
    <w:rsid w:val="00B72F3E"/>
    <w:rsid w:val="00B73010"/>
    <w:rsid w:val="00B73130"/>
    <w:rsid w:val="00B73163"/>
    <w:rsid w:val="00B731E7"/>
    <w:rsid w:val="00B73243"/>
    <w:rsid w:val="00B732B4"/>
    <w:rsid w:val="00B7337B"/>
    <w:rsid w:val="00B73395"/>
    <w:rsid w:val="00B734DC"/>
    <w:rsid w:val="00B734F4"/>
    <w:rsid w:val="00B7360E"/>
    <w:rsid w:val="00B736D8"/>
    <w:rsid w:val="00B7396C"/>
    <w:rsid w:val="00B73B5D"/>
    <w:rsid w:val="00B73CF4"/>
    <w:rsid w:val="00B73CFD"/>
    <w:rsid w:val="00B73F3B"/>
    <w:rsid w:val="00B74022"/>
    <w:rsid w:val="00B740D7"/>
    <w:rsid w:val="00B740FF"/>
    <w:rsid w:val="00B74172"/>
    <w:rsid w:val="00B74198"/>
    <w:rsid w:val="00B74214"/>
    <w:rsid w:val="00B74247"/>
    <w:rsid w:val="00B74257"/>
    <w:rsid w:val="00B742E7"/>
    <w:rsid w:val="00B743C7"/>
    <w:rsid w:val="00B74427"/>
    <w:rsid w:val="00B74464"/>
    <w:rsid w:val="00B744FD"/>
    <w:rsid w:val="00B7456F"/>
    <w:rsid w:val="00B7460A"/>
    <w:rsid w:val="00B74696"/>
    <w:rsid w:val="00B746DB"/>
    <w:rsid w:val="00B747AE"/>
    <w:rsid w:val="00B747F4"/>
    <w:rsid w:val="00B749EC"/>
    <w:rsid w:val="00B74A6F"/>
    <w:rsid w:val="00B74CE0"/>
    <w:rsid w:val="00B74DB7"/>
    <w:rsid w:val="00B75005"/>
    <w:rsid w:val="00B75089"/>
    <w:rsid w:val="00B75176"/>
    <w:rsid w:val="00B753A3"/>
    <w:rsid w:val="00B753D1"/>
    <w:rsid w:val="00B755AB"/>
    <w:rsid w:val="00B7567C"/>
    <w:rsid w:val="00B75809"/>
    <w:rsid w:val="00B75901"/>
    <w:rsid w:val="00B7590F"/>
    <w:rsid w:val="00B7595D"/>
    <w:rsid w:val="00B75971"/>
    <w:rsid w:val="00B759F7"/>
    <w:rsid w:val="00B75A80"/>
    <w:rsid w:val="00B75B0A"/>
    <w:rsid w:val="00B75C9C"/>
    <w:rsid w:val="00B75D80"/>
    <w:rsid w:val="00B75E1F"/>
    <w:rsid w:val="00B75E67"/>
    <w:rsid w:val="00B75F15"/>
    <w:rsid w:val="00B75F74"/>
    <w:rsid w:val="00B75FD7"/>
    <w:rsid w:val="00B7616E"/>
    <w:rsid w:val="00B761FA"/>
    <w:rsid w:val="00B76436"/>
    <w:rsid w:val="00B764BF"/>
    <w:rsid w:val="00B7656A"/>
    <w:rsid w:val="00B767DB"/>
    <w:rsid w:val="00B76882"/>
    <w:rsid w:val="00B76957"/>
    <w:rsid w:val="00B76BB3"/>
    <w:rsid w:val="00B76DF3"/>
    <w:rsid w:val="00B76E6F"/>
    <w:rsid w:val="00B77200"/>
    <w:rsid w:val="00B77258"/>
    <w:rsid w:val="00B77268"/>
    <w:rsid w:val="00B77491"/>
    <w:rsid w:val="00B7754D"/>
    <w:rsid w:val="00B775FF"/>
    <w:rsid w:val="00B7761D"/>
    <w:rsid w:val="00B776F4"/>
    <w:rsid w:val="00B77760"/>
    <w:rsid w:val="00B7790A"/>
    <w:rsid w:val="00B779F0"/>
    <w:rsid w:val="00B77A24"/>
    <w:rsid w:val="00B77A7D"/>
    <w:rsid w:val="00B77E1E"/>
    <w:rsid w:val="00B77F33"/>
    <w:rsid w:val="00B77F40"/>
    <w:rsid w:val="00B800E4"/>
    <w:rsid w:val="00B8013C"/>
    <w:rsid w:val="00B80196"/>
    <w:rsid w:val="00B802D8"/>
    <w:rsid w:val="00B802F2"/>
    <w:rsid w:val="00B80457"/>
    <w:rsid w:val="00B804BF"/>
    <w:rsid w:val="00B805CC"/>
    <w:rsid w:val="00B80604"/>
    <w:rsid w:val="00B80634"/>
    <w:rsid w:val="00B806D1"/>
    <w:rsid w:val="00B8078E"/>
    <w:rsid w:val="00B80796"/>
    <w:rsid w:val="00B807DB"/>
    <w:rsid w:val="00B8083A"/>
    <w:rsid w:val="00B80995"/>
    <w:rsid w:val="00B80B12"/>
    <w:rsid w:val="00B80C03"/>
    <w:rsid w:val="00B80C0E"/>
    <w:rsid w:val="00B80C2E"/>
    <w:rsid w:val="00B80DEE"/>
    <w:rsid w:val="00B80DFB"/>
    <w:rsid w:val="00B80E3B"/>
    <w:rsid w:val="00B80E68"/>
    <w:rsid w:val="00B80FAB"/>
    <w:rsid w:val="00B81200"/>
    <w:rsid w:val="00B8120D"/>
    <w:rsid w:val="00B8124E"/>
    <w:rsid w:val="00B814DA"/>
    <w:rsid w:val="00B815C1"/>
    <w:rsid w:val="00B816A9"/>
    <w:rsid w:val="00B81896"/>
    <w:rsid w:val="00B8192C"/>
    <w:rsid w:val="00B81982"/>
    <w:rsid w:val="00B81A04"/>
    <w:rsid w:val="00B81AB1"/>
    <w:rsid w:val="00B81C8A"/>
    <w:rsid w:val="00B81D13"/>
    <w:rsid w:val="00B81F0F"/>
    <w:rsid w:val="00B81F49"/>
    <w:rsid w:val="00B81FB4"/>
    <w:rsid w:val="00B81FD6"/>
    <w:rsid w:val="00B82001"/>
    <w:rsid w:val="00B82141"/>
    <w:rsid w:val="00B8233F"/>
    <w:rsid w:val="00B82354"/>
    <w:rsid w:val="00B823B5"/>
    <w:rsid w:val="00B82663"/>
    <w:rsid w:val="00B82712"/>
    <w:rsid w:val="00B82868"/>
    <w:rsid w:val="00B82921"/>
    <w:rsid w:val="00B82A61"/>
    <w:rsid w:val="00B82AB9"/>
    <w:rsid w:val="00B82B85"/>
    <w:rsid w:val="00B82CD7"/>
    <w:rsid w:val="00B82D06"/>
    <w:rsid w:val="00B82D11"/>
    <w:rsid w:val="00B82D85"/>
    <w:rsid w:val="00B82D86"/>
    <w:rsid w:val="00B82DAC"/>
    <w:rsid w:val="00B82E03"/>
    <w:rsid w:val="00B82F5F"/>
    <w:rsid w:val="00B82FAC"/>
    <w:rsid w:val="00B82FC7"/>
    <w:rsid w:val="00B82FDC"/>
    <w:rsid w:val="00B8302F"/>
    <w:rsid w:val="00B83087"/>
    <w:rsid w:val="00B830D9"/>
    <w:rsid w:val="00B8313C"/>
    <w:rsid w:val="00B83157"/>
    <w:rsid w:val="00B832CB"/>
    <w:rsid w:val="00B83358"/>
    <w:rsid w:val="00B8344A"/>
    <w:rsid w:val="00B83490"/>
    <w:rsid w:val="00B834E1"/>
    <w:rsid w:val="00B835DD"/>
    <w:rsid w:val="00B83609"/>
    <w:rsid w:val="00B83685"/>
    <w:rsid w:val="00B837E7"/>
    <w:rsid w:val="00B838CF"/>
    <w:rsid w:val="00B839EF"/>
    <w:rsid w:val="00B839FE"/>
    <w:rsid w:val="00B83AAC"/>
    <w:rsid w:val="00B83C77"/>
    <w:rsid w:val="00B83CCC"/>
    <w:rsid w:val="00B83D65"/>
    <w:rsid w:val="00B83DB4"/>
    <w:rsid w:val="00B83EDD"/>
    <w:rsid w:val="00B83EDF"/>
    <w:rsid w:val="00B8402B"/>
    <w:rsid w:val="00B8409E"/>
    <w:rsid w:val="00B840C0"/>
    <w:rsid w:val="00B8411A"/>
    <w:rsid w:val="00B8420D"/>
    <w:rsid w:val="00B84536"/>
    <w:rsid w:val="00B84581"/>
    <w:rsid w:val="00B84598"/>
    <w:rsid w:val="00B84682"/>
    <w:rsid w:val="00B8470F"/>
    <w:rsid w:val="00B84A99"/>
    <w:rsid w:val="00B84BA6"/>
    <w:rsid w:val="00B84C0C"/>
    <w:rsid w:val="00B84D31"/>
    <w:rsid w:val="00B84DBF"/>
    <w:rsid w:val="00B84F19"/>
    <w:rsid w:val="00B85083"/>
    <w:rsid w:val="00B850CD"/>
    <w:rsid w:val="00B851F2"/>
    <w:rsid w:val="00B85244"/>
    <w:rsid w:val="00B852E3"/>
    <w:rsid w:val="00B85302"/>
    <w:rsid w:val="00B8533B"/>
    <w:rsid w:val="00B854D5"/>
    <w:rsid w:val="00B85540"/>
    <w:rsid w:val="00B85571"/>
    <w:rsid w:val="00B855B5"/>
    <w:rsid w:val="00B8568C"/>
    <w:rsid w:val="00B8577D"/>
    <w:rsid w:val="00B857CD"/>
    <w:rsid w:val="00B857E0"/>
    <w:rsid w:val="00B8587F"/>
    <w:rsid w:val="00B859F7"/>
    <w:rsid w:val="00B85A5F"/>
    <w:rsid w:val="00B85C0D"/>
    <w:rsid w:val="00B85CCB"/>
    <w:rsid w:val="00B85D42"/>
    <w:rsid w:val="00B85E72"/>
    <w:rsid w:val="00B86004"/>
    <w:rsid w:val="00B8610D"/>
    <w:rsid w:val="00B86168"/>
    <w:rsid w:val="00B86190"/>
    <w:rsid w:val="00B861D0"/>
    <w:rsid w:val="00B8636C"/>
    <w:rsid w:val="00B863CD"/>
    <w:rsid w:val="00B864E0"/>
    <w:rsid w:val="00B86510"/>
    <w:rsid w:val="00B86545"/>
    <w:rsid w:val="00B86575"/>
    <w:rsid w:val="00B8681A"/>
    <w:rsid w:val="00B86962"/>
    <w:rsid w:val="00B86B38"/>
    <w:rsid w:val="00B86B9B"/>
    <w:rsid w:val="00B86BD5"/>
    <w:rsid w:val="00B86E65"/>
    <w:rsid w:val="00B86E84"/>
    <w:rsid w:val="00B871CE"/>
    <w:rsid w:val="00B8721F"/>
    <w:rsid w:val="00B8730E"/>
    <w:rsid w:val="00B873E3"/>
    <w:rsid w:val="00B874E8"/>
    <w:rsid w:val="00B874FB"/>
    <w:rsid w:val="00B87664"/>
    <w:rsid w:val="00B87808"/>
    <w:rsid w:val="00B87849"/>
    <w:rsid w:val="00B879C7"/>
    <w:rsid w:val="00B87A2C"/>
    <w:rsid w:val="00B87A7A"/>
    <w:rsid w:val="00B87AC5"/>
    <w:rsid w:val="00B87B93"/>
    <w:rsid w:val="00B87D68"/>
    <w:rsid w:val="00B87E28"/>
    <w:rsid w:val="00B87E60"/>
    <w:rsid w:val="00B9017A"/>
    <w:rsid w:val="00B90214"/>
    <w:rsid w:val="00B902A8"/>
    <w:rsid w:val="00B9037F"/>
    <w:rsid w:val="00B903D2"/>
    <w:rsid w:val="00B903EE"/>
    <w:rsid w:val="00B90882"/>
    <w:rsid w:val="00B9094A"/>
    <w:rsid w:val="00B90AB2"/>
    <w:rsid w:val="00B90C49"/>
    <w:rsid w:val="00B90CB8"/>
    <w:rsid w:val="00B90DFB"/>
    <w:rsid w:val="00B90E6C"/>
    <w:rsid w:val="00B90ED5"/>
    <w:rsid w:val="00B90EFE"/>
    <w:rsid w:val="00B90F05"/>
    <w:rsid w:val="00B9101D"/>
    <w:rsid w:val="00B91125"/>
    <w:rsid w:val="00B911E4"/>
    <w:rsid w:val="00B91474"/>
    <w:rsid w:val="00B91563"/>
    <w:rsid w:val="00B91634"/>
    <w:rsid w:val="00B917F1"/>
    <w:rsid w:val="00B91812"/>
    <w:rsid w:val="00B91923"/>
    <w:rsid w:val="00B9193B"/>
    <w:rsid w:val="00B91974"/>
    <w:rsid w:val="00B919FD"/>
    <w:rsid w:val="00B91AF0"/>
    <w:rsid w:val="00B91AFB"/>
    <w:rsid w:val="00B91B3E"/>
    <w:rsid w:val="00B91D0F"/>
    <w:rsid w:val="00B91D56"/>
    <w:rsid w:val="00B91E47"/>
    <w:rsid w:val="00B91F22"/>
    <w:rsid w:val="00B920BE"/>
    <w:rsid w:val="00B92360"/>
    <w:rsid w:val="00B924E9"/>
    <w:rsid w:val="00B925BC"/>
    <w:rsid w:val="00B927B2"/>
    <w:rsid w:val="00B927C7"/>
    <w:rsid w:val="00B927EB"/>
    <w:rsid w:val="00B92916"/>
    <w:rsid w:val="00B92A21"/>
    <w:rsid w:val="00B92ACA"/>
    <w:rsid w:val="00B92AEB"/>
    <w:rsid w:val="00B92F41"/>
    <w:rsid w:val="00B92FC2"/>
    <w:rsid w:val="00B931CC"/>
    <w:rsid w:val="00B93224"/>
    <w:rsid w:val="00B934C4"/>
    <w:rsid w:val="00B934EC"/>
    <w:rsid w:val="00B93520"/>
    <w:rsid w:val="00B9374D"/>
    <w:rsid w:val="00B937D1"/>
    <w:rsid w:val="00B9389C"/>
    <w:rsid w:val="00B939B2"/>
    <w:rsid w:val="00B93BDB"/>
    <w:rsid w:val="00B93C0F"/>
    <w:rsid w:val="00B93C88"/>
    <w:rsid w:val="00B93CC8"/>
    <w:rsid w:val="00B93E86"/>
    <w:rsid w:val="00B94265"/>
    <w:rsid w:val="00B9427C"/>
    <w:rsid w:val="00B942AD"/>
    <w:rsid w:val="00B943A6"/>
    <w:rsid w:val="00B9452A"/>
    <w:rsid w:val="00B94565"/>
    <w:rsid w:val="00B94567"/>
    <w:rsid w:val="00B94602"/>
    <w:rsid w:val="00B947E2"/>
    <w:rsid w:val="00B947FD"/>
    <w:rsid w:val="00B94840"/>
    <w:rsid w:val="00B94873"/>
    <w:rsid w:val="00B94B58"/>
    <w:rsid w:val="00B94D18"/>
    <w:rsid w:val="00B94D57"/>
    <w:rsid w:val="00B94DB5"/>
    <w:rsid w:val="00B94DFC"/>
    <w:rsid w:val="00B94E02"/>
    <w:rsid w:val="00B94E31"/>
    <w:rsid w:val="00B95115"/>
    <w:rsid w:val="00B954D2"/>
    <w:rsid w:val="00B95540"/>
    <w:rsid w:val="00B95868"/>
    <w:rsid w:val="00B95B96"/>
    <w:rsid w:val="00B95BD5"/>
    <w:rsid w:val="00B95BEF"/>
    <w:rsid w:val="00B95C17"/>
    <w:rsid w:val="00B95D0A"/>
    <w:rsid w:val="00B95D2B"/>
    <w:rsid w:val="00B95E00"/>
    <w:rsid w:val="00B95F40"/>
    <w:rsid w:val="00B96159"/>
    <w:rsid w:val="00B961CC"/>
    <w:rsid w:val="00B961E9"/>
    <w:rsid w:val="00B962F6"/>
    <w:rsid w:val="00B965DE"/>
    <w:rsid w:val="00B96669"/>
    <w:rsid w:val="00B966F5"/>
    <w:rsid w:val="00B9677C"/>
    <w:rsid w:val="00B969DB"/>
    <w:rsid w:val="00B969E1"/>
    <w:rsid w:val="00B96A11"/>
    <w:rsid w:val="00B96B82"/>
    <w:rsid w:val="00B96D84"/>
    <w:rsid w:val="00B96EAB"/>
    <w:rsid w:val="00B96EC5"/>
    <w:rsid w:val="00B96F53"/>
    <w:rsid w:val="00B96F8B"/>
    <w:rsid w:val="00B9706C"/>
    <w:rsid w:val="00B970D5"/>
    <w:rsid w:val="00B97298"/>
    <w:rsid w:val="00B972AF"/>
    <w:rsid w:val="00B973CA"/>
    <w:rsid w:val="00B9740E"/>
    <w:rsid w:val="00B97486"/>
    <w:rsid w:val="00B97523"/>
    <w:rsid w:val="00B9783B"/>
    <w:rsid w:val="00B978A0"/>
    <w:rsid w:val="00B97B02"/>
    <w:rsid w:val="00B97B83"/>
    <w:rsid w:val="00B97D08"/>
    <w:rsid w:val="00B97D3F"/>
    <w:rsid w:val="00B97D8A"/>
    <w:rsid w:val="00B97E92"/>
    <w:rsid w:val="00B9D711"/>
    <w:rsid w:val="00BA0018"/>
    <w:rsid w:val="00BA00AD"/>
    <w:rsid w:val="00BA011F"/>
    <w:rsid w:val="00BA0162"/>
    <w:rsid w:val="00BA0199"/>
    <w:rsid w:val="00BA029F"/>
    <w:rsid w:val="00BA0566"/>
    <w:rsid w:val="00BA05F9"/>
    <w:rsid w:val="00BA060E"/>
    <w:rsid w:val="00BA0731"/>
    <w:rsid w:val="00BA076D"/>
    <w:rsid w:val="00BA07D6"/>
    <w:rsid w:val="00BA0845"/>
    <w:rsid w:val="00BA0C07"/>
    <w:rsid w:val="00BA0CC2"/>
    <w:rsid w:val="00BA0D3E"/>
    <w:rsid w:val="00BA0E21"/>
    <w:rsid w:val="00BA0F0F"/>
    <w:rsid w:val="00BA0F17"/>
    <w:rsid w:val="00BA1264"/>
    <w:rsid w:val="00BA139A"/>
    <w:rsid w:val="00BA13D5"/>
    <w:rsid w:val="00BA1498"/>
    <w:rsid w:val="00BA14E3"/>
    <w:rsid w:val="00BA14ED"/>
    <w:rsid w:val="00BA1520"/>
    <w:rsid w:val="00BA153A"/>
    <w:rsid w:val="00BA15B8"/>
    <w:rsid w:val="00BA1679"/>
    <w:rsid w:val="00BA182C"/>
    <w:rsid w:val="00BA1971"/>
    <w:rsid w:val="00BA1AB0"/>
    <w:rsid w:val="00BA1C0A"/>
    <w:rsid w:val="00BA1CDE"/>
    <w:rsid w:val="00BA1D51"/>
    <w:rsid w:val="00BA1DC2"/>
    <w:rsid w:val="00BA1DD1"/>
    <w:rsid w:val="00BA1F3F"/>
    <w:rsid w:val="00BA20A3"/>
    <w:rsid w:val="00BA20D4"/>
    <w:rsid w:val="00BA20EB"/>
    <w:rsid w:val="00BA229D"/>
    <w:rsid w:val="00BA22CB"/>
    <w:rsid w:val="00BA2344"/>
    <w:rsid w:val="00BA23A7"/>
    <w:rsid w:val="00BA23C0"/>
    <w:rsid w:val="00BA2430"/>
    <w:rsid w:val="00BA245C"/>
    <w:rsid w:val="00BA26EC"/>
    <w:rsid w:val="00BA26F3"/>
    <w:rsid w:val="00BA275B"/>
    <w:rsid w:val="00BA2850"/>
    <w:rsid w:val="00BA297B"/>
    <w:rsid w:val="00BA29A6"/>
    <w:rsid w:val="00BA29B7"/>
    <w:rsid w:val="00BA29EF"/>
    <w:rsid w:val="00BA2A71"/>
    <w:rsid w:val="00BA2C2E"/>
    <w:rsid w:val="00BA2D24"/>
    <w:rsid w:val="00BA2DB5"/>
    <w:rsid w:val="00BA2F57"/>
    <w:rsid w:val="00BA301F"/>
    <w:rsid w:val="00BA3163"/>
    <w:rsid w:val="00BA33E0"/>
    <w:rsid w:val="00BA3429"/>
    <w:rsid w:val="00BA34E4"/>
    <w:rsid w:val="00BA3695"/>
    <w:rsid w:val="00BA3C10"/>
    <w:rsid w:val="00BA3C2C"/>
    <w:rsid w:val="00BA3CF1"/>
    <w:rsid w:val="00BA3D19"/>
    <w:rsid w:val="00BA3D8C"/>
    <w:rsid w:val="00BA3E45"/>
    <w:rsid w:val="00BA3E4C"/>
    <w:rsid w:val="00BA3EA2"/>
    <w:rsid w:val="00BA3EAD"/>
    <w:rsid w:val="00BA3EE3"/>
    <w:rsid w:val="00BA3F88"/>
    <w:rsid w:val="00BA3FB9"/>
    <w:rsid w:val="00BA4540"/>
    <w:rsid w:val="00BA4542"/>
    <w:rsid w:val="00BA462D"/>
    <w:rsid w:val="00BA46C3"/>
    <w:rsid w:val="00BA4752"/>
    <w:rsid w:val="00BA481C"/>
    <w:rsid w:val="00BA48A4"/>
    <w:rsid w:val="00BA48CC"/>
    <w:rsid w:val="00BA4940"/>
    <w:rsid w:val="00BA4AD6"/>
    <w:rsid w:val="00BA4AF8"/>
    <w:rsid w:val="00BA4B96"/>
    <w:rsid w:val="00BA4BA8"/>
    <w:rsid w:val="00BA4CDB"/>
    <w:rsid w:val="00BA4D0D"/>
    <w:rsid w:val="00BA4D0E"/>
    <w:rsid w:val="00BA4D5D"/>
    <w:rsid w:val="00BA4E2B"/>
    <w:rsid w:val="00BA4F1D"/>
    <w:rsid w:val="00BA4F92"/>
    <w:rsid w:val="00BA5035"/>
    <w:rsid w:val="00BA5109"/>
    <w:rsid w:val="00BA5292"/>
    <w:rsid w:val="00BA52A7"/>
    <w:rsid w:val="00BA52B7"/>
    <w:rsid w:val="00BA52C8"/>
    <w:rsid w:val="00BA53A4"/>
    <w:rsid w:val="00BA53F3"/>
    <w:rsid w:val="00BA54EA"/>
    <w:rsid w:val="00BA552B"/>
    <w:rsid w:val="00BA555B"/>
    <w:rsid w:val="00BA5603"/>
    <w:rsid w:val="00BA5A5E"/>
    <w:rsid w:val="00BA5A85"/>
    <w:rsid w:val="00BA5AAD"/>
    <w:rsid w:val="00BA5BFC"/>
    <w:rsid w:val="00BA5C03"/>
    <w:rsid w:val="00BA6154"/>
    <w:rsid w:val="00BA620A"/>
    <w:rsid w:val="00BA6382"/>
    <w:rsid w:val="00BA6396"/>
    <w:rsid w:val="00BA640C"/>
    <w:rsid w:val="00BA64C0"/>
    <w:rsid w:val="00BA66D1"/>
    <w:rsid w:val="00BA6A46"/>
    <w:rsid w:val="00BA6B1F"/>
    <w:rsid w:val="00BA6B3E"/>
    <w:rsid w:val="00BA6C14"/>
    <w:rsid w:val="00BA6C68"/>
    <w:rsid w:val="00BA6D93"/>
    <w:rsid w:val="00BA6E41"/>
    <w:rsid w:val="00BA6F84"/>
    <w:rsid w:val="00BA7015"/>
    <w:rsid w:val="00BA70F0"/>
    <w:rsid w:val="00BA715D"/>
    <w:rsid w:val="00BA71FA"/>
    <w:rsid w:val="00BA73F6"/>
    <w:rsid w:val="00BA756C"/>
    <w:rsid w:val="00BA7705"/>
    <w:rsid w:val="00BA7802"/>
    <w:rsid w:val="00BA79C8"/>
    <w:rsid w:val="00BA79ED"/>
    <w:rsid w:val="00BA7B41"/>
    <w:rsid w:val="00BA7B77"/>
    <w:rsid w:val="00BA7BF5"/>
    <w:rsid w:val="00BA7DAC"/>
    <w:rsid w:val="00BA7EBA"/>
    <w:rsid w:val="00BA7FC1"/>
    <w:rsid w:val="00BB0138"/>
    <w:rsid w:val="00BB018C"/>
    <w:rsid w:val="00BB022D"/>
    <w:rsid w:val="00BB0280"/>
    <w:rsid w:val="00BB03D1"/>
    <w:rsid w:val="00BB03FA"/>
    <w:rsid w:val="00BB04FE"/>
    <w:rsid w:val="00BB0521"/>
    <w:rsid w:val="00BB06FA"/>
    <w:rsid w:val="00BB07B3"/>
    <w:rsid w:val="00BB0A5A"/>
    <w:rsid w:val="00BB0A9C"/>
    <w:rsid w:val="00BB0B02"/>
    <w:rsid w:val="00BB0B79"/>
    <w:rsid w:val="00BB0DF2"/>
    <w:rsid w:val="00BB0F99"/>
    <w:rsid w:val="00BB10B6"/>
    <w:rsid w:val="00BB1122"/>
    <w:rsid w:val="00BB117F"/>
    <w:rsid w:val="00BB1376"/>
    <w:rsid w:val="00BB13AF"/>
    <w:rsid w:val="00BB1610"/>
    <w:rsid w:val="00BB16BB"/>
    <w:rsid w:val="00BB175F"/>
    <w:rsid w:val="00BB1842"/>
    <w:rsid w:val="00BB191C"/>
    <w:rsid w:val="00BB1A38"/>
    <w:rsid w:val="00BB1AEC"/>
    <w:rsid w:val="00BB1BEA"/>
    <w:rsid w:val="00BB1C61"/>
    <w:rsid w:val="00BB1C9A"/>
    <w:rsid w:val="00BB1E2A"/>
    <w:rsid w:val="00BB1EF3"/>
    <w:rsid w:val="00BB2099"/>
    <w:rsid w:val="00BB2228"/>
    <w:rsid w:val="00BB2540"/>
    <w:rsid w:val="00BB269B"/>
    <w:rsid w:val="00BB2730"/>
    <w:rsid w:val="00BB2852"/>
    <w:rsid w:val="00BB29A1"/>
    <w:rsid w:val="00BB29A6"/>
    <w:rsid w:val="00BB2A8C"/>
    <w:rsid w:val="00BB2B05"/>
    <w:rsid w:val="00BB2B70"/>
    <w:rsid w:val="00BB2BE2"/>
    <w:rsid w:val="00BB2C3F"/>
    <w:rsid w:val="00BB2C85"/>
    <w:rsid w:val="00BB2CEA"/>
    <w:rsid w:val="00BB3060"/>
    <w:rsid w:val="00BB3087"/>
    <w:rsid w:val="00BB309F"/>
    <w:rsid w:val="00BB3191"/>
    <w:rsid w:val="00BB31DD"/>
    <w:rsid w:val="00BB3271"/>
    <w:rsid w:val="00BB3273"/>
    <w:rsid w:val="00BB32B9"/>
    <w:rsid w:val="00BB3411"/>
    <w:rsid w:val="00BB3443"/>
    <w:rsid w:val="00BB3444"/>
    <w:rsid w:val="00BB348F"/>
    <w:rsid w:val="00BB34EF"/>
    <w:rsid w:val="00BB3683"/>
    <w:rsid w:val="00BB36B3"/>
    <w:rsid w:val="00BB374A"/>
    <w:rsid w:val="00BB378F"/>
    <w:rsid w:val="00BB3A38"/>
    <w:rsid w:val="00BB3ADF"/>
    <w:rsid w:val="00BB3B41"/>
    <w:rsid w:val="00BB3CCD"/>
    <w:rsid w:val="00BB3D48"/>
    <w:rsid w:val="00BB3E32"/>
    <w:rsid w:val="00BB3E37"/>
    <w:rsid w:val="00BB3E80"/>
    <w:rsid w:val="00BB3F47"/>
    <w:rsid w:val="00BB4232"/>
    <w:rsid w:val="00BB428A"/>
    <w:rsid w:val="00BB4392"/>
    <w:rsid w:val="00BB45A9"/>
    <w:rsid w:val="00BB47C4"/>
    <w:rsid w:val="00BB4806"/>
    <w:rsid w:val="00BB4812"/>
    <w:rsid w:val="00BB481E"/>
    <w:rsid w:val="00BB4A77"/>
    <w:rsid w:val="00BB4ACF"/>
    <w:rsid w:val="00BB4AE4"/>
    <w:rsid w:val="00BB4B19"/>
    <w:rsid w:val="00BB4B48"/>
    <w:rsid w:val="00BB4BC3"/>
    <w:rsid w:val="00BB4BDE"/>
    <w:rsid w:val="00BB4CC0"/>
    <w:rsid w:val="00BB4CC6"/>
    <w:rsid w:val="00BB4D00"/>
    <w:rsid w:val="00BB4FC6"/>
    <w:rsid w:val="00BB4FFE"/>
    <w:rsid w:val="00BB503D"/>
    <w:rsid w:val="00BB5068"/>
    <w:rsid w:val="00BB5179"/>
    <w:rsid w:val="00BB51E2"/>
    <w:rsid w:val="00BB5262"/>
    <w:rsid w:val="00BB5349"/>
    <w:rsid w:val="00BB5447"/>
    <w:rsid w:val="00BB56CC"/>
    <w:rsid w:val="00BB5775"/>
    <w:rsid w:val="00BB57D9"/>
    <w:rsid w:val="00BB590A"/>
    <w:rsid w:val="00BB5BE8"/>
    <w:rsid w:val="00BB5CFC"/>
    <w:rsid w:val="00BB5D46"/>
    <w:rsid w:val="00BB5D68"/>
    <w:rsid w:val="00BB5F69"/>
    <w:rsid w:val="00BB62EB"/>
    <w:rsid w:val="00BB63CB"/>
    <w:rsid w:val="00BB647A"/>
    <w:rsid w:val="00BB6572"/>
    <w:rsid w:val="00BB658D"/>
    <w:rsid w:val="00BB6614"/>
    <w:rsid w:val="00BB6679"/>
    <w:rsid w:val="00BB67B6"/>
    <w:rsid w:val="00BB67BD"/>
    <w:rsid w:val="00BB68B2"/>
    <w:rsid w:val="00BB68F5"/>
    <w:rsid w:val="00BB6921"/>
    <w:rsid w:val="00BB6978"/>
    <w:rsid w:val="00BB6A63"/>
    <w:rsid w:val="00BB6B24"/>
    <w:rsid w:val="00BB6BE7"/>
    <w:rsid w:val="00BB6F46"/>
    <w:rsid w:val="00BB6FB1"/>
    <w:rsid w:val="00BB70B2"/>
    <w:rsid w:val="00BB71CB"/>
    <w:rsid w:val="00BB71DA"/>
    <w:rsid w:val="00BB72B8"/>
    <w:rsid w:val="00BB72C0"/>
    <w:rsid w:val="00BB7341"/>
    <w:rsid w:val="00BB759F"/>
    <w:rsid w:val="00BB75C1"/>
    <w:rsid w:val="00BB7649"/>
    <w:rsid w:val="00BB769F"/>
    <w:rsid w:val="00BB7882"/>
    <w:rsid w:val="00BB7946"/>
    <w:rsid w:val="00BB7A67"/>
    <w:rsid w:val="00BB7C25"/>
    <w:rsid w:val="00BB7C83"/>
    <w:rsid w:val="00BB7EDF"/>
    <w:rsid w:val="00BB7F74"/>
    <w:rsid w:val="00BB7FA0"/>
    <w:rsid w:val="00BB7FB8"/>
    <w:rsid w:val="00BB7FD5"/>
    <w:rsid w:val="00BC0045"/>
    <w:rsid w:val="00BC0098"/>
    <w:rsid w:val="00BC00CC"/>
    <w:rsid w:val="00BC0103"/>
    <w:rsid w:val="00BC018F"/>
    <w:rsid w:val="00BC0203"/>
    <w:rsid w:val="00BC0253"/>
    <w:rsid w:val="00BC02A7"/>
    <w:rsid w:val="00BC0365"/>
    <w:rsid w:val="00BC037C"/>
    <w:rsid w:val="00BC0409"/>
    <w:rsid w:val="00BC0624"/>
    <w:rsid w:val="00BC07E9"/>
    <w:rsid w:val="00BC0816"/>
    <w:rsid w:val="00BC0950"/>
    <w:rsid w:val="00BC09FC"/>
    <w:rsid w:val="00BC0AC7"/>
    <w:rsid w:val="00BC0B35"/>
    <w:rsid w:val="00BC0F52"/>
    <w:rsid w:val="00BC1176"/>
    <w:rsid w:val="00BC1361"/>
    <w:rsid w:val="00BC1392"/>
    <w:rsid w:val="00BC13F3"/>
    <w:rsid w:val="00BC1480"/>
    <w:rsid w:val="00BC14C4"/>
    <w:rsid w:val="00BC167B"/>
    <w:rsid w:val="00BC16AB"/>
    <w:rsid w:val="00BC1739"/>
    <w:rsid w:val="00BC1777"/>
    <w:rsid w:val="00BC178C"/>
    <w:rsid w:val="00BC19B7"/>
    <w:rsid w:val="00BC1A43"/>
    <w:rsid w:val="00BC1A90"/>
    <w:rsid w:val="00BC1D2F"/>
    <w:rsid w:val="00BC1F01"/>
    <w:rsid w:val="00BC2127"/>
    <w:rsid w:val="00BC215A"/>
    <w:rsid w:val="00BC2383"/>
    <w:rsid w:val="00BC2430"/>
    <w:rsid w:val="00BC270F"/>
    <w:rsid w:val="00BC2799"/>
    <w:rsid w:val="00BC28C1"/>
    <w:rsid w:val="00BC2952"/>
    <w:rsid w:val="00BC29BE"/>
    <w:rsid w:val="00BC29CF"/>
    <w:rsid w:val="00BC2AE3"/>
    <w:rsid w:val="00BC2B15"/>
    <w:rsid w:val="00BC2B2B"/>
    <w:rsid w:val="00BC2CB3"/>
    <w:rsid w:val="00BC2D73"/>
    <w:rsid w:val="00BC2DFE"/>
    <w:rsid w:val="00BC2E2F"/>
    <w:rsid w:val="00BC2E8D"/>
    <w:rsid w:val="00BC2E8F"/>
    <w:rsid w:val="00BC2E92"/>
    <w:rsid w:val="00BC2F55"/>
    <w:rsid w:val="00BC302A"/>
    <w:rsid w:val="00BC30C3"/>
    <w:rsid w:val="00BC320C"/>
    <w:rsid w:val="00BC32D9"/>
    <w:rsid w:val="00BC33B7"/>
    <w:rsid w:val="00BC3447"/>
    <w:rsid w:val="00BC3526"/>
    <w:rsid w:val="00BC3842"/>
    <w:rsid w:val="00BC38C7"/>
    <w:rsid w:val="00BC39B7"/>
    <w:rsid w:val="00BC39F9"/>
    <w:rsid w:val="00BC3A53"/>
    <w:rsid w:val="00BC3B1B"/>
    <w:rsid w:val="00BC3B67"/>
    <w:rsid w:val="00BC3BF3"/>
    <w:rsid w:val="00BC3C87"/>
    <w:rsid w:val="00BC3FCE"/>
    <w:rsid w:val="00BC4097"/>
    <w:rsid w:val="00BC411C"/>
    <w:rsid w:val="00BC4136"/>
    <w:rsid w:val="00BC4169"/>
    <w:rsid w:val="00BC4196"/>
    <w:rsid w:val="00BC42BF"/>
    <w:rsid w:val="00BC454A"/>
    <w:rsid w:val="00BC459C"/>
    <w:rsid w:val="00BC45A6"/>
    <w:rsid w:val="00BC4640"/>
    <w:rsid w:val="00BC479B"/>
    <w:rsid w:val="00BC4865"/>
    <w:rsid w:val="00BC48B5"/>
    <w:rsid w:val="00BC4C0A"/>
    <w:rsid w:val="00BC4C37"/>
    <w:rsid w:val="00BC4C57"/>
    <w:rsid w:val="00BC4CBF"/>
    <w:rsid w:val="00BC4D67"/>
    <w:rsid w:val="00BC4D9B"/>
    <w:rsid w:val="00BC4DB9"/>
    <w:rsid w:val="00BC4DBB"/>
    <w:rsid w:val="00BC4E40"/>
    <w:rsid w:val="00BC4E7D"/>
    <w:rsid w:val="00BC4E8B"/>
    <w:rsid w:val="00BC4EF2"/>
    <w:rsid w:val="00BC50DB"/>
    <w:rsid w:val="00BC510E"/>
    <w:rsid w:val="00BC5161"/>
    <w:rsid w:val="00BC5449"/>
    <w:rsid w:val="00BC54B1"/>
    <w:rsid w:val="00BC5502"/>
    <w:rsid w:val="00BC5539"/>
    <w:rsid w:val="00BC565F"/>
    <w:rsid w:val="00BC5681"/>
    <w:rsid w:val="00BC56FE"/>
    <w:rsid w:val="00BC57D9"/>
    <w:rsid w:val="00BC58A2"/>
    <w:rsid w:val="00BC58B8"/>
    <w:rsid w:val="00BC596A"/>
    <w:rsid w:val="00BC5A6B"/>
    <w:rsid w:val="00BC5C66"/>
    <w:rsid w:val="00BC5C87"/>
    <w:rsid w:val="00BC5DCC"/>
    <w:rsid w:val="00BC5E12"/>
    <w:rsid w:val="00BC6203"/>
    <w:rsid w:val="00BC624D"/>
    <w:rsid w:val="00BC62C4"/>
    <w:rsid w:val="00BC64EC"/>
    <w:rsid w:val="00BC652E"/>
    <w:rsid w:val="00BC6587"/>
    <w:rsid w:val="00BC660C"/>
    <w:rsid w:val="00BC6ABC"/>
    <w:rsid w:val="00BC6B1F"/>
    <w:rsid w:val="00BC6B7C"/>
    <w:rsid w:val="00BC6B9A"/>
    <w:rsid w:val="00BC6BA4"/>
    <w:rsid w:val="00BC6C54"/>
    <w:rsid w:val="00BC6D3B"/>
    <w:rsid w:val="00BC6ECD"/>
    <w:rsid w:val="00BC6F63"/>
    <w:rsid w:val="00BC706E"/>
    <w:rsid w:val="00BC7247"/>
    <w:rsid w:val="00BC7348"/>
    <w:rsid w:val="00BC76DA"/>
    <w:rsid w:val="00BC772A"/>
    <w:rsid w:val="00BC783A"/>
    <w:rsid w:val="00BC7945"/>
    <w:rsid w:val="00BC7AEA"/>
    <w:rsid w:val="00BC7AF0"/>
    <w:rsid w:val="00BC7DB8"/>
    <w:rsid w:val="00BC7E85"/>
    <w:rsid w:val="00BC7E89"/>
    <w:rsid w:val="00BD0076"/>
    <w:rsid w:val="00BD00A2"/>
    <w:rsid w:val="00BD0195"/>
    <w:rsid w:val="00BD01A4"/>
    <w:rsid w:val="00BD03EC"/>
    <w:rsid w:val="00BD0452"/>
    <w:rsid w:val="00BD04A9"/>
    <w:rsid w:val="00BD0646"/>
    <w:rsid w:val="00BD070E"/>
    <w:rsid w:val="00BD0778"/>
    <w:rsid w:val="00BD079D"/>
    <w:rsid w:val="00BD0906"/>
    <w:rsid w:val="00BD0B2F"/>
    <w:rsid w:val="00BD0B5F"/>
    <w:rsid w:val="00BD0BE1"/>
    <w:rsid w:val="00BD0D17"/>
    <w:rsid w:val="00BD0D7F"/>
    <w:rsid w:val="00BD0D83"/>
    <w:rsid w:val="00BD0E65"/>
    <w:rsid w:val="00BD0F1A"/>
    <w:rsid w:val="00BD0F88"/>
    <w:rsid w:val="00BD1003"/>
    <w:rsid w:val="00BD109F"/>
    <w:rsid w:val="00BD121C"/>
    <w:rsid w:val="00BD128C"/>
    <w:rsid w:val="00BD12BC"/>
    <w:rsid w:val="00BD134E"/>
    <w:rsid w:val="00BD13BD"/>
    <w:rsid w:val="00BD141D"/>
    <w:rsid w:val="00BD14BC"/>
    <w:rsid w:val="00BD1517"/>
    <w:rsid w:val="00BD1576"/>
    <w:rsid w:val="00BD15EC"/>
    <w:rsid w:val="00BD1603"/>
    <w:rsid w:val="00BD16C9"/>
    <w:rsid w:val="00BD16F6"/>
    <w:rsid w:val="00BD1712"/>
    <w:rsid w:val="00BD1741"/>
    <w:rsid w:val="00BD176E"/>
    <w:rsid w:val="00BD1847"/>
    <w:rsid w:val="00BD19BE"/>
    <w:rsid w:val="00BD1A5D"/>
    <w:rsid w:val="00BD1C59"/>
    <w:rsid w:val="00BD1D34"/>
    <w:rsid w:val="00BD1E08"/>
    <w:rsid w:val="00BD1E6A"/>
    <w:rsid w:val="00BD1F6B"/>
    <w:rsid w:val="00BD1FDC"/>
    <w:rsid w:val="00BD2098"/>
    <w:rsid w:val="00BD2199"/>
    <w:rsid w:val="00BD2335"/>
    <w:rsid w:val="00BD23AB"/>
    <w:rsid w:val="00BD24C0"/>
    <w:rsid w:val="00BD2508"/>
    <w:rsid w:val="00BD25A4"/>
    <w:rsid w:val="00BD2718"/>
    <w:rsid w:val="00BD2831"/>
    <w:rsid w:val="00BD28B4"/>
    <w:rsid w:val="00BD2912"/>
    <w:rsid w:val="00BD2BD2"/>
    <w:rsid w:val="00BD2D74"/>
    <w:rsid w:val="00BD2D85"/>
    <w:rsid w:val="00BD2E57"/>
    <w:rsid w:val="00BD2F50"/>
    <w:rsid w:val="00BD2F60"/>
    <w:rsid w:val="00BD2F73"/>
    <w:rsid w:val="00BD2FCD"/>
    <w:rsid w:val="00BD32F2"/>
    <w:rsid w:val="00BD3339"/>
    <w:rsid w:val="00BD3580"/>
    <w:rsid w:val="00BD37D2"/>
    <w:rsid w:val="00BD37EF"/>
    <w:rsid w:val="00BD387A"/>
    <w:rsid w:val="00BD3975"/>
    <w:rsid w:val="00BD399B"/>
    <w:rsid w:val="00BD3AD0"/>
    <w:rsid w:val="00BD3B23"/>
    <w:rsid w:val="00BD3B81"/>
    <w:rsid w:val="00BD3B83"/>
    <w:rsid w:val="00BD3D5E"/>
    <w:rsid w:val="00BD3E66"/>
    <w:rsid w:val="00BD3E78"/>
    <w:rsid w:val="00BD3F9C"/>
    <w:rsid w:val="00BD4042"/>
    <w:rsid w:val="00BD411A"/>
    <w:rsid w:val="00BD4152"/>
    <w:rsid w:val="00BD4178"/>
    <w:rsid w:val="00BD418D"/>
    <w:rsid w:val="00BD437C"/>
    <w:rsid w:val="00BD44DF"/>
    <w:rsid w:val="00BD45CA"/>
    <w:rsid w:val="00BD4609"/>
    <w:rsid w:val="00BD46A0"/>
    <w:rsid w:val="00BD46CD"/>
    <w:rsid w:val="00BD47DE"/>
    <w:rsid w:val="00BD4826"/>
    <w:rsid w:val="00BD499B"/>
    <w:rsid w:val="00BD49DB"/>
    <w:rsid w:val="00BD4AFD"/>
    <w:rsid w:val="00BD4C4B"/>
    <w:rsid w:val="00BD4C63"/>
    <w:rsid w:val="00BD4C89"/>
    <w:rsid w:val="00BD4C9A"/>
    <w:rsid w:val="00BD4D86"/>
    <w:rsid w:val="00BD4E48"/>
    <w:rsid w:val="00BD4E5D"/>
    <w:rsid w:val="00BD4E78"/>
    <w:rsid w:val="00BD4EB0"/>
    <w:rsid w:val="00BD4FC6"/>
    <w:rsid w:val="00BD504A"/>
    <w:rsid w:val="00BD52AF"/>
    <w:rsid w:val="00BD532A"/>
    <w:rsid w:val="00BD54BD"/>
    <w:rsid w:val="00BD555C"/>
    <w:rsid w:val="00BD5589"/>
    <w:rsid w:val="00BD568E"/>
    <w:rsid w:val="00BD56D5"/>
    <w:rsid w:val="00BD5844"/>
    <w:rsid w:val="00BD5903"/>
    <w:rsid w:val="00BD5A16"/>
    <w:rsid w:val="00BD5C7C"/>
    <w:rsid w:val="00BD5D2C"/>
    <w:rsid w:val="00BD5D3A"/>
    <w:rsid w:val="00BD5ED5"/>
    <w:rsid w:val="00BD5FD5"/>
    <w:rsid w:val="00BD6102"/>
    <w:rsid w:val="00BD61D2"/>
    <w:rsid w:val="00BD6211"/>
    <w:rsid w:val="00BD62A0"/>
    <w:rsid w:val="00BD640F"/>
    <w:rsid w:val="00BD6412"/>
    <w:rsid w:val="00BD6652"/>
    <w:rsid w:val="00BD66C0"/>
    <w:rsid w:val="00BD66F8"/>
    <w:rsid w:val="00BD67AC"/>
    <w:rsid w:val="00BD69A0"/>
    <w:rsid w:val="00BD6A2B"/>
    <w:rsid w:val="00BD6B1B"/>
    <w:rsid w:val="00BD6C08"/>
    <w:rsid w:val="00BD6CAD"/>
    <w:rsid w:val="00BD6CD5"/>
    <w:rsid w:val="00BD6D13"/>
    <w:rsid w:val="00BD6E63"/>
    <w:rsid w:val="00BD6EB1"/>
    <w:rsid w:val="00BD6EEA"/>
    <w:rsid w:val="00BD6F15"/>
    <w:rsid w:val="00BD6F39"/>
    <w:rsid w:val="00BD702D"/>
    <w:rsid w:val="00BD7038"/>
    <w:rsid w:val="00BD7041"/>
    <w:rsid w:val="00BD7113"/>
    <w:rsid w:val="00BD7179"/>
    <w:rsid w:val="00BD71EC"/>
    <w:rsid w:val="00BD7279"/>
    <w:rsid w:val="00BD7376"/>
    <w:rsid w:val="00BD7573"/>
    <w:rsid w:val="00BD7BEA"/>
    <w:rsid w:val="00BD7D2F"/>
    <w:rsid w:val="00BD7DFA"/>
    <w:rsid w:val="00BE01E8"/>
    <w:rsid w:val="00BE020E"/>
    <w:rsid w:val="00BE0331"/>
    <w:rsid w:val="00BE0375"/>
    <w:rsid w:val="00BE0394"/>
    <w:rsid w:val="00BE0433"/>
    <w:rsid w:val="00BE04D0"/>
    <w:rsid w:val="00BE06BB"/>
    <w:rsid w:val="00BE0736"/>
    <w:rsid w:val="00BE07B2"/>
    <w:rsid w:val="00BE07CC"/>
    <w:rsid w:val="00BE096E"/>
    <w:rsid w:val="00BE0B05"/>
    <w:rsid w:val="00BE0DAC"/>
    <w:rsid w:val="00BE0DF1"/>
    <w:rsid w:val="00BE11F5"/>
    <w:rsid w:val="00BE1264"/>
    <w:rsid w:val="00BE157E"/>
    <w:rsid w:val="00BE1580"/>
    <w:rsid w:val="00BE1777"/>
    <w:rsid w:val="00BE186E"/>
    <w:rsid w:val="00BE19CB"/>
    <w:rsid w:val="00BE1A2E"/>
    <w:rsid w:val="00BE1A30"/>
    <w:rsid w:val="00BE1A36"/>
    <w:rsid w:val="00BE1B0A"/>
    <w:rsid w:val="00BE1BD7"/>
    <w:rsid w:val="00BE1C09"/>
    <w:rsid w:val="00BE1EC5"/>
    <w:rsid w:val="00BE1EE8"/>
    <w:rsid w:val="00BE1F19"/>
    <w:rsid w:val="00BE1F9C"/>
    <w:rsid w:val="00BE21B5"/>
    <w:rsid w:val="00BE231C"/>
    <w:rsid w:val="00BE236F"/>
    <w:rsid w:val="00BE2400"/>
    <w:rsid w:val="00BE2436"/>
    <w:rsid w:val="00BE2473"/>
    <w:rsid w:val="00BE248F"/>
    <w:rsid w:val="00BE25C7"/>
    <w:rsid w:val="00BE274C"/>
    <w:rsid w:val="00BE27A1"/>
    <w:rsid w:val="00BE284B"/>
    <w:rsid w:val="00BE28FD"/>
    <w:rsid w:val="00BE29A3"/>
    <w:rsid w:val="00BE2A07"/>
    <w:rsid w:val="00BE2ADA"/>
    <w:rsid w:val="00BE2C9E"/>
    <w:rsid w:val="00BE2E23"/>
    <w:rsid w:val="00BE2E96"/>
    <w:rsid w:val="00BE2FD5"/>
    <w:rsid w:val="00BE2FD6"/>
    <w:rsid w:val="00BE300D"/>
    <w:rsid w:val="00BE3095"/>
    <w:rsid w:val="00BE30F8"/>
    <w:rsid w:val="00BE313C"/>
    <w:rsid w:val="00BE32B1"/>
    <w:rsid w:val="00BE330F"/>
    <w:rsid w:val="00BE33A3"/>
    <w:rsid w:val="00BE3436"/>
    <w:rsid w:val="00BE350E"/>
    <w:rsid w:val="00BE37CD"/>
    <w:rsid w:val="00BE3868"/>
    <w:rsid w:val="00BE399B"/>
    <w:rsid w:val="00BE39A7"/>
    <w:rsid w:val="00BE39E9"/>
    <w:rsid w:val="00BE3B1A"/>
    <w:rsid w:val="00BE3BF7"/>
    <w:rsid w:val="00BE3DD0"/>
    <w:rsid w:val="00BE3DEF"/>
    <w:rsid w:val="00BE3E68"/>
    <w:rsid w:val="00BE3EB0"/>
    <w:rsid w:val="00BE3EFC"/>
    <w:rsid w:val="00BE4143"/>
    <w:rsid w:val="00BE4169"/>
    <w:rsid w:val="00BE42D4"/>
    <w:rsid w:val="00BE446E"/>
    <w:rsid w:val="00BE453A"/>
    <w:rsid w:val="00BE4547"/>
    <w:rsid w:val="00BE456A"/>
    <w:rsid w:val="00BE4741"/>
    <w:rsid w:val="00BE474F"/>
    <w:rsid w:val="00BE485F"/>
    <w:rsid w:val="00BE4926"/>
    <w:rsid w:val="00BE4996"/>
    <w:rsid w:val="00BE499A"/>
    <w:rsid w:val="00BE4C39"/>
    <w:rsid w:val="00BE4CAA"/>
    <w:rsid w:val="00BE4D44"/>
    <w:rsid w:val="00BE502E"/>
    <w:rsid w:val="00BE5044"/>
    <w:rsid w:val="00BE50D4"/>
    <w:rsid w:val="00BE51A4"/>
    <w:rsid w:val="00BE52D3"/>
    <w:rsid w:val="00BE5306"/>
    <w:rsid w:val="00BE54CA"/>
    <w:rsid w:val="00BE54DE"/>
    <w:rsid w:val="00BE5541"/>
    <w:rsid w:val="00BE55D1"/>
    <w:rsid w:val="00BE582F"/>
    <w:rsid w:val="00BE5830"/>
    <w:rsid w:val="00BE58C4"/>
    <w:rsid w:val="00BE5B03"/>
    <w:rsid w:val="00BE5B63"/>
    <w:rsid w:val="00BE5B69"/>
    <w:rsid w:val="00BE5D5B"/>
    <w:rsid w:val="00BE5D5E"/>
    <w:rsid w:val="00BE5D93"/>
    <w:rsid w:val="00BE5DA7"/>
    <w:rsid w:val="00BE5E25"/>
    <w:rsid w:val="00BE5FFC"/>
    <w:rsid w:val="00BE6012"/>
    <w:rsid w:val="00BE609E"/>
    <w:rsid w:val="00BE6314"/>
    <w:rsid w:val="00BE6508"/>
    <w:rsid w:val="00BE691A"/>
    <w:rsid w:val="00BE69ED"/>
    <w:rsid w:val="00BE6C1C"/>
    <w:rsid w:val="00BE6C72"/>
    <w:rsid w:val="00BE6C9B"/>
    <w:rsid w:val="00BE6D4D"/>
    <w:rsid w:val="00BE6EB4"/>
    <w:rsid w:val="00BE6EF8"/>
    <w:rsid w:val="00BE6FAB"/>
    <w:rsid w:val="00BE6FD7"/>
    <w:rsid w:val="00BE704B"/>
    <w:rsid w:val="00BE7138"/>
    <w:rsid w:val="00BE7140"/>
    <w:rsid w:val="00BE714E"/>
    <w:rsid w:val="00BE7153"/>
    <w:rsid w:val="00BE73B9"/>
    <w:rsid w:val="00BE73C7"/>
    <w:rsid w:val="00BE743B"/>
    <w:rsid w:val="00BE7489"/>
    <w:rsid w:val="00BE7592"/>
    <w:rsid w:val="00BE759F"/>
    <w:rsid w:val="00BE75D4"/>
    <w:rsid w:val="00BE78E6"/>
    <w:rsid w:val="00BE791D"/>
    <w:rsid w:val="00BE79C9"/>
    <w:rsid w:val="00BE7A88"/>
    <w:rsid w:val="00BE7AAC"/>
    <w:rsid w:val="00BE7AE2"/>
    <w:rsid w:val="00BE7B9B"/>
    <w:rsid w:val="00BE7BAD"/>
    <w:rsid w:val="00BE7D90"/>
    <w:rsid w:val="00BE7ED1"/>
    <w:rsid w:val="00BE7F48"/>
    <w:rsid w:val="00BF009E"/>
    <w:rsid w:val="00BF0437"/>
    <w:rsid w:val="00BF0726"/>
    <w:rsid w:val="00BF07A7"/>
    <w:rsid w:val="00BF0825"/>
    <w:rsid w:val="00BF0850"/>
    <w:rsid w:val="00BF08F0"/>
    <w:rsid w:val="00BF096A"/>
    <w:rsid w:val="00BF0A0B"/>
    <w:rsid w:val="00BF0ACF"/>
    <w:rsid w:val="00BF0B95"/>
    <w:rsid w:val="00BF0BD6"/>
    <w:rsid w:val="00BF0BEF"/>
    <w:rsid w:val="00BF0E64"/>
    <w:rsid w:val="00BF0F69"/>
    <w:rsid w:val="00BF113C"/>
    <w:rsid w:val="00BF1295"/>
    <w:rsid w:val="00BF12A3"/>
    <w:rsid w:val="00BF12E6"/>
    <w:rsid w:val="00BF1673"/>
    <w:rsid w:val="00BF16DB"/>
    <w:rsid w:val="00BF172F"/>
    <w:rsid w:val="00BF184C"/>
    <w:rsid w:val="00BF1902"/>
    <w:rsid w:val="00BF19EF"/>
    <w:rsid w:val="00BF1B3A"/>
    <w:rsid w:val="00BF1BA7"/>
    <w:rsid w:val="00BF1BC1"/>
    <w:rsid w:val="00BF1BC3"/>
    <w:rsid w:val="00BF1C38"/>
    <w:rsid w:val="00BF2026"/>
    <w:rsid w:val="00BF2172"/>
    <w:rsid w:val="00BF23A9"/>
    <w:rsid w:val="00BF24BE"/>
    <w:rsid w:val="00BF24D4"/>
    <w:rsid w:val="00BF25BE"/>
    <w:rsid w:val="00BF26D8"/>
    <w:rsid w:val="00BF2732"/>
    <w:rsid w:val="00BF27E4"/>
    <w:rsid w:val="00BF2851"/>
    <w:rsid w:val="00BF28FB"/>
    <w:rsid w:val="00BF2955"/>
    <w:rsid w:val="00BF2A50"/>
    <w:rsid w:val="00BF2BBE"/>
    <w:rsid w:val="00BF2D92"/>
    <w:rsid w:val="00BF2E0E"/>
    <w:rsid w:val="00BF2E44"/>
    <w:rsid w:val="00BF2E6E"/>
    <w:rsid w:val="00BF30D9"/>
    <w:rsid w:val="00BF3223"/>
    <w:rsid w:val="00BF3274"/>
    <w:rsid w:val="00BF3351"/>
    <w:rsid w:val="00BF354A"/>
    <w:rsid w:val="00BF35B0"/>
    <w:rsid w:val="00BF35CF"/>
    <w:rsid w:val="00BF36EE"/>
    <w:rsid w:val="00BF37DE"/>
    <w:rsid w:val="00BF382C"/>
    <w:rsid w:val="00BF3A63"/>
    <w:rsid w:val="00BF3B09"/>
    <w:rsid w:val="00BF3B48"/>
    <w:rsid w:val="00BF3D1F"/>
    <w:rsid w:val="00BF3DCD"/>
    <w:rsid w:val="00BF3E2E"/>
    <w:rsid w:val="00BF3E5C"/>
    <w:rsid w:val="00BF3F08"/>
    <w:rsid w:val="00BF4079"/>
    <w:rsid w:val="00BF4137"/>
    <w:rsid w:val="00BF417A"/>
    <w:rsid w:val="00BF4255"/>
    <w:rsid w:val="00BF4474"/>
    <w:rsid w:val="00BF448E"/>
    <w:rsid w:val="00BF451B"/>
    <w:rsid w:val="00BF45CE"/>
    <w:rsid w:val="00BF4699"/>
    <w:rsid w:val="00BF46C5"/>
    <w:rsid w:val="00BF470C"/>
    <w:rsid w:val="00BF486F"/>
    <w:rsid w:val="00BF4874"/>
    <w:rsid w:val="00BF4CB9"/>
    <w:rsid w:val="00BF4DF5"/>
    <w:rsid w:val="00BF4E5C"/>
    <w:rsid w:val="00BF4EC3"/>
    <w:rsid w:val="00BF5196"/>
    <w:rsid w:val="00BF53A6"/>
    <w:rsid w:val="00BF5497"/>
    <w:rsid w:val="00BF54C4"/>
    <w:rsid w:val="00BF5671"/>
    <w:rsid w:val="00BF568C"/>
    <w:rsid w:val="00BF56AD"/>
    <w:rsid w:val="00BF57E7"/>
    <w:rsid w:val="00BF5924"/>
    <w:rsid w:val="00BF5B35"/>
    <w:rsid w:val="00BF5BBB"/>
    <w:rsid w:val="00BF5C82"/>
    <w:rsid w:val="00BF5E2A"/>
    <w:rsid w:val="00BF602F"/>
    <w:rsid w:val="00BF6099"/>
    <w:rsid w:val="00BF627E"/>
    <w:rsid w:val="00BF629A"/>
    <w:rsid w:val="00BF629C"/>
    <w:rsid w:val="00BF63F6"/>
    <w:rsid w:val="00BF6483"/>
    <w:rsid w:val="00BF649C"/>
    <w:rsid w:val="00BF64AB"/>
    <w:rsid w:val="00BF64DC"/>
    <w:rsid w:val="00BF663E"/>
    <w:rsid w:val="00BF6661"/>
    <w:rsid w:val="00BF66A0"/>
    <w:rsid w:val="00BF66DA"/>
    <w:rsid w:val="00BF6789"/>
    <w:rsid w:val="00BF697E"/>
    <w:rsid w:val="00BF6985"/>
    <w:rsid w:val="00BF6A00"/>
    <w:rsid w:val="00BF6C43"/>
    <w:rsid w:val="00BF6E5D"/>
    <w:rsid w:val="00BF6EA3"/>
    <w:rsid w:val="00BF6F61"/>
    <w:rsid w:val="00BF73E9"/>
    <w:rsid w:val="00BF73FB"/>
    <w:rsid w:val="00BF740B"/>
    <w:rsid w:val="00BF7528"/>
    <w:rsid w:val="00BF7592"/>
    <w:rsid w:val="00BF76F9"/>
    <w:rsid w:val="00BF785B"/>
    <w:rsid w:val="00BF796D"/>
    <w:rsid w:val="00BF7976"/>
    <w:rsid w:val="00BF797B"/>
    <w:rsid w:val="00BF7A26"/>
    <w:rsid w:val="00BF7AAC"/>
    <w:rsid w:val="00BF7ACA"/>
    <w:rsid w:val="00BF7DA4"/>
    <w:rsid w:val="00BF7F97"/>
    <w:rsid w:val="00C0009A"/>
    <w:rsid w:val="00C00343"/>
    <w:rsid w:val="00C004BD"/>
    <w:rsid w:val="00C00593"/>
    <w:rsid w:val="00C00635"/>
    <w:rsid w:val="00C00647"/>
    <w:rsid w:val="00C00689"/>
    <w:rsid w:val="00C0074F"/>
    <w:rsid w:val="00C009D4"/>
    <w:rsid w:val="00C00A28"/>
    <w:rsid w:val="00C00A3D"/>
    <w:rsid w:val="00C00A8C"/>
    <w:rsid w:val="00C00B18"/>
    <w:rsid w:val="00C00CD1"/>
    <w:rsid w:val="00C00D6B"/>
    <w:rsid w:val="00C00DDE"/>
    <w:rsid w:val="00C00DF0"/>
    <w:rsid w:val="00C00E55"/>
    <w:rsid w:val="00C01068"/>
    <w:rsid w:val="00C010A4"/>
    <w:rsid w:val="00C010CA"/>
    <w:rsid w:val="00C010E8"/>
    <w:rsid w:val="00C01275"/>
    <w:rsid w:val="00C014FC"/>
    <w:rsid w:val="00C015B5"/>
    <w:rsid w:val="00C0166C"/>
    <w:rsid w:val="00C0171F"/>
    <w:rsid w:val="00C01791"/>
    <w:rsid w:val="00C01BFC"/>
    <w:rsid w:val="00C01C0A"/>
    <w:rsid w:val="00C01C8A"/>
    <w:rsid w:val="00C01E00"/>
    <w:rsid w:val="00C01E26"/>
    <w:rsid w:val="00C01E7F"/>
    <w:rsid w:val="00C01F33"/>
    <w:rsid w:val="00C0213C"/>
    <w:rsid w:val="00C02191"/>
    <w:rsid w:val="00C0226B"/>
    <w:rsid w:val="00C02375"/>
    <w:rsid w:val="00C024B8"/>
    <w:rsid w:val="00C0264C"/>
    <w:rsid w:val="00C0268E"/>
    <w:rsid w:val="00C02753"/>
    <w:rsid w:val="00C027A3"/>
    <w:rsid w:val="00C028BF"/>
    <w:rsid w:val="00C028C8"/>
    <w:rsid w:val="00C029C4"/>
    <w:rsid w:val="00C02A1D"/>
    <w:rsid w:val="00C02B1A"/>
    <w:rsid w:val="00C02B99"/>
    <w:rsid w:val="00C02CE2"/>
    <w:rsid w:val="00C02ECA"/>
    <w:rsid w:val="00C02ED8"/>
    <w:rsid w:val="00C02F85"/>
    <w:rsid w:val="00C02FA4"/>
    <w:rsid w:val="00C02FD6"/>
    <w:rsid w:val="00C031A0"/>
    <w:rsid w:val="00C0333F"/>
    <w:rsid w:val="00C03436"/>
    <w:rsid w:val="00C034A5"/>
    <w:rsid w:val="00C035D1"/>
    <w:rsid w:val="00C039F6"/>
    <w:rsid w:val="00C03AC4"/>
    <w:rsid w:val="00C03BAD"/>
    <w:rsid w:val="00C03BE8"/>
    <w:rsid w:val="00C03C4E"/>
    <w:rsid w:val="00C03C60"/>
    <w:rsid w:val="00C03D9D"/>
    <w:rsid w:val="00C03E77"/>
    <w:rsid w:val="00C04007"/>
    <w:rsid w:val="00C04104"/>
    <w:rsid w:val="00C0429A"/>
    <w:rsid w:val="00C043D7"/>
    <w:rsid w:val="00C044B5"/>
    <w:rsid w:val="00C045A6"/>
    <w:rsid w:val="00C04861"/>
    <w:rsid w:val="00C049C4"/>
    <w:rsid w:val="00C04A4C"/>
    <w:rsid w:val="00C04A8D"/>
    <w:rsid w:val="00C04AB4"/>
    <w:rsid w:val="00C04C81"/>
    <w:rsid w:val="00C04CCE"/>
    <w:rsid w:val="00C05290"/>
    <w:rsid w:val="00C05363"/>
    <w:rsid w:val="00C053EE"/>
    <w:rsid w:val="00C053EF"/>
    <w:rsid w:val="00C0542A"/>
    <w:rsid w:val="00C05436"/>
    <w:rsid w:val="00C054B1"/>
    <w:rsid w:val="00C055B0"/>
    <w:rsid w:val="00C0562C"/>
    <w:rsid w:val="00C056C9"/>
    <w:rsid w:val="00C057B0"/>
    <w:rsid w:val="00C057CA"/>
    <w:rsid w:val="00C05806"/>
    <w:rsid w:val="00C0580D"/>
    <w:rsid w:val="00C05865"/>
    <w:rsid w:val="00C05935"/>
    <w:rsid w:val="00C05A04"/>
    <w:rsid w:val="00C05B3B"/>
    <w:rsid w:val="00C05BD2"/>
    <w:rsid w:val="00C05D8E"/>
    <w:rsid w:val="00C05F0F"/>
    <w:rsid w:val="00C05F3B"/>
    <w:rsid w:val="00C060BA"/>
    <w:rsid w:val="00C06144"/>
    <w:rsid w:val="00C06230"/>
    <w:rsid w:val="00C06232"/>
    <w:rsid w:val="00C06267"/>
    <w:rsid w:val="00C06461"/>
    <w:rsid w:val="00C06567"/>
    <w:rsid w:val="00C065FB"/>
    <w:rsid w:val="00C06899"/>
    <w:rsid w:val="00C068AB"/>
    <w:rsid w:val="00C068D5"/>
    <w:rsid w:val="00C068F5"/>
    <w:rsid w:val="00C06A10"/>
    <w:rsid w:val="00C06B7A"/>
    <w:rsid w:val="00C06BA6"/>
    <w:rsid w:val="00C06C83"/>
    <w:rsid w:val="00C06D2E"/>
    <w:rsid w:val="00C06E69"/>
    <w:rsid w:val="00C07115"/>
    <w:rsid w:val="00C07125"/>
    <w:rsid w:val="00C07136"/>
    <w:rsid w:val="00C07172"/>
    <w:rsid w:val="00C071AC"/>
    <w:rsid w:val="00C073A1"/>
    <w:rsid w:val="00C0747E"/>
    <w:rsid w:val="00C0776B"/>
    <w:rsid w:val="00C07808"/>
    <w:rsid w:val="00C078F7"/>
    <w:rsid w:val="00C079B9"/>
    <w:rsid w:val="00C079BA"/>
    <w:rsid w:val="00C07CD8"/>
    <w:rsid w:val="00C07D1B"/>
    <w:rsid w:val="00C07D1E"/>
    <w:rsid w:val="00C07E43"/>
    <w:rsid w:val="00C07E55"/>
    <w:rsid w:val="00C07E69"/>
    <w:rsid w:val="00C07F18"/>
    <w:rsid w:val="00C07F80"/>
    <w:rsid w:val="00C07F9C"/>
    <w:rsid w:val="00C1001E"/>
    <w:rsid w:val="00C10070"/>
    <w:rsid w:val="00C10149"/>
    <w:rsid w:val="00C10272"/>
    <w:rsid w:val="00C1029C"/>
    <w:rsid w:val="00C102AB"/>
    <w:rsid w:val="00C102BA"/>
    <w:rsid w:val="00C10410"/>
    <w:rsid w:val="00C1057E"/>
    <w:rsid w:val="00C1060E"/>
    <w:rsid w:val="00C10628"/>
    <w:rsid w:val="00C10905"/>
    <w:rsid w:val="00C10947"/>
    <w:rsid w:val="00C109E7"/>
    <w:rsid w:val="00C10B72"/>
    <w:rsid w:val="00C10BFF"/>
    <w:rsid w:val="00C10CA0"/>
    <w:rsid w:val="00C10CEC"/>
    <w:rsid w:val="00C10D9B"/>
    <w:rsid w:val="00C10F4D"/>
    <w:rsid w:val="00C10FB9"/>
    <w:rsid w:val="00C11176"/>
    <w:rsid w:val="00C11353"/>
    <w:rsid w:val="00C11395"/>
    <w:rsid w:val="00C11481"/>
    <w:rsid w:val="00C11503"/>
    <w:rsid w:val="00C1152F"/>
    <w:rsid w:val="00C115AE"/>
    <w:rsid w:val="00C115C9"/>
    <w:rsid w:val="00C11620"/>
    <w:rsid w:val="00C116BF"/>
    <w:rsid w:val="00C117DD"/>
    <w:rsid w:val="00C11A34"/>
    <w:rsid w:val="00C11A64"/>
    <w:rsid w:val="00C11AAF"/>
    <w:rsid w:val="00C11D09"/>
    <w:rsid w:val="00C11E33"/>
    <w:rsid w:val="00C11EF1"/>
    <w:rsid w:val="00C11EF8"/>
    <w:rsid w:val="00C11FC3"/>
    <w:rsid w:val="00C11FD0"/>
    <w:rsid w:val="00C121BC"/>
    <w:rsid w:val="00C121ED"/>
    <w:rsid w:val="00C1223E"/>
    <w:rsid w:val="00C12324"/>
    <w:rsid w:val="00C1243A"/>
    <w:rsid w:val="00C124B3"/>
    <w:rsid w:val="00C1256E"/>
    <w:rsid w:val="00C12610"/>
    <w:rsid w:val="00C1267F"/>
    <w:rsid w:val="00C1279B"/>
    <w:rsid w:val="00C12808"/>
    <w:rsid w:val="00C12855"/>
    <w:rsid w:val="00C1287C"/>
    <w:rsid w:val="00C12946"/>
    <w:rsid w:val="00C12A6C"/>
    <w:rsid w:val="00C12BC0"/>
    <w:rsid w:val="00C12CA0"/>
    <w:rsid w:val="00C12D67"/>
    <w:rsid w:val="00C12DF7"/>
    <w:rsid w:val="00C12E1A"/>
    <w:rsid w:val="00C12E31"/>
    <w:rsid w:val="00C12E44"/>
    <w:rsid w:val="00C12E6C"/>
    <w:rsid w:val="00C13041"/>
    <w:rsid w:val="00C130ED"/>
    <w:rsid w:val="00C13178"/>
    <w:rsid w:val="00C131E3"/>
    <w:rsid w:val="00C131E8"/>
    <w:rsid w:val="00C13349"/>
    <w:rsid w:val="00C13378"/>
    <w:rsid w:val="00C1339B"/>
    <w:rsid w:val="00C1358F"/>
    <w:rsid w:val="00C13809"/>
    <w:rsid w:val="00C13868"/>
    <w:rsid w:val="00C1391C"/>
    <w:rsid w:val="00C13AB8"/>
    <w:rsid w:val="00C13B57"/>
    <w:rsid w:val="00C13BEC"/>
    <w:rsid w:val="00C13C0A"/>
    <w:rsid w:val="00C14021"/>
    <w:rsid w:val="00C1415D"/>
    <w:rsid w:val="00C14429"/>
    <w:rsid w:val="00C14629"/>
    <w:rsid w:val="00C1467B"/>
    <w:rsid w:val="00C149E3"/>
    <w:rsid w:val="00C14A44"/>
    <w:rsid w:val="00C14AB9"/>
    <w:rsid w:val="00C14E26"/>
    <w:rsid w:val="00C15118"/>
    <w:rsid w:val="00C15121"/>
    <w:rsid w:val="00C151AC"/>
    <w:rsid w:val="00C15228"/>
    <w:rsid w:val="00C1529C"/>
    <w:rsid w:val="00C1531C"/>
    <w:rsid w:val="00C15397"/>
    <w:rsid w:val="00C154A6"/>
    <w:rsid w:val="00C156B0"/>
    <w:rsid w:val="00C156E1"/>
    <w:rsid w:val="00C1572A"/>
    <w:rsid w:val="00C1584D"/>
    <w:rsid w:val="00C15915"/>
    <w:rsid w:val="00C15B18"/>
    <w:rsid w:val="00C15B81"/>
    <w:rsid w:val="00C15C45"/>
    <w:rsid w:val="00C15D0B"/>
    <w:rsid w:val="00C15D87"/>
    <w:rsid w:val="00C15F79"/>
    <w:rsid w:val="00C15FE8"/>
    <w:rsid w:val="00C160F4"/>
    <w:rsid w:val="00C161D6"/>
    <w:rsid w:val="00C16311"/>
    <w:rsid w:val="00C163F7"/>
    <w:rsid w:val="00C16411"/>
    <w:rsid w:val="00C16603"/>
    <w:rsid w:val="00C16642"/>
    <w:rsid w:val="00C1668C"/>
    <w:rsid w:val="00C166D6"/>
    <w:rsid w:val="00C166F8"/>
    <w:rsid w:val="00C16731"/>
    <w:rsid w:val="00C167B3"/>
    <w:rsid w:val="00C167B8"/>
    <w:rsid w:val="00C1686B"/>
    <w:rsid w:val="00C16A17"/>
    <w:rsid w:val="00C16B10"/>
    <w:rsid w:val="00C16B11"/>
    <w:rsid w:val="00C16B53"/>
    <w:rsid w:val="00C16B95"/>
    <w:rsid w:val="00C16C7E"/>
    <w:rsid w:val="00C16D34"/>
    <w:rsid w:val="00C16D9D"/>
    <w:rsid w:val="00C16DF5"/>
    <w:rsid w:val="00C16FB1"/>
    <w:rsid w:val="00C17123"/>
    <w:rsid w:val="00C1719A"/>
    <w:rsid w:val="00C17333"/>
    <w:rsid w:val="00C173F2"/>
    <w:rsid w:val="00C17418"/>
    <w:rsid w:val="00C1747D"/>
    <w:rsid w:val="00C1750F"/>
    <w:rsid w:val="00C1753D"/>
    <w:rsid w:val="00C177E5"/>
    <w:rsid w:val="00C179EF"/>
    <w:rsid w:val="00C17A69"/>
    <w:rsid w:val="00C17A83"/>
    <w:rsid w:val="00C17B2E"/>
    <w:rsid w:val="00C17BF3"/>
    <w:rsid w:val="00C17C12"/>
    <w:rsid w:val="00C17D40"/>
    <w:rsid w:val="00C17D65"/>
    <w:rsid w:val="00C17D9A"/>
    <w:rsid w:val="00C17DEB"/>
    <w:rsid w:val="00C17F10"/>
    <w:rsid w:val="00C17FE1"/>
    <w:rsid w:val="00C20098"/>
    <w:rsid w:val="00C200D8"/>
    <w:rsid w:val="00C20247"/>
    <w:rsid w:val="00C2031C"/>
    <w:rsid w:val="00C20348"/>
    <w:rsid w:val="00C2035B"/>
    <w:rsid w:val="00C20487"/>
    <w:rsid w:val="00C206E2"/>
    <w:rsid w:val="00C2072E"/>
    <w:rsid w:val="00C20740"/>
    <w:rsid w:val="00C2077F"/>
    <w:rsid w:val="00C2086B"/>
    <w:rsid w:val="00C2097F"/>
    <w:rsid w:val="00C209B7"/>
    <w:rsid w:val="00C209D4"/>
    <w:rsid w:val="00C20ADF"/>
    <w:rsid w:val="00C20AF6"/>
    <w:rsid w:val="00C20B1C"/>
    <w:rsid w:val="00C20B39"/>
    <w:rsid w:val="00C20B3D"/>
    <w:rsid w:val="00C20B6F"/>
    <w:rsid w:val="00C20BB1"/>
    <w:rsid w:val="00C20C11"/>
    <w:rsid w:val="00C20DDB"/>
    <w:rsid w:val="00C20EE5"/>
    <w:rsid w:val="00C20F37"/>
    <w:rsid w:val="00C20F49"/>
    <w:rsid w:val="00C20F58"/>
    <w:rsid w:val="00C210DF"/>
    <w:rsid w:val="00C210EF"/>
    <w:rsid w:val="00C210FD"/>
    <w:rsid w:val="00C211E1"/>
    <w:rsid w:val="00C21215"/>
    <w:rsid w:val="00C2125A"/>
    <w:rsid w:val="00C21266"/>
    <w:rsid w:val="00C212AE"/>
    <w:rsid w:val="00C21624"/>
    <w:rsid w:val="00C21895"/>
    <w:rsid w:val="00C21976"/>
    <w:rsid w:val="00C219A3"/>
    <w:rsid w:val="00C21A74"/>
    <w:rsid w:val="00C21C50"/>
    <w:rsid w:val="00C22129"/>
    <w:rsid w:val="00C22238"/>
    <w:rsid w:val="00C2228E"/>
    <w:rsid w:val="00C22406"/>
    <w:rsid w:val="00C22595"/>
    <w:rsid w:val="00C22616"/>
    <w:rsid w:val="00C22708"/>
    <w:rsid w:val="00C22839"/>
    <w:rsid w:val="00C228E7"/>
    <w:rsid w:val="00C22972"/>
    <w:rsid w:val="00C229AC"/>
    <w:rsid w:val="00C22A6C"/>
    <w:rsid w:val="00C22C91"/>
    <w:rsid w:val="00C22CDC"/>
    <w:rsid w:val="00C22CE4"/>
    <w:rsid w:val="00C22E60"/>
    <w:rsid w:val="00C23084"/>
    <w:rsid w:val="00C2317F"/>
    <w:rsid w:val="00C23285"/>
    <w:rsid w:val="00C23325"/>
    <w:rsid w:val="00C2335C"/>
    <w:rsid w:val="00C2347F"/>
    <w:rsid w:val="00C234AA"/>
    <w:rsid w:val="00C235BA"/>
    <w:rsid w:val="00C237A3"/>
    <w:rsid w:val="00C237AC"/>
    <w:rsid w:val="00C2385D"/>
    <w:rsid w:val="00C23B45"/>
    <w:rsid w:val="00C23D14"/>
    <w:rsid w:val="00C24211"/>
    <w:rsid w:val="00C24297"/>
    <w:rsid w:val="00C2429F"/>
    <w:rsid w:val="00C244D6"/>
    <w:rsid w:val="00C244F0"/>
    <w:rsid w:val="00C244F8"/>
    <w:rsid w:val="00C2452D"/>
    <w:rsid w:val="00C24624"/>
    <w:rsid w:val="00C24742"/>
    <w:rsid w:val="00C24780"/>
    <w:rsid w:val="00C247BA"/>
    <w:rsid w:val="00C248EB"/>
    <w:rsid w:val="00C24927"/>
    <w:rsid w:val="00C24A73"/>
    <w:rsid w:val="00C24ACF"/>
    <w:rsid w:val="00C24BAC"/>
    <w:rsid w:val="00C24C5A"/>
    <w:rsid w:val="00C24C78"/>
    <w:rsid w:val="00C24D3F"/>
    <w:rsid w:val="00C24D5B"/>
    <w:rsid w:val="00C24D64"/>
    <w:rsid w:val="00C24D75"/>
    <w:rsid w:val="00C24E55"/>
    <w:rsid w:val="00C24F13"/>
    <w:rsid w:val="00C24F15"/>
    <w:rsid w:val="00C25101"/>
    <w:rsid w:val="00C25161"/>
    <w:rsid w:val="00C25185"/>
    <w:rsid w:val="00C25293"/>
    <w:rsid w:val="00C25322"/>
    <w:rsid w:val="00C253F5"/>
    <w:rsid w:val="00C25435"/>
    <w:rsid w:val="00C2546F"/>
    <w:rsid w:val="00C25491"/>
    <w:rsid w:val="00C254DA"/>
    <w:rsid w:val="00C25514"/>
    <w:rsid w:val="00C2559E"/>
    <w:rsid w:val="00C25642"/>
    <w:rsid w:val="00C25671"/>
    <w:rsid w:val="00C25686"/>
    <w:rsid w:val="00C25738"/>
    <w:rsid w:val="00C257B0"/>
    <w:rsid w:val="00C25854"/>
    <w:rsid w:val="00C2590B"/>
    <w:rsid w:val="00C25B79"/>
    <w:rsid w:val="00C25CB9"/>
    <w:rsid w:val="00C25D9D"/>
    <w:rsid w:val="00C25F41"/>
    <w:rsid w:val="00C25FC8"/>
    <w:rsid w:val="00C260B4"/>
    <w:rsid w:val="00C260CF"/>
    <w:rsid w:val="00C2620D"/>
    <w:rsid w:val="00C26242"/>
    <w:rsid w:val="00C26268"/>
    <w:rsid w:val="00C2629B"/>
    <w:rsid w:val="00C26430"/>
    <w:rsid w:val="00C264EF"/>
    <w:rsid w:val="00C265C3"/>
    <w:rsid w:val="00C265E4"/>
    <w:rsid w:val="00C26621"/>
    <w:rsid w:val="00C2677F"/>
    <w:rsid w:val="00C26780"/>
    <w:rsid w:val="00C26897"/>
    <w:rsid w:val="00C268A6"/>
    <w:rsid w:val="00C268E1"/>
    <w:rsid w:val="00C2695C"/>
    <w:rsid w:val="00C26979"/>
    <w:rsid w:val="00C26A08"/>
    <w:rsid w:val="00C26A8D"/>
    <w:rsid w:val="00C26AEE"/>
    <w:rsid w:val="00C26B5E"/>
    <w:rsid w:val="00C26B7E"/>
    <w:rsid w:val="00C26B81"/>
    <w:rsid w:val="00C26C64"/>
    <w:rsid w:val="00C26C80"/>
    <w:rsid w:val="00C26C91"/>
    <w:rsid w:val="00C26DCC"/>
    <w:rsid w:val="00C26ECC"/>
    <w:rsid w:val="00C26F13"/>
    <w:rsid w:val="00C26F2F"/>
    <w:rsid w:val="00C26F9A"/>
    <w:rsid w:val="00C26FA2"/>
    <w:rsid w:val="00C271AB"/>
    <w:rsid w:val="00C271BC"/>
    <w:rsid w:val="00C27494"/>
    <w:rsid w:val="00C27555"/>
    <w:rsid w:val="00C2761A"/>
    <w:rsid w:val="00C27645"/>
    <w:rsid w:val="00C276C1"/>
    <w:rsid w:val="00C27707"/>
    <w:rsid w:val="00C2786C"/>
    <w:rsid w:val="00C27872"/>
    <w:rsid w:val="00C27933"/>
    <w:rsid w:val="00C279D6"/>
    <w:rsid w:val="00C27B0D"/>
    <w:rsid w:val="00C27CE6"/>
    <w:rsid w:val="00C27E70"/>
    <w:rsid w:val="00C30032"/>
    <w:rsid w:val="00C3007A"/>
    <w:rsid w:val="00C302CC"/>
    <w:rsid w:val="00C303D7"/>
    <w:rsid w:val="00C303F5"/>
    <w:rsid w:val="00C30486"/>
    <w:rsid w:val="00C30492"/>
    <w:rsid w:val="00C30509"/>
    <w:rsid w:val="00C30549"/>
    <w:rsid w:val="00C30663"/>
    <w:rsid w:val="00C307E7"/>
    <w:rsid w:val="00C30847"/>
    <w:rsid w:val="00C30A9E"/>
    <w:rsid w:val="00C30D87"/>
    <w:rsid w:val="00C30DFB"/>
    <w:rsid w:val="00C30EBC"/>
    <w:rsid w:val="00C310CE"/>
    <w:rsid w:val="00C311BC"/>
    <w:rsid w:val="00C312CE"/>
    <w:rsid w:val="00C3176D"/>
    <w:rsid w:val="00C319A5"/>
    <w:rsid w:val="00C319DB"/>
    <w:rsid w:val="00C319DF"/>
    <w:rsid w:val="00C31C0B"/>
    <w:rsid w:val="00C31C6C"/>
    <w:rsid w:val="00C31CBB"/>
    <w:rsid w:val="00C31DE7"/>
    <w:rsid w:val="00C31FA4"/>
    <w:rsid w:val="00C32036"/>
    <w:rsid w:val="00C3211D"/>
    <w:rsid w:val="00C32131"/>
    <w:rsid w:val="00C3225A"/>
    <w:rsid w:val="00C32351"/>
    <w:rsid w:val="00C324D4"/>
    <w:rsid w:val="00C325E4"/>
    <w:rsid w:val="00C326F1"/>
    <w:rsid w:val="00C32717"/>
    <w:rsid w:val="00C32754"/>
    <w:rsid w:val="00C32829"/>
    <w:rsid w:val="00C328E5"/>
    <w:rsid w:val="00C3292B"/>
    <w:rsid w:val="00C329AD"/>
    <w:rsid w:val="00C329D5"/>
    <w:rsid w:val="00C32ABF"/>
    <w:rsid w:val="00C32CD5"/>
    <w:rsid w:val="00C32E19"/>
    <w:rsid w:val="00C32F16"/>
    <w:rsid w:val="00C3307E"/>
    <w:rsid w:val="00C3315F"/>
    <w:rsid w:val="00C33274"/>
    <w:rsid w:val="00C33281"/>
    <w:rsid w:val="00C332DD"/>
    <w:rsid w:val="00C3336A"/>
    <w:rsid w:val="00C333C1"/>
    <w:rsid w:val="00C3344A"/>
    <w:rsid w:val="00C334D4"/>
    <w:rsid w:val="00C335DE"/>
    <w:rsid w:val="00C335EC"/>
    <w:rsid w:val="00C336EC"/>
    <w:rsid w:val="00C339D4"/>
    <w:rsid w:val="00C33B0C"/>
    <w:rsid w:val="00C33C09"/>
    <w:rsid w:val="00C33D1E"/>
    <w:rsid w:val="00C33DBE"/>
    <w:rsid w:val="00C33E90"/>
    <w:rsid w:val="00C34289"/>
    <w:rsid w:val="00C342A5"/>
    <w:rsid w:val="00C342AD"/>
    <w:rsid w:val="00C34431"/>
    <w:rsid w:val="00C34584"/>
    <w:rsid w:val="00C34760"/>
    <w:rsid w:val="00C347B4"/>
    <w:rsid w:val="00C347B5"/>
    <w:rsid w:val="00C347CD"/>
    <w:rsid w:val="00C34823"/>
    <w:rsid w:val="00C348AC"/>
    <w:rsid w:val="00C349EF"/>
    <w:rsid w:val="00C34ACE"/>
    <w:rsid w:val="00C34ADF"/>
    <w:rsid w:val="00C34BA9"/>
    <w:rsid w:val="00C34E12"/>
    <w:rsid w:val="00C34F12"/>
    <w:rsid w:val="00C34F3F"/>
    <w:rsid w:val="00C34FC1"/>
    <w:rsid w:val="00C35050"/>
    <w:rsid w:val="00C3511F"/>
    <w:rsid w:val="00C3516F"/>
    <w:rsid w:val="00C35251"/>
    <w:rsid w:val="00C35380"/>
    <w:rsid w:val="00C35385"/>
    <w:rsid w:val="00C35418"/>
    <w:rsid w:val="00C35495"/>
    <w:rsid w:val="00C3552F"/>
    <w:rsid w:val="00C355B8"/>
    <w:rsid w:val="00C355BC"/>
    <w:rsid w:val="00C356AE"/>
    <w:rsid w:val="00C35781"/>
    <w:rsid w:val="00C35BAC"/>
    <w:rsid w:val="00C35C0F"/>
    <w:rsid w:val="00C35DCC"/>
    <w:rsid w:val="00C35FA1"/>
    <w:rsid w:val="00C36083"/>
    <w:rsid w:val="00C3616E"/>
    <w:rsid w:val="00C361E4"/>
    <w:rsid w:val="00C36392"/>
    <w:rsid w:val="00C363C1"/>
    <w:rsid w:val="00C364C4"/>
    <w:rsid w:val="00C3653A"/>
    <w:rsid w:val="00C366C2"/>
    <w:rsid w:val="00C36907"/>
    <w:rsid w:val="00C36B85"/>
    <w:rsid w:val="00C36C4F"/>
    <w:rsid w:val="00C36DCB"/>
    <w:rsid w:val="00C36EC9"/>
    <w:rsid w:val="00C36ECC"/>
    <w:rsid w:val="00C36ECF"/>
    <w:rsid w:val="00C3706B"/>
    <w:rsid w:val="00C370C1"/>
    <w:rsid w:val="00C37237"/>
    <w:rsid w:val="00C37276"/>
    <w:rsid w:val="00C37292"/>
    <w:rsid w:val="00C37331"/>
    <w:rsid w:val="00C373BE"/>
    <w:rsid w:val="00C37482"/>
    <w:rsid w:val="00C37808"/>
    <w:rsid w:val="00C37892"/>
    <w:rsid w:val="00C378EC"/>
    <w:rsid w:val="00C37999"/>
    <w:rsid w:val="00C37BF6"/>
    <w:rsid w:val="00C37BFB"/>
    <w:rsid w:val="00C37C75"/>
    <w:rsid w:val="00C37F22"/>
    <w:rsid w:val="00C37FAB"/>
    <w:rsid w:val="00C37FBD"/>
    <w:rsid w:val="00C37FEA"/>
    <w:rsid w:val="00C40035"/>
    <w:rsid w:val="00C40120"/>
    <w:rsid w:val="00C4017B"/>
    <w:rsid w:val="00C4017C"/>
    <w:rsid w:val="00C40243"/>
    <w:rsid w:val="00C40259"/>
    <w:rsid w:val="00C403E6"/>
    <w:rsid w:val="00C40444"/>
    <w:rsid w:val="00C40713"/>
    <w:rsid w:val="00C407BE"/>
    <w:rsid w:val="00C40B11"/>
    <w:rsid w:val="00C40B74"/>
    <w:rsid w:val="00C40BA2"/>
    <w:rsid w:val="00C40C36"/>
    <w:rsid w:val="00C40DDB"/>
    <w:rsid w:val="00C40E86"/>
    <w:rsid w:val="00C40FBD"/>
    <w:rsid w:val="00C410CA"/>
    <w:rsid w:val="00C41158"/>
    <w:rsid w:val="00C41496"/>
    <w:rsid w:val="00C415ED"/>
    <w:rsid w:val="00C417BD"/>
    <w:rsid w:val="00C417CF"/>
    <w:rsid w:val="00C4195A"/>
    <w:rsid w:val="00C41C20"/>
    <w:rsid w:val="00C41CD2"/>
    <w:rsid w:val="00C41D9C"/>
    <w:rsid w:val="00C41EEB"/>
    <w:rsid w:val="00C42027"/>
    <w:rsid w:val="00C4205B"/>
    <w:rsid w:val="00C420CB"/>
    <w:rsid w:val="00C42190"/>
    <w:rsid w:val="00C422CF"/>
    <w:rsid w:val="00C422D2"/>
    <w:rsid w:val="00C424EC"/>
    <w:rsid w:val="00C42608"/>
    <w:rsid w:val="00C4275F"/>
    <w:rsid w:val="00C4276C"/>
    <w:rsid w:val="00C4279C"/>
    <w:rsid w:val="00C42979"/>
    <w:rsid w:val="00C429E6"/>
    <w:rsid w:val="00C42A35"/>
    <w:rsid w:val="00C42AC2"/>
    <w:rsid w:val="00C42C61"/>
    <w:rsid w:val="00C42CA5"/>
    <w:rsid w:val="00C42D0F"/>
    <w:rsid w:val="00C42D1A"/>
    <w:rsid w:val="00C42D8E"/>
    <w:rsid w:val="00C42DD5"/>
    <w:rsid w:val="00C42EA7"/>
    <w:rsid w:val="00C42EC2"/>
    <w:rsid w:val="00C42EFC"/>
    <w:rsid w:val="00C42F13"/>
    <w:rsid w:val="00C43095"/>
    <w:rsid w:val="00C430D5"/>
    <w:rsid w:val="00C43148"/>
    <w:rsid w:val="00C4316B"/>
    <w:rsid w:val="00C4323B"/>
    <w:rsid w:val="00C43432"/>
    <w:rsid w:val="00C434F9"/>
    <w:rsid w:val="00C436FB"/>
    <w:rsid w:val="00C43711"/>
    <w:rsid w:val="00C437CE"/>
    <w:rsid w:val="00C43828"/>
    <w:rsid w:val="00C43900"/>
    <w:rsid w:val="00C43901"/>
    <w:rsid w:val="00C439A1"/>
    <w:rsid w:val="00C43B01"/>
    <w:rsid w:val="00C43B98"/>
    <w:rsid w:val="00C43CBF"/>
    <w:rsid w:val="00C43CFD"/>
    <w:rsid w:val="00C43DE0"/>
    <w:rsid w:val="00C43E10"/>
    <w:rsid w:val="00C43E5A"/>
    <w:rsid w:val="00C43EF8"/>
    <w:rsid w:val="00C43F7E"/>
    <w:rsid w:val="00C44026"/>
    <w:rsid w:val="00C44071"/>
    <w:rsid w:val="00C44087"/>
    <w:rsid w:val="00C44131"/>
    <w:rsid w:val="00C44349"/>
    <w:rsid w:val="00C443F8"/>
    <w:rsid w:val="00C4445A"/>
    <w:rsid w:val="00C44B4F"/>
    <w:rsid w:val="00C44B74"/>
    <w:rsid w:val="00C44DC5"/>
    <w:rsid w:val="00C44EEB"/>
    <w:rsid w:val="00C44FE2"/>
    <w:rsid w:val="00C45115"/>
    <w:rsid w:val="00C45128"/>
    <w:rsid w:val="00C45299"/>
    <w:rsid w:val="00C452EE"/>
    <w:rsid w:val="00C45302"/>
    <w:rsid w:val="00C45553"/>
    <w:rsid w:val="00C45682"/>
    <w:rsid w:val="00C45782"/>
    <w:rsid w:val="00C45836"/>
    <w:rsid w:val="00C45844"/>
    <w:rsid w:val="00C458D1"/>
    <w:rsid w:val="00C458E8"/>
    <w:rsid w:val="00C459D6"/>
    <w:rsid w:val="00C45A81"/>
    <w:rsid w:val="00C45AEF"/>
    <w:rsid w:val="00C45D48"/>
    <w:rsid w:val="00C45DB0"/>
    <w:rsid w:val="00C46143"/>
    <w:rsid w:val="00C461A1"/>
    <w:rsid w:val="00C461CB"/>
    <w:rsid w:val="00C462C8"/>
    <w:rsid w:val="00C463CF"/>
    <w:rsid w:val="00C46439"/>
    <w:rsid w:val="00C4644A"/>
    <w:rsid w:val="00C4657C"/>
    <w:rsid w:val="00C465ED"/>
    <w:rsid w:val="00C46713"/>
    <w:rsid w:val="00C467C8"/>
    <w:rsid w:val="00C468E8"/>
    <w:rsid w:val="00C469FC"/>
    <w:rsid w:val="00C46B16"/>
    <w:rsid w:val="00C46B5F"/>
    <w:rsid w:val="00C46BA8"/>
    <w:rsid w:val="00C46D32"/>
    <w:rsid w:val="00C46D40"/>
    <w:rsid w:val="00C46D5B"/>
    <w:rsid w:val="00C46D94"/>
    <w:rsid w:val="00C46DDB"/>
    <w:rsid w:val="00C46EAF"/>
    <w:rsid w:val="00C46ECD"/>
    <w:rsid w:val="00C47192"/>
    <w:rsid w:val="00C471A6"/>
    <w:rsid w:val="00C471AA"/>
    <w:rsid w:val="00C47291"/>
    <w:rsid w:val="00C4734C"/>
    <w:rsid w:val="00C4741D"/>
    <w:rsid w:val="00C4758F"/>
    <w:rsid w:val="00C475DA"/>
    <w:rsid w:val="00C47738"/>
    <w:rsid w:val="00C4775E"/>
    <w:rsid w:val="00C477C3"/>
    <w:rsid w:val="00C47839"/>
    <w:rsid w:val="00C47892"/>
    <w:rsid w:val="00C478F1"/>
    <w:rsid w:val="00C47915"/>
    <w:rsid w:val="00C47A21"/>
    <w:rsid w:val="00C47AF7"/>
    <w:rsid w:val="00C47CEC"/>
    <w:rsid w:val="00C47D53"/>
    <w:rsid w:val="00C47D94"/>
    <w:rsid w:val="00C47E5C"/>
    <w:rsid w:val="00C47FAB"/>
    <w:rsid w:val="00C50041"/>
    <w:rsid w:val="00C50315"/>
    <w:rsid w:val="00C504B4"/>
    <w:rsid w:val="00C50536"/>
    <w:rsid w:val="00C505D7"/>
    <w:rsid w:val="00C50635"/>
    <w:rsid w:val="00C5063D"/>
    <w:rsid w:val="00C506AB"/>
    <w:rsid w:val="00C5070B"/>
    <w:rsid w:val="00C5076F"/>
    <w:rsid w:val="00C508DB"/>
    <w:rsid w:val="00C509F1"/>
    <w:rsid w:val="00C50A2E"/>
    <w:rsid w:val="00C50B7A"/>
    <w:rsid w:val="00C50BCA"/>
    <w:rsid w:val="00C50DEE"/>
    <w:rsid w:val="00C50EF4"/>
    <w:rsid w:val="00C50FD0"/>
    <w:rsid w:val="00C51001"/>
    <w:rsid w:val="00C510C0"/>
    <w:rsid w:val="00C510C2"/>
    <w:rsid w:val="00C513EA"/>
    <w:rsid w:val="00C514AC"/>
    <w:rsid w:val="00C51517"/>
    <w:rsid w:val="00C51582"/>
    <w:rsid w:val="00C515DD"/>
    <w:rsid w:val="00C516EC"/>
    <w:rsid w:val="00C5194C"/>
    <w:rsid w:val="00C51953"/>
    <w:rsid w:val="00C51996"/>
    <w:rsid w:val="00C519D2"/>
    <w:rsid w:val="00C51AAD"/>
    <w:rsid w:val="00C51B20"/>
    <w:rsid w:val="00C51BF6"/>
    <w:rsid w:val="00C51C3A"/>
    <w:rsid w:val="00C51C91"/>
    <w:rsid w:val="00C51CC7"/>
    <w:rsid w:val="00C51D82"/>
    <w:rsid w:val="00C51ED8"/>
    <w:rsid w:val="00C52110"/>
    <w:rsid w:val="00C5214E"/>
    <w:rsid w:val="00C52197"/>
    <w:rsid w:val="00C5224F"/>
    <w:rsid w:val="00C52491"/>
    <w:rsid w:val="00C524E2"/>
    <w:rsid w:val="00C527AB"/>
    <w:rsid w:val="00C52971"/>
    <w:rsid w:val="00C529A6"/>
    <w:rsid w:val="00C52AA0"/>
    <w:rsid w:val="00C52AF0"/>
    <w:rsid w:val="00C52B72"/>
    <w:rsid w:val="00C52C0E"/>
    <w:rsid w:val="00C52C21"/>
    <w:rsid w:val="00C52D70"/>
    <w:rsid w:val="00C52D9D"/>
    <w:rsid w:val="00C52E92"/>
    <w:rsid w:val="00C52E9E"/>
    <w:rsid w:val="00C52F0A"/>
    <w:rsid w:val="00C530D0"/>
    <w:rsid w:val="00C531F7"/>
    <w:rsid w:val="00C53316"/>
    <w:rsid w:val="00C53348"/>
    <w:rsid w:val="00C53379"/>
    <w:rsid w:val="00C53576"/>
    <w:rsid w:val="00C53829"/>
    <w:rsid w:val="00C5384F"/>
    <w:rsid w:val="00C53899"/>
    <w:rsid w:val="00C53A32"/>
    <w:rsid w:val="00C53B03"/>
    <w:rsid w:val="00C53B6B"/>
    <w:rsid w:val="00C53BD9"/>
    <w:rsid w:val="00C53C1A"/>
    <w:rsid w:val="00C53E71"/>
    <w:rsid w:val="00C53F29"/>
    <w:rsid w:val="00C53FB0"/>
    <w:rsid w:val="00C542B0"/>
    <w:rsid w:val="00C543C9"/>
    <w:rsid w:val="00C546EF"/>
    <w:rsid w:val="00C547C1"/>
    <w:rsid w:val="00C5482D"/>
    <w:rsid w:val="00C548CC"/>
    <w:rsid w:val="00C54C20"/>
    <w:rsid w:val="00C54C9E"/>
    <w:rsid w:val="00C54FBD"/>
    <w:rsid w:val="00C55374"/>
    <w:rsid w:val="00C553B1"/>
    <w:rsid w:val="00C553D7"/>
    <w:rsid w:val="00C55681"/>
    <w:rsid w:val="00C55710"/>
    <w:rsid w:val="00C55960"/>
    <w:rsid w:val="00C55A10"/>
    <w:rsid w:val="00C55A33"/>
    <w:rsid w:val="00C55ADA"/>
    <w:rsid w:val="00C55B2B"/>
    <w:rsid w:val="00C55B2D"/>
    <w:rsid w:val="00C55CA3"/>
    <w:rsid w:val="00C55CBB"/>
    <w:rsid w:val="00C55D19"/>
    <w:rsid w:val="00C55E58"/>
    <w:rsid w:val="00C55EB0"/>
    <w:rsid w:val="00C56139"/>
    <w:rsid w:val="00C563C8"/>
    <w:rsid w:val="00C56535"/>
    <w:rsid w:val="00C56573"/>
    <w:rsid w:val="00C565A9"/>
    <w:rsid w:val="00C56639"/>
    <w:rsid w:val="00C56714"/>
    <w:rsid w:val="00C567DA"/>
    <w:rsid w:val="00C56864"/>
    <w:rsid w:val="00C56993"/>
    <w:rsid w:val="00C56999"/>
    <w:rsid w:val="00C56A66"/>
    <w:rsid w:val="00C56C2A"/>
    <w:rsid w:val="00C56D4F"/>
    <w:rsid w:val="00C56D78"/>
    <w:rsid w:val="00C56E17"/>
    <w:rsid w:val="00C56F63"/>
    <w:rsid w:val="00C5705B"/>
    <w:rsid w:val="00C570A3"/>
    <w:rsid w:val="00C570C0"/>
    <w:rsid w:val="00C57229"/>
    <w:rsid w:val="00C572D3"/>
    <w:rsid w:val="00C57345"/>
    <w:rsid w:val="00C57402"/>
    <w:rsid w:val="00C57453"/>
    <w:rsid w:val="00C57684"/>
    <w:rsid w:val="00C57695"/>
    <w:rsid w:val="00C57708"/>
    <w:rsid w:val="00C577AC"/>
    <w:rsid w:val="00C577B6"/>
    <w:rsid w:val="00C578DB"/>
    <w:rsid w:val="00C57919"/>
    <w:rsid w:val="00C57951"/>
    <w:rsid w:val="00C57AAC"/>
    <w:rsid w:val="00C57B49"/>
    <w:rsid w:val="00C57C8E"/>
    <w:rsid w:val="00C57E81"/>
    <w:rsid w:val="00C57F71"/>
    <w:rsid w:val="00C57F97"/>
    <w:rsid w:val="00C6005A"/>
    <w:rsid w:val="00C601FA"/>
    <w:rsid w:val="00C602A2"/>
    <w:rsid w:val="00C60359"/>
    <w:rsid w:val="00C60478"/>
    <w:rsid w:val="00C606B0"/>
    <w:rsid w:val="00C606F0"/>
    <w:rsid w:val="00C607CF"/>
    <w:rsid w:val="00C607DF"/>
    <w:rsid w:val="00C608B2"/>
    <w:rsid w:val="00C608F3"/>
    <w:rsid w:val="00C6091F"/>
    <w:rsid w:val="00C60991"/>
    <w:rsid w:val="00C609B7"/>
    <w:rsid w:val="00C60B4C"/>
    <w:rsid w:val="00C60BCD"/>
    <w:rsid w:val="00C60BE8"/>
    <w:rsid w:val="00C60BFB"/>
    <w:rsid w:val="00C60E4B"/>
    <w:rsid w:val="00C60E57"/>
    <w:rsid w:val="00C60F27"/>
    <w:rsid w:val="00C61022"/>
    <w:rsid w:val="00C610C5"/>
    <w:rsid w:val="00C61107"/>
    <w:rsid w:val="00C61169"/>
    <w:rsid w:val="00C6116F"/>
    <w:rsid w:val="00C61333"/>
    <w:rsid w:val="00C613EB"/>
    <w:rsid w:val="00C61426"/>
    <w:rsid w:val="00C61476"/>
    <w:rsid w:val="00C6149C"/>
    <w:rsid w:val="00C61500"/>
    <w:rsid w:val="00C61515"/>
    <w:rsid w:val="00C61541"/>
    <w:rsid w:val="00C616A4"/>
    <w:rsid w:val="00C6170F"/>
    <w:rsid w:val="00C61760"/>
    <w:rsid w:val="00C617A1"/>
    <w:rsid w:val="00C6182E"/>
    <w:rsid w:val="00C6190E"/>
    <w:rsid w:val="00C61998"/>
    <w:rsid w:val="00C61AD4"/>
    <w:rsid w:val="00C61BC8"/>
    <w:rsid w:val="00C61BE4"/>
    <w:rsid w:val="00C61C97"/>
    <w:rsid w:val="00C61D4C"/>
    <w:rsid w:val="00C61E8B"/>
    <w:rsid w:val="00C61FA1"/>
    <w:rsid w:val="00C6210A"/>
    <w:rsid w:val="00C6215A"/>
    <w:rsid w:val="00C622BA"/>
    <w:rsid w:val="00C62345"/>
    <w:rsid w:val="00C625B3"/>
    <w:rsid w:val="00C626C8"/>
    <w:rsid w:val="00C627E9"/>
    <w:rsid w:val="00C6298D"/>
    <w:rsid w:val="00C62994"/>
    <w:rsid w:val="00C629C6"/>
    <w:rsid w:val="00C62DEF"/>
    <w:rsid w:val="00C62E13"/>
    <w:rsid w:val="00C62E9A"/>
    <w:rsid w:val="00C62EA2"/>
    <w:rsid w:val="00C62F61"/>
    <w:rsid w:val="00C6313A"/>
    <w:rsid w:val="00C631C5"/>
    <w:rsid w:val="00C631F4"/>
    <w:rsid w:val="00C63265"/>
    <w:rsid w:val="00C63339"/>
    <w:rsid w:val="00C63412"/>
    <w:rsid w:val="00C63575"/>
    <w:rsid w:val="00C6368B"/>
    <w:rsid w:val="00C636E2"/>
    <w:rsid w:val="00C63787"/>
    <w:rsid w:val="00C6382F"/>
    <w:rsid w:val="00C6391D"/>
    <w:rsid w:val="00C63ACA"/>
    <w:rsid w:val="00C63ACF"/>
    <w:rsid w:val="00C63AD8"/>
    <w:rsid w:val="00C63B80"/>
    <w:rsid w:val="00C63BB0"/>
    <w:rsid w:val="00C63BD8"/>
    <w:rsid w:val="00C63BE0"/>
    <w:rsid w:val="00C63C71"/>
    <w:rsid w:val="00C63D5D"/>
    <w:rsid w:val="00C63D83"/>
    <w:rsid w:val="00C63D90"/>
    <w:rsid w:val="00C63E4E"/>
    <w:rsid w:val="00C63EC1"/>
    <w:rsid w:val="00C63F03"/>
    <w:rsid w:val="00C63F05"/>
    <w:rsid w:val="00C63F4A"/>
    <w:rsid w:val="00C640EF"/>
    <w:rsid w:val="00C64180"/>
    <w:rsid w:val="00C6423B"/>
    <w:rsid w:val="00C64277"/>
    <w:rsid w:val="00C64295"/>
    <w:rsid w:val="00C643E1"/>
    <w:rsid w:val="00C64582"/>
    <w:rsid w:val="00C647A5"/>
    <w:rsid w:val="00C64921"/>
    <w:rsid w:val="00C64980"/>
    <w:rsid w:val="00C64A29"/>
    <w:rsid w:val="00C64B08"/>
    <w:rsid w:val="00C64BC7"/>
    <w:rsid w:val="00C64C83"/>
    <w:rsid w:val="00C64CBE"/>
    <w:rsid w:val="00C64D2F"/>
    <w:rsid w:val="00C64D8D"/>
    <w:rsid w:val="00C64E65"/>
    <w:rsid w:val="00C65010"/>
    <w:rsid w:val="00C6507E"/>
    <w:rsid w:val="00C65210"/>
    <w:rsid w:val="00C65332"/>
    <w:rsid w:val="00C653E9"/>
    <w:rsid w:val="00C6540F"/>
    <w:rsid w:val="00C654F0"/>
    <w:rsid w:val="00C655DE"/>
    <w:rsid w:val="00C65629"/>
    <w:rsid w:val="00C65723"/>
    <w:rsid w:val="00C65832"/>
    <w:rsid w:val="00C6585A"/>
    <w:rsid w:val="00C65866"/>
    <w:rsid w:val="00C659AC"/>
    <w:rsid w:val="00C65A38"/>
    <w:rsid w:val="00C65B0A"/>
    <w:rsid w:val="00C65BEA"/>
    <w:rsid w:val="00C65D36"/>
    <w:rsid w:val="00C65E1A"/>
    <w:rsid w:val="00C65F44"/>
    <w:rsid w:val="00C6605E"/>
    <w:rsid w:val="00C66126"/>
    <w:rsid w:val="00C66382"/>
    <w:rsid w:val="00C6662E"/>
    <w:rsid w:val="00C6683D"/>
    <w:rsid w:val="00C66858"/>
    <w:rsid w:val="00C6691F"/>
    <w:rsid w:val="00C66B9E"/>
    <w:rsid w:val="00C66C0C"/>
    <w:rsid w:val="00C66D22"/>
    <w:rsid w:val="00C66D34"/>
    <w:rsid w:val="00C66E5B"/>
    <w:rsid w:val="00C66EFB"/>
    <w:rsid w:val="00C67021"/>
    <w:rsid w:val="00C6703E"/>
    <w:rsid w:val="00C670DA"/>
    <w:rsid w:val="00C67216"/>
    <w:rsid w:val="00C67397"/>
    <w:rsid w:val="00C67588"/>
    <w:rsid w:val="00C6767F"/>
    <w:rsid w:val="00C677BB"/>
    <w:rsid w:val="00C67869"/>
    <w:rsid w:val="00C679D6"/>
    <w:rsid w:val="00C679F8"/>
    <w:rsid w:val="00C67A72"/>
    <w:rsid w:val="00C67BFE"/>
    <w:rsid w:val="00C67E12"/>
    <w:rsid w:val="00C67E59"/>
    <w:rsid w:val="00C67F20"/>
    <w:rsid w:val="00C67F46"/>
    <w:rsid w:val="00C700D5"/>
    <w:rsid w:val="00C70191"/>
    <w:rsid w:val="00C701AD"/>
    <w:rsid w:val="00C701E6"/>
    <w:rsid w:val="00C70284"/>
    <w:rsid w:val="00C7034F"/>
    <w:rsid w:val="00C70394"/>
    <w:rsid w:val="00C70457"/>
    <w:rsid w:val="00C70468"/>
    <w:rsid w:val="00C7051C"/>
    <w:rsid w:val="00C70548"/>
    <w:rsid w:val="00C70618"/>
    <w:rsid w:val="00C70676"/>
    <w:rsid w:val="00C706A2"/>
    <w:rsid w:val="00C70763"/>
    <w:rsid w:val="00C707AF"/>
    <w:rsid w:val="00C707D7"/>
    <w:rsid w:val="00C708F9"/>
    <w:rsid w:val="00C70997"/>
    <w:rsid w:val="00C709CB"/>
    <w:rsid w:val="00C70A38"/>
    <w:rsid w:val="00C70B79"/>
    <w:rsid w:val="00C70C4F"/>
    <w:rsid w:val="00C70CC7"/>
    <w:rsid w:val="00C70F76"/>
    <w:rsid w:val="00C70FD3"/>
    <w:rsid w:val="00C71118"/>
    <w:rsid w:val="00C7119F"/>
    <w:rsid w:val="00C712F8"/>
    <w:rsid w:val="00C71313"/>
    <w:rsid w:val="00C71491"/>
    <w:rsid w:val="00C71553"/>
    <w:rsid w:val="00C715E7"/>
    <w:rsid w:val="00C71824"/>
    <w:rsid w:val="00C7188E"/>
    <w:rsid w:val="00C718D7"/>
    <w:rsid w:val="00C71A2F"/>
    <w:rsid w:val="00C71ABD"/>
    <w:rsid w:val="00C71AF6"/>
    <w:rsid w:val="00C71B7B"/>
    <w:rsid w:val="00C71C10"/>
    <w:rsid w:val="00C71EC8"/>
    <w:rsid w:val="00C71F26"/>
    <w:rsid w:val="00C71F39"/>
    <w:rsid w:val="00C72057"/>
    <w:rsid w:val="00C72091"/>
    <w:rsid w:val="00C721C1"/>
    <w:rsid w:val="00C72342"/>
    <w:rsid w:val="00C724D4"/>
    <w:rsid w:val="00C72558"/>
    <w:rsid w:val="00C725B1"/>
    <w:rsid w:val="00C727A5"/>
    <w:rsid w:val="00C727E4"/>
    <w:rsid w:val="00C72944"/>
    <w:rsid w:val="00C72C7B"/>
    <w:rsid w:val="00C72E35"/>
    <w:rsid w:val="00C73103"/>
    <w:rsid w:val="00C73283"/>
    <w:rsid w:val="00C732B3"/>
    <w:rsid w:val="00C732FC"/>
    <w:rsid w:val="00C733CD"/>
    <w:rsid w:val="00C735EC"/>
    <w:rsid w:val="00C737ED"/>
    <w:rsid w:val="00C73824"/>
    <w:rsid w:val="00C73879"/>
    <w:rsid w:val="00C73BAA"/>
    <w:rsid w:val="00C73BFC"/>
    <w:rsid w:val="00C73C42"/>
    <w:rsid w:val="00C740D7"/>
    <w:rsid w:val="00C741B0"/>
    <w:rsid w:val="00C741DB"/>
    <w:rsid w:val="00C74304"/>
    <w:rsid w:val="00C7432F"/>
    <w:rsid w:val="00C747F4"/>
    <w:rsid w:val="00C748DC"/>
    <w:rsid w:val="00C749C4"/>
    <w:rsid w:val="00C74A4F"/>
    <w:rsid w:val="00C74AC7"/>
    <w:rsid w:val="00C74D1F"/>
    <w:rsid w:val="00C74E44"/>
    <w:rsid w:val="00C74F22"/>
    <w:rsid w:val="00C74FC2"/>
    <w:rsid w:val="00C750E5"/>
    <w:rsid w:val="00C750F1"/>
    <w:rsid w:val="00C75243"/>
    <w:rsid w:val="00C752C3"/>
    <w:rsid w:val="00C753C8"/>
    <w:rsid w:val="00C7550D"/>
    <w:rsid w:val="00C75556"/>
    <w:rsid w:val="00C7560E"/>
    <w:rsid w:val="00C757D3"/>
    <w:rsid w:val="00C75AAD"/>
    <w:rsid w:val="00C75B5C"/>
    <w:rsid w:val="00C75B82"/>
    <w:rsid w:val="00C75C80"/>
    <w:rsid w:val="00C75D34"/>
    <w:rsid w:val="00C75D45"/>
    <w:rsid w:val="00C75E2F"/>
    <w:rsid w:val="00C7603A"/>
    <w:rsid w:val="00C76046"/>
    <w:rsid w:val="00C76077"/>
    <w:rsid w:val="00C761E3"/>
    <w:rsid w:val="00C762CE"/>
    <w:rsid w:val="00C76309"/>
    <w:rsid w:val="00C76350"/>
    <w:rsid w:val="00C763B2"/>
    <w:rsid w:val="00C764DE"/>
    <w:rsid w:val="00C76504"/>
    <w:rsid w:val="00C76589"/>
    <w:rsid w:val="00C766C3"/>
    <w:rsid w:val="00C76863"/>
    <w:rsid w:val="00C76945"/>
    <w:rsid w:val="00C76A90"/>
    <w:rsid w:val="00C76A93"/>
    <w:rsid w:val="00C76C12"/>
    <w:rsid w:val="00C76CCB"/>
    <w:rsid w:val="00C76D30"/>
    <w:rsid w:val="00C76D6D"/>
    <w:rsid w:val="00C76DAC"/>
    <w:rsid w:val="00C76DCC"/>
    <w:rsid w:val="00C76EED"/>
    <w:rsid w:val="00C771F2"/>
    <w:rsid w:val="00C773B3"/>
    <w:rsid w:val="00C7746A"/>
    <w:rsid w:val="00C774E4"/>
    <w:rsid w:val="00C77601"/>
    <w:rsid w:val="00C779CE"/>
    <w:rsid w:val="00C77AD8"/>
    <w:rsid w:val="00C77B5C"/>
    <w:rsid w:val="00C77CA1"/>
    <w:rsid w:val="00C77D05"/>
    <w:rsid w:val="00C77D92"/>
    <w:rsid w:val="00C77D99"/>
    <w:rsid w:val="00C77EC5"/>
    <w:rsid w:val="00C803BE"/>
    <w:rsid w:val="00C803D3"/>
    <w:rsid w:val="00C80526"/>
    <w:rsid w:val="00C805F0"/>
    <w:rsid w:val="00C8070D"/>
    <w:rsid w:val="00C80711"/>
    <w:rsid w:val="00C80763"/>
    <w:rsid w:val="00C807A7"/>
    <w:rsid w:val="00C80955"/>
    <w:rsid w:val="00C809B7"/>
    <w:rsid w:val="00C80A52"/>
    <w:rsid w:val="00C80A96"/>
    <w:rsid w:val="00C80B1C"/>
    <w:rsid w:val="00C80B3B"/>
    <w:rsid w:val="00C80BDB"/>
    <w:rsid w:val="00C80C1E"/>
    <w:rsid w:val="00C80CA6"/>
    <w:rsid w:val="00C80FEC"/>
    <w:rsid w:val="00C8152E"/>
    <w:rsid w:val="00C816F8"/>
    <w:rsid w:val="00C81797"/>
    <w:rsid w:val="00C817B7"/>
    <w:rsid w:val="00C8188A"/>
    <w:rsid w:val="00C818A2"/>
    <w:rsid w:val="00C818D1"/>
    <w:rsid w:val="00C8197D"/>
    <w:rsid w:val="00C81B8B"/>
    <w:rsid w:val="00C81B8F"/>
    <w:rsid w:val="00C81C4B"/>
    <w:rsid w:val="00C81D30"/>
    <w:rsid w:val="00C81D41"/>
    <w:rsid w:val="00C81D7E"/>
    <w:rsid w:val="00C81ED0"/>
    <w:rsid w:val="00C820A2"/>
    <w:rsid w:val="00C8228F"/>
    <w:rsid w:val="00C82341"/>
    <w:rsid w:val="00C82385"/>
    <w:rsid w:val="00C8249C"/>
    <w:rsid w:val="00C824E4"/>
    <w:rsid w:val="00C8251B"/>
    <w:rsid w:val="00C82576"/>
    <w:rsid w:val="00C825D1"/>
    <w:rsid w:val="00C8295D"/>
    <w:rsid w:val="00C82AB0"/>
    <w:rsid w:val="00C82AFF"/>
    <w:rsid w:val="00C82B5E"/>
    <w:rsid w:val="00C82C3A"/>
    <w:rsid w:val="00C82D1C"/>
    <w:rsid w:val="00C82F71"/>
    <w:rsid w:val="00C82F87"/>
    <w:rsid w:val="00C8308A"/>
    <w:rsid w:val="00C83153"/>
    <w:rsid w:val="00C83156"/>
    <w:rsid w:val="00C832C1"/>
    <w:rsid w:val="00C832FD"/>
    <w:rsid w:val="00C83367"/>
    <w:rsid w:val="00C83386"/>
    <w:rsid w:val="00C83562"/>
    <w:rsid w:val="00C83662"/>
    <w:rsid w:val="00C837F1"/>
    <w:rsid w:val="00C83868"/>
    <w:rsid w:val="00C839D3"/>
    <w:rsid w:val="00C83D64"/>
    <w:rsid w:val="00C83DD8"/>
    <w:rsid w:val="00C83E74"/>
    <w:rsid w:val="00C83F95"/>
    <w:rsid w:val="00C840A6"/>
    <w:rsid w:val="00C841A2"/>
    <w:rsid w:val="00C8439F"/>
    <w:rsid w:val="00C844DD"/>
    <w:rsid w:val="00C844EC"/>
    <w:rsid w:val="00C8458B"/>
    <w:rsid w:val="00C84645"/>
    <w:rsid w:val="00C846A9"/>
    <w:rsid w:val="00C8484C"/>
    <w:rsid w:val="00C84A08"/>
    <w:rsid w:val="00C84D42"/>
    <w:rsid w:val="00C84F82"/>
    <w:rsid w:val="00C85077"/>
    <w:rsid w:val="00C850BD"/>
    <w:rsid w:val="00C850FF"/>
    <w:rsid w:val="00C852A1"/>
    <w:rsid w:val="00C85300"/>
    <w:rsid w:val="00C85327"/>
    <w:rsid w:val="00C8533F"/>
    <w:rsid w:val="00C8542F"/>
    <w:rsid w:val="00C85432"/>
    <w:rsid w:val="00C854D9"/>
    <w:rsid w:val="00C8556D"/>
    <w:rsid w:val="00C8559B"/>
    <w:rsid w:val="00C857FC"/>
    <w:rsid w:val="00C85866"/>
    <w:rsid w:val="00C85886"/>
    <w:rsid w:val="00C859AF"/>
    <w:rsid w:val="00C859C4"/>
    <w:rsid w:val="00C85AC8"/>
    <w:rsid w:val="00C85B25"/>
    <w:rsid w:val="00C85BB9"/>
    <w:rsid w:val="00C85BEF"/>
    <w:rsid w:val="00C85D5D"/>
    <w:rsid w:val="00C85DF4"/>
    <w:rsid w:val="00C85E0A"/>
    <w:rsid w:val="00C86298"/>
    <w:rsid w:val="00C862F7"/>
    <w:rsid w:val="00C864C8"/>
    <w:rsid w:val="00C8666C"/>
    <w:rsid w:val="00C86690"/>
    <w:rsid w:val="00C86873"/>
    <w:rsid w:val="00C86A7B"/>
    <w:rsid w:val="00C86D33"/>
    <w:rsid w:val="00C86D7E"/>
    <w:rsid w:val="00C86E92"/>
    <w:rsid w:val="00C870E1"/>
    <w:rsid w:val="00C870ED"/>
    <w:rsid w:val="00C871A1"/>
    <w:rsid w:val="00C8726F"/>
    <w:rsid w:val="00C87324"/>
    <w:rsid w:val="00C87339"/>
    <w:rsid w:val="00C8740F"/>
    <w:rsid w:val="00C8755D"/>
    <w:rsid w:val="00C875BB"/>
    <w:rsid w:val="00C87607"/>
    <w:rsid w:val="00C877CF"/>
    <w:rsid w:val="00C87A97"/>
    <w:rsid w:val="00C87ACB"/>
    <w:rsid w:val="00C87BB6"/>
    <w:rsid w:val="00C87F62"/>
    <w:rsid w:val="00C90053"/>
    <w:rsid w:val="00C900D1"/>
    <w:rsid w:val="00C9029D"/>
    <w:rsid w:val="00C902DC"/>
    <w:rsid w:val="00C904E2"/>
    <w:rsid w:val="00C904FD"/>
    <w:rsid w:val="00C90594"/>
    <w:rsid w:val="00C905F6"/>
    <w:rsid w:val="00C9064B"/>
    <w:rsid w:val="00C9066A"/>
    <w:rsid w:val="00C90831"/>
    <w:rsid w:val="00C90874"/>
    <w:rsid w:val="00C908C7"/>
    <w:rsid w:val="00C909F5"/>
    <w:rsid w:val="00C90AC1"/>
    <w:rsid w:val="00C90AEF"/>
    <w:rsid w:val="00C90B89"/>
    <w:rsid w:val="00C90BCF"/>
    <w:rsid w:val="00C90CA5"/>
    <w:rsid w:val="00C90CD6"/>
    <w:rsid w:val="00C90E4E"/>
    <w:rsid w:val="00C91043"/>
    <w:rsid w:val="00C910FE"/>
    <w:rsid w:val="00C912CC"/>
    <w:rsid w:val="00C91375"/>
    <w:rsid w:val="00C91393"/>
    <w:rsid w:val="00C9152A"/>
    <w:rsid w:val="00C916FF"/>
    <w:rsid w:val="00C91797"/>
    <w:rsid w:val="00C917BB"/>
    <w:rsid w:val="00C9186F"/>
    <w:rsid w:val="00C91AAD"/>
    <w:rsid w:val="00C91AB2"/>
    <w:rsid w:val="00C91C3A"/>
    <w:rsid w:val="00C91DA9"/>
    <w:rsid w:val="00C91E25"/>
    <w:rsid w:val="00C91EE8"/>
    <w:rsid w:val="00C920DC"/>
    <w:rsid w:val="00C92150"/>
    <w:rsid w:val="00C92385"/>
    <w:rsid w:val="00C92414"/>
    <w:rsid w:val="00C92491"/>
    <w:rsid w:val="00C924AE"/>
    <w:rsid w:val="00C92523"/>
    <w:rsid w:val="00C9274C"/>
    <w:rsid w:val="00C9284E"/>
    <w:rsid w:val="00C9294F"/>
    <w:rsid w:val="00C92A1D"/>
    <w:rsid w:val="00C92B0B"/>
    <w:rsid w:val="00C92B7F"/>
    <w:rsid w:val="00C92BEB"/>
    <w:rsid w:val="00C92C78"/>
    <w:rsid w:val="00C92DBD"/>
    <w:rsid w:val="00C92E46"/>
    <w:rsid w:val="00C92F57"/>
    <w:rsid w:val="00C93158"/>
    <w:rsid w:val="00C931AE"/>
    <w:rsid w:val="00C933BD"/>
    <w:rsid w:val="00C934EF"/>
    <w:rsid w:val="00C93527"/>
    <w:rsid w:val="00C9370C"/>
    <w:rsid w:val="00C9376E"/>
    <w:rsid w:val="00C937CB"/>
    <w:rsid w:val="00C939C9"/>
    <w:rsid w:val="00C939DB"/>
    <w:rsid w:val="00C93A38"/>
    <w:rsid w:val="00C93ADF"/>
    <w:rsid w:val="00C93B9A"/>
    <w:rsid w:val="00C93BC2"/>
    <w:rsid w:val="00C93C52"/>
    <w:rsid w:val="00C93C92"/>
    <w:rsid w:val="00C93D6A"/>
    <w:rsid w:val="00C93E84"/>
    <w:rsid w:val="00C93F7C"/>
    <w:rsid w:val="00C9416F"/>
    <w:rsid w:val="00C94302"/>
    <w:rsid w:val="00C94362"/>
    <w:rsid w:val="00C943CE"/>
    <w:rsid w:val="00C94528"/>
    <w:rsid w:val="00C945B4"/>
    <w:rsid w:val="00C94769"/>
    <w:rsid w:val="00C947EF"/>
    <w:rsid w:val="00C947F0"/>
    <w:rsid w:val="00C94864"/>
    <w:rsid w:val="00C9495D"/>
    <w:rsid w:val="00C94B1A"/>
    <w:rsid w:val="00C94CD2"/>
    <w:rsid w:val="00C94DAF"/>
    <w:rsid w:val="00C94E4C"/>
    <w:rsid w:val="00C94ED8"/>
    <w:rsid w:val="00C94F5F"/>
    <w:rsid w:val="00C95194"/>
    <w:rsid w:val="00C953D0"/>
    <w:rsid w:val="00C9546C"/>
    <w:rsid w:val="00C955EF"/>
    <w:rsid w:val="00C95633"/>
    <w:rsid w:val="00C95811"/>
    <w:rsid w:val="00C95951"/>
    <w:rsid w:val="00C9598C"/>
    <w:rsid w:val="00C95A22"/>
    <w:rsid w:val="00C95BC7"/>
    <w:rsid w:val="00C95C39"/>
    <w:rsid w:val="00C95C81"/>
    <w:rsid w:val="00C95D22"/>
    <w:rsid w:val="00C95EFB"/>
    <w:rsid w:val="00C96120"/>
    <w:rsid w:val="00C962BA"/>
    <w:rsid w:val="00C96526"/>
    <w:rsid w:val="00C966F8"/>
    <w:rsid w:val="00C967A9"/>
    <w:rsid w:val="00C9680C"/>
    <w:rsid w:val="00C96A0F"/>
    <w:rsid w:val="00C96A61"/>
    <w:rsid w:val="00C96A65"/>
    <w:rsid w:val="00C96B4C"/>
    <w:rsid w:val="00C96CF2"/>
    <w:rsid w:val="00C96D6B"/>
    <w:rsid w:val="00C96E10"/>
    <w:rsid w:val="00C97058"/>
    <w:rsid w:val="00C97074"/>
    <w:rsid w:val="00C9708F"/>
    <w:rsid w:val="00C97257"/>
    <w:rsid w:val="00C97318"/>
    <w:rsid w:val="00C97417"/>
    <w:rsid w:val="00C975CD"/>
    <w:rsid w:val="00C975FC"/>
    <w:rsid w:val="00C9793C"/>
    <w:rsid w:val="00C97AF1"/>
    <w:rsid w:val="00C97B82"/>
    <w:rsid w:val="00C97D07"/>
    <w:rsid w:val="00C97D12"/>
    <w:rsid w:val="00C97D65"/>
    <w:rsid w:val="00C97E12"/>
    <w:rsid w:val="00C97F31"/>
    <w:rsid w:val="00C97FDB"/>
    <w:rsid w:val="00C97FE9"/>
    <w:rsid w:val="00CA008A"/>
    <w:rsid w:val="00CA0188"/>
    <w:rsid w:val="00CA02E1"/>
    <w:rsid w:val="00CA02E6"/>
    <w:rsid w:val="00CA03C3"/>
    <w:rsid w:val="00CA0477"/>
    <w:rsid w:val="00CA047A"/>
    <w:rsid w:val="00CA0544"/>
    <w:rsid w:val="00CA0745"/>
    <w:rsid w:val="00CA08EF"/>
    <w:rsid w:val="00CA0979"/>
    <w:rsid w:val="00CA0A7D"/>
    <w:rsid w:val="00CA0B4E"/>
    <w:rsid w:val="00CA0C0A"/>
    <w:rsid w:val="00CA0D11"/>
    <w:rsid w:val="00CA0F46"/>
    <w:rsid w:val="00CA1261"/>
    <w:rsid w:val="00CA12F9"/>
    <w:rsid w:val="00CA167D"/>
    <w:rsid w:val="00CA191A"/>
    <w:rsid w:val="00CA1978"/>
    <w:rsid w:val="00CA19CD"/>
    <w:rsid w:val="00CA1AE5"/>
    <w:rsid w:val="00CA1C01"/>
    <w:rsid w:val="00CA1C84"/>
    <w:rsid w:val="00CA2101"/>
    <w:rsid w:val="00CA2123"/>
    <w:rsid w:val="00CA21B5"/>
    <w:rsid w:val="00CA22CA"/>
    <w:rsid w:val="00CA23AA"/>
    <w:rsid w:val="00CA2498"/>
    <w:rsid w:val="00CA24D5"/>
    <w:rsid w:val="00CA25C2"/>
    <w:rsid w:val="00CA261E"/>
    <w:rsid w:val="00CA26C6"/>
    <w:rsid w:val="00CA27AC"/>
    <w:rsid w:val="00CA27B9"/>
    <w:rsid w:val="00CA282C"/>
    <w:rsid w:val="00CA284E"/>
    <w:rsid w:val="00CA2950"/>
    <w:rsid w:val="00CA2BA4"/>
    <w:rsid w:val="00CA2C38"/>
    <w:rsid w:val="00CA2D50"/>
    <w:rsid w:val="00CA2D56"/>
    <w:rsid w:val="00CA2EDA"/>
    <w:rsid w:val="00CA346C"/>
    <w:rsid w:val="00CA3578"/>
    <w:rsid w:val="00CA358A"/>
    <w:rsid w:val="00CA387F"/>
    <w:rsid w:val="00CA397B"/>
    <w:rsid w:val="00CA39CA"/>
    <w:rsid w:val="00CA3A0C"/>
    <w:rsid w:val="00CA3A96"/>
    <w:rsid w:val="00CA3B81"/>
    <w:rsid w:val="00CA3B91"/>
    <w:rsid w:val="00CA3BAF"/>
    <w:rsid w:val="00CA3C96"/>
    <w:rsid w:val="00CA3CA9"/>
    <w:rsid w:val="00CA3CAE"/>
    <w:rsid w:val="00CA4011"/>
    <w:rsid w:val="00CA40D3"/>
    <w:rsid w:val="00CA4388"/>
    <w:rsid w:val="00CA439B"/>
    <w:rsid w:val="00CA441D"/>
    <w:rsid w:val="00CA447D"/>
    <w:rsid w:val="00CA4546"/>
    <w:rsid w:val="00CA4597"/>
    <w:rsid w:val="00CA4741"/>
    <w:rsid w:val="00CA480A"/>
    <w:rsid w:val="00CA4818"/>
    <w:rsid w:val="00CA48B6"/>
    <w:rsid w:val="00CA4AAC"/>
    <w:rsid w:val="00CA4BDB"/>
    <w:rsid w:val="00CA4F02"/>
    <w:rsid w:val="00CA4F1E"/>
    <w:rsid w:val="00CA4FCC"/>
    <w:rsid w:val="00CA51BB"/>
    <w:rsid w:val="00CA5274"/>
    <w:rsid w:val="00CA53EC"/>
    <w:rsid w:val="00CA566B"/>
    <w:rsid w:val="00CA58B8"/>
    <w:rsid w:val="00CA58BA"/>
    <w:rsid w:val="00CA5A00"/>
    <w:rsid w:val="00CA5A6A"/>
    <w:rsid w:val="00CA5A90"/>
    <w:rsid w:val="00CA5DFA"/>
    <w:rsid w:val="00CA5F4D"/>
    <w:rsid w:val="00CA6071"/>
    <w:rsid w:val="00CA6085"/>
    <w:rsid w:val="00CA61CD"/>
    <w:rsid w:val="00CA6576"/>
    <w:rsid w:val="00CA6593"/>
    <w:rsid w:val="00CA6633"/>
    <w:rsid w:val="00CA669F"/>
    <w:rsid w:val="00CA66A9"/>
    <w:rsid w:val="00CA6725"/>
    <w:rsid w:val="00CA67DF"/>
    <w:rsid w:val="00CA6814"/>
    <w:rsid w:val="00CA6877"/>
    <w:rsid w:val="00CA69C6"/>
    <w:rsid w:val="00CA6AB0"/>
    <w:rsid w:val="00CA6AD5"/>
    <w:rsid w:val="00CA6B39"/>
    <w:rsid w:val="00CA6C15"/>
    <w:rsid w:val="00CA6EB2"/>
    <w:rsid w:val="00CA6ED0"/>
    <w:rsid w:val="00CA6F12"/>
    <w:rsid w:val="00CA70BA"/>
    <w:rsid w:val="00CA7141"/>
    <w:rsid w:val="00CA729C"/>
    <w:rsid w:val="00CA72A4"/>
    <w:rsid w:val="00CA7368"/>
    <w:rsid w:val="00CA7384"/>
    <w:rsid w:val="00CA7387"/>
    <w:rsid w:val="00CA739D"/>
    <w:rsid w:val="00CA75B5"/>
    <w:rsid w:val="00CA78F1"/>
    <w:rsid w:val="00CA7966"/>
    <w:rsid w:val="00CA7B02"/>
    <w:rsid w:val="00CA7B8E"/>
    <w:rsid w:val="00CA7BC9"/>
    <w:rsid w:val="00CA7D31"/>
    <w:rsid w:val="00CA7D41"/>
    <w:rsid w:val="00CA7E06"/>
    <w:rsid w:val="00CA7E4B"/>
    <w:rsid w:val="00CA7E69"/>
    <w:rsid w:val="00CA7ED8"/>
    <w:rsid w:val="00CB0062"/>
    <w:rsid w:val="00CB00BA"/>
    <w:rsid w:val="00CB023F"/>
    <w:rsid w:val="00CB04AD"/>
    <w:rsid w:val="00CB0544"/>
    <w:rsid w:val="00CB0556"/>
    <w:rsid w:val="00CB055D"/>
    <w:rsid w:val="00CB0560"/>
    <w:rsid w:val="00CB05D1"/>
    <w:rsid w:val="00CB0711"/>
    <w:rsid w:val="00CB073C"/>
    <w:rsid w:val="00CB084C"/>
    <w:rsid w:val="00CB09B6"/>
    <w:rsid w:val="00CB0A12"/>
    <w:rsid w:val="00CB0A25"/>
    <w:rsid w:val="00CB0AC5"/>
    <w:rsid w:val="00CB0B18"/>
    <w:rsid w:val="00CB0BB4"/>
    <w:rsid w:val="00CB0CC0"/>
    <w:rsid w:val="00CB0DE2"/>
    <w:rsid w:val="00CB0EE3"/>
    <w:rsid w:val="00CB0F57"/>
    <w:rsid w:val="00CB0FD8"/>
    <w:rsid w:val="00CB12E4"/>
    <w:rsid w:val="00CB14C3"/>
    <w:rsid w:val="00CB197E"/>
    <w:rsid w:val="00CB19DE"/>
    <w:rsid w:val="00CB1A3D"/>
    <w:rsid w:val="00CB1A44"/>
    <w:rsid w:val="00CB1ABD"/>
    <w:rsid w:val="00CB1B63"/>
    <w:rsid w:val="00CB1BAF"/>
    <w:rsid w:val="00CB1C0D"/>
    <w:rsid w:val="00CB1D05"/>
    <w:rsid w:val="00CB1E9D"/>
    <w:rsid w:val="00CB1F4A"/>
    <w:rsid w:val="00CB212E"/>
    <w:rsid w:val="00CB2205"/>
    <w:rsid w:val="00CB222B"/>
    <w:rsid w:val="00CB2309"/>
    <w:rsid w:val="00CB23F6"/>
    <w:rsid w:val="00CB240D"/>
    <w:rsid w:val="00CB2442"/>
    <w:rsid w:val="00CB244F"/>
    <w:rsid w:val="00CB2587"/>
    <w:rsid w:val="00CB2765"/>
    <w:rsid w:val="00CB277F"/>
    <w:rsid w:val="00CB2894"/>
    <w:rsid w:val="00CB295E"/>
    <w:rsid w:val="00CB2961"/>
    <w:rsid w:val="00CB299B"/>
    <w:rsid w:val="00CB2A07"/>
    <w:rsid w:val="00CB2AE4"/>
    <w:rsid w:val="00CB2C0B"/>
    <w:rsid w:val="00CB2D4A"/>
    <w:rsid w:val="00CB2E08"/>
    <w:rsid w:val="00CB2E68"/>
    <w:rsid w:val="00CB2E7F"/>
    <w:rsid w:val="00CB2E96"/>
    <w:rsid w:val="00CB3099"/>
    <w:rsid w:val="00CB313E"/>
    <w:rsid w:val="00CB3145"/>
    <w:rsid w:val="00CB3213"/>
    <w:rsid w:val="00CB3254"/>
    <w:rsid w:val="00CB33BF"/>
    <w:rsid w:val="00CB342D"/>
    <w:rsid w:val="00CB34B4"/>
    <w:rsid w:val="00CB3611"/>
    <w:rsid w:val="00CB388D"/>
    <w:rsid w:val="00CB3D6E"/>
    <w:rsid w:val="00CB3D8C"/>
    <w:rsid w:val="00CB3E5F"/>
    <w:rsid w:val="00CB3E67"/>
    <w:rsid w:val="00CB3F0A"/>
    <w:rsid w:val="00CB4060"/>
    <w:rsid w:val="00CB4320"/>
    <w:rsid w:val="00CB437E"/>
    <w:rsid w:val="00CB43E0"/>
    <w:rsid w:val="00CB4452"/>
    <w:rsid w:val="00CB45DB"/>
    <w:rsid w:val="00CB4705"/>
    <w:rsid w:val="00CB4799"/>
    <w:rsid w:val="00CB48EC"/>
    <w:rsid w:val="00CB4925"/>
    <w:rsid w:val="00CB4988"/>
    <w:rsid w:val="00CB49A4"/>
    <w:rsid w:val="00CB49FE"/>
    <w:rsid w:val="00CB4A17"/>
    <w:rsid w:val="00CB4A3E"/>
    <w:rsid w:val="00CB4A92"/>
    <w:rsid w:val="00CB4B1B"/>
    <w:rsid w:val="00CB4D75"/>
    <w:rsid w:val="00CB4DE3"/>
    <w:rsid w:val="00CB4E7F"/>
    <w:rsid w:val="00CB4F99"/>
    <w:rsid w:val="00CB4FEB"/>
    <w:rsid w:val="00CB516A"/>
    <w:rsid w:val="00CB529C"/>
    <w:rsid w:val="00CB52C4"/>
    <w:rsid w:val="00CB53A9"/>
    <w:rsid w:val="00CB5586"/>
    <w:rsid w:val="00CB5651"/>
    <w:rsid w:val="00CB58E4"/>
    <w:rsid w:val="00CB5926"/>
    <w:rsid w:val="00CB5A07"/>
    <w:rsid w:val="00CB5AAF"/>
    <w:rsid w:val="00CB5AB1"/>
    <w:rsid w:val="00CB5AF4"/>
    <w:rsid w:val="00CB5BEA"/>
    <w:rsid w:val="00CB5E99"/>
    <w:rsid w:val="00CB602D"/>
    <w:rsid w:val="00CB62B3"/>
    <w:rsid w:val="00CB62E8"/>
    <w:rsid w:val="00CB640A"/>
    <w:rsid w:val="00CB6450"/>
    <w:rsid w:val="00CB6563"/>
    <w:rsid w:val="00CB663B"/>
    <w:rsid w:val="00CB66AD"/>
    <w:rsid w:val="00CB66D2"/>
    <w:rsid w:val="00CB677D"/>
    <w:rsid w:val="00CB678E"/>
    <w:rsid w:val="00CB6901"/>
    <w:rsid w:val="00CB6917"/>
    <w:rsid w:val="00CB6969"/>
    <w:rsid w:val="00CB6B0E"/>
    <w:rsid w:val="00CB6CC7"/>
    <w:rsid w:val="00CB6EA2"/>
    <w:rsid w:val="00CB6EDA"/>
    <w:rsid w:val="00CB6F7D"/>
    <w:rsid w:val="00CB70C5"/>
    <w:rsid w:val="00CB7237"/>
    <w:rsid w:val="00CB72D4"/>
    <w:rsid w:val="00CB737A"/>
    <w:rsid w:val="00CB73F3"/>
    <w:rsid w:val="00CB7429"/>
    <w:rsid w:val="00CB74F5"/>
    <w:rsid w:val="00CB7532"/>
    <w:rsid w:val="00CB756E"/>
    <w:rsid w:val="00CB7685"/>
    <w:rsid w:val="00CB77F8"/>
    <w:rsid w:val="00CB7889"/>
    <w:rsid w:val="00CB78CE"/>
    <w:rsid w:val="00CB7933"/>
    <w:rsid w:val="00CB7A3B"/>
    <w:rsid w:val="00CB7AEC"/>
    <w:rsid w:val="00CB7B4D"/>
    <w:rsid w:val="00CB7B7F"/>
    <w:rsid w:val="00CB7BE3"/>
    <w:rsid w:val="00CB7C29"/>
    <w:rsid w:val="00CB7D5B"/>
    <w:rsid w:val="00CB7FEB"/>
    <w:rsid w:val="00CBCFC9"/>
    <w:rsid w:val="00CC02D1"/>
    <w:rsid w:val="00CC05C8"/>
    <w:rsid w:val="00CC064C"/>
    <w:rsid w:val="00CC0745"/>
    <w:rsid w:val="00CC0797"/>
    <w:rsid w:val="00CC089C"/>
    <w:rsid w:val="00CC0929"/>
    <w:rsid w:val="00CC093B"/>
    <w:rsid w:val="00CC0980"/>
    <w:rsid w:val="00CC0A76"/>
    <w:rsid w:val="00CC0B7C"/>
    <w:rsid w:val="00CC0B85"/>
    <w:rsid w:val="00CC0BEB"/>
    <w:rsid w:val="00CC0CAD"/>
    <w:rsid w:val="00CC0CBB"/>
    <w:rsid w:val="00CC0D6D"/>
    <w:rsid w:val="00CC0DDD"/>
    <w:rsid w:val="00CC0EC4"/>
    <w:rsid w:val="00CC10A3"/>
    <w:rsid w:val="00CC127B"/>
    <w:rsid w:val="00CC13C6"/>
    <w:rsid w:val="00CC1406"/>
    <w:rsid w:val="00CC1489"/>
    <w:rsid w:val="00CC16AD"/>
    <w:rsid w:val="00CC1710"/>
    <w:rsid w:val="00CC18C3"/>
    <w:rsid w:val="00CC19B1"/>
    <w:rsid w:val="00CC1A5B"/>
    <w:rsid w:val="00CC1A78"/>
    <w:rsid w:val="00CC1CDE"/>
    <w:rsid w:val="00CC1EA4"/>
    <w:rsid w:val="00CC1FB3"/>
    <w:rsid w:val="00CC2019"/>
    <w:rsid w:val="00CC201D"/>
    <w:rsid w:val="00CC2151"/>
    <w:rsid w:val="00CC2186"/>
    <w:rsid w:val="00CC21EE"/>
    <w:rsid w:val="00CC22CB"/>
    <w:rsid w:val="00CC22D9"/>
    <w:rsid w:val="00CC2388"/>
    <w:rsid w:val="00CC277A"/>
    <w:rsid w:val="00CC2790"/>
    <w:rsid w:val="00CC2878"/>
    <w:rsid w:val="00CC28BF"/>
    <w:rsid w:val="00CC2945"/>
    <w:rsid w:val="00CC29B1"/>
    <w:rsid w:val="00CC2A07"/>
    <w:rsid w:val="00CC2A6A"/>
    <w:rsid w:val="00CC2BF2"/>
    <w:rsid w:val="00CC2C82"/>
    <w:rsid w:val="00CC2C84"/>
    <w:rsid w:val="00CC2C95"/>
    <w:rsid w:val="00CC2D24"/>
    <w:rsid w:val="00CC2DCD"/>
    <w:rsid w:val="00CC2DFA"/>
    <w:rsid w:val="00CC2ED5"/>
    <w:rsid w:val="00CC2F83"/>
    <w:rsid w:val="00CC30D3"/>
    <w:rsid w:val="00CC3110"/>
    <w:rsid w:val="00CC313E"/>
    <w:rsid w:val="00CC32DC"/>
    <w:rsid w:val="00CC349B"/>
    <w:rsid w:val="00CC398D"/>
    <w:rsid w:val="00CC3A28"/>
    <w:rsid w:val="00CC3A61"/>
    <w:rsid w:val="00CC3B9B"/>
    <w:rsid w:val="00CC403A"/>
    <w:rsid w:val="00CC4128"/>
    <w:rsid w:val="00CC42BA"/>
    <w:rsid w:val="00CC43AF"/>
    <w:rsid w:val="00CC44A6"/>
    <w:rsid w:val="00CC44B2"/>
    <w:rsid w:val="00CC4681"/>
    <w:rsid w:val="00CC4702"/>
    <w:rsid w:val="00CC49B7"/>
    <w:rsid w:val="00CC4BB9"/>
    <w:rsid w:val="00CC4BDA"/>
    <w:rsid w:val="00CC4C2C"/>
    <w:rsid w:val="00CC4CC8"/>
    <w:rsid w:val="00CC4CF4"/>
    <w:rsid w:val="00CC4E2B"/>
    <w:rsid w:val="00CC4E66"/>
    <w:rsid w:val="00CC4EB0"/>
    <w:rsid w:val="00CC4F30"/>
    <w:rsid w:val="00CC4F38"/>
    <w:rsid w:val="00CC4FCE"/>
    <w:rsid w:val="00CC5273"/>
    <w:rsid w:val="00CC5329"/>
    <w:rsid w:val="00CC5333"/>
    <w:rsid w:val="00CC545C"/>
    <w:rsid w:val="00CC54B8"/>
    <w:rsid w:val="00CC56EF"/>
    <w:rsid w:val="00CC597E"/>
    <w:rsid w:val="00CC5AE5"/>
    <w:rsid w:val="00CC5BCB"/>
    <w:rsid w:val="00CC5FA2"/>
    <w:rsid w:val="00CC60EA"/>
    <w:rsid w:val="00CC6160"/>
    <w:rsid w:val="00CC621E"/>
    <w:rsid w:val="00CC6302"/>
    <w:rsid w:val="00CC642E"/>
    <w:rsid w:val="00CC6489"/>
    <w:rsid w:val="00CC6557"/>
    <w:rsid w:val="00CC6615"/>
    <w:rsid w:val="00CC665F"/>
    <w:rsid w:val="00CC68A8"/>
    <w:rsid w:val="00CC68DC"/>
    <w:rsid w:val="00CC6972"/>
    <w:rsid w:val="00CC6B2E"/>
    <w:rsid w:val="00CC6C5D"/>
    <w:rsid w:val="00CC6C9B"/>
    <w:rsid w:val="00CC6CB4"/>
    <w:rsid w:val="00CC6F4A"/>
    <w:rsid w:val="00CC70A3"/>
    <w:rsid w:val="00CC733F"/>
    <w:rsid w:val="00CC7373"/>
    <w:rsid w:val="00CC7683"/>
    <w:rsid w:val="00CC7769"/>
    <w:rsid w:val="00CC77A3"/>
    <w:rsid w:val="00CC77F2"/>
    <w:rsid w:val="00CC7807"/>
    <w:rsid w:val="00CC793A"/>
    <w:rsid w:val="00CC7970"/>
    <w:rsid w:val="00CC7BA4"/>
    <w:rsid w:val="00CC7DFE"/>
    <w:rsid w:val="00CC7F15"/>
    <w:rsid w:val="00CC7F93"/>
    <w:rsid w:val="00CD0132"/>
    <w:rsid w:val="00CD01A6"/>
    <w:rsid w:val="00CD01FD"/>
    <w:rsid w:val="00CD05C8"/>
    <w:rsid w:val="00CD0755"/>
    <w:rsid w:val="00CD078F"/>
    <w:rsid w:val="00CD07BF"/>
    <w:rsid w:val="00CD07F4"/>
    <w:rsid w:val="00CD096A"/>
    <w:rsid w:val="00CD0A11"/>
    <w:rsid w:val="00CD0A1F"/>
    <w:rsid w:val="00CD0A2F"/>
    <w:rsid w:val="00CD0BBB"/>
    <w:rsid w:val="00CD0C94"/>
    <w:rsid w:val="00CD0EA7"/>
    <w:rsid w:val="00CD0F34"/>
    <w:rsid w:val="00CD10E6"/>
    <w:rsid w:val="00CD1106"/>
    <w:rsid w:val="00CD11AA"/>
    <w:rsid w:val="00CD138B"/>
    <w:rsid w:val="00CD1654"/>
    <w:rsid w:val="00CD180D"/>
    <w:rsid w:val="00CD191C"/>
    <w:rsid w:val="00CD1A9C"/>
    <w:rsid w:val="00CD1B3B"/>
    <w:rsid w:val="00CD1C0F"/>
    <w:rsid w:val="00CD1C36"/>
    <w:rsid w:val="00CD1E28"/>
    <w:rsid w:val="00CD1F57"/>
    <w:rsid w:val="00CD1F6D"/>
    <w:rsid w:val="00CD1FD8"/>
    <w:rsid w:val="00CD20B9"/>
    <w:rsid w:val="00CD2251"/>
    <w:rsid w:val="00CD2379"/>
    <w:rsid w:val="00CD23EB"/>
    <w:rsid w:val="00CD2429"/>
    <w:rsid w:val="00CD2446"/>
    <w:rsid w:val="00CD244E"/>
    <w:rsid w:val="00CD256A"/>
    <w:rsid w:val="00CD25C1"/>
    <w:rsid w:val="00CD25E7"/>
    <w:rsid w:val="00CD272E"/>
    <w:rsid w:val="00CD2796"/>
    <w:rsid w:val="00CD27A2"/>
    <w:rsid w:val="00CD28D5"/>
    <w:rsid w:val="00CD2AA3"/>
    <w:rsid w:val="00CD2AE5"/>
    <w:rsid w:val="00CD2B55"/>
    <w:rsid w:val="00CD2BB9"/>
    <w:rsid w:val="00CD2CD8"/>
    <w:rsid w:val="00CD2ECE"/>
    <w:rsid w:val="00CD2F4F"/>
    <w:rsid w:val="00CD3337"/>
    <w:rsid w:val="00CD34CD"/>
    <w:rsid w:val="00CD3528"/>
    <w:rsid w:val="00CD367F"/>
    <w:rsid w:val="00CD38FD"/>
    <w:rsid w:val="00CD3941"/>
    <w:rsid w:val="00CD3950"/>
    <w:rsid w:val="00CD3956"/>
    <w:rsid w:val="00CD3A1E"/>
    <w:rsid w:val="00CD3A4E"/>
    <w:rsid w:val="00CD3B0E"/>
    <w:rsid w:val="00CD3C19"/>
    <w:rsid w:val="00CD3CA5"/>
    <w:rsid w:val="00CD3CDB"/>
    <w:rsid w:val="00CD3D39"/>
    <w:rsid w:val="00CD3D6A"/>
    <w:rsid w:val="00CD3D9E"/>
    <w:rsid w:val="00CD3EBE"/>
    <w:rsid w:val="00CD3F81"/>
    <w:rsid w:val="00CD3F98"/>
    <w:rsid w:val="00CD3FE6"/>
    <w:rsid w:val="00CD400F"/>
    <w:rsid w:val="00CD408D"/>
    <w:rsid w:val="00CD41D0"/>
    <w:rsid w:val="00CD422A"/>
    <w:rsid w:val="00CD4356"/>
    <w:rsid w:val="00CD439A"/>
    <w:rsid w:val="00CD43D1"/>
    <w:rsid w:val="00CD44F2"/>
    <w:rsid w:val="00CD46DE"/>
    <w:rsid w:val="00CD4788"/>
    <w:rsid w:val="00CD4790"/>
    <w:rsid w:val="00CD4862"/>
    <w:rsid w:val="00CD487D"/>
    <w:rsid w:val="00CD48D5"/>
    <w:rsid w:val="00CD4919"/>
    <w:rsid w:val="00CD4963"/>
    <w:rsid w:val="00CD49A5"/>
    <w:rsid w:val="00CD4A8B"/>
    <w:rsid w:val="00CD4B64"/>
    <w:rsid w:val="00CD4C32"/>
    <w:rsid w:val="00CD4C9C"/>
    <w:rsid w:val="00CD4D13"/>
    <w:rsid w:val="00CD4DB2"/>
    <w:rsid w:val="00CD4F22"/>
    <w:rsid w:val="00CD4FF3"/>
    <w:rsid w:val="00CD5452"/>
    <w:rsid w:val="00CD5456"/>
    <w:rsid w:val="00CD552C"/>
    <w:rsid w:val="00CD5531"/>
    <w:rsid w:val="00CD55CF"/>
    <w:rsid w:val="00CD5919"/>
    <w:rsid w:val="00CD5B90"/>
    <w:rsid w:val="00CD5B9B"/>
    <w:rsid w:val="00CD5C72"/>
    <w:rsid w:val="00CD5E08"/>
    <w:rsid w:val="00CD5E7B"/>
    <w:rsid w:val="00CD5EA3"/>
    <w:rsid w:val="00CD5F60"/>
    <w:rsid w:val="00CD602C"/>
    <w:rsid w:val="00CD6218"/>
    <w:rsid w:val="00CD6260"/>
    <w:rsid w:val="00CD6267"/>
    <w:rsid w:val="00CD63EF"/>
    <w:rsid w:val="00CD646B"/>
    <w:rsid w:val="00CD648F"/>
    <w:rsid w:val="00CD651C"/>
    <w:rsid w:val="00CD6721"/>
    <w:rsid w:val="00CD6780"/>
    <w:rsid w:val="00CD67B9"/>
    <w:rsid w:val="00CD67D2"/>
    <w:rsid w:val="00CD692D"/>
    <w:rsid w:val="00CD6A04"/>
    <w:rsid w:val="00CD6C82"/>
    <w:rsid w:val="00CD6DCF"/>
    <w:rsid w:val="00CD6E62"/>
    <w:rsid w:val="00CD7074"/>
    <w:rsid w:val="00CD716A"/>
    <w:rsid w:val="00CD718D"/>
    <w:rsid w:val="00CD71A7"/>
    <w:rsid w:val="00CD72BA"/>
    <w:rsid w:val="00CD7513"/>
    <w:rsid w:val="00CD75CF"/>
    <w:rsid w:val="00CD7645"/>
    <w:rsid w:val="00CD7689"/>
    <w:rsid w:val="00CD77CB"/>
    <w:rsid w:val="00CD783C"/>
    <w:rsid w:val="00CD78E3"/>
    <w:rsid w:val="00CD795E"/>
    <w:rsid w:val="00CD79B1"/>
    <w:rsid w:val="00CD79E8"/>
    <w:rsid w:val="00CD7AF8"/>
    <w:rsid w:val="00CD7BD9"/>
    <w:rsid w:val="00CD7CCB"/>
    <w:rsid w:val="00CD7D22"/>
    <w:rsid w:val="00CD7DFD"/>
    <w:rsid w:val="00CD7E1F"/>
    <w:rsid w:val="00CE03C0"/>
    <w:rsid w:val="00CE056D"/>
    <w:rsid w:val="00CE0751"/>
    <w:rsid w:val="00CE080C"/>
    <w:rsid w:val="00CE09F8"/>
    <w:rsid w:val="00CE0BF7"/>
    <w:rsid w:val="00CE0C09"/>
    <w:rsid w:val="00CE0CFD"/>
    <w:rsid w:val="00CE0D24"/>
    <w:rsid w:val="00CE0D4D"/>
    <w:rsid w:val="00CE0DC2"/>
    <w:rsid w:val="00CE0F4A"/>
    <w:rsid w:val="00CE0FFA"/>
    <w:rsid w:val="00CE10C1"/>
    <w:rsid w:val="00CE10C6"/>
    <w:rsid w:val="00CE10CC"/>
    <w:rsid w:val="00CE15AF"/>
    <w:rsid w:val="00CE166C"/>
    <w:rsid w:val="00CE17A4"/>
    <w:rsid w:val="00CE1816"/>
    <w:rsid w:val="00CE1870"/>
    <w:rsid w:val="00CE1C20"/>
    <w:rsid w:val="00CE1D53"/>
    <w:rsid w:val="00CE1DE4"/>
    <w:rsid w:val="00CE1E5F"/>
    <w:rsid w:val="00CE1F24"/>
    <w:rsid w:val="00CE1F48"/>
    <w:rsid w:val="00CE20A2"/>
    <w:rsid w:val="00CE20AF"/>
    <w:rsid w:val="00CE2160"/>
    <w:rsid w:val="00CE216D"/>
    <w:rsid w:val="00CE2183"/>
    <w:rsid w:val="00CE21E9"/>
    <w:rsid w:val="00CE227C"/>
    <w:rsid w:val="00CE2377"/>
    <w:rsid w:val="00CE2417"/>
    <w:rsid w:val="00CE2425"/>
    <w:rsid w:val="00CE2542"/>
    <w:rsid w:val="00CE25C0"/>
    <w:rsid w:val="00CE25D3"/>
    <w:rsid w:val="00CE2672"/>
    <w:rsid w:val="00CE26C7"/>
    <w:rsid w:val="00CE27D1"/>
    <w:rsid w:val="00CE27D6"/>
    <w:rsid w:val="00CE285C"/>
    <w:rsid w:val="00CE28FB"/>
    <w:rsid w:val="00CE2A55"/>
    <w:rsid w:val="00CE2A5E"/>
    <w:rsid w:val="00CE2ACD"/>
    <w:rsid w:val="00CE2ACE"/>
    <w:rsid w:val="00CE2AFA"/>
    <w:rsid w:val="00CE2B21"/>
    <w:rsid w:val="00CE2B56"/>
    <w:rsid w:val="00CE2B63"/>
    <w:rsid w:val="00CE2C35"/>
    <w:rsid w:val="00CE2CD6"/>
    <w:rsid w:val="00CE2D26"/>
    <w:rsid w:val="00CE300E"/>
    <w:rsid w:val="00CE3141"/>
    <w:rsid w:val="00CE338B"/>
    <w:rsid w:val="00CE33F3"/>
    <w:rsid w:val="00CE3416"/>
    <w:rsid w:val="00CE34AA"/>
    <w:rsid w:val="00CE34AF"/>
    <w:rsid w:val="00CE35CF"/>
    <w:rsid w:val="00CE361B"/>
    <w:rsid w:val="00CE3726"/>
    <w:rsid w:val="00CE3824"/>
    <w:rsid w:val="00CE39EC"/>
    <w:rsid w:val="00CE39ED"/>
    <w:rsid w:val="00CE3B07"/>
    <w:rsid w:val="00CE3B12"/>
    <w:rsid w:val="00CE3B41"/>
    <w:rsid w:val="00CE3CA2"/>
    <w:rsid w:val="00CE3CB6"/>
    <w:rsid w:val="00CE3CE6"/>
    <w:rsid w:val="00CE3D1D"/>
    <w:rsid w:val="00CE3E6C"/>
    <w:rsid w:val="00CE3F53"/>
    <w:rsid w:val="00CE4037"/>
    <w:rsid w:val="00CE4052"/>
    <w:rsid w:val="00CE4074"/>
    <w:rsid w:val="00CE40B2"/>
    <w:rsid w:val="00CE40D7"/>
    <w:rsid w:val="00CE40FB"/>
    <w:rsid w:val="00CE4103"/>
    <w:rsid w:val="00CE4213"/>
    <w:rsid w:val="00CE426E"/>
    <w:rsid w:val="00CE432F"/>
    <w:rsid w:val="00CE43DF"/>
    <w:rsid w:val="00CE446C"/>
    <w:rsid w:val="00CE44C3"/>
    <w:rsid w:val="00CE4555"/>
    <w:rsid w:val="00CE45A0"/>
    <w:rsid w:val="00CE46E2"/>
    <w:rsid w:val="00CE4711"/>
    <w:rsid w:val="00CE498F"/>
    <w:rsid w:val="00CE4B75"/>
    <w:rsid w:val="00CE4E2C"/>
    <w:rsid w:val="00CE4E83"/>
    <w:rsid w:val="00CE4F57"/>
    <w:rsid w:val="00CE515C"/>
    <w:rsid w:val="00CE527A"/>
    <w:rsid w:val="00CE5285"/>
    <w:rsid w:val="00CE5367"/>
    <w:rsid w:val="00CE5423"/>
    <w:rsid w:val="00CE5478"/>
    <w:rsid w:val="00CE548B"/>
    <w:rsid w:val="00CE5590"/>
    <w:rsid w:val="00CE55A4"/>
    <w:rsid w:val="00CE5617"/>
    <w:rsid w:val="00CE5624"/>
    <w:rsid w:val="00CE5673"/>
    <w:rsid w:val="00CE5738"/>
    <w:rsid w:val="00CE579F"/>
    <w:rsid w:val="00CE57A1"/>
    <w:rsid w:val="00CE58BE"/>
    <w:rsid w:val="00CE58CC"/>
    <w:rsid w:val="00CE5902"/>
    <w:rsid w:val="00CE5944"/>
    <w:rsid w:val="00CE5B2F"/>
    <w:rsid w:val="00CE5BBF"/>
    <w:rsid w:val="00CE5BC8"/>
    <w:rsid w:val="00CE5C86"/>
    <w:rsid w:val="00CE5EDB"/>
    <w:rsid w:val="00CE5FF3"/>
    <w:rsid w:val="00CE6269"/>
    <w:rsid w:val="00CE628A"/>
    <w:rsid w:val="00CE65DD"/>
    <w:rsid w:val="00CE65E2"/>
    <w:rsid w:val="00CE66C3"/>
    <w:rsid w:val="00CE67FC"/>
    <w:rsid w:val="00CE6A41"/>
    <w:rsid w:val="00CE6A63"/>
    <w:rsid w:val="00CE6B0B"/>
    <w:rsid w:val="00CE6B86"/>
    <w:rsid w:val="00CE6C54"/>
    <w:rsid w:val="00CE6E41"/>
    <w:rsid w:val="00CE6F68"/>
    <w:rsid w:val="00CE7008"/>
    <w:rsid w:val="00CE701C"/>
    <w:rsid w:val="00CE707E"/>
    <w:rsid w:val="00CE730E"/>
    <w:rsid w:val="00CE7377"/>
    <w:rsid w:val="00CE73E8"/>
    <w:rsid w:val="00CE7593"/>
    <w:rsid w:val="00CE75DC"/>
    <w:rsid w:val="00CE7659"/>
    <w:rsid w:val="00CE7A2D"/>
    <w:rsid w:val="00CE7B85"/>
    <w:rsid w:val="00CE7C20"/>
    <w:rsid w:val="00CE7DA9"/>
    <w:rsid w:val="00CE7E0D"/>
    <w:rsid w:val="00CE7EBB"/>
    <w:rsid w:val="00CF0026"/>
    <w:rsid w:val="00CF0204"/>
    <w:rsid w:val="00CF020E"/>
    <w:rsid w:val="00CF029C"/>
    <w:rsid w:val="00CF0352"/>
    <w:rsid w:val="00CF0488"/>
    <w:rsid w:val="00CF04ED"/>
    <w:rsid w:val="00CF0677"/>
    <w:rsid w:val="00CF068E"/>
    <w:rsid w:val="00CF0749"/>
    <w:rsid w:val="00CF0878"/>
    <w:rsid w:val="00CF09DC"/>
    <w:rsid w:val="00CF0A96"/>
    <w:rsid w:val="00CF0AF2"/>
    <w:rsid w:val="00CF0B1D"/>
    <w:rsid w:val="00CF0B2A"/>
    <w:rsid w:val="00CF0BDE"/>
    <w:rsid w:val="00CF0D15"/>
    <w:rsid w:val="00CF0E24"/>
    <w:rsid w:val="00CF0EF9"/>
    <w:rsid w:val="00CF0FAD"/>
    <w:rsid w:val="00CF0FBB"/>
    <w:rsid w:val="00CF1034"/>
    <w:rsid w:val="00CF10E4"/>
    <w:rsid w:val="00CF11E2"/>
    <w:rsid w:val="00CF12B4"/>
    <w:rsid w:val="00CF13E5"/>
    <w:rsid w:val="00CF14A5"/>
    <w:rsid w:val="00CF150D"/>
    <w:rsid w:val="00CF16CE"/>
    <w:rsid w:val="00CF171D"/>
    <w:rsid w:val="00CF19DE"/>
    <w:rsid w:val="00CF1A5B"/>
    <w:rsid w:val="00CF1B65"/>
    <w:rsid w:val="00CF1B72"/>
    <w:rsid w:val="00CF1C27"/>
    <w:rsid w:val="00CF1FE1"/>
    <w:rsid w:val="00CF2073"/>
    <w:rsid w:val="00CF20DE"/>
    <w:rsid w:val="00CF21BC"/>
    <w:rsid w:val="00CF21BD"/>
    <w:rsid w:val="00CF2450"/>
    <w:rsid w:val="00CF25A3"/>
    <w:rsid w:val="00CF25B9"/>
    <w:rsid w:val="00CF2601"/>
    <w:rsid w:val="00CF27BA"/>
    <w:rsid w:val="00CF28AE"/>
    <w:rsid w:val="00CF2989"/>
    <w:rsid w:val="00CF2AD7"/>
    <w:rsid w:val="00CF2BDE"/>
    <w:rsid w:val="00CF2C9A"/>
    <w:rsid w:val="00CF2CC4"/>
    <w:rsid w:val="00CF2D59"/>
    <w:rsid w:val="00CF2D7E"/>
    <w:rsid w:val="00CF2F6D"/>
    <w:rsid w:val="00CF30A7"/>
    <w:rsid w:val="00CF3183"/>
    <w:rsid w:val="00CF319A"/>
    <w:rsid w:val="00CF31FE"/>
    <w:rsid w:val="00CF33B9"/>
    <w:rsid w:val="00CF36DA"/>
    <w:rsid w:val="00CF38E0"/>
    <w:rsid w:val="00CF39DF"/>
    <w:rsid w:val="00CF3A2E"/>
    <w:rsid w:val="00CF3B26"/>
    <w:rsid w:val="00CF3B36"/>
    <w:rsid w:val="00CF3B79"/>
    <w:rsid w:val="00CF3C89"/>
    <w:rsid w:val="00CF3CBA"/>
    <w:rsid w:val="00CF3CFE"/>
    <w:rsid w:val="00CF3D6A"/>
    <w:rsid w:val="00CF3E6F"/>
    <w:rsid w:val="00CF3EB8"/>
    <w:rsid w:val="00CF3EBC"/>
    <w:rsid w:val="00CF3EDC"/>
    <w:rsid w:val="00CF3FB4"/>
    <w:rsid w:val="00CF40C6"/>
    <w:rsid w:val="00CF4135"/>
    <w:rsid w:val="00CF4153"/>
    <w:rsid w:val="00CF41E3"/>
    <w:rsid w:val="00CF42DF"/>
    <w:rsid w:val="00CF42E5"/>
    <w:rsid w:val="00CF4388"/>
    <w:rsid w:val="00CF45DD"/>
    <w:rsid w:val="00CF4670"/>
    <w:rsid w:val="00CF4688"/>
    <w:rsid w:val="00CF4702"/>
    <w:rsid w:val="00CF4908"/>
    <w:rsid w:val="00CF491B"/>
    <w:rsid w:val="00CF496D"/>
    <w:rsid w:val="00CF4B40"/>
    <w:rsid w:val="00CF4E22"/>
    <w:rsid w:val="00CF4E2E"/>
    <w:rsid w:val="00CF4EF6"/>
    <w:rsid w:val="00CF4F41"/>
    <w:rsid w:val="00CF4F7A"/>
    <w:rsid w:val="00CF4F7C"/>
    <w:rsid w:val="00CF508B"/>
    <w:rsid w:val="00CF50ED"/>
    <w:rsid w:val="00CF519A"/>
    <w:rsid w:val="00CF5240"/>
    <w:rsid w:val="00CF53CC"/>
    <w:rsid w:val="00CF53E5"/>
    <w:rsid w:val="00CF53E6"/>
    <w:rsid w:val="00CF5493"/>
    <w:rsid w:val="00CF54B1"/>
    <w:rsid w:val="00CF55DD"/>
    <w:rsid w:val="00CF577E"/>
    <w:rsid w:val="00CF581F"/>
    <w:rsid w:val="00CF58BC"/>
    <w:rsid w:val="00CF597F"/>
    <w:rsid w:val="00CF5A6C"/>
    <w:rsid w:val="00CF5AE9"/>
    <w:rsid w:val="00CF5B86"/>
    <w:rsid w:val="00CF5BD1"/>
    <w:rsid w:val="00CF5CAF"/>
    <w:rsid w:val="00CF5D57"/>
    <w:rsid w:val="00CF5DC5"/>
    <w:rsid w:val="00CF5EA8"/>
    <w:rsid w:val="00CF5F3C"/>
    <w:rsid w:val="00CF605C"/>
    <w:rsid w:val="00CF616E"/>
    <w:rsid w:val="00CF625D"/>
    <w:rsid w:val="00CF627C"/>
    <w:rsid w:val="00CF6498"/>
    <w:rsid w:val="00CF65D4"/>
    <w:rsid w:val="00CF670F"/>
    <w:rsid w:val="00CF672C"/>
    <w:rsid w:val="00CF6742"/>
    <w:rsid w:val="00CF683B"/>
    <w:rsid w:val="00CF6945"/>
    <w:rsid w:val="00CF69AC"/>
    <w:rsid w:val="00CF6A49"/>
    <w:rsid w:val="00CF6C40"/>
    <w:rsid w:val="00CF6C9F"/>
    <w:rsid w:val="00CF6E44"/>
    <w:rsid w:val="00CF6F19"/>
    <w:rsid w:val="00CF6F55"/>
    <w:rsid w:val="00CF71D8"/>
    <w:rsid w:val="00CF72C0"/>
    <w:rsid w:val="00CF73E5"/>
    <w:rsid w:val="00CF7432"/>
    <w:rsid w:val="00CF74F5"/>
    <w:rsid w:val="00CF75E6"/>
    <w:rsid w:val="00CF76D6"/>
    <w:rsid w:val="00CF76FF"/>
    <w:rsid w:val="00CF770D"/>
    <w:rsid w:val="00CF782E"/>
    <w:rsid w:val="00CF7969"/>
    <w:rsid w:val="00CF7A2C"/>
    <w:rsid w:val="00CF7D1B"/>
    <w:rsid w:val="00CF7DEC"/>
    <w:rsid w:val="00CF7E10"/>
    <w:rsid w:val="00CF7FF2"/>
    <w:rsid w:val="00D00075"/>
    <w:rsid w:val="00D00106"/>
    <w:rsid w:val="00D0012A"/>
    <w:rsid w:val="00D0014E"/>
    <w:rsid w:val="00D003D8"/>
    <w:rsid w:val="00D00442"/>
    <w:rsid w:val="00D005CC"/>
    <w:rsid w:val="00D00613"/>
    <w:rsid w:val="00D007BF"/>
    <w:rsid w:val="00D007DF"/>
    <w:rsid w:val="00D008C7"/>
    <w:rsid w:val="00D00A35"/>
    <w:rsid w:val="00D00B6D"/>
    <w:rsid w:val="00D00B72"/>
    <w:rsid w:val="00D00BC3"/>
    <w:rsid w:val="00D00BE0"/>
    <w:rsid w:val="00D00D22"/>
    <w:rsid w:val="00D00EDE"/>
    <w:rsid w:val="00D01015"/>
    <w:rsid w:val="00D01046"/>
    <w:rsid w:val="00D01317"/>
    <w:rsid w:val="00D013D3"/>
    <w:rsid w:val="00D017CF"/>
    <w:rsid w:val="00D01C0D"/>
    <w:rsid w:val="00D01D1A"/>
    <w:rsid w:val="00D01D4F"/>
    <w:rsid w:val="00D01F0A"/>
    <w:rsid w:val="00D02204"/>
    <w:rsid w:val="00D022BF"/>
    <w:rsid w:val="00D022E4"/>
    <w:rsid w:val="00D0269D"/>
    <w:rsid w:val="00D02897"/>
    <w:rsid w:val="00D028E8"/>
    <w:rsid w:val="00D029CE"/>
    <w:rsid w:val="00D02C86"/>
    <w:rsid w:val="00D02E6C"/>
    <w:rsid w:val="00D02EB2"/>
    <w:rsid w:val="00D02FB5"/>
    <w:rsid w:val="00D02FF9"/>
    <w:rsid w:val="00D03105"/>
    <w:rsid w:val="00D0341A"/>
    <w:rsid w:val="00D035CB"/>
    <w:rsid w:val="00D035F2"/>
    <w:rsid w:val="00D03688"/>
    <w:rsid w:val="00D03756"/>
    <w:rsid w:val="00D037C3"/>
    <w:rsid w:val="00D0382B"/>
    <w:rsid w:val="00D0382F"/>
    <w:rsid w:val="00D0388D"/>
    <w:rsid w:val="00D03BAF"/>
    <w:rsid w:val="00D03CDC"/>
    <w:rsid w:val="00D03D81"/>
    <w:rsid w:val="00D03E64"/>
    <w:rsid w:val="00D03E8D"/>
    <w:rsid w:val="00D03FE2"/>
    <w:rsid w:val="00D04038"/>
    <w:rsid w:val="00D041AB"/>
    <w:rsid w:val="00D0428A"/>
    <w:rsid w:val="00D043D5"/>
    <w:rsid w:val="00D04722"/>
    <w:rsid w:val="00D048A1"/>
    <w:rsid w:val="00D04A4C"/>
    <w:rsid w:val="00D04AF8"/>
    <w:rsid w:val="00D04B46"/>
    <w:rsid w:val="00D04BC8"/>
    <w:rsid w:val="00D04C04"/>
    <w:rsid w:val="00D04DEA"/>
    <w:rsid w:val="00D04E32"/>
    <w:rsid w:val="00D04E59"/>
    <w:rsid w:val="00D04E7F"/>
    <w:rsid w:val="00D05179"/>
    <w:rsid w:val="00D05263"/>
    <w:rsid w:val="00D052E6"/>
    <w:rsid w:val="00D0541D"/>
    <w:rsid w:val="00D0544B"/>
    <w:rsid w:val="00D0573D"/>
    <w:rsid w:val="00D0581F"/>
    <w:rsid w:val="00D05886"/>
    <w:rsid w:val="00D05887"/>
    <w:rsid w:val="00D058EC"/>
    <w:rsid w:val="00D058F5"/>
    <w:rsid w:val="00D05970"/>
    <w:rsid w:val="00D05B44"/>
    <w:rsid w:val="00D05D51"/>
    <w:rsid w:val="00D05F60"/>
    <w:rsid w:val="00D06013"/>
    <w:rsid w:val="00D06029"/>
    <w:rsid w:val="00D061F2"/>
    <w:rsid w:val="00D0632F"/>
    <w:rsid w:val="00D063BB"/>
    <w:rsid w:val="00D064F3"/>
    <w:rsid w:val="00D06531"/>
    <w:rsid w:val="00D0654C"/>
    <w:rsid w:val="00D0677A"/>
    <w:rsid w:val="00D0688A"/>
    <w:rsid w:val="00D069A2"/>
    <w:rsid w:val="00D06A0A"/>
    <w:rsid w:val="00D06AB8"/>
    <w:rsid w:val="00D06B65"/>
    <w:rsid w:val="00D06BCB"/>
    <w:rsid w:val="00D06BEA"/>
    <w:rsid w:val="00D06C02"/>
    <w:rsid w:val="00D06C21"/>
    <w:rsid w:val="00D06C32"/>
    <w:rsid w:val="00D06D72"/>
    <w:rsid w:val="00D06DA7"/>
    <w:rsid w:val="00D06DD8"/>
    <w:rsid w:val="00D07002"/>
    <w:rsid w:val="00D07011"/>
    <w:rsid w:val="00D0726C"/>
    <w:rsid w:val="00D07397"/>
    <w:rsid w:val="00D073C1"/>
    <w:rsid w:val="00D07407"/>
    <w:rsid w:val="00D07555"/>
    <w:rsid w:val="00D07616"/>
    <w:rsid w:val="00D0766C"/>
    <w:rsid w:val="00D0776A"/>
    <w:rsid w:val="00D0781E"/>
    <w:rsid w:val="00D07955"/>
    <w:rsid w:val="00D0795F"/>
    <w:rsid w:val="00D0796A"/>
    <w:rsid w:val="00D0798E"/>
    <w:rsid w:val="00D07AFE"/>
    <w:rsid w:val="00D07C0B"/>
    <w:rsid w:val="00D07C10"/>
    <w:rsid w:val="00D07D77"/>
    <w:rsid w:val="00D0B76F"/>
    <w:rsid w:val="00D1015D"/>
    <w:rsid w:val="00D10329"/>
    <w:rsid w:val="00D103F3"/>
    <w:rsid w:val="00D10445"/>
    <w:rsid w:val="00D10510"/>
    <w:rsid w:val="00D10543"/>
    <w:rsid w:val="00D10B11"/>
    <w:rsid w:val="00D10B92"/>
    <w:rsid w:val="00D10C13"/>
    <w:rsid w:val="00D10D13"/>
    <w:rsid w:val="00D11173"/>
    <w:rsid w:val="00D111DB"/>
    <w:rsid w:val="00D112A9"/>
    <w:rsid w:val="00D11365"/>
    <w:rsid w:val="00D113B4"/>
    <w:rsid w:val="00D115B1"/>
    <w:rsid w:val="00D1195B"/>
    <w:rsid w:val="00D11981"/>
    <w:rsid w:val="00D11A92"/>
    <w:rsid w:val="00D11BA9"/>
    <w:rsid w:val="00D11C0F"/>
    <w:rsid w:val="00D11C6B"/>
    <w:rsid w:val="00D11DBE"/>
    <w:rsid w:val="00D11F17"/>
    <w:rsid w:val="00D11F2D"/>
    <w:rsid w:val="00D11F8D"/>
    <w:rsid w:val="00D11F9A"/>
    <w:rsid w:val="00D1203C"/>
    <w:rsid w:val="00D1209F"/>
    <w:rsid w:val="00D1212F"/>
    <w:rsid w:val="00D121C7"/>
    <w:rsid w:val="00D12278"/>
    <w:rsid w:val="00D12378"/>
    <w:rsid w:val="00D123DA"/>
    <w:rsid w:val="00D125C7"/>
    <w:rsid w:val="00D12628"/>
    <w:rsid w:val="00D126D9"/>
    <w:rsid w:val="00D1283F"/>
    <w:rsid w:val="00D129C1"/>
    <w:rsid w:val="00D12A38"/>
    <w:rsid w:val="00D12E68"/>
    <w:rsid w:val="00D12F33"/>
    <w:rsid w:val="00D12F41"/>
    <w:rsid w:val="00D12FAE"/>
    <w:rsid w:val="00D12FBA"/>
    <w:rsid w:val="00D130AC"/>
    <w:rsid w:val="00D131B9"/>
    <w:rsid w:val="00D13242"/>
    <w:rsid w:val="00D13389"/>
    <w:rsid w:val="00D133C0"/>
    <w:rsid w:val="00D133E4"/>
    <w:rsid w:val="00D13504"/>
    <w:rsid w:val="00D13541"/>
    <w:rsid w:val="00D1368B"/>
    <w:rsid w:val="00D1385E"/>
    <w:rsid w:val="00D1390C"/>
    <w:rsid w:val="00D13B29"/>
    <w:rsid w:val="00D13CB7"/>
    <w:rsid w:val="00D13DF0"/>
    <w:rsid w:val="00D13E06"/>
    <w:rsid w:val="00D13E5D"/>
    <w:rsid w:val="00D13EFB"/>
    <w:rsid w:val="00D1405F"/>
    <w:rsid w:val="00D141AB"/>
    <w:rsid w:val="00D14214"/>
    <w:rsid w:val="00D14281"/>
    <w:rsid w:val="00D1453B"/>
    <w:rsid w:val="00D14601"/>
    <w:rsid w:val="00D147A0"/>
    <w:rsid w:val="00D14841"/>
    <w:rsid w:val="00D14A67"/>
    <w:rsid w:val="00D14B3D"/>
    <w:rsid w:val="00D14B9C"/>
    <w:rsid w:val="00D14BB6"/>
    <w:rsid w:val="00D14BFA"/>
    <w:rsid w:val="00D14E75"/>
    <w:rsid w:val="00D14F48"/>
    <w:rsid w:val="00D15152"/>
    <w:rsid w:val="00D15282"/>
    <w:rsid w:val="00D153E8"/>
    <w:rsid w:val="00D1569C"/>
    <w:rsid w:val="00D15878"/>
    <w:rsid w:val="00D15A9F"/>
    <w:rsid w:val="00D15D30"/>
    <w:rsid w:val="00D15DF1"/>
    <w:rsid w:val="00D15EC3"/>
    <w:rsid w:val="00D16035"/>
    <w:rsid w:val="00D161D5"/>
    <w:rsid w:val="00D164D9"/>
    <w:rsid w:val="00D16507"/>
    <w:rsid w:val="00D1654D"/>
    <w:rsid w:val="00D16590"/>
    <w:rsid w:val="00D165D1"/>
    <w:rsid w:val="00D165FA"/>
    <w:rsid w:val="00D1673C"/>
    <w:rsid w:val="00D167FA"/>
    <w:rsid w:val="00D16804"/>
    <w:rsid w:val="00D16889"/>
    <w:rsid w:val="00D168CD"/>
    <w:rsid w:val="00D1690D"/>
    <w:rsid w:val="00D16998"/>
    <w:rsid w:val="00D16A06"/>
    <w:rsid w:val="00D16ACC"/>
    <w:rsid w:val="00D16B02"/>
    <w:rsid w:val="00D16BCE"/>
    <w:rsid w:val="00D16C1D"/>
    <w:rsid w:val="00D16C45"/>
    <w:rsid w:val="00D16C96"/>
    <w:rsid w:val="00D16DA7"/>
    <w:rsid w:val="00D16DFE"/>
    <w:rsid w:val="00D16F05"/>
    <w:rsid w:val="00D16F64"/>
    <w:rsid w:val="00D16FB5"/>
    <w:rsid w:val="00D17032"/>
    <w:rsid w:val="00D171D1"/>
    <w:rsid w:val="00D17561"/>
    <w:rsid w:val="00D17781"/>
    <w:rsid w:val="00D17901"/>
    <w:rsid w:val="00D17925"/>
    <w:rsid w:val="00D17994"/>
    <w:rsid w:val="00D17A18"/>
    <w:rsid w:val="00D17C21"/>
    <w:rsid w:val="00D17C98"/>
    <w:rsid w:val="00D17CFB"/>
    <w:rsid w:val="00D17F41"/>
    <w:rsid w:val="00D17F8A"/>
    <w:rsid w:val="00D17FD9"/>
    <w:rsid w:val="00D200C3"/>
    <w:rsid w:val="00D2017F"/>
    <w:rsid w:val="00D20300"/>
    <w:rsid w:val="00D2046B"/>
    <w:rsid w:val="00D20745"/>
    <w:rsid w:val="00D2078C"/>
    <w:rsid w:val="00D2078D"/>
    <w:rsid w:val="00D20804"/>
    <w:rsid w:val="00D20A48"/>
    <w:rsid w:val="00D20ADE"/>
    <w:rsid w:val="00D20B1A"/>
    <w:rsid w:val="00D20B39"/>
    <w:rsid w:val="00D20F1C"/>
    <w:rsid w:val="00D20F79"/>
    <w:rsid w:val="00D21033"/>
    <w:rsid w:val="00D21060"/>
    <w:rsid w:val="00D210EF"/>
    <w:rsid w:val="00D2111A"/>
    <w:rsid w:val="00D211E3"/>
    <w:rsid w:val="00D21474"/>
    <w:rsid w:val="00D2151C"/>
    <w:rsid w:val="00D216E3"/>
    <w:rsid w:val="00D21783"/>
    <w:rsid w:val="00D2181D"/>
    <w:rsid w:val="00D21C0B"/>
    <w:rsid w:val="00D21C48"/>
    <w:rsid w:val="00D21E60"/>
    <w:rsid w:val="00D21F34"/>
    <w:rsid w:val="00D21F3C"/>
    <w:rsid w:val="00D21F6A"/>
    <w:rsid w:val="00D21FB4"/>
    <w:rsid w:val="00D21FB9"/>
    <w:rsid w:val="00D22002"/>
    <w:rsid w:val="00D221AD"/>
    <w:rsid w:val="00D221B6"/>
    <w:rsid w:val="00D22212"/>
    <w:rsid w:val="00D22299"/>
    <w:rsid w:val="00D22345"/>
    <w:rsid w:val="00D2239E"/>
    <w:rsid w:val="00D224B3"/>
    <w:rsid w:val="00D225E1"/>
    <w:rsid w:val="00D22710"/>
    <w:rsid w:val="00D22716"/>
    <w:rsid w:val="00D228B7"/>
    <w:rsid w:val="00D229A8"/>
    <w:rsid w:val="00D22BBE"/>
    <w:rsid w:val="00D22BDE"/>
    <w:rsid w:val="00D22CDA"/>
    <w:rsid w:val="00D22DE3"/>
    <w:rsid w:val="00D22E13"/>
    <w:rsid w:val="00D22E1E"/>
    <w:rsid w:val="00D22F4C"/>
    <w:rsid w:val="00D2304B"/>
    <w:rsid w:val="00D231D8"/>
    <w:rsid w:val="00D23480"/>
    <w:rsid w:val="00D2364B"/>
    <w:rsid w:val="00D236F7"/>
    <w:rsid w:val="00D2375D"/>
    <w:rsid w:val="00D23796"/>
    <w:rsid w:val="00D23931"/>
    <w:rsid w:val="00D23AF0"/>
    <w:rsid w:val="00D23CAB"/>
    <w:rsid w:val="00D23CCE"/>
    <w:rsid w:val="00D23DD2"/>
    <w:rsid w:val="00D23E2D"/>
    <w:rsid w:val="00D23FD6"/>
    <w:rsid w:val="00D24216"/>
    <w:rsid w:val="00D2437E"/>
    <w:rsid w:val="00D2438E"/>
    <w:rsid w:val="00D24443"/>
    <w:rsid w:val="00D24482"/>
    <w:rsid w:val="00D2459C"/>
    <w:rsid w:val="00D24739"/>
    <w:rsid w:val="00D24775"/>
    <w:rsid w:val="00D24A09"/>
    <w:rsid w:val="00D24BE6"/>
    <w:rsid w:val="00D24EB6"/>
    <w:rsid w:val="00D24F21"/>
    <w:rsid w:val="00D2506B"/>
    <w:rsid w:val="00D25082"/>
    <w:rsid w:val="00D25095"/>
    <w:rsid w:val="00D25157"/>
    <w:rsid w:val="00D25185"/>
    <w:rsid w:val="00D2529C"/>
    <w:rsid w:val="00D25333"/>
    <w:rsid w:val="00D25336"/>
    <w:rsid w:val="00D2536E"/>
    <w:rsid w:val="00D25462"/>
    <w:rsid w:val="00D2567B"/>
    <w:rsid w:val="00D2589E"/>
    <w:rsid w:val="00D258C2"/>
    <w:rsid w:val="00D258E3"/>
    <w:rsid w:val="00D25957"/>
    <w:rsid w:val="00D25969"/>
    <w:rsid w:val="00D25979"/>
    <w:rsid w:val="00D259B4"/>
    <w:rsid w:val="00D25A53"/>
    <w:rsid w:val="00D25A8D"/>
    <w:rsid w:val="00D25AFA"/>
    <w:rsid w:val="00D25B8D"/>
    <w:rsid w:val="00D25BBD"/>
    <w:rsid w:val="00D25D26"/>
    <w:rsid w:val="00D25D60"/>
    <w:rsid w:val="00D25E69"/>
    <w:rsid w:val="00D25FAC"/>
    <w:rsid w:val="00D260CF"/>
    <w:rsid w:val="00D26120"/>
    <w:rsid w:val="00D2619A"/>
    <w:rsid w:val="00D261E5"/>
    <w:rsid w:val="00D2621B"/>
    <w:rsid w:val="00D2621E"/>
    <w:rsid w:val="00D26389"/>
    <w:rsid w:val="00D2638F"/>
    <w:rsid w:val="00D263E1"/>
    <w:rsid w:val="00D26422"/>
    <w:rsid w:val="00D268DA"/>
    <w:rsid w:val="00D26930"/>
    <w:rsid w:val="00D26956"/>
    <w:rsid w:val="00D269E1"/>
    <w:rsid w:val="00D26A38"/>
    <w:rsid w:val="00D26BC8"/>
    <w:rsid w:val="00D26C8D"/>
    <w:rsid w:val="00D26CF2"/>
    <w:rsid w:val="00D26D26"/>
    <w:rsid w:val="00D26E17"/>
    <w:rsid w:val="00D26E41"/>
    <w:rsid w:val="00D26F83"/>
    <w:rsid w:val="00D26F9B"/>
    <w:rsid w:val="00D27047"/>
    <w:rsid w:val="00D27133"/>
    <w:rsid w:val="00D2716E"/>
    <w:rsid w:val="00D271B8"/>
    <w:rsid w:val="00D271DA"/>
    <w:rsid w:val="00D27476"/>
    <w:rsid w:val="00D27623"/>
    <w:rsid w:val="00D27648"/>
    <w:rsid w:val="00D2769E"/>
    <w:rsid w:val="00D276B9"/>
    <w:rsid w:val="00D2773D"/>
    <w:rsid w:val="00D2782F"/>
    <w:rsid w:val="00D27884"/>
    <w:rsid w:val="00D278FB"/>
    <w:rsid w:val="00D27904"/>
    <w:rsid w:val="00D27919"/>
    <w:rsid w:val="00D279C1"/>
    <w:rsid w:val="00D279FE"/>
    <w:rsid w:val="00D27BFD"/>
    <w:rsid w:val="00D27C59"/>
    <w:rsid w:val="00D27D2E"/>
    <w:rsid w:val="00D27DA8"/>
    <w:rsid w:val="00D27ED3"/>
    <w:rsid w:val="00D30071"/>
    <w:rsid w:val="00D30387"/>
    <w:rsid w:val="00D304B9"/>
    <w:rsid w:val="00D304D9"/>
    <w:rsid w:val="00D304F6"/>
    <w:rsid w:val="00D30523"/>
    <w:rsid w:val="00D30690"/>
    <w:rsid w:val="00D3069C"/>
    <w:rsid w:val="00D306A0"/>
    <w:rsid w:val="00D306DF"/>
    <w:rsid w:val="00D307AB"/>
    <w:rsid w:val="00D30AEC"/>
    <w:rsid w:val="00D30B5E"/>
    <w:rsid w:val="00D30B75"/>
    <w:rsid w:val="00D30C88"/>
    <w:rsid w:val="00D30CB3"/>
    <w:rsid w:val="00D30D80"/>
    <w:rsid w:val="00D30E57"/>
    <w:rsid w:val="00D30E58"/>
    <w:rsid w:val="00D310EB"/>
    <w:rsid w:val="00D3113C"/>
    <w:rsid w:val="00D31141"/>
    <w:rsid w:val="00D312C6"/>
    <w:rsid w:val="00D3133E"/>
    <w:rsid w:val="00D315A9"/>
    <w:rsid w:val="00D3175F"/>
    <w:rsid w:val="00D31976"/>
    <w:rsid w:val="00D319B2"/>
    <w:rsid w:val="00D31A0C"/>
    <w:rsid w:val="00D31AAC"/>
    <w:rsid w:val="00D31C65"/>
    <w:rsid w:val="00D31D92"/>
    <w:rsid w:val="00D31DF6"/>
    <w:rsid w:val="00D322FF"/>
    <w:rsid w:val="00D3235B"/>
    <w:rsid w:val="00D323AD"/>
    <w:rsid w:val="00D323F5"/>
    <w:rsid w:val="00D32428"/>
    <w:rsid w:val="00D32462"/>
    <w:rsid w:val="00D32530"/>
    <w:rsid w:val="00D325CA"/>
    <w:rsid w:val="00D32615"/>
    <w:rsid w:val="00D32620"/>
    <w:rsid w:val="00D3270F"/>
    <w:rsid w:val="00D32767"/>
    <w:rsid w:val="00D32928"/>
    <w:rsid w:val="00D32971"/>
    <w:rsid w:val="00D32D92"/>
    <w:rsid w:val="00D330F4"/>
    <w:rsid w:val="00D3335B"/>
    <w:rsid w:val="00D334EB"/>
    <w:rsid w:val="00D3366D"/>
    <w:rsid w:val="00D33790"/>
    <w:rsid w:val="00D3381A"/>
    <w:rsid w:val="00D33A52"/>
    <w:rsid w:val="00D33AF2"/>
    <w:rsid w:val="00D33B10"/>
    <w:rsid w:val="00D33B1C"/>
    <w:rsid w:val="00D33D4A"/>
    <w:rsid w:val="00D33D58"/>
    <w:rsid w:val="00D33D8C"/>
    <w:rsid w:val="00D33DC8"/>
    <w:rsid w:val="00D33F1B"/>
    <w:rsid w:val="00D33F62"/>
    <w:rsid w:val="00D33F76"/>
    <w:rsid w:val="00D341B3"/>
    <w:rsid w:val="00D341DE"/>
    <w:rsid w:val="00D34376"/>
    <w:rsid w:val="00D34410"/>
    <w:rsid w:val="00D3447C"/>
    <w:rsid w:val="00D3466B"/>
    <w:rsid w:val="00D346CB"/>
    <w:rsid w:val="00D34781"/>
    <w:rsid w:val="00D34788"/>
    <w:rsid w:val="00D347B0"/>
    <w:rsid w:val="00D34921"/>
    <w:rsid w:val="00D349F7"/>
    <w:rsid w:val="00D34A63"/>
    <w:rsid w:val="00D34BA1"/>
    <w:rsid w:val="00D34C55"/>
    <w:rsid w:val="00D34F62"/>
    <w:rsid w:val="00D3505D"/>
    <w:rsid w:val="00D350BF"/>
    <w:rsid w:val="00D35156"/>
    <w:rsid w:val="00D35607"/>
    <w:rsid w:val="00D35612"/>
    <w:rsid w:val="00D35652"/>
    <w:rsid w:val="00D35663"/>
    <w:rsid w:val="00D3594A"/>
    <w:rsid w:val="00D35AEC"/>
    <w:rsid w:val="00D35B0E"/>
    <w:rsid w:val="00D35C51"/>
    <w:rsid w:val="00D35DAF"/>
    <w:rsid w:val="00D35DC1"/>
    <w:rsid w:val="00D35E9F"/>
    <w:rsid w:val="00D35F96"/>
    <w:rsid w:val="00D36031"/>
    <w:rsid w:val="00D363C0"/>
    <w:rsid w:val="00D364A3"/>
    <w:rsid w:val="00D364D7"/>
    <w:rsid w:val="00D365DE"/>
    <w:rsid w:val="00D3660B"/>
    <w:rsid w:val="00D3667A"/>
    <w:rsid w:val="00D366EE"/>
    <w:rsid w:val="00D367D7"/>
    <w:rsid w:val="00D36919"/>
    <w:rsid w:val="00D3696C"/>
    <w:rsid w:val="00D36AD3"/>
    <w:rsid w:val="00D36B21"/>
    <w:rsid w:val="00D36B60"/>
    <w:rsid w:val="00D36B9B"/>
    <w:rsid w:val="00D36BFE"/>
    <w:rsid w:val="00D36D78"/>
    <w:rsid w:val="00D36EC5"/>
    <w:rsid w:val="00D370A5"/>
    <w:rsid w:val="00D37194"/>
    <w:rsid w:val="00D371D7"/>
    <w:rsid w:val="00D3721B"/>
    <w:rsid w:val="00D37259"/>
    <w:rsid w:val="00D3731B"/>
    <w:rsid w:val="00D37385"/>
    <w:rsid w:val="00D37480"/>
    <w:rsid w:val="00D3759A"/>
    <w:rsid w:val="00D375BA"/>
    <w:rsid w:val="00D3769F"/>
    <w:rsid w:val="00D37801"/>
    <w:rsid w:val="00D37852"/>
    <w:rsid w:val="00D3792F"/>
    <w:rsid w:val="00D37A26"/>
    <w:rsid w:val="00D37ABF"/>
    <w:rsid w:val="00D37C64"/>
    <w:rsid w:val="00D37CA0"/>
    <w:rsid w:val="00D37D9F"/>
    <w:rsid w:val="00D37E10"/>
    <w:rsid w:val="00D37FE7"/>
    <w:rsid w:val="00D40012"/>
    <w:rsid w:val="00D40189"/>
    <w:rsid w:val="00D40394"/>
    <w:rsid w:val="00D4053E"/>
    <w:rsid w:val="00D40664"/>
    <w:rsid w:val="00D4066C"/>
    <w:rsid w:val="00D406F6"/>
    <w:rsid w:val="00D407D6"/>
    <w:rsid w:val="00D40933"/>
    <w:rsid w:val="00D40969"/>
    <w:rsid w:val="00D40C7B"/>
    <w:rsid w:val="00D40EAA"/>
    <w:rsid w:val="00D41196"/>
    <w:rsid w:val="00D41219"/>
    <w:rsid w:val="00D4133A"/>
    <w:rsid w:val="00D41348"/>
    <w:rsid w:val="00D4134F"/>
    <w:rsid w:val="00D413D1"/>
    <w:rsid w:val="00D41430"/>
    <w:rsid w:val="00D4143F"/>
    <w:rsid w:val="00D414EB"/>
    <w:rsid w:val="00D41580"/>
    <w:rsid w:val="00D41597"/>
    <w:rsid w:val="00D415BA"/>
    <w:rsid w:val="00D416A2"/>
    <w:rsid w:val="00D4184F"/>
    <w:rsid w:val="00D4185B"/>
    <w:rsid w:val="00D418A7"/>
    <w:rsid w:val="00D4192F"/>
    <w:rsid w:val="00D41989"/>
    <w:rsid w:val="00D41A5E"/>
    <w:rsid w:val="00D41B4D"/>
    <w:rsid w:val="00D41BBF"/>
    <w:rsid w:val="00D41BD0"/>
    <w:rsid w:val="00D41D0A"/>
    <w:rsid w:val="00D41D86"/>
    <w:rsid w:val="00D41E28"/>
    <w:rsid w:val="00D41F18"/>
    <w:rsid w:val="00D41F69"/>
    <w:rsid w:val="00D41FC5"/>
    <w:rsid w:val="00D41FFF"/>
    <w:rsid w:val="00D42130"/>
    <w:rsid w:val="00D42505"/>
    <w:rsid w:val="00D42519"/>
    <w:rsid w:val="00D42523"/>
    <w:rsid w:val="00D4266A"/>
    <w:rsid w:val="00D42675"/>
    <w:rsid w:val="00D428A8"/>
    <w:rsid w:val="00D42964"/>
    <w:rsid w:val="00D42A15"/>
    <w:rsid w:val="00D42A76"/>
    <w:rsid w:val="00D42AF6"/>
    <w:rsid w:val="00D42B4B"/>
    <w:rsid w:val="00D42BE4"/>
    <w:rsid w:val="00D42C59"/>
    <w:rsid w:val="00D42D72"/>
    <w:rsid w:val="00D42E37"/>
    <w:rsid w:val="00D42E89"/>
    <w:rsid w:val="00D42F9B"/>
    <w:rsid w:val="00D430B2"/>
    <w:rsid w:val="00D430C8"/>
    <w:rsid w:val="00D43129"/>
    <w:rsid w:val="00D43171"/>
    <w:rsid w:val="00D4318C"/>
    <w:rsid w:val="00D431A4"/>
    <w:rsid w:val="00D432D5"/>
    <w:rsid w:val="00D43407"/>
    <w:rsid w:val="00D4342F"/>
    <w:rsid w:val="00D434C8"/>
    <w:rsid w:val="00D435BA"/>
    <w:rsid w:val="00D438D7"/>
    <w:rsid w:val="00D439D5"/>
    <w:rsid w:val="00D439E1"/>
    <w:rsid w:val="00D43A04"/>
    <w:rsid w:val="00D43AF9"/>
    <w:rsid w:val="00D43C6F"/>
    <w:rsid w:val="00D43CD9"/>
    <w:rsid w:val="00D43D55"/>
    <w:rsid w:val="00D43DA3"/>
    <w:rsid w:val="00D43F74"/>
    <w:rsid w:val="00D442E4"/>
    <w:rsid w:val="00D4459E"/>
    <w:rsid w:val="00D4464F"/>
    <w:rsid w:val="00D44701"/>
    <w:rsid w:val="00D449AB"/>
    <w:rsid w:val="00D44B12"/>
    <w:rsid w:val="00D44DC0"/>
    <w:rsid w:val="00D44E17"/>
    <w:rsid w:val="00D44E3E"/>
    <w:rsid w:val="00D44F20"/>
    <w:rsid w:val="00D4509D"/>
    <w:rsid w:val="00D45114"/>
    <w:rsid w:val="00D45187"/>
    <w:rsid w:val="00D4527F"/>
    <w:rsid w:val="00D45322"/>
    <w:rsid w:val="00D4538A"/>
    <w:rsid w:val="00D45495"/>
    <w:rsid w:val="00D4556D"/>
    <w:rsid w:val="00D455F2"/>
    <w:rsid w:val="00D45640"/>
    <w:rsid w:val="00D45707"/>
    <w:rsid w:val="00D4572F"/>
    <w:rsid w:val="00D45785"/>
    <w:rsid w:val="00D457F2"/>
    <w:rsid w:val="00D45AD0"/>
    <w:rsid w:val="00D45B78"/>
    <w:rsid w:val="00D45C56"/>
    <w:rsid w:val="00D45C7C"/>
    <w:rsid w:val="00D45DA8"/>
    <w:rsid w:val="00D45E41"/>
    <w:rsid w:val="00D45ECD"/>
    <w:rsid w:val="00D46188"/>
    <w:rsid w:val="00D46190"/>
    <w:rsid w:val="00D4621D"/>
    <w:rsid w:val="00D4626F"/>
    <w:rsid w:val="00D4630F"/>
    <w:rsid w:val="00D464F9"/>
    <w:rsid w:val="00D4694C"/>
    <w:rsid w:val="00D4696D"/>
    <w:rsid w:val="00D46A14"/>
    <w:rsid w:val="00D46ACE"/>
    <w:rsid w:val="00D46B36"/>
    <w:rsid w:val="00D46C4D"/>
    <w:rsid w:val="00D46CC1"/>
    <w:rsid w:val="00D46DC9"/>
    <w:rsid w:val="00D46F70"/>
    <w:rsid w:val="00D46F96"/>
    <w:rsid w:val="00D46FD9"/>
    <w:rsid w:val="00D47021"/>
    <w:rsid w:val="00D47256"/>
    <w:rsid w:val="00D47324"/>
    <w:rsid w:val="00D47381"/>
    <w:rsid w:val="00D473AA"/>
    <w:rsid w:val="00D473C5"/>
    <w:rsid w:val="00D473CC"/>
    <w:rsid w:val="00D473E9"/>
    <w:rsid w:val="00D474DC"/>
    <w:rsid w:val="00D47509"/>
    <w:rsid w:val="00D47512"/>
    <w:rsid w:val="00D47645"/>
    <w:rsid w:val="00D47715"/>
    <w:rsid w:val="00D4792D"/>
    <w:rsid w:val="00D479D6"/>
    <w:rsid w:val="00D479F8"/>
    <w:rsid w:val="00D47A16"/>
    <w:rsid w:val="00D47A50"/>
    <w:rsid w:val="00D47B17"/>
    <w:rsid w:val="00D47FC3"/>
    <w:rsid w:val="00D501A9"/>
    <w:rsid w:val="00D5030A"/>
    <w:rsid w:val="00D5038B"/>
    <w:rsid w:val="00D50738"/>
    <w:rsid w:val="00D507DC"/>
    <w:rsid w:val="00D50813"/>
    <w:rsid w:val="00D50A70"/>
    <w:rsid w:val="00D50A9C"/>
    <w:rsid w:val="00D50B2F"/>
    <w:rsid w:val="00D50BAA"/>
    <w:rsid w:val="00D50BF5"/>
    <w:rsid w:val="00D50C04"/>
    <w:rsid w:val="00D50C34"/>
    <w:rsid w:val="00D50CB1"/>
    <w:rsid w:val="00D50DCA"/>
    <w:rsid w:val="00D50EF6"/>
    <w:rsid w:val="00D50FB4"/>
    <w:rsid w:val="00D5120B"/>
    <w:rsid w:val="00D51248"/>
    <w:rsid w:val="00D512AD"/>
    <w:rsid w:val="00D51334"/>
    <w:rsid w:val="00D5137C"/>
    <w:rsid w:val="00D51388"/>
    <w:rsid w:val="00D513C9"/>
    <w:rsid w:val="00D513FA"/>
    <w:rsid w:val="00D51404"/>
    <w:rsid w:val="00D5152B"/>
    <w:rsid w:val="00D515DB"/>
    <w:rsid w:val="00D51712"/>
    <w:rsid w:val="00D51738"/>
    <w:rsid w:val="00D517C8"/>
    <w:rsid w:val="00D518C2"/>
    <w:rsid w:val="00D51B03"/>
    <w:rsid w:val="00D51B2F"/>
    <w:rsid w:val="00D51BE1"/>
    <w:rsid w:val="00D51BFC"/>
    <w:rsid w:val="00D51C4E"/>
    <w:rsid w:val="00D51C7F"/>
    <w:rsid w:val="00D51C9E"/>
    <w:rsid w:val="00D51DC3"/>
    <w:rsid w:val="00D51F05"/>
    <w:rsid w:val="00D5202F"/>
    <w:rsid w:val="00D52206"/>
    <w:rsid w:val="00D52368"/>
    <w:rsid w:val="00D52406"/>
    <w:rsid w:val="00D524AC"/>
    <w:rsid w:val="00D5257F"/>
    <w:rsid w:val="00D5258F"/>
    <w:rsid w:val="00D52644"/>
    <w:rsid w:val="00D526E9"/>
    <w:rsid w:val="00D5273B"/>
    <w:rsid w:val="00D52817"/>
    <w:rsid w:val="00D528E1"/>
    <w:rsid w:val="00D528E3"/>
    <w:rsid w:val="00D52998"/>
    <w:rsid w:val="00D529FA"/>
    <w:rsid w:val="00D52A12"/>
    <w:rsid w:val="00D52A26"/>
    <w:rsid w:val="00D52AEB"/>
    <w:rsid w:val="00D52B52"/>
    <w:rsid w:val="00D52BC2"/>
    <w:rsid w:val="00D52CC4"/>
    <w:rsid w:val="00D52D00"/>
    <w:rsid w:val="00D52E4C"/>
    <w:rsid w:val="00D52EC2"/>
    <w:rsid w:val="00D53029"/>
    <w:rsid w:val="00D53070"/>
    <w:rsid w:val="00D530B0"/>
    <w:rsid w:val="00D531EA"/>
    <w:rsid w:val="00D531FA"/>
    <w:rsid w:val="00D53217"/>
    <w:rsid w:val="00D53380"/>
    <w:rsid w:val="00D5357F"/>
    <w:rsid w:val="00D53658"/>
    <w:rsid w:val="00D5370E"/>
    <w:rsid w:val="00D53728"/>
    <w:rsid w:val="00D537C0"/>
    <w:rsid w:val="00D53812"/>
    <w:rsid w:val="00D53852"/>
    <w:rsid w:val="00D53A3D"/>
    <w:rsid w:val="00D53B9E"/>
    <w:rsid w:val="00D53C07"/>
    <w:rsid w:val="00D53E20"/>
    <w:rsid w:val="00D53F04"/>
    <w:rsid w:val="00D53F22"/>
    <w:rsid w:val="00D54234"/>
    <w:rsid w:val="00D542EF"/>
    <w:rsid w:val="00D54332"/>
    <w:rsid w:val="00D54437"/>
    <w:rsid w:val="00D54463"/>
    <w:rsid w:val="00D545DA"/>
    <w:rsid w:val="00D54614"/>
    <w:rsid w:val="00D54695"/>
    <w:rsid w:val="00D54698"/>
    <w:rsid w:val="00D54745"/>
    <w:rsid w:val="00D547A1"/>
    <w:rsid w:val="00D5485D"/>
    <w:rsid w:val="00D5499E"/>
    <w:rsid w:val="00D549EE"/>
    <w:rsid w:val="00D54B07"/>
    <w:rsid w:val="00D54B0A"/>
    <w:rsid w:val="00D54CD3"/>
    <w:rsid w:val="00D54E29"/>
    <w:rsid w:val="00D55028"/>
    <w:rsid w:val="00D550AC"/>
    <w:rsid w:val="00D551C4"/>
    <w:rsid w:val="00D552A5"/>
    <w:rsid w:val="00D553E5"/>
    <w:rsid w:val="00D554B3"/>
    <w:rsid w:val="00D554DA"/>
    <w:rsid w:val="00D55523"/>
    <w:rsid w:val="00D55693"/>
    <w:rsid w:val="00D556A4"/>
    <w:rsid w:val="00D556D7"/>
    <w:rsid w:val="00D55907"/>
    <w:rsid w:val="00D559A1"/>
    <w:rsid w:val="00D559A3"/>
    <w:rsid w:val="00D55A60"/>
    <w:rsid w:val="00D55C39"/>
    <w:rsid w:val="00D55C8A"/>
    <w:rsid w:val="00D55CCC"/>
    <w:rsid w:val="00D55D6B"/>
    <w:rsid w:val="00D560A2"/>
    <w:rsid w:val="00D56101"/>
    <w:rsid w:val="00D56167"/>
    <w:rsid w:val="00D561FF"/>
    <w:rsid w:val="00D5629F"/>
    <w:rsid w:val="00D564D5"/>
    <w:rsid w:val="00D5652A"/>
    <w:rsid w:val="00D56566"/>
    <w:rsid w:val="00D568F6"/>
    <w:rsid w:val="00D56A23"/>
    <w:rsid w:val="00D56B27"/>
    <w:rsid w:val="00D56C95"/>
    <w:rsid w:val="00D56EF0"/>
    <w:rsid w:val="00D56F2F"/>
    <w:rsid w:val="00D56F64"/>
    <w:rsid w:val="00D571D6"/>
    <w:rsid w:val="00D57221"/>
    <w:rsid w:val="00D572B5"/>
    <w:rsid w:val="00D573B1"/>
    <w:rsid w:val="00D5748C"/>
    <w:rsid w:val="00D575E3"/>
    <w:rsid w:val="00D57631"/>
    <w:rsid w:val="00D5767D"/>
    <w:rsid w:val="00D57733"/>
    <w:rsid w:val="00D577FE"/>
    <w:rsid w:val="00D578BA"/>
    <w:rsid w:val="00D578BD"/>
    <w:rsid w:val="00D5790A"/>
    <w:rsid w:val="00D57B58"/>
    <w:rsid w:val="00D57C16"/>
    <w:rsid w:val="00D57C70"/>
    <w:rsid w:val="00D57DB2"/>
    <w:rsid w:val="00D57FAC"/>
    <w:rsid w:val="00D60160"/>
    <w:rsid w:val="00D608BE"/>
    <w:rsid w:val="00D609C5"/>
    <w:rsid w:val="00D609DB"/>
    <w:rsid w:val="00D60A44"/>
    <w:rsid w:val="00D60B8A"/>
    <w:rsid w:val="00D60C78"/>
    <w:rsid w:val="00D60CAE"/>
    <w:rsid w:val="00D60CEA"/>
    <w:rsid w:val="00D60F31"/>
    <w:rsid w:val="00D61021"/>
    <w:rsid w:val="00D61028"/>
    <w:rsid w:val="00D610B0"/>
    <w:rsid w:val="00D61186"/>
    <w:rsid w:val="00D6126E"/>
    <w:rsid w:val="00D613B5"/>
    <w:rsid w:val="00D61589"/>
    <w:rsid w:val="00D615F3"/>
    <w:rsid w:val="00D61633"/>
    <w:rsid w:val="00D61BFB"/>
    <w:rsid w:val="00D61C89"/>
    <w:rsid w:val="00D61D83"/>
    <w:rsid w:val="00D61ED0"/>
    <w:rsid w:val="00D61EDB"/>
    <w:rsid w:val="00D62171"/>
    <w:rsid w:val="00D621D6"/>
    <w:rsid w:val="00D621FD"/>
    <w:rsid w:val="00D62276"/>
    <w:rsid w:val="00D62449"/>
    <w:rsid w:val="00D62475"/>
    <w:rsid w:val="00D624C6"/>
    <w:rsid w:val="00D62648"/>
    <w:rsid w:val="00D6272B"/>
    <w:rsid w:val="00D627A4"/>
    <w:rsid w:val="00D629BF"/>
    <w:rsid w:val="00D62A7E"/>
    <w:rsid w:val="00D62AF9"/>
    <w:rsid w:val="00D62BA9"/>
    <w:rsid w:val="00D62CFF"/>
    <w:rsid w:val="00D62D0F"/>
    <w:rsid w:val="00D62E32"/>
    <w:rsid w:val="00D6314F"/>
    <w:rsid w:val="00D631DD"/>
    <w:rsid w:val="00D631DE"/>
    <w:rsid w:val="00D63347"/>
    <w:rsid w:val="00D63425"/>
    <w:rsid w:val="00D63464"/>
    <w:rsid w:val="00D634F2"/>
    <w:rsid w:val="00D636A4"/>
    <w:rsid w:val="00D636D2"/>
    <w:rsid w:val="00D63852"/>
    <w:rsid w:val="00D638A5"/>
    <w:rsid w:val="00D63B25"/>
    <w:rsid w:val="00D63B88"/>
    <w:rsid w:val="00D63ECE"/>
    <w:rsid w:val="00D63FDD"/>
    <w:rsid w:val="00D64069"/>
    <w:rsid w:val="00D64225"/>
    <w:rsid w:val="00D642BF"/>
    <w:rsid w:val="00D64328"/>
    <w:rsid w:val="00D64407"/>
    <w:rsid w:val="00D64443"/>
    <w:rsid w:val="00D644E6"/>
    <w:rsid w:val="00D64592"/>
    <w:rsid w:val="00D646D4"/>
    <w:rsid w:val="00D648DA"/>
    <w:rsid w:val="00D648F0"/>
    <w:rsid w:val="00D64970"/>
    <w:rsid w:val="00D64985"/>
    <w:rsid w:val="00D64A29"/>
    <w:rsid w:val="00D64AB3"/>
    <w:rsid w:val="00D64ABD"/>
    <w:rsid w:val="00D64AC0"/>
    <w:rsid w:val="00D64ADC"/>
    <w:rsid w:val="00D64AF8"/>
    <w:rsid w:val="00D64BFA"/>
    <w:rsid w:val="00D64C25"/>
    <w:rsid w:val="00D64CEF"/>
    <w:rsid w:val="00D64DC4"/>
    <w:rsid w:val="00D64E36"/>
    <w:rsid w:val="00D64F19"/>
    <w:rsid w:val="00D650B2"/>
    <w:rsid w:val="00D65112"/>
    <w:rsid w:val="00D65371"/>
    <w:rsid w:val="00D653F8"/>
    <w:rsid w:val="00D65488"/>
    <w:rsid w:val="00D654DD"/>
    <w:rsid w:val="00D654E2"/>
    <w:rsid w:val="00D65690"/>
    <w:rsid w:val="00D65934"/>
    <w:rsid w:val="00D65AA1"/>
    <w:rsid w:val="00D65BCD"/>
    <w:rsid w:val="00D65D31"/>
    <w:rsid w:val="00D65D9D"/>
    <w:rsid w:val="00D65E17"/>
    <w:rsid w:val="00D65E50"/>
    <w:rsid w:val="00D65E68"/>
    <w:rsid w:val="00D66011"/>
    <w:rsid w:val="00D66094"/>
    <w:rsid w:val="00D660B9"/>
    <w:rsid w:val="00D661C9"/>
    <w:rsid w:val="00D66235"/>
    <w:rsid w:val="00D6623C"/>
    <w:rsid w:val="00D6637D"/>
    <w:rsid w:val="00D66503"/>
    <w:rsid w:val="00D66540"/>
    <w:rsid w:val="00D666BA"/>
    <w:rsid w:val="00D666E8"/>
    <w:rsid w:val="00D667B9"/>
    <w:rsid w:val="00D66830"/>
    <w:rsid w:val="00D66895"/>
    <w:rsid w:val="00D668A2"/>
    <w:rsid w:val="00D668EC"/>
    <w:rsid w:val="00D66A10"/>
    <w:rsid w:val="00D66AA8"/>
    <w:rsid w:val="00D66C3E"/>
    <w:rsid w:val="00D66D41"/>
    <w:rsid w:val="00D66DB4"/>
    <w:rsid w:val="00D66DBB"/>
    <w:rsid w:val="00D66DCD"/>
    <w:rsid w:val="00D66E79"/>
    <w:rsid w:val="00D66E9D"/>
    <w:rsid w:val="00D66EC4"/>
    <w:rsid w:val="00D66F97"/>
    <w:rsid w:val="00D671F1"/>
    <w:rsid w:val="00D672B9"/>
    <w:rsid w:val="00D67363"/>
    <w:rsid w:val="00D67367"/>
    <w:rsid w:val="00D673E2"/>
    <w:rsid w:val="00D67534"/>
    <w:rsid w:val="00D677B2"/>
    <w:rsid w:val="00D67866"/>
    <w:rsid w:val="00D67915"/>
    <w:rsid w:val="00D67AEE"/>
    <w:rsid w:val="00D67EAE"/>
    <w:rsid w:val="00D7008B"/>
    <w:rsid w:val="00D70133"/>
    <w:rsid w:val="00D70264"/>
    <w:rsid w:val="00D70266"/>
    <w:rsid w:val="00D703F6"/>
    <w:rsid w:val="00D704EA"/>
    <w:rsid w:val="00D706DE"/>
    <w:rsid w:val="00D7079E"/>
    <w:rsid w:val="00D707CC"/>
    <w:rsid w:val="00D7091B"/>
    <w:rsid w:val="00D70A27"/>
    <w:rsid w:val="00D70B3A"/>
    <w:rsid w:val="00D70CE1"/>
    <w:rsid w:val="00D70CEA"/>
    <w:rsid w:val="00D70D25"/>
    <w:rsid w:val="00D70DC1"/>
    <w:rsid w:val="00D70E0A"/>
    <w:rsid w:val="00D70EB9"/>
    <w:rsid w:val="00D70F24"/>
    <w:rsid w:val="00D70F7C"/>
    <w:rsid w:val="00D70FC5"/>
    <w:rsid w:val="00D711B0"/>
    <w:rsid w:val="00D71257"/>
    <w:rsid w:val="00D712FC"/>
    <w:rsid w:val="00D71484"/>
    <w:rsid w:val="00D714B0"/>
    <w:rsid w:val="00D714E9"/>
    <w:rsid w:val="00D71581"/>
    <w:rsid w:val="00D715D9"/>
    <w:rsid w:val="00D716A8"/>
    <w:rsid w:val="00D71963"/>
    <w:rsid w:val="00D71AAA"/>
    <w:rsid w:val="00D71B07"/>
    <w:rsid w:val="00D71B16"/>
    <w:rsid w:val="00D71C1D"/>
    <w:rsid w:val="00D71D1E"/>
    <w:rsid w:val="00D71D90"/>
    <w:rsid w:val="00D71DE3"/>
    <w:rsid w:val="00D71F45"/>
    <w:rsid w:val="00D7200D"/>
    <w:rsid w:val="00D72011"/>
    <w:rsid w:val="00D7207C"/>
    <w:rsid w:val="00D7226C"/>
    <w:rsid w:val="00D722A8"/>
    <w:rsid w:val="00D72311"/>
    <w:rsid w:val="00D72318"/>
    <w:rsid w:val="00D724DF"/>
    <w:rsid w:val="00D72596"/>
    <w:rsid w:val="00D725CC"/>
    <w:rsid w:val="00D72630"/>
    <w:rsid w:val="00D72778"/>
    <w:rsid w:val="00D727F0"/>
    <w:rsid w:val="00D729C5"/>
    <w:rsid w:val="00D72AC2"/>
    <w:rsid w:val="00D72AE6"/>
    <w:rsid w:val="00D72CEE"/>
    <w:rsid w:val="00D72D11"/>
    <w:rsid w:val="00D72E04"/>
    <w:rsid w:val="00D73250"/>
    <w:rsid w:val="00D73267"/>
    <w:rsid w:val="00D73285"/>
    <w:rsid w:val="00D733C3"/>
    <w:rsid w:val="00D7340B"/>
    <w:rsid w:val="00D73545"/>
    <w:rsid w:val="00D735DC"/>
    <w:rsid w:val="00D73789"/>
    <w:rsid w:val="00D739BD"/>
    <w:rsid w:val="00D739F5"/>
    <w:rsid w:val="00D73AAB"/>
    <w:rsid w:val="00D73B58"/>
    <w:rsid w:val="00D73CC7"/>
    <w:rsid w:val="00D73CCF"/>
    <w:rsid w:val="00D73CF0"/>
    <w:rsid w:val="00D73F1A"/>
    <w:rsid w:val="00D73F2F"/>
    <w:rsid w:val="00D73F40"/>
    <w:rsid w:val="00D73FC8"/>
    <w:rsid w:val="00D74314"/>
    <w:rsid w:val="00D74348"/>
    <w:rsid w:val="00D745B4"/>
    <w:rsid w:val="00D7461E"/>
    <w:rsid w:val="00D74625"/>
    <w:rsid w:val="00D747E9"/>
    <w:rsid w:val="00D747F8"/>
    <w:rsid w:val="00D747FA"/>
    <w:rsid w:val="00D7493C"/>
    <w:rsid w:val="00D74AB0"/>
    <w:rsid w:val="00D74C49"/>
    <w:rsid w:val="00D74C57"/>
    <w:rsid w:val="00D74CC9"/>
    <w:rsid w:val="00D74E10"/>
    <w:rsid w:val="00D74E26"/>
    <w:rsid w:val="00D74F12"/>
    <w:rsid w:val="00D74F42"/>
    <w:rsid w:val="00D75068"/>
    <w:rsid w:val="00D750A1"/>
    <w:rsid w:val="00D75121"/>
    <w:rsid w:val="00D751EC"/>
    <w:rsid w:val="00D7521A"/>
    <w:rsid w:val="00D75267"/>
    <w:rsid w:val="00D75500"/>
    <w:rsid w:val="00D7555E"/>
    <w:rsid w:val="00D75590"/>
    <w:rsid w:val="00D75597"/>
    <w:rsid w:val="00D756AB"/>
    <w:rsid w:val="00D756B5"/>
    <w:rsid w:val="00D75709"/>
    <w:rsid w:val="00D75849"/>
    <w:rsid w:val="00D75BCC"/>
    <w:rsid w:val="00D75D61"/>
    <w:rsid w:val="00D75E0D"/>
    <w:rsid w:val="00D75F28"/>
    <w:rsid w:val="00D7607D"/>
    <w:rsid w:val="00D760DA"/>
    <w:rsid w:val="00D7614F"/>
    <w:rsid w:val="00D761CB"/>
    <w:rsid w:val="00D761DE"/>
    <w:rsid w:val="00D76259"/>
    <w:rsid w:val="00D7639A"/>
    <w:rsid w:val="00D7647E"/>
    <w:rsid w:val="00D76488"/>
    <w:rsid w:val="00D764AE"/>
    <w:rsid w:val="00D76688"/>
    <w:rsid w:val="00D766E9"/>
    <w:rsid w:val="00D7670D"/>
    <w:rsid w:val="00D76895"/>
    <w:rsid w:val="00D76967"/>
    <w:rsid w:val="00D76970"/>
    <w:rsid w:val="00D76AE1"/>
    <w:rsid w:val="00D76C24"/>
    <w:rsid w:val="00D76C6C"/>
    <w:rsid w:val="00D76CA4"/>
    <w:rsid w:val="00D76CAC"/>
    <w:rsid w:val="00D76D3A"/>
    <w:rsid w:val="00D76DDF"/>
    <w:rsid w:val="00D76E6E"/>
    <w:rsid w:val="00D76EF4"/>
    <w:rsid w:val="00D770F4"/>
    <w:rsid w:val="00D7715F"/>
    <w:rsid w:val="00D77177"/>
    <w:rsid w:val="00D77436"/>
    <w:rsid w:val="00D77484"/>
    <w:rsid w:val="00D774B4"/>
    <w:rsid w:val="00D77568"/>
    <w:rsid w:val="00D77AE7"/>
    <w:rsid w:val="00D77BAB"/>
    <w:rsid w:val="00D77D1C"/>
    <w:rsid w:val="00D77D75"/>
    <w:rsid w:val="00D77E52"/>
    <w:rsid w:val="00D77E6A"/>
    <w:rsid w:val="00D77ED4"/>
    <w:rsid w:val="00D77F16"/>
    <w:rsid w:val="00D77F7F"/>
    <w:rsid w:val="00D801E5"/>
    <w:rsid w:val="00D8027D"/>
    <w:rsid w:val="00D80399"/>
    <w:rsid w:val="00D80496"/>
    <w:rsid w:val="00D804E8"/>
    <w:rsid w:val="00D80579"/>
    <w:rsid w:val="00D8084A"/>
    <w:rsid w:val="00D80858"/>
    <w:rsid w:val="00D808D5"/>
    <w:rsid w:val="00D80992"/>
    <w:rsid w:val="00D809CD"/>
    <w:rsid w:val="00D80C04"/>
    <w:rsid w:val="00D80C06"/>
    <w:rsid w:val="00D80CEB"/>
    <w:rsid w:val="00D80D83"/>
    <w:rsid w:val="00D80DB7"/>
    <w:rsid w:val="00D80E84"/>
    <w:rsid w:val="00D80F34"/>
    <w:rsid w:val="00D80FF3"/>
    <w:rsid w:val="00D81177"/>
    <w:rsid w:val="00D81214"/>
    <w:rsid w:val="00D812A0"/>
    <w:rsid w:val="00D813B0"/>
    <w:rsid w:val="00D813B9"/>
    <w:rsid w:val="00D81415"/>
    <w:rsid w:val="00D814C4"/>
    <w:rsid w:val="00D81688"/>
    <w:rsid w:val="00D816E7"/>
    <w:rsid w:val="00D817E3"/>
    <w:rsid w:val="00D81A67"/>
    <w:rsid w:val="00D81A6C"/>
    <w:rsid w:val="00D81AB6"/>
    <w:rsid w:val="00D81B19"/>
    <w:rsid w:val="00D81D54"/>
    <w:rsid w:val="00D81DF9"/>
    <w:rsid w:val="00D81E14"/>
    <w:rsid w:val="00D81EBF"/>
    <w:rsid w:val="00D81F97"/>
    <w:rsid w:val="00D81FC7"/>
    <w:rsid w:val="00D81FD9"/>
    <w:rsid w:val="00D82222"/>
    <w:rsid w:val="00D8225F"/>
    <w:rsid w:val="00D824B5"/>
    <w:rsid w:val="00D8251A"/>
    <w:rsid w:val="00D82569"/>
    <w:rsid w:val="00D82591"/>
    <w:rsid w:val="00D82656"/>
    <w:rsid w:val="00D8274B"/>
    <w:rsid w:val="00D827E4"/>
    <w:rsid w:val="00D8280D"/>
    <w:rsid w:val="00D82874"/>
    <w:rsid w:val="00D8288F"/>
    <w:rsid w:val="00D82C43"/>
    <w:rsid w:val="00D82CA6"/>
    <w:rsid w:val="00D82CBE"/>
    <w:rsid w:val="00D82E4B"/>
    <w:rsid w:val="00D82EBA"/>
    <w:rsid w:val="00D83000"/>
    <w:rsid w:val="00D83201"/>
    <w:rsid w:val="00D83324"/>
    <w:rsid w:val="00D833F1"/>
    <w:rsid w:val="00D8363A"/>
    <w:rsid w:val="00D8364C"/>
    <w:rsid w:val="00D83693"/>
    <w:rsid w:val="00D8373C"/>
    <w:rsid w:val="00D8374B"/>
    <w:rsid w:val="00D837C5"/>
    <w:rsid w:val="00D837DD"/>
    <w:rsid w:val="00D8382F"/>
    <w:rsid w:val="00D83854"/>
    <w:rsid w:val="00D83976"/>
    <w:rsid w:val="00D83B37"/>
    <w:rsid w:val="00D83B52"/>
    <w:rsid w:val="00D83BCF"/>
    <w:rsid w:val="00D83C3D"/>
    <w:rsid w:val="00D83DE4"/>
    <w:rsid w:val="00D83E5C"/>
    <w:rsid w:val="00D83F43"/>
    <w:rsid w:val="00D840CF"/>
    <w:rsid w:val="00D841B0"/>
    <w:rsid w:val="00D841CF"/>
    <w:rsid w:val="00D8422A"/>
    <w:rsid w:val="00D844F8"/>
    <w:rsid w:val="00D84588"/>
    <w:rsid w:val="00D847D0"/>
    <w:rsid w:val="00D84836"/>
    <w:rsid w:val="00D848A4"/>
    <w:rsid w:val="00D84932"/>
    <w:rsid w:val="00D84963"/>
    <w:rsid w:val="00D849E9"/>
    <w:rsid w:val="00D84AD9"/>
    <w:rsid w:val="00D84E18"/>
    <w:rsid w:val="00D84E98"/>
    <w:rsid w:val="00D84F7C"/>
    <w:rsid w:val="00D84FA2"/>
    <w:rsid w:val="00D84FC8"/>
    <w:rsid w:val="00D850B5"/>
    <w:rsid w:val="00D85255"/>
    <w:rsid w:val="00D85278"/>
    <w:rsid w:val="00D85332"/>
    <w:rsid w:val="00D85379"/>
    <w:rsid w:val="00D85707"/>
    <w:rsid w:val="00D857C9"/>
    <w:rsid w:val="00D85820"/>
    <w:rsid w:val="00D85837"/>
    <w:rsid w:val="00D85956"/>
    <w:rsid w:val="00D859F0"/>
    <w:rsid w:val="00D85B75"/>
    <w:rsid w:val="00D85C73"/>
    <w:rsid w:val="00D85C7D"/>
    <w:rsid w:val="00D85CC4"/>
    <w:rsid w:val="00D85CDA"/>
    <w:rsid w:val="00D85D8E"/>
    <w:rsid w:val="00D85DD7"/>
    <w:rsid w:val="00D85E3D"/>
    <w:rsid w:val="00D85E50"/>
    <w:rsid w:val="00D85EA5"/>
    <w:rsid w:val="00D85F02"/>
    <w:rsid w:val="00D8602B"/>
    <w:rsid w:val="00D8611A"/>
    <w:rsid w:val="00D86209"/>
    <w:rsid w:val="00D86694"/>
    <w:rsid w:val="00D86A6F"/>
    <w:rsid w:val="00D86ABB"/>
    <w:rsid w:val="00D86B8D"/>
    <w:rsid w:val="00D86D87"/>
    <w:rsid w:val="00D86E2B"/>
    <w:rsid w:val="00D86E75"/>
    <w:rsid w:val="00D86F21"/>
    <w:rsid w:val="00D8708F"/>
    <w:rsid w:val="00D870EA"/>
    <w:rsid w:val="00D871D2"/>
    <w:rsid w:val="00D871E3"/>
    <w:rsid w:val="00D87218"/>
    <w:rsid w:val="00D8722D"/>
    <w:rsid w:val="00D87275"/>
    <w:rsid w:val="00D872C9"/>
    <w:rsid w:val="00D8734F"/>
    <w:rsid w:val="00D87392"/>
    <w:rsid w:val="00D873B3"/>
    <w:rsid w:val="00D875B3"/>
    <w:rsid w:val="00D876E2"/>
    <w:rsid w:val="00D87769"/>
    <w:rsid w:val="00D877A4"/>
    <w:rsid w:val="00D87850"/>
    <w:rsid w:val="00D8785F"/>
    <w:rsid w:val="00D879C0"/>
    <w:rsid w:val="00D87BBC"/>
    <w:rsid w:val="00D87C62"/>
    <w:rsid w:val="00D87C6E"/>
    <w:rsid w:val="00D87C7D"/>
    <w:rsid w:val="00D87D4E"/>
    <w:rsid w:val="00D87D55"/>
    <w:rsid w:val="00D87E30"/>
    <w:rsid w:val="00D87E73"/>
    <w:rsid w:val="00D87EEE"/>
    <w:rsid w:val="00D90051"/>
    <w:rsid w:val="00D90086"/>
    <w:rsid w:val="00D901D8"/>
    <w:rsid w:val="00D90204"/>
    <w:rsid w:val="00D9027D"/>
    <w:rsid w:val="00D90317"/>
    <w:rsid w:val="00D903AD"/>
    <w:rsid w:val="00D90429"/>
    <w:rsid w:val="00D904EA"/>
    <w:rsid w:val="00D90570"/>
    <w:rsid w:val="00D9067A"/>
    <w:rsid w:val="00D90A70"/>
    <w:rsid w:val="00D90A7C"/>
    <w:rsid w:val="00D90AD3"/>
    <w:rsid w:val="00D90B56"/>
    <w:rsid w:val="00D90C99"/>
    <w:rsid w:val="00D90D25"/>
    <w:rsid w:val="00D90D2B"/>
    <w:rsid w:val="00D90F97"/>
    <w:rsid w:val="00D90FD0"/>
    <w:rsid w:val="00D9162C"/>
    <w:rsid w:val="00D916DB"/>
    <w:rsid w:val="00D916E8"/>
    <w:rsid w:val="00D91838"/>
    <w:rsid w:val="00D91DD0"/>
    <w:rsid w:val="00D9202B"/>
    <w:rsid w:val="00D92130"/>
    <w:rsid w:val="00D92147"/>
    <w:rsid w:val="00D9214F"/>
    <w:rsid w:val="00D9215A"/>
    <w:rsid w:val="00D9221B"/>
    <w:rsid w:val="00D92378"/>
    <w:rsid w:val="00D923C2"/>
    <w:rsid w:val="00D92597"/>
    <w:rsid w:val="00D926EE"/>
    <w:rsid w:val="00D92723"/>
    <w:rsid w:val="00D927FA"/>
    <w:rsid w:val="00D9280E"/>
    <w:rsid w:val="00D92854"/>
    <w:rsid w:val="00D928CC"/>
    <w:rsid w:val="00D92932"/>
    <w:rsid w:val="00D92A18"/>
    <w:rsid w:val="00D92BCB"/>
    <w:rsid w:val="00D92D32"/>
    <w:rsid w:val="00D92EFF"/>
    <w:rsid w:val="00D92F3C"/>
    <w:rsid w:val="00D930F9"/>
    <w:rsid w:val="00D9313C"/>
    <w:rsid w:val="00D93216"/>
    <w:rsid w:val="00D93243"/>
    <w:rsid w:val="00D93335"/>
    <w:rsid w:val="00D93414"/>
    <w:rsid w:val="00D9354B"/>
    <w:rsid w:val="00D935A2"/>
    <w:rsid w:val="00D93601"/>
    <w:rsid w:val="00D9360F"/>
    <w:rsid w:val="00D9374D"/>
    <w:rsid w:val="00D93954"/>
    <w:rsid w:val="00D93A3E"/>
    <w:rsid w:val="00D93B74"/>
    <w:rsid w:val="00D93C43"/>
    <w:rsid w:val="00D93F0B"/>
    <w:rsid w:val="00D93F17"/>
    <w:rsid w:val="00D94175"/>
    <w:rsid w:val="00D941EC"/>
    <w:rsid w:val="00D94223"/>
    <w:rsid w:val="00D94385"/>
    <w:rsid w:val="00D94438"/>
    <w:rsid w:val="00D94473"/>
    <w:rsid w:val="00D9449C"/>
    <w:rsid w:val="00D94523"/>
    <w:rsid w:val="00D94581"/>
    <w:rsid w:val="00D945E3"/>
    <w:rsid w:val="00D945E8"/>
    <w:rsid w:val="00D947F6"/>
    <w:rsid w:val="00D948A4"/>
    <w:rsid w:val="00D949F8"/>
    <w:rsid w:val="00D94ABB"/>
    <w:rsid w:val="00D94B04"/>
    <w:rsid w:val="00D94C60"/>
    <w:rsid w:val="00D94DB4"/>
    <w:rsid w:val="00D9500D"/>
    <w:rsid w:val="00D9506F"/>
    <w:rsid w:val="00D950CD"/>
    <w:rsid w:val="00D950D4"/>
    <w:rsid w:val="00D951DA"/>
    <w:rsid w:val="00D954DE"/>
    <w:rsid w:val="00D95509"/>
    <w:rsid w:val="00D955B9"/>
    <w:rsid w:val="00D955E5"/>
    <w:rsid w:val="00D95649"/>
    <w:rsid w:val="00D956E2"/>
    <w:rsid w:val="00D9572A"/>
    <w:rsid w:val="00D9599E"/>
    <w:rsid w:val="00D95A4F"/>
    <w:rsid w:val="00D95B9D"/>
    <w:rsid w:val="00D95E31"/>
    <w:rsid w:val="00D95E6C"/>
    <w:rsid w:val="00D95F00"/>
    <w:rsid w:val="00D95F37"/>
    <w:rsid w:val="00D95F5E"/>
    <w:rsid w:val="00D96040"/>
    <w:rsid w:val="00D960B6"/>
    <w:rsid w:val="00D961F4"/>
    <w:rsid w:val="00D96495"/>
    <w:rsid w:val="00D965BF"/>
    <w:rsid w:val="00D96670"/>
    <w:rsid w:val="00D9677A"/>
    <w:rsid w:val="00D96786"/>
    <w:rsid w:val="00D9680D"/>
    <w:rsid w:val="00D96AA7"/>
    <w:rsid w:val="00D96ABF"/>
    <w:rsid w:val="00D96B2B"/>
    <w:rsid w:val="00D96B56"/>
    <w:rsid w:val="00D96B5C"/>
    <w:rsid w:val="00D96B62"/>
    <w:rsid w:val="00D96C93"/>
    <w:rsid w:val="00D96DC8"/>
    <w:rsid w:val="00D96DDE"/>
    <w:rsid w:val="00D96DE8"/>
    <w:rsid w:val="00D96EF2"/>
    <w:rsid w:val="00D96F2E"/>
    <w:rsid w:val="00D97179"/>
    <w:rsid w:val="00D971A8"/>
    <w:rsid w:val="00D971DD"/>
    <w:rsid w:val="00D97297"/>
    <w:rsid w:val="00D972BD"/>
    <w:rsid w:val="00D974F1"/>
    <w:rsid w:val="00D97506"/>
    <w:rsid w:val="00D976A3"/>
    <w:rsid w:val="00D97893"/>
    <w:rsid w:val="00D97995"/>
    <w:rsid w:val="00D97BFC"/>
    <w:rsid w:val="00D97C6E"/>
    <w:rsid w:val="00D97C8B"/>
    <w:rsid w:val="00D97D2F"/>
    <w:rsid w:val="00D97D90"/>
    <w:rsid w:val="00D97F50"/>
    <w:rsid w:val="00D97F87"/>
    <w:rsid w:val="00D97F9B"/>
    <w:rsid w:val="00D9F835"/>
    <w:rsid w:val="00DA00DD"/>
    <w:rsid w:val="00DA00F4"/>
    <w:rsid w:val="00DA01E7"/>
    <w:rsid w:val="00DA02F0"/>
    <w:rsid w:val="00DA032A"/>
    <w:rsid w:val="00DA03BD"/>
    <w:rsid w:val="00DA059A"/>
    <w:rsid w:val="00DA074B"/>
    <w:rsid w:val="00DA07A5"/>
    <w:rsid w:val="00DA091F"/>
    <w:rsid w:val="00DA0BBE"/>
    <w:rsid w:val="00DA0CE3"/>
    <w:rsid w:val="00DA0F3B"/>
    <w:rsid w:val="00DA0F8D"/>
    <w:rsid w:val="00DA0FCA"/>
    <w:rsid w:val="00DA102B"/>
    <w:rsid w:val="00DA10CE"/>
    <w:rsid w:val="00DA10D4"/>
    <w:rsid w:val="00DA1177"/>
    <w:rsid w:val="00DA1266"/>
    <w:rsid w:val="00DA130F"/>
    <w:rsid w:val="00DA132C"/>
    <w:rsid w:val="00DA144C"/>
    <w:rsid w:val="00DA14AB"/>
    <w:rsid w:val="00DA16DE"/>
    <w:rsid w:val="00DA18DC"/>
    <w:rsid w:val="00DA18FE"/>
    <w:rsid w:val="00DA1A57"/>
    <w:rsid w:val="00DA1ACA"/>
    <w:rsid w:val="00DA1BDA"/>
    <w:rsid w:val="00DA1C33"/>
    <w:rsid w:val="00DA1CB0"/>
    <w:rsid w:val="00DA1CF9"/>
    <w:rsid w:val="00DA1DAF"/>
    <w:rsid w:val="00DA1DCB"/>
    <w:rsid w:val="00DA1ECB"/>
    <w:rsid w:val="00DA1ED6"/>
    <w:rsid w:val="00DA1FEA"/>
    <w:rsid w:val="00DA2126"/>
    <w:rsid w:val="00DA2157"/>
    <w:rsid w:val="00DA215F"/>
    <w:rsid w:val="00DA21B6"/>
    <w:rsid w:val="00DA2245"/>
    <w:rsid w:val="00DA22B7"/>
    <w:rsid w:val="00DA22ED"/>
    <w:rsid w:val="00DA2322"/>
    <w:rsid w:val="00DA2331"/>
    <w:rsid w:val="00DA2381"/>
    <w:rsid w:val="00DA2383"/>
    <w:rsid w:val="00DA24CB"/>
    <w:rsid w:val="00DA2598"/>
    <w:rsid w:val="00DA2832"/>
    <w:rsid w:val="00DA28FD"/>
    <w:rsid w:val="00DA2992"/>
    <w:rsid w:val="00DA2D0C"/>
    <w:rsid w:val="00DA2D0D"/>
    <w:rsid w:val="00DA2DB7"/>
    <w:rsid w:val="00DA2E9B"/>
    <w:rsid w:val="00DA2ECB"/>
    <w:rsid w:val="00DA2EEE"/>
    <w:rsid w:val="00DA2F03"/>
    <w:rsid w:val="00DA2F25"/>
    <w:rsid w:val="00DA3007"/>
    <w:rsid w:val="00DA31AC"/>
    <w:rsid w:val="00DA3261"/>
    <w:rsid w:val="00DA32BD"/>
    <w:rsid w:val="00DA32E9"/>
    <w:rsid w:val="00DA32F2"/>
    <w:rsid w:val="00DA330E"/>
    <w:rsid w:val="00DA350E"/>
    <w:rsid w:val="00DA3541"/>
    <w:rsid w:val="00DA35D8"/>
    <w:rsid w:val="00DA361E"/>
    <w:rsid w:val="00DA3684"/>
    <w:rsid w:val="00DA36A4"/>
    <w:rsid w:val="00DA3755"/>
    <w:rsid w:val="00DA3779"/>
    <w:rsid w:val="00DA37F0"/>
    <w:rsid w:val="00DA3900"/>
    <w:rsid w:val="00DA3960"/>
    <w:rsid w:val="00DA399C"/>
    <w:rsid w:val="00DA39A1"/>
    <w:rsid w:val="00DA3B6D"/>
    <w:rsid w:val="00DA3C51"/>
    <w:rsid w:val="00DA3DE4"/>
    <w:rsid w:val="00DA3F70"/>
    <w:rsid w:val="00DA400F"/>
    <w:rsid w:val="00DA4044"/>
    <w:rsid w:val="00DA4415"/>
    <w:rsid w:val="00DA443D"/>
    <w:rsid w:val="00DA4528"/>
    <w:rsid w:val="00DA4540"/>
    <w:rsid w:val="00DA4554"/>
    <w:rsid w:val="00DA4670"/>
    <w:rsid w:val="00DA48EC"/>
    <w:rsid w:val="00DA4A68"/>
    <w:rsid w:val="00DA4D54"/>
    <w:rsid w:val="00DA4F80"/>
    <w:rsid w:val="00DA4F84"/>
    <w:rsid w:val="00DA5040"/>
    <w:rsid w:val="00DA50BF"/>
    <w:rsid w:val="00DA50C6"/>
    <w:rsid w:val="00DA513B"/>
    <w:rsid w:val="00DA52AB"/>
    <w:rsid w:val="00DA5361"/>
    <w:rsid w:val="00DA53A0"/>
    <w:rsid w:val="00DA550F"/>
    <w:rsid w:val="00DA5651"/>
    <w:rsid w:val="00DA56B4"/>
    <w:rsid w:val="00DA57FA"/>
    <w:rsid w:val="00DA58A2"/>
    <w:rsid w:val="00DA58BD"/>
    <w:rsid w:val="00DA590C"/>
    <w:rsid w:val="00DA591E"/>
    <w:rsid w:val="00DA5BD9"/>
    <w:rsid w:val="00DA5C33"/>
    <w:rsid w:val="00DA5C49"/>
    <w:rsid w:val="00DA5DA1"/>
    <w:rsid w:val="00DA5EE7"/>
    <w:rsid w:val="00DA5FEB"/>
    <w:rsid w:val="00DA6025"/>
    <w:rsid w:val="00DA60A2"/>
    <w:rsid w:val="00DA626A"/>
    <w:rsid w:val="00DA630C"/>
    <w:rsid w:val="00DA63B6"/>
    <w:rsid w:val="00DA6445"/>
    <w:rsid w:val="00DA646E"/>
    <w:rsid w:val="00DA650B"/>
    <w:rsid w:val="00DA659D"/>
    <w:rsid w:val="00DA65FD"/>
    <w:rsid w:val="00DA6648"/>
    <w:rsid w:val="00DA678C"/>
    <w:rsid w:val="00DA6886"/>
    <w:rsid w:val="00DA68E1"/>
    <w:rsid w:val="00DA69DB"/>
    <w:rsid w:val="00DA6AEC"/>
    <w:rsid w:val="00DA6B1C"/>
    <w:rsid w:val="00DA6B8F"/>
    <w:rsid w:val="00DA6BC1"/>
    <w:rsid w:val="00DA6C27"/>
    <w:rsid w:val="00DA6E73"/>
    <w:rsid w:val="00DA6F0C"/>
    <w:rsid w:val="00DA6F24"/>
    <w:rsid w:val="00DA6FCC"/>
    <w:rsid w:val="00DA70E3"/>
    <w:rsid w:val="00DA7344"/>
    <w:rsid w:val="00DA734D"/>
    <w:rsid w:val="00DA737A"/>
    <w:rsid w:val="00DA7577"/>
    <w:rsid w:val="00DA7784"/>
    <w:rsid w:val="00DA7816"/>
    <w:rsid w:val="00DA78C0"/>
    <w:rsid w:val="00DA7A15"/>
    <w:rsid w:val="00DA7AAC"/>
    <w:rsid w:val="00DA7BDB"/>
    <w:rsid w:val="00DA7D79"/>
    <w:rsid w:val="00DA7DB2"/>
    <w:rsid w:val="00DA7E16"/>
    <w:rsid w:val="00DA7E7A"/>
    <w:rsid w:val="00DA7EE4"/>
    <w:rsid w:val="00DA7FF1"/>
    <w:rsid w:val="00DB008E"/>
    <w:rsid w:val="00DB01A5"/>
    <w:rsid w:val="00DB01DC"/>
    <w:rsid w:val="00DB02A0"/>
    <w:rsid w:val="00DB02C5"/>
    <w:rsid w:val="00DB04FE"/>
    <w:rsid w:val="00DB0581"/>
    <w:rsid w:val="00DB060B"/>
    <w:rsid w:val="00DB066F"/>
    <w:rsid w:val="00DB0782"/>
    <w:rsid w:val="00DB0819"/>
    <w:rsid w:val="00DB0864"/>
    <w:rsid w:val="00DB0881"/>
    <w:rsid w:val="00DB089D"/>
    <w:rsid w:val="00DB08D1"/>
    <w:rsid w:val="00DB0A2B"/>
    <w:rsid w:val="00DB0AF0"/>
    <w:rsid w:val="00DB0B76"/>
    <w:rsid w:val="00DB0BE2"/>
    <w:rsid w:val="00DB0C84"/>
    <w:rsid w:val="00DB0CB0"/>
    <w:rsid w:val="00DB0CDC"/>
    <w:rsid w:val="00DB0CDE"/>
    <w:rsid w:val="00DB0FF8"/>
    <w:rsid w:val="00DB1082"/>
    <w:rsid w:val="00DB11A5"/>
    <w:rsid w:val="00DB1309"/>
    <w:rsid w:val="00DB1361"/>
    <w:rsid w:val="00DB1395"/>
    <w:rsid w:val="00DB1452"/>
    <w:rsid w:val="00DB14C0"/>
    <w:rsid w:val="00DB1627"/>
    <w:rsid w:val="00DB16D8"/>
    <w:rsid w:val="00DB1791"/>
    <w:rsid w:val="00DB187E"/>
    <w:rsid w:val="00DB188B"/>
    <w:rsid w:val="00DB19F7"/>
    <w:rsid w:val="00DB19FB"/>
    <w:rsid w:val="00DB1E84"/>
    <w:rsid w:val="00DB2177"/>
    <w:rsid w:val="00DB224C"/>
    <w:rsid w:val="00DB22A3"/>
    <w:rsid w:val="00DB2351"/>
    <w:rsid w:val="00DB23BD"/>
    <w:rsid w:val="00DB245F"/>
    <w:rsid w:val="00DB2488"/>
    <w:rsid w:val="00DB24B7"/>
    <w:rsid w:val="00DB255C"/>
    <w:rsid w:val="00DB25B0"/>
    <w:rsid w:val="00DB2601"/>
    <w:rsid w:val="00DB2614"/>
    <w:rsid w:val="00DB2658"/>
    <w:rsid w:val="00DB26EB"/>
    <w:rsid w:val="00DB2796"/>
    <w:rsid w:val="00DB2953"/>
    <w:rsid w:val="00DB2971"/>
    <w:rsid w:val="00DB2974"/>
    <w:rsid w:val="00DB29D0"/>
    <w:rsid w:val="00DB2C7C"/>
    <w:rsid w:val="00DB2C91"/>
    <w:rsid w:val="00DB2D16"/>
    <w:rsid w:val="00DB2DCB"/>
    <w:rsid w:val="00DB2E83"/>
    <w:rsid w:val="00DB2F38"/>
    <w:rsid w:val="00DB2FEA"/>
    <w:rsid w:val="00DB3079"/>
    <w:rsid w:val="00DB312C"/>
    <w:rsid w:val="00DB312E"/>
    <w:rsid w:val="00DB3152"/>
    <w:rsid w:val="00DB34DF"/>
    <w:rsid w:val="00DB3583"/>
    <w:rsid w:val="00DB368D"/>
    <w:rsid w:val="00DB375D"/>
    <w:rsid w:val="00DB3851"/>
    <w:rsid w:val="00DB38DC"/>
    <w:rsid w:val="00DB392D"/>
    <w:rsid w:val="00DB3956"/>
    <w:rsid w:val="00DB3A6C"/>
    <w:rsid w:val="00DB3B71"/>
    <w:rsid w:val="00DB3BC7"/>
    <w:rsid w:val="00DB3D10"/>
    <w:rsid w:val="00DB3D3D"/>
    <w:rsid w:val="00DB3D60"/>
    <w:rsid w:val="00DB3D8F"/>
    <w:rsid w:val="00DB3EFF"/>
    <w:rsid w:val="00DB3F46"/>
    <w:rsid w:val="00DB4025"/>
    <w:rsid w:val="00DB4113"/>
    <w:rsid w:val="00DB41BC"/>
    <w:rsid w:val="00DB41DD"/>
    <w:rsid w:val="00DB41EB"/>
    <w:rsid w:val="00DB424B"/>
    <w:rsid w:val="00DB42D9"/>
    <w:rsid w:val="00DB44D6"/>
    <w:rsid w:val="00DB45C5"/>
    <w:rsid w:val="00DB45D9"/>
    <w:rsid w:val="00DB469D"/>
    <w:rsid w:val="00DB47BD"/>
    <w:rsid w:val="00DB48AC"/>
    <w:rsid w:val="00DB493D"/>
    <w:rsid w:val="00DB4A20"/>
    <w:rsid w:val="00DB4A45"/>
    <w:rsid w:val="00DB4BBB"/>
    <w:rsid w:val="00DB4C39"/>
    <w:rsid w:val="00DB4C3C"/>
    <w:rsid w:val="00DB4FFC"/>
    <w:rsid w:val="00DB50AD"/>
    <w:rsid w:val="00DB512C"/>
    <w:rsid w:val="00DB52E4"/>
    <w:rsid w:val="00DB5307"/>
    <w:rsid w:val="00DB533E"/>
    <w:rsid w:val="00DB5667"/>
    <w:rsid w:val="00DB56AE"/>
    <w:rsid w:val="00DB56E7"/>
    <w:rsid w:val="00DB573A"/>
    <w:rsid w:val="00DB576E"/>
    <w:rsid w:val="00DB58D3"/>
    <w:rsid w:val="00DB5C5E"/>
    <w:rsid w:val="00DB5D02"/>
    <w:rsid w:val="00DB5D5F"/>
    <w:rsid w:val="00DB5F3E"/>
    <w:rsid w:val="00DB5FA0"/>
    <w:rsid w:val="00DB5FA8"/>
    <w:rsid w:val="00DB5FF8"/>
    <w:rsid w:val="00DB6074"/>
    <w:rsid w:val="00DB60C2"/>
    <w:rsid w:val="00DB6298"/>
    <w:rsid w:val="00DB63A7"/>
    <w:rsid w:val="00DB6437"/>
    <w:rsid w:val="00DB643F"/>
    <w:rsid w:val="00DB6456"/>
    <w:rsid w:val="00DB66E1"/>
    <w:rsid w:val="00DB671C"/>
    <w:rsid w:val="00DB672B"/>
    <w:rsid w:val="00DB6805"/>
    <w:rsid w:val="00DB697A"/>
    <w:rsid w:val="00DB69ED"/>
    <w:rsid w:val="00DB6B66"/>
    <w:rsid w:val="00DB6B71"/>
    <w:rsid w:val="00DB6D9E"/>
    <w:rsid w:val="00DB6E2E"/>
    <w:rsid w:val="00DB6EA1"/>
    <w:rsid w:val="00DB6ED0"/>
    <w:rsid w:val="00DB6F7D"/>
    <w:rsid w:val="00DB707C"/>
    <w:rsid w:val="00DB713D"/>
    <w:rsid w:val="00DB7174"/>
    <w:rsid w:val="00DB7197"/>
    <w:rsid w:val="00DB71E1"/>
    <w:rsid w:val="00DB7209"/>
    <w:rsid w:val="00DB73D0"/>
    <w:rsid w:val="00DB74D5"/>
    <w:rsid w:val="00DB7623"/>
    <w:rsid w:val="00DB7935"/>
    <w:rsid w:val="00DB795F"/>
    <w:rsid w:val="00DB79E4"/>
    <w:rsid w:val="00DB7A03"/>
    <w:rsid w:val="00DB7BFE"/>
    <w:rsid w:val="00DB7C47"/>
    <w:rsid w:val="00DB7C71"/>
    <w:rsid w:val="00DB7C9F"/>
    <w:rsid w:val="00DB7CB4"/>
    <w:rsid w:val="00DB7CBD"/>
    <w:rsid w:val="00DB7E5C"/>
    <w:rsid w:val="00DB7F54"/>
    <w:rsid w:val="00DC00E7"/>
    <w:rsid w:val="00DC02A6"/>
    <w:rsid w:val="00DC04C0"/>
    <w:rsid w:val="00DC0561"/>
    <w:rsid w:val="00DC08CD"/>
    <w:rsid w:val="00DC09DF"/>
    <w:rsid w:val="00DC0B08"/>
    <w:rsid w:val="00DC0B74"/>
    <w:rsid w:val="00DC0C04"/>
    <w:rsid w:val="00DC0C17"/>
    <w:rsid w:val="00DC0DA8"/>
    <w:rsid w:val="00DC0DEF"/>
    <w:rsid w:val="00DC0EED"/>
    <w:rsid w:val="00DC0FFB"/>
    <w:rsid w:val="00DC1076"/>
    <w:rsid w:val="00DC1290"/>
    <w:rsid w:val="00DC1336"/>
    <w:rsid w:val="00DC1536"/>
    <w:rsid w:val="00DC157A"/>
    <w:rsid w:val="00DC170E"/>
    <w:rsid w:val="00DC1751"/>
    <w:rsid w:val="00DC180E"/>
    <w:rsid w:val="00DC1886"/>
    <w:rsid w:val="00DC1898"/>
    <w:rsid w:val="00DC1A36"/>
    <w:rsid w:val="00DC1A40"/>
    <w:rsid w:val="00DC1A9F"/>
    <w:rsid w:val="00DC1C71"/>
    <w:rsid w:val="00DC2034"/>
    <w:rsid w:val="00DC2304"/>
    <w:rsid w:val="00DC2340"/>
    <w:rsid w:val="00DC23E6"/>
    <w:rsid w:val="00DC2613"/>
    <w:rsid w:val="00DC2646"/>
    <w:rsid w:val="00DC26A5"/>
    <w:rsid w:val="00DC26B8"/>
    <w:rsid w:val="00DC26C0"/>
    <w:rsid w:val="00DC2947"/>
    <w:rsid w:val="00DC29F8"/>
    <w:rsid w:val="00DC2B5D"/>
    <w:rsid w:val="00DC2C3D"/>
    <w:rsid w:val="00DC2D7D"/>
    <w:rsid w:val="00DC2E83"/>
    <w:rsid w:val="00DC2F2E"/>
    <w:rsid w:val="00DC3032"/>
    <w:rsid w:val="00DC3046"/>
    <w:rsid w:val="00DC313B"/>
    <w:rsid w:val="00DC316A"/>
    <w:rsid w:val="00DC3214"/>
    <w:rsid w:val="00DC3257"/>
    <w:rsid w:val="00DC3381"/>
    <w:rsid w:val="00DC3404"/>
    <w:rsid w:val="00DC3480"/>
    <w:rsid w:val="00DC3498"/>
    <w:rsid w:val="00DC3698"/>
    <w:rsid w:val="00DC3A21"/>
    <w:rsid w:val="00DC3DDD"/>
    <w:rsid w:val="00DC3E3A"/>
    <w:rsid w:val="00DC3F37"/>
    <w:rsid w:val="00DC3F56"/>
    <w:rsid w:val="00DC3FA3"/>
    <w:rsid w:val="00DC3FB0"/>
    <w:rsid w:val="00DC3FD2"/>
    <w:rsid w:val="00DC4004"/>
    <w:rsid w:val="00DC4294"/>
    <w:rsid w:val="00DC4362"/>
    <w:rsid w:val="00DC4400"/>
    <w:rsid w:val="00DC458B"/>
    <w:rsid w:val="00DC49E1"/>
    <w:rsid w:val="00DC49E5"/>
    <w:rsid w:val="00DC4A55"/>
    <w:rsid w:val="00DC4BCF"/>
    <w:rsid w:val="00DC4C07"/>
    <w:rsid w:val="00DC4C64"/>
    <w:rsid w:val="00DC4C67"/>
    <w:rsid w:val="00DC4D30"/>
    <w:rsid w:val="00DC4DF9"/>
    <w:rsid w:val="00DC4F07"/>
    <w:rsid w:val="00DC4F3D"/>
    <w:rsid w:val="00DC4FB0"/>
    <w:rsid w:val="00DC507F"/>
    <w:rsid w:val="00DC50DA"/>
    <w:rsid w:val="00DC5192"/>
    <w:rsid w:val="00DC51AE"/>
    <w:rsid w:val="00DC521C"/>
    <w:rsid w:val="00DC531C"/>
    <w:rsid w:val="00DC5379"/>
    <w:rsid w:val="00DC548C"/>
    <w:rsid w:val="00DC55DA"/>
    <w:rsid w:val="00DC55DF"/>
    <w:rsid w:val="00DC567F"/>
    <w:rsid w:val="00DC56F3"/>
    <w:rsid w:val="00DC5756"/>
    <w:rsid w:val="00DC596C"/>
    <w:rsid w:val="00DC599A"/>
    <w:rsid w:val="00DC5A04"/>
    <w:rsid w:val="00DC5AF8"/>
    <w:rsid w:val="00DC5B80"/>
    <w:rsid w:val="00DC5BCD"/>
    <w:rsid w:val="00DC5D95"/>
    <w:rsid w:val="00DC5E01"/>
    <w:rsid w:val="00DC5EB5"/>
    <w:rsid w:val="00DC5F13"/>
    <w:rsid w:val="00DC5F19"/>
    <w:rsid w:val="00DC6002"/>
    <w:rsid w:val="00DC60C3"/>
    <w:rsid w:val="00DC6152"/>
    <w:rsid w:val="00DC6248"/>
    <w:rsid w:val="00DC6367"/>
    <w:rsid w:val="00DC6508"/>
    <w:rsid w:val="00DC674A"/>
    <w:rsid w:val="00DC6780"/>
    <w:rsid w:val="00DC6905"/>
    <w:rsid w:val="00DC69CF"/>
    <w:rsid w:val="00DC6ABD"/>
    <w:rsid w:val="00DC6D07"/>
    <w:rsid w:val="00DC6D94"/>
    <w:rsid w:val="00DC6E0F"/>
    <w:rsid w:val="00DC6E62"/>
    <w:rsid w:val="00DC6EEB"/>
    <w:rsid w:val="00DC7038"/>
    <w:rsid w:val="00DC708D"/>
    <w:rsid w:val="00DC708E"/>
    <w:rsid w:val="00DC7142"/>
    <w:rsid w:val="00DC72F3"/>
    <w:rsid w:val="00DC748E"/>
    <w:rsid w:val="00DC7574"/>
    <w:rsid w:val="00DC75B8"/>
    <w:rsid w:val="00DC77E3"/>
    <w:rsid w:val="00DC7930"/>
    <w:rsid w:val="00DC793D"/>
    <w:rsid w:val="00DC79F8"/>
    <w:rsid w:val="00DC7A70"/>
    <w:rsid w:val="00DC7B1C"/>
    <w:rsid w:val="00DC7B51"/>
    <w:rsid w:val="00DC7BB8"/>
    <w:rsid w:val="00DC7CD8"/>
    <w:rsid w:val="00DC7DFB"/>
    <w:rsid w:val="00DC7F27"/>
    <w:rsid w:val="00DC7FC9"/>
    <w:rsid w:val="00DCD599"/>
    <w:rsid w:val="00DD00FD"/>
    <w:rsid w:val="00DD015C"/>
    <w:rsid w:val="00DD01DE"/>
    <w:rsid w:val="00DD0368"/>
    <w:rsid w:val="00DD0428"/>
    <w:rsid w:val="00DD0485"/>
    <w:rsid w:val="00DD04B9"/>
    <w:rsid w:val="00DD08E5"/>
    <w:rsid w:val="00DD08F4"/>
    <w:rsid w:val="00DD0905"/>
    <w:rsid w:val="00DD0933"/>
    <w:rsid w:val="00DD0BCB"/>
    <w:rsid w:val="00DD0BE4"/>
    <w:rsid w:val="00DD0C0E"/>
    <w:rsid w:val="00DD0C4C"/>
    <w:rsid w:val="00DD0CFB"/>
    <w:rsid w:val="00DD0DA5"/>
    <w:rsid w:val="00DD1081"/>
    <w:rsid w:val="00DD10EC"/>
    <w:rsid w:val="00DD112B"/>
    <w:rsid w:val="00DD1158"/>
    <w:rsid w:val="00DD11CE"/>
    <w:rsid w:val="00DD11E2"/>
    <w:rsid w:val="00DD11E8"/>
    <w:rsid w:val="00DD143E"/>
    <w:rsid w:val="00DD1697"/>
    <w:rsid w:val="00DD16DB"/>
    <w:rsid w:val="00DD1799"/>
    <w:rsid w:val="00DD1928"/>
    <w:rsid w:val="00DD19A9"/>
    <w:rsid w:val="00DD1A07"/>
    <w:rsid w:val="00DD1A60"/>
    <w:rsid w:val="00DD1CA6"/>
    <w:rsid w:val="00DD1E96"/>
    <w:rsid w:val="00DD1F84"/>
    <w:rsid w:val="00DD2098"/>
    <w:rsid w:val="00DD20CB"/>
    <w:rsid w:val="00DD245A"/>
    <w:rsid w:val="00DD2622"/>
    <w:rsid w:val="00DD269E"/>
    <w:rsid w:val="00DD2742"/>
    <w:rsid w:val="00DD2AF3"/>
    <w:rsid w:val="00DD2B34"/>
    <w:rsid w:val="00DD2BE2"/>
    <w:rsid w:val="00DD2C89"/>
    <w:rsid w:val="00DD2CBE"/>
    <w:rsid w:val="00DD2E71"/>
    <w:rsid w:val="00DD2EB2"/>
    <w:rsid w:val="00DD2F6B"/>
    <w:rsid w:val="00DD2F9D"/>
    <w:rsid w:val="00DD2FA3"/>
    <w:rsid w:val="00DD2FB9"/>
    <w:rsid w:val="00DD302A"/>
    <w:rsid w:val="00DD30CE"/>
    <w:rsid w:val="00DD326B"/>
    <w:rsid w:val="00DD3276"/>
    <w:rsid w:val="00DD334D"/>
    <w:rsid w:val="00DD33A0"/>
    <w:rsid w:val="00DD3473"/>
    <w:rsid w:val="00DD34B6"/>
    <w:rsid w:val="00DD358D"/>
    <w:rsid w:val="00DD360E"/>
    <w:rsid w:val="00DD363A"/>
    <w:rsid w:val="00DD3729"/>
    <w:rsid w:val="00DD3855"/>
    <w:rsid w:val="00DD38EA"/>
    <w:rsid w:val="00DD3922"/>
    <w:rsid w:val="00DD39D4"/>
    <w:rsid w:val="00DD3B1B"/>
    <w:rsid w:val="00DD3C4B"/>
    <w:rsid w:val="00DD3E0B"/>
    <w:rsid w:val="00DD3E30"/>
    <w:rsid w:val="00DD3E3F"/>
    <w:rsid w:val="00DD3F39"/>
    <w:rsid w:val="00DD4133"/>
    <w:rsid w:val="00DD4159"/>
    <w:rsid w:val="00DD41E8"/>
    <w:rsid w:val="00DD43B5"/>
    <w:rsid w:val="00DD440B"/>
    <w:rsid w:val="00DD4465"/>
    <w:rsid w:val="00DD45A6"/>
    <w:rsid w:val="00DD47C6"/>
    <w:rsid w:val="00DD48F0"/>
    <w:rsid w:val="00DD4934"/>
    <w:rsid w:val="00DD494D"/>
    <w:rsid w:val="00DD4C5E"/>
    <w:rsid w:val="00DD4CCB"/>
    <w:rsid w:val="00DD4DE4"/>
    <w:rsid w:val="00DD4EB4"/>
    <w:rsid w:val="00DD4F2B"/>
    <w:rsid w:val="00DD50E0"/>
    <w:rsid w:val="00DD511B"/>
    <w:rsid w:val="00DD535F"/>
    <w:rsid w:val="00DD5605"/>
    <w:rsid w:val="00DD5718"/>
    <w:rsid w:val="00DD577F"/>
    <w:rsid w:val="00DD586E"/>
    <w:rsid w:val="00DD58FD"/>
    <w:rsid w:val="00DD5928"/>
    <w:rsid w:val="00DD5A7B"/>
    <w:rsid w:val="00DD5A85"/>
    <w:rsid w:val="00DD5B88"/>
    <w:rsid w:val="00DD5CD2"/>
    <w:rsid w:val="00DD5DCF"/>
    <w:rsid w:val="00DD5E48"/>
    <w:rsid w:val="00DD5EC6"/>
    <w:rsid w:val="00DD5F15"/>
    <w:rsid w:val="00DD5F18"/>
    <w:rsid w:val="00DD5F71"/>
    <w:rsid w:val="00DD6052"/>
    <w:rsid w:val="00DD61A0"/>
    <w:rsid w:val="00DD61F7"/>
    <w:rsid w:val="00DD620B"/>
    <w:rsid w:val="00DD6585"/>
    <w:rsid w:val="00DD65A5"/>
    <w:rsid w:val="00DD661A"/>
    <w:rsid w:val="00DD66D4"/>
    <w:rsid w:val="00DD6741"/>
    <w:rsid w:val="00DD6846"/>
    <w:rsid w:val="00DD6881"/>
    <w:rsid w:val="00DD6979"/>
    <w:rsid w:val="00DD69AE"/>
    <w:rsid w:val="00DD69D8"/>
    <w:rsid w:val="00DD6A39"/>
    <w:rsid w:val="00DD6B24"/>
    <w:rsid w:val="00DD6CAB"/>
    <w:rsid w:val="00DD6E16"/>
    <w:rsid w:val="00DD6E26"/>
    <w:rsid w:val="00DD6EDF"/>
    <w:rsid w:val="00DD6EF1"/>
    <w:rsid w:val="00DD6FF6"/>
    <w:rsid w:val="00DD7086"/>
    <w:rsid w:val="00DD70B1"/>
    <w:rsid w:val="00DD72F9"/>
    <w:rsid w:val="00DD7330"/>
    <w:rsid w:val="00DD73A2"/>
    <w:rsid w:val="00DD73E1"/>
    <w:rsid w:val="00DD74A0"/>
    <w:rsid w:val="00DD75AD"/>
    <w:rsid w:val="00DD762A"/>
    <w:rsid w:val="00DD76EA"/>
    <w:rsid w:val="00DD7869"/>
    <w:rsid w:val="00DD7871"/>
    <w:rsid w:val="00DD7977"/>
    <w:rsid w:val="00DD7989"/>
    <w:rsid w:val="00DD79D3"/>
    <w:rsid w:val="00DD7C8F"/>
    <w:rsid w:val="00DD7D34"/>
    <w:rsid w:val="00DD7D73"/>
    <w:rsid w:val="00DD7FE3"/>
    <w:rsid w:val="00DE002F"/>
    <w:rsid w:val="00DE0140"/>
    <w:rsid w:val="00DE0176"/>
    <w:rsid w:val="00DE0192"/>
    <w:rsid w:val="00DE0280"/>
    <w:rsid w:val="00DE046A"/>
    <w:rsid w:val="00DE0529"/>
    <w:rsid w:val="00DE05F6"/>
    <w:rsid w:val="00DE062B"/>
    <w:rsid w:val="00DE086C"/>
    <w:rsid w:val="00DE08B5"/>
    <w:rsid w:val="00DE0A0A"/>
    <w:rsid w:val="00DE0A3D"/>
    <w:rsid w:val="00DE0AAE"/>
    <w:rsid w:val="00DE0BAE"/>
    <w:rsid w:val="00DE0C55"/>
    <w:rsid w:val="00DE0D12"/>
    <w:rsid w:val="00DE0D29"/>
    <w:rsid w:val="00DE0EFF"/>
    <w:rsid w:val="00DE100E"/>
    <w:rsid w:val="00DE113B"/>
    <w:rsid w:val="00DE118C"/>
    <w:rsid w:val="00DE1277"/>
    <w:rsid w:val="00DE1312"/>
    <w:rsid w:val="00DE1420"/>
    <w:rsid w:val="00DE145F"/>
    <w:rsid w:val="00DE14F2"/>
    <w:rsid w:val="00DE1620"/>
    <w:rsid w:val="00DE1633"/>
    <w:rsid w:val="00DE1689"/>
    <w:rsid w:val="00DE1933"/>
    <w:rsid w:val="00DE1998"/>
    <w:rsid w:val="00DE19E5"/>
    <w:rsid w:val="00DE1BEB"/>
    <w:rsid w:val="00DE1C18"/>
    <w:rsid w:val="00DE1C25"/>
    <w:rsid w:val="00DE1C69"/>
    <w:rsid w:val="00DE1D9E"/>
    <w:rsid w:val="00DE1EDE"/>
    <w:rsid w:val="00DE213F"/>
    <w:rsid w:val="00DE2200"/>
    <w:rsid w:val="00DE23E4"/>
    <w:rsid w:val="00DE24A8"/>
    <w:rsid w:val="00DE24CF"/>
    <w:rsid w:val="00DE24EE"/>
    <w:rsid w:val="00DE24F6"/>
    <w:rsid w:val="00DE25F3"/>
    <w:rsid w:val="00DE261A"/>
    <w:rsid w:val="00DE2645"/>
    <w:rsid w:val="00DE2675"/>
    <w:rsid w:val="00DE268D"/>
    <w:rsid w:val="00DE26C8"/>
    <w:rsid w:val="00DE2773"/>
    <w:rsid w:val="00DE29BF"/>
    <w:rsid w:val="00DE2A22"/>
    <w:rsid w:val="00DE2A24"/>
    <w:rsid w:val="00DE2A39"/>
    <w:rsid w:val="00DE2ADC"/>
    <w:rsid w:val="00DE2AF7"/>
    <w:rsid w:val="00DE2F56"/>
    <w:rsid w:val="00DE2F61"/>
    <w:rsid w:val="00DE2FD7"/>
    <w:rsid w:val="00DE31C0"/>
    <w:rsid w:val="00DE34F3"/>
    <w:rsid w:val="00DE357D"/>
    <w:rsid w:val="00DE35E9"/>
    <w:rsid w:val="00DE36A9"/>
    <w:rsid w:val="00DE3831"/>
    <w:rsid w:val="00DE3850"/>
    <w:rsid w:val="00DE38F1"/>
    <w:rsid w:val="00DE391D"/>
    <w:rsid w:val="00DE391E"/>
    <w:rsid w:val="00DE3941"/>
    <w:rsid w:val="00DE39F8"/>
    <w:rsid w:val="00DE3AFE"/>
    <w:rsid w:val="00DE3BB1"/>
    <w:rsid w:val="00DE3C76"/>
    <w:rsid w:val="00DE3C79"/>
    <w:rsid w:val="00DE3CDF"/>
    <w:rsid w:val="00DE3D15"/>
    <w:rsid w:val="00DE3E2E"/>
    <w:rsid w:val="00DE3F61"/>
    <w:rsid w:val="00DE4026"/>
    <w:rsid w:val="00DE407C"/>
    <w:rsid w:val="00DE407F"/>
    <w:rsid w:val="00DE4093"/>
    <w:rsid w:val="00DE416D"/>
    <w:rsid w:val="00DE41DD"/>
    <w:rsid w:val="00DE4226"/>
    <w:rsid w:val="00DE4231"/>
    <w:rsid w:val="00DE4306"/>
    <w:rsid w:val="00DE4569"/>
    <w:rsid w:val="00DE45B9"/>
    <w:rsid w:val="00DE481D"/>
    <w:rsid w:val="00DE494A"/>
    <w:rsid w:val="00DE497E"/>
    <w:rsid w:val="00DE4A06"/>
    <w:rsid w:val="00DE4D74"/>
    <w:rsid w:val="00DE4E35"/>
    <w:rsid w:val="00DE5069"/>
    <w:rsid w:val="00DE5189"/>
    <w:rsid w:val="00DE519F"/>
    <w:rsid w:val="00DE5244"/>
    <w:rsid w:val="00DE5253"/>
    <w:rsid w:val="00DE5280"/>
    <w:rsid w:val="00DE5459"/>
    <w:rsid w:val="00DE556E"/>
    <w:rsid w:val="00DE5591"/>
    <w:rsid w:val="00DE55EA"/>
    <w:rsid w:val="00DE565E"/>
    <w:rsid w:val="00DE57AE"/>
    <w:rsid w:val="00DE57C1"/>
    <w:rsid w:val="00DE57C4"/>
    <w:rsid w:val="00DE57D2"/>
    <w:rsid w:val="00DE57EA"/>
    <w:rsid w:val="00DE5830"/>
    <w:rsid w:val="00DE5A13"/>
    <w:rsid w:val="00DE5A21"/>
    <w:rsid w:val="00DE5A3C"/>
    <w:rsid w:val="00DE5C1B"/>
    <w:rsid w:val="00DE5CA0"/>
    <w:rsid w:val="00DE5DE9"/>
    <w:rsid w:val="00DE5E69"/>
    <w:rsid w:val="00DE5EE7"/>
    <w:rsid w:val="00DE5F84"/>
    <w:rsid w:val="00DE5FEC"/>
    <w:rsid w:val="00DE63BD"/>
    <w:rsid w:val="00DE63C9"/>
    <w:rsid w:val="00DE63D4"/>
    <w:rsid w:val="00DE6562"/>
    <w:rsid w:val="00DE65D3"/>
    <w:rsid w:val="00DE66CC"/>
    <w:rsid w:val="00DE6A13"/>
    <w:rsid w:val="00DE6AAE"/>
    <w:rsid w:val="00DE7032"/>
    <w:rsid w:val="00DE706F"/>
    <w:rsid w:val="00DE7087"/>
    <w:rsid w:val="00DE70A0"/>
    <w:rsid w:val="00DE71A9"/>
    <w:rsid w:val="00DE71AF"/>
    <w:rsid w:val="00DE7220"/>
    <w:rsid w:val="00DE725C"/>
    <w:rsid w:val="00DE725D"/>
    <w:rsid w:val="00DE731C"/>
    <w:rsid w:val="00DE7320"/>
    <w:rsid w:val="00DE73B1"/>
    <w:rsid w:val="00DE741F"/>
    <w:rsid w:val="00DE74D2"/>
    <w:rsid w:val="00DE753B"/>
    <w:rsid w:val="00DE76E3"/>
    <w:rsid w:val="00DE7865"/>
    <w:rsid w:val="00DE78FD"/>
    <w:rsid w:val="00DE7988"/>
    <w:rsid w:val="00DE7A6B"/>
    <w:rsid w:val="00DE7D2D"/>
    <w:rsid w:val="00DE7E00"/>
    <w:rsid w:val="00DE7E2A"/>
    <w:rsid w:val="00DE7ED7"/>
    <w:rsid w:val="00DE7FAB"/>
    <w:rsid w:val="00DF010D"/>
    <w:rsid w:val="00DF0127"/>
    <w:rsid w:val="00DF03FB"/>
    <w:rsid w:val="00DF052B"/>
    <w:rsid w:val="00DF0672"/>
    <w:rsid w:val="00DF069C"/>
    <w:rsid w:val="00DF0734"/>
    <w:rsid w:val="00DF0776"/>
    <w:rsid w:val="00DF08A4"/>
    <w:rsid w:val="00DF09D2"/>
    <w:rsid w:val="00DF0B94"/>
    <w:rsid w:val="00DF0D97"/>
    <w:rsid w:val="00DF0E02"/>
    <w:rsid w:val="00DF1320"/>
    <w:rsid w:val="00DF13FC"/>
    <w:rsid w:val="00DF156D"/>
    <w:rsid w:val="00DF15CD"/>
    <w:rsid w:val="00DF1658"/>
    <w:rsid w:val="00DF16A2"/>
    <w:rsid w:val="00DF17D7"/>
    <w:rsid w:val="00DF18B6"/>
    <w:rsid w:val="00DF190F"/>
    <w:rsid w:val="00DF1930"/>
    <w:rsid w:val="00DF1B3A"/>
    <w:rsid w:val="00DF1BFC"/>
    <w:rsid w:val="00DF1C43"/>
    <w:rsid w:val="00DF1D6D"/>
    <w:rsid w:val="00DF1F72"/>
    <w:rsid w:val="00DF1FE2"/>
    <w:rsid w:val="00DF2058"/>
    <w:rsid w:val="00DF24CE"/>
    <w:rsid w:val="00DF24DB"/>
    <w:rsid w:val="00DF2514"/>
    <w:rsid w:val="00DF25BA"/>
    <w:rsid w:val="00DF2657"/>
    <w:rsid w:val="00DF26FD"/>
    <w:rsid w:val="00DF276D"/>
    <w:rsid w:val="00DF2840"/>
    <w:rsid w:val="00DF284E"/>
    <w:rsid w:val="00DF28A5"/>
    <w:rsid w:val="00DF2A21"/>
    <w:rsid w:val="00DF2AF4"/>
    <w:rsid w:val="00DF2B5C"/>
    <w:rsid w:val="00DF2C9D"/>
    <w:rsid w:val="00DF2E23"/>
    <w:rsid w:val="00DF34C4"/>
    <w:rsid w:val="00DF35D9"/>
    <w:rsid w:val="00DF3687"/>
    <w:rsid w:val="00DF3705"/>
    <w:rsid w:val="00DF37B0"/>
    <w:rsid w:val="00DF38C0"/>
    <w:rsid w:val="00DF39FA"/>
    <w:rsid w:val="00DF3DD3"/>
    <w:rsid w:val="00DF3E3C"/>
    <w:rsid w:val="00DF3F36"/>
    <w:rsid w:val="00DF3F85"/>
    <w:rsid w:val="00DF3F91"/>
    <w:rsid w:val="00DF3FEF"/>
    <w:rsid w:val="00DF419D"/>
    <w:rsid w:val="00DF42F7"/>
    <w:rsid w:val="00DF4550"/>
    <w:rsid w:val="00DF4572"/>
    <w:rsid w:val="00DF46B1"/>
    <w:rsid w:val="00DF46CC"/>
    <w:rsid w:val="00DF46CD"/>
    <w:rsid w:val="00DF4789"/>
    <w:rsid w:val="00DF4846"/>
    <w:rsid w:val="00DF493A"/>
    <w:rsid w:val="00DF49E9"/>
    <w:rsid w:val="00DF4AD8"/>
    <w:rsid w:val="00DF4B21"/>
    <w:rsid w:val="00DF4DDE"/>
    <w:rsid w:val="00DF4F52"/>
    <w:rsid w:val="00DF4F85"/>
    <w:rsid w:val="00DF51A3"/>
    <w:rsid w:val="00DF5414"/>
    <w:rsid w:val="00DF5467"/>
    <w:rsid w:val="00DF557B"/>
    <w:rsid w:val="00DF5678"/>
    <w:rsid w:val="00DF56A9"/>
    <w:rsid w:val="00DF56BD"/>
    <w:rsid w:val="00DF5866"/>
    <w:rsid w:val="00DF58C4"/>
    <w:rsid w:val="00DF590D"/>
    <w:rsid w:val="00DF5922"/>
    <w:rsid w:val="00DF5945"/>
    <w:rsid w:val="00DF59B3"/>
    <w:rsid w:val="00DF5B58"/>
    <w:rsid w:val="00DF5B90"/>
    <w:rsid w:val="00DF5BB7"/>
    <w:rsid w:val="00DF5C8B"/>
    <w:rsid w:val="00DF5CBB"/>
    <w:rsid w:val="00DF5EFA"/>
    <w:rsid w:val="00DF5F1D"/>
    <w:rsid w:val="00DF5F7D"/>
    <w:rsid w:val="00DF6257"/>
    <w:rsid w:val="00DF62DE"/>
    <w:rsid w:val="00DF62ED"/>
    <w:rsid w:val="00DF6656"/>
    <w:rsid w:val="00DF6666"/>
    <w:rsid w:val="00DF6722"/>
    <w:rsid w:val="00DF67E3"/>
    <w:rsid w:val="00DF68EF"/>
    <w:rsid w:val="00DF693B"/>
    <w:rsid w:val="00DF6A44"/>
    <w:rsid w:val="00DF6B00"/>
    <w:rsid w:val="00DF6C22"/>
    <w:rsid w:val="00DF6CAD"/>
    <w:rsid w:val="00DF6D3F"/>
    <w:rsid w:val="00DF6F32"/>
    <w:rsid w:val="00DF728C"/>
    <w:rsid w:val="00DF728F"/>
    <w:rsid w:val="00DF7339"/>
    <w:rsid w:val="00DF73CB"/>
    <w:rsid w:val="00DF73D0"/>
    <w:rsid w:val="00DF740B"/>
    <w:rsid w:val="00DF7526"/>
    <w:rsid w:val="00DF759E"/>
    <w:rsid w:val="00DF764F"/>
    <w:rsid w:val="00DF780B"/>
    <w:rsid w:val="00DF7817"/>
    <w:rsid w:val="00DF7878"/>
    <w:rsid w:val="00DF788F"/>
    <w:rsid w:val="00DF794C"/>
    <w:rsid w:val="00DF797E"/>
    <w:rsid w:val="00DF79AC"/>
    <w:rsid w:val="00DF79D9"/>
    <w:rsid w:val="00DF7AE5"/>
    <w:rsid w:val="00DF7B31"/>
    <w:rsid w:val="00DF7C4B"/>
    <w:rsid w:val="00DF7C75"/>
    <w:rsid w:val="00DF7CEB"/>
    <w:rsid w:val="00DF7D08"/>
    <w:rsid w:val="00DF7D40"/>
    <w:rsid w:val="00DF7D62"/>
    <w:rsid w:val="00DF7D80"/>
    <w:rsid w:val="00DF7D9C"/>
    <w:rsid w:val="00DF7DEE"/>
    <w:rsid w:val="00DF7EE5"/>
    <w:rsid w:val="00DF7EF9"/>
    <w:rsid w:val="00E00033"/>
    <w:rsid w:val="00E0007B"/>
    <w:rsid w:val="00E00150"/>
    <w:rsid w:val="00E001F7"/>
    <w:rsid w:val="00E002B8"/>
    <w:rsid w:val="00E00353"/>
    <w:rsid w:val="00E00389"/>
    <w:rsid w:val="00E003E0"/>
    <w:rsid w:val="00E00769"/>
    <w:rsid w:val="00E00930"/>
    <w:rsid w:val="00E00AF8"/>
    <w:rsid w:val="00E00DC7"/>
    <w:rsid w:val="00E00DCE"/>
    <w:rsid w:val="00E00DED"/>
    <w:rsid w:val="00E00F36"/>
    <w:rsid w:val="00E01017"/>
    <w:rsid w:val="00E01023"/>
    <w:rsid w:val="00E01083"/>
    <w:rsid w:val="00E01151"/>
    <w:rsid w:val="00E0118E"/>
    <w:rsid w:val="00E01479"/>
    <w:rsid w:val="00E015A5"/>
    <w:rsid w:val="00E016AC"/>
    <w:rsid w:val="00E01773"/>
    <w:rsid w:val="00E018C4"/>
    <w:rsid w:val="00E019DF"/>
    <w:rsid w:val="00E01CAF"/>
    <w:rsid w:val="00E01CDA"/>
    <w:rsid w:val="00E01D65"/>
    <w:rsid w:val="00E01DA4"/>
    <w:rsid w:val="00E01E05"/>
    <w:rsid w:val="00E01E5B"/>
    <w:rsid w:val="00E0211E"/>
    <w:rsid w:val="00E02213"/>
    <w:rsid w:val="00E02328"/>
    <w:rsid w:val="00E0235C"/>
    <w:rsid w:val="00E023BB"/>
    <w:rsid w:val="00E023ED"/>
    <w:rsid w:val="00E0245E"/>
    <w:rsid w:val="00E0250D"/>
    <w:rsid w:val="00E02606"/>
    <w:rsid w:val="00E02638"/>
    <w:rsid w:val="00E0272A"/>
    <w:rsid w:val="00E02936"/>
    <w:rsid w:val="00E029A6"/>
    <w:rsid w:val="00E029D5"/>
    <w:rsid w:val="00E02A96"/>
    <w:rsid w:val="00E02AE3"/>
    <w:rsid w:val="00E02B28"/>
    <w:rsid w:val="00E02BAC"/>
    <w:rsid w:val="00E02C6A"/>
    <w:rsid w:val="00E02F7E"/>
    <w:rsid w:val="00E02FE3"/>
    <w:rsid w:val="00E02FF9"/>
    <w:rsid w:val="00E03085"/>
    <w:rsid w:val="00E030AD"/>
    <w:rsid w:val="00E03153"/>
    <w:rsid w:val="00E03226"/>
    <w:rsid w:val="00E03227"/>
    <w:rsid w:val="00E03275"/>
    <w:rsid w:val="00E0355A"/>
    <w:rsid w:val="00E036AE"/>
    <w:rsid w:val="00E03732"/>
    <w:rsid w:val="00E037A3"/>
    <w:rsid w:val="00E037E6"/>
    <w:rsid w:val="00E03880"/>
    <w:rsid w:val="00E03902"/>
    <w:rsid w:val="00E039C5"/>
    <w:rsid w:val="00E03A79"/>
    <w:rsid w:val="00E03C1E"/>
    <w:rsid w:val="00E03D0A"/>
    <w:rsid w:val="00E03D10"/>
    <w:rsid w:val="00E03DE8"/>
    <w:rsid w:val="00E03DF6"/>
    <w:rsid w:val="00E03EE5"/>
    <w:rsid w:val="00E03EED"/>
    <w:rsid w:val="00E03F47"/>
    <w:rsid w:val="00E04047"/>
    <w:rsid w:val="00E0433B"/>
    <w:rsid w:val="00E0438E"/>
    <w:rsid w:val="00E044E3"/>
    <w:rsid w:val="00E04691"/>
    <w:rsid w:val="00E0475E"/>
    <w:rsid w:val="00E047EC"/>
    <w:rsid w:val="00E04908"/>
    <w:rsid w:val="00E04BE4"/>
    <w:rsid w:val="00E04C01"/>
    <w:rsid w:val="00E04CFD"/>
    <w:rsid w:val="00E04D88"/>
    <w:rsid w:val="00E04F8E"/>
    <w:rsid w:val="00E04FB9"/>
    <w:rsid w:val="00E05057"/>
    <w:rsid w:val="00E050B0"/>
    <w:rsid w:val="00E0511C"/>
    <w:rsid w:val="00E051C2"/>
    <w:rsid w:val="00E051CA"/>
    <w:rsid w:val="00E0527B"/>
    <w:rsid w:val="00E0539C"/>
    <w:rsid w:val="00E05438"/>
    <w:rsid w:val="00E05559"/>
    <w:rsid w:val="00E055D7"/>
    <w:rsid w:val="00E0572A"/>
    <w:rsid w:val="00E0583D"/>
    <w:rsid w:val="00E05888"/>
    <w:rsid w:val="00E0589D"/>
    <w:rsid w:val="00E058AE"/>
    <w:rsid w:val="00E059BC"/>
    <w:rsid w:val="00E05A1F"/>
    <w:rsid w:val="00E05A3D"/>
    <w:rsid w:val="00E05B40"/>
    <w:rsid w:val="00E05B53"/>
    <w:rsid w:val="00E05BC3"/>
    <w:rsid w:val="00E05BD3"/>
    <w:rsid w:val="00E05C24"/>
    <w:rsid w:val="00E05D2A"/>
    <w:rsid w:val="00E05E00"/>
    <w:rsid w:val="00E05E2E"/>
    <w:rsid w:val="00E05E8F"/>
    <w:rsid w:val="00E05F09"/>
    <w:rsid w:val="00E061B6"/>
    <w:rsid w:val="00E064B3"/>
    <w:rsid w:val="00E066C0"/>
    <w:rsid w:val="00E068D4"/>
    <w:rsid w:val="00E06A60"/>
    <w:rsid w:val="00E06AA4"/>
    <w:rsid w:val="00E06CFB"/>
    <w:rsid w:val="00E06D6F"/>
    <w:rsid w:val="00E06E51"/>
    <w:rsid w:val="00E06E55"/>
    <w:rsid w:val="00E06ECA"/>
    <w:rsid w:val="00E0712E"/>
    <w:rsid w:val="00E07202"/>
    <w:rsid w:val="00E07236"/>
    <w:rsid w:val="00E07347"/>
    <w:rsid w:val="00E073B9"/>
    <w:rsid w:val="00E0750E"/>
    <w:rsid w:val="00E075A6"/>
    <w:rsid w:val="00E075E5"/>
    <w:rsid w:val="00E076BA"/>
    <w:rsid w:val="00E07729"/>
    <w:rsid w:val="00E0777F"/>
    <w:rsid w:val="00E077C1"/>
    <w:rsid w:val="00E077CF"/>
    <w:rsid w:val="00E077E7"/>
    <w:rsid w:val="00E07873"/>
    <w:rsid w:val="00E078AD"/>
    <w:rsid w:val="00E079F1"/>
    <w:rsid w:val="00E07B3C"/>
    <w:rsid w:val="00E07CB4"/>
    <w:rsid w:val="00E07DE9"/>
    <w:rsid w:val="00E07DF0"/>
    <w:rsid w:val="00E07E77"/>
    <w:rsid w:val="00E10216"/>
    <w:rsid w:val="00E10293"/>
    <w:rsid w:val="00E10335"/>
    <w:rsid w:val="00E10363"/>
    <w:rsid w:val="00E10375"/>
    <w:rsid w:val="00E10387"/>
    <w:rsid w:val="00E1040B"/>
    <w:rsid w:val="00E1045B"/>
    <w:rsid w:val="00E1048C"/>
    <w:rsid w:val="00E104CE"/>
    <w:rsid w:val="00E105C4"/>
    <w:rsid w:val="00E106D5"/>
    <w:rsid w:val="00E1071A"/>
    <w:rsid w:val="00E10738"/>
    <w:rsid w:val="00E10789"/>
    <w:rsid w:val="00E10880"/>
    <w:rsid w:val="00E10884"/>
    <w:rsid w:val="00E1089C"/>
    <w:rsid w:val="00E10982"/>
    <w:rsid w:val="00E10990"/>
    <w:rsid w:val="00E109DD"/>
    <w:rsid w:val="00E10A09"/>
    <w:rsid w:val="00E10CEE"/>
    <w:rsid w:val="00E11098"/>
    <w:rsid w:val="00E1115F"/>
    <w:rsid w:val="00E1119A"/>
    <w:rsid w:val="00E11219"/>
    <w:rsid w:val="00E1123A"/>
    <w:rsid w:val="00E1133A"/>
    <w:rsid w:val="00E11347"/>
    <w:rsid w:val="00E1155E"/>
    <w:rsid w:val="00E1164F"/>
    <w:rsid w:val="00E11793"/>
    <w:rsid w:val="00E1186B"/>
    <w:rsid w:val="00E11902"/>
    <w:rsid w:val="00E11956"/>
    <w:rsid w:val="00E119CE"/>
    <w:rsid w:val="00E11A48"/>
    <w:rsid w:val="00E11B63"/>
    <w:rsid w:val="00E11CA2"/>
    <w:rsid w:val="00E11D0B"/>
    <w:rsid w:val="00E11D87"/>
    <w:rsid w:val="00E11E6A"/>
    <w:rsid w:val="00E11E81"/>
    <w:rsid w:val="00E12193"/>
    <w:rsid w:val="00E1228E"/>
    <w:rsid w:val="00E123B5"/>
    <w:rsid w:val="00E1246B"/>
    <w:rsid w:val="00E125F4"/>
    <w:rsid w:val="00E126AE"/>
    <w:rsid w:val="00E126BA"/>
    <w:rsid w:val="00E1289D"/>
    <w:rsid w:val="00E12926"/>
    <w:rsid w:val="00E129E6"/>
    <w:rsid w:val="00E12A4D"/>
    <w:rsid w:val="00E12A8E"/>
    <w:rsid w:val="00E12BCB"/>
    <w:rsid w:val="00E12CB2"/>
    <w:rsid w:val="00E12D61"/>
    <w:rsid w:val="00E12E0F"/>
    <w:rsid w:val="00E12E58"/>
    <w:rsid w:val="00E12EC4"/>
    <w:rsid w:val="00E12EDB"/>
    <w:rsid w:val="00E12F2B"/>
    <w:rsid w:val="00E12F9A"/>
    <w:rsid w:val="00E12FA9"/>
    <w:rsid w:val="00E130A2"/>
    <w:rsid w:val="00E130DD"/>
    <w:rsid w:val="00E1311E"/>
    <w:rsid w:val="00E1319B"/>
    <w:rsid w:val="00E1349E"/>
    <w:rsid w:val="00E134BE"/>
    <w:rsid w:val="00E13859"/>
    <w:rsid w:val="00E13862"/>
    <w:rsid w:val="00E1391D"/>
    <w:rsid w:val="00E1397F"/>
    <w:rsid w:val="00E13AE0"/>
    <w:rsid w:val="00E13B36"/>
    <w:rsid w:val="00E13CA0"/>
    <w:rsid w:val="00E13E89"/>
    <w:rsid w:val="00E13F43"/>
    <w:rsid w:val="00E13FBC"/>
    <w:rsid w:val="00E1409C"/>
    <w:rsid w:val="00E142EC"/>
    <w:rsid w:val="00E143D7"/>
    <w:rsid w:val="00E14550"/>
    <w:rsid w:val="00E145F5"/>
    <w:rsid w:val="00E14601"/>
    <w:rsid w:val="00E146D7"/>
    <w:rsid w:val="00E147AE"/>
    <w:rsid w:val="00E147FE"/>
    <w:rsid w:val="00E14947"/>
    <w:rsid w:val="00E149BA"/>
    <w:rsid w:val="00E14A35"/>
    <w:rsid w:val="00E14CB8"/>
    <w:rsid w:val="00E14CFE"/>
    <w:rsid w:val="00E14D2F"/>
    <w:rsid w:val="00E14DFF"/>
    <w:rsid w:val="00E14E6F"/>
    <w:rsid w:val="00E14F0E"/>
    <w:rsid w:val="00E151D8"/>
    <w:rsid w:val="00E151EA"/>
    <w:rsid w:val="00E15249"/>
    <w:rsid w:val="00E153CF"/>
    <w:rsid w:val="00E15537"/>
    <w:rsid w:val="00E1559B"/>
    <w:rsid w:val="00E155E9"/>
    <w:rsid w:val="00E1563A"/>
    <w:rsid w:val="00E15723"/>
    <w:rsid w:val="00E15736"/>
    <w:rsid w:val="00E15894"/>
    <w:rsid w:val="00E15AA6"/>
    <w:rsid w:val="00E15ABB"/>
    <w:rsid w:val="00E15B87"/>
    <w:rsid w:val="00E15BC5"/>
    <w:rsid w:val="00E15CDB"/>
    <w:rsid w:val="00E15CFC"/>
    <w:rsid w:val="00E15E22"/>
    <w:rsid w:val="00E15E91"/>
    <w:rsid w:val="00E15EEF"/>
    <w:rsid w:val="00E15FB9"/>
    <w:rsid w:val="00E15FEB"/>
    <w:rsid w:val="00E1601D"/>
    <w:rsid w:val="00E1609A"/>
    <w:rsid w:val="00E160A6"/>
    <w:rsid w:val="00E1625A"/>
    <w:rsid w:val="00E1647A"/>
    <w:rsid w:val="00E165A4"/>
    <w:rsid w:val="00E16851"/>
    <w:rsid w:val="00E1688F"/>
    <w:rsid w:val="00E168ED"/>
    <w:rsid w:val="00E16A48"/>
    <w:rsid w:val="00E16C73"/>
    <w:rsid w:val="00E16CC2"/>
    <w:rsid w:val="00E17142"/>
    <w:rsid w:val="00E17182"/>
    <w:rsid w:val="00E171E4"/>
    <w:rsid w:val="00E1723E"/>
    <w:rsid w:val="00E175C8"/>
    <w:rsid w:val="00E1763D"/>
    <w:rsid w:val="00E17687"/>
    <w:rsid w:val="00E17812"/>
    <w:rsid w:val="00E17835"/>
    <w:rsid w:val="00E178D1"/>
    <w:rsid w:val="00E17A2C"/>
    <w:rsid w:val="00E17A7B"/>
    <w:rsid w:val="00E17C6D"/>
    <w:rsid w:val="00E17E92"/>
    <w:rsid w:val="00E17EE0"/>
    <w:rsid w:val="00E17F51"/>
    <w:rsid w:val="00E17FA3"/>
    <w:rsid w:val="00E17FC5"/>
    <w:rsid w:val="00E20030"/>
    <w:rsid w:val="00E2014F"/>
    <w:rsid w:val="00E20217"/>
    <w:rsid w:val="00E20227"/>
    <w:rsid w:val="00E2023A"/>
    <w:rsid w:val="00E202B6"/>
    <w:rsid w:val="00E20460"/>
    <w:rsid w:val="00E2048B"/>
    <w:rsid w:val="00E204D3"/>
    <w:rsid w:val="00E205E1"/>
    <w:rsid w:val="00E206C0"/>
    <w:rsid w:val="00E2075B"/>
    <w:rsid w:val="00E207D4"/>
    <w:rsid w:val="00E2088D"/>
    <w:rsid w:val="00E20A1D"/>
    <w:rsid w:val="00E20A7A"/>
    <w:rsid w:val="00E20B46"/>
    <w:rsid w:val="00E20D56"/>
    <w:rsid w:val="00E20D8C"/>
    <w:rsid w:val="00E210E1"/>
    <w:rsid w:val="00E211F4"/>
    <w:rsid w:val="00E21336"/>
    <w:rsid w:val="00E21451"/>
    <w:rsid w:val="00E215FB"/>
    <w:rsid w:val="00E217E4"/>
    <w:rsid w:val="00E21861"/>
    <w:rsid w:val="00E218E5"/>
    <w:rsid w:val="00E219CC"/>
    <w:rsid w:val="00E21A07"/>
    <w:rsid w:val="00E21C22"/>
    <w:rsid w:val="00E21C2E"/>
    <w:rsid w:val="00E21CC4"/>
    <w:rsid w:val="00E21E24"/>
    <w:rsid w:val="00E21F27"/>
    <w:rsid w:val="00E22037"/>
    <w:rsid w:val="00E2206F"/>
    <w:rsid w:val="00E2216C"/>
    <w:rsid w:val="00E221A3"/>
    <w:rsid w:val="00E22229"/>
    <w:rsid w:val="00E22710"/>
    <w:rsid w:val="00E2286D"/>
    <w:rsid w:val="00E22874"/>
    <w:rsid w:val="00E2287D"/>
    <w:rsid w:val="00E229F1"/>
    <w:rsid w:val="00E22C08"/>
    <w:rsid w:val="00E22CDF"/>
    <w:rsid w:val="00E22E23"/>
    <w:rsid w:val="00E22E7E"/>
    <w:rsid w:val="00E22EBE"/>
    <w:rsid w:val="00E22FDB"/>
    <w:rsid w:val="00E2305D"/>
    <w:rsid w:val="00E231A5"/>
    <w:rsid w:val="00E231EB"/>
    <w:rsid w:val="00E23291"/>
    <w:rsid w:val="00E233F1"/>
    <w:rsid w:val="00E23408"/>
    <w:rsid w:val="00E235E0"/>
    <w:rsid w:val="00E23792"/>
    <w:rsid w:val="00E237BB"/>
    <w:rsid w:val="00E237FD"/>
    <w:rsid w:val="00E23985"/>
    <w:rsid w:val="00E239E6"/>
    <w:rsid w:val="00E23AC7"/>
    <w:rsid w:val="00E23BD3"/>
    <w:rsid w:val="00E23BFD"/>
    <w:rsid w:val="00E23E10"/>
    <w:rsid w:val="00E23F04"/>
    <w:rsid w:val="00E23FC1"/>
    <w:rsid w:val="00E241C7"/>
    <w:rsid w:val="00E2421E"/>
    <w:rsid w:val="00E24307"/>
    <w:rsid w:val="00E24322"/>
    <w:rsid w:val="00E24369"/>
    <w:rsid w:val="00E243C3"/>
    <w:rsid w:val="00E24480"/>
    <w:rsid w:val="00E24493"/>
    <w:rsid w:val="00E248AB"/>
    <w:rsid w:val="00E248D4"/>
    <w:rsid w:val="00E2496B"/>
    <w:rsid w:val="00E2496C"/>
    <w:rsid w:val="00E24B1E"/>
    <w:rsid w:val="00E24B70"/>
    <w:rsid w:val="00E24CA5"/>
    <w:rsid w:val="00E24CDF"/>
    <w:rsid w:val="00E24E0A"/>
    <w:rsid w:val="00E24EFA"/>
    <w:rsid w:val="00E24F11"/>
    <w:rsid w:val="00E24F9B"/>
    <w:rsid w:val="00E25160"/>
    <w:rsid w:val="00E25175"/>
    <w:rsid w:val="00E2537B"/>
    <w:rsid w:val="00E254B0"/>
    <w:rsid w:val="00E255E1"/>
    <w:rsid w:val="00E255FF"/>
    <w:rsid w:val="00E2563A"/>
    <w:rsid w:val="00E25722"/>
    <w:rsid w:val="00E257B8"/>
    <w:rsid w:val="00E25A98"/>
    <w:rsid w:val="00E25BBD"/>
    <w:rsid w:val="00E25BF4"/>
    <w:rsid w:val="00E25C8A"/>
    <w:rsid w:val="00E25CF1"/>
    <w:rsid w:val="00E2601B"/>
    <w:rsid w:val="00E26230"/>
    <w:rsid w:val="00E26441"/>
    <w:rsid w:val="00E26470"/>
    <w:rsid w:val="00E26509"/>
    <w:rsid w:val="00E26588"/>
    <w:rsid w:val="00E2662B"/>
    <w:rsid w:val="00E269D9"/>
    <w:rsid w:val="00E269E5"/>
    <w:rsid w:val="00E26A06"/>
    <w:rsid w:val="00E26BCD"/>
    <w:rsid w:val="00E26BD7"/>
    <w:rsid w:val="00E26D1C"/>
    <w:rsid w:val="00E26FE5"/>
    <w:rsid w:val="00E26FE6"/>
    <w:rsid w:val="00E27027"/>
    <w:rsid w:val="00E2705D"/>
    <w:rsid w:val="00E2706F"/>
    <w:rsid w:val="00E270ED"/>
    <w:rsid w:val="00E27100"/>
    <w:rsid w:val="00E27154"/>
    <w:rsid w:val="00E271E3"/>
    <w:rsid w:val="00E27260"/>
    <w:rsid w:val="00E27272"/>
    <w:rsid w:val="00E273A8"/>
    <w:rsid w:val="00E27490"/>
    <w:rsid w:val="00E274C7"/>
    <w:rsid w:val="00E275E1"/>
    <w:rsid w:val="00E276B6"/>
    <w:rsid w:val="00E27745"/>
    <w:rsid w:val="00E2790A"/>
    <w:rsid w:val="00E27974"/>
    <w:rsid w:val="00E2799B"/>
    <w:rsid w:val="00E27B50"/>
    <w:rsid w:val="00E27BEF"/>
    <w:rsid w:val="00E27F3C"/>
    <w:rsid w:val="00E27FEF"/>
    <w:rsid w:val="00E3008C"/>
    <w:rsid w:val="00E30178"/>
    <w:rsid w:val="00E30282"/>
    <w:rsid w:val="00E302C4"/>
    <w:rsid w:val="00E30301"/>
    <w:rsid w:val="00E30481"/>
    <w:rsid w:val="00E3055C"/>
    <w:rsid w:val="00E3056C"/>
    <w:rsid w:val="00E30856"/>
    <w:rsid w:val="00E308DA"/>
    <w:rsid w:val="00E30B09"/>
    <w:rsid w:val="00E30BEA"/>
    <w:rsid w:val="00E30C1A"/>
    <w:rsid w:val="00E30CF3"/>
    <w:rsid w:val="00E30FAA"/>
    <w:rsid w:val="00E3109A"/>
    <w:rsid w:val="00E31169"/>
    <w:rsid w:val="00E31204"/>
    <w:rsid w:val="00E31321"/>
    <w:rsid w:val="00E3145B"/>
    <w:rsid w:val="00E31550"/>
    <w:rsid w:val="00E31605"/>
    <w:rsid w:val="00E3176C"/>
    <w:rsid w:val="00E3186C"/>
    <w:rsid w:val="00E319DD"/>
    <w:rsid w:val="00E31AEF"/>
    <w:rsid w:val="00E31BCE"/>
    <w:rsid w:val="00E31C0E"/>
    <w:rsid w:val="00E31C4A"/>
    <w:rsid w:val="00E31CEA"/>
    <w:rsid w:val="00E31D8F"/>
    <w:rsid w:val="00E31DD6"/>
    <w:rsid w:val="00E32123"/>
    <w:rsid w:val="00E32137"/>
    <w:rsid w:val="00E32249"/>
    <w:rsid w:val="00E3240C"/>
    <w:rsid w:val="00E324AA"/>
    <w:rsid w:val="00E326A3"/>
    <w:rsid w:val="00E32743"/>
    <w:rsid w:val="00E329F8"/>
    <w:rsid w:val="00E32A9D"/>
    <w:rsid w:val="00E32BAD"/>
    <w:rsid w:val="00E32EAF"/>
    <w:rsid w:val="00E32FA1"/>
    <w:rsid w:val="00E3301C"/>
    <w:rsid w:val="00E33071"/>
    <w:rsid w:val="00E33166"/>
    <w:rsid w:val="00E3326E"/>
    <w:rsid w:val="00E33321"/>
    <w:rsid w:val="00E333B0"/>
    <w:rsid w:val="00E33474"/>
    <w:rsid w:val="00E334B6"/>
    <w:rsid w:val="00E335BC"/>
    <w:rsid w:val="00E335F5"/>
    <w:rsid w:val="00E3371A"/>
    <w:rsid w:val="00E337CC"/>
    <w:rsid w:val="00E3381C"/>
    <w:rsid w:val="00E338C1"/>
    <w:rsid w:val="00E33A28"/>
    <w:rsid w:val="00E33A6A"/>
    <w:rsid w:val="00E33B62"/>
    <w:rsid w:val="00E33BFD"/>
    <w:rsid w:val="00E33C73"/>
    <w:rsid w:val="00E33D8E"/>
    <w:rsid w:val="00E33DA2"/>
    <w:rsid w:val="00E33DF9"/>
    <w:rsid w:val="00E33E9B"/>
    <w:rsid w:val="00E33EDE"/>
    <w:rsid w:val="00E33F0A"/>
    <w:rsid w:val="00E33F36"/>
    <w:rsid w:val="00E33F75"/>
    <w:rsid w:val="00E33FF4"/>
    <w:rsid w:val="00E34235"/>
    <w:rsid w:val="00E3455F"/>
    <w:rsid w:val="00E345E6"/>
    <w:rsid w:val="00E346B9"/>
    <w:rsid w:val="00E346FE"/>
    <w:rsid w:val="00E34707"/>
    <w:rsid w:val="00E3482B"/>
    <w:rsid w:val="00E34924"/>
    <w:rsid w:val="00E34A18"/>
    <w:rsid w:val="00E34B04"/>
    <w:rsid w:val="00E34B6E"/>
    <w:rsid w:val="00E34CA2"/>
    <w:rsid w:val="00E34CD1"/>
    <w:rsid w:val="00E34D15"/>
    <w:rsid w:val="00E34FAA"/>
    <w:rsid w:val="00E34FFC"/>
    <w:rsid w:val="00E35055"/>
    <w:rsid w:val="00E352C8"/>
    <w:rsid w:val="00E35328"/>
    <w:rsid w:val="00E35425"/>
    <w:rsid w:val="00E355CD"/>
    <w:rsid w:val="00E35724"/>
    <w:rsid w:val="00E357B4"/>
    <w:rsid w:val="00E35808"/>
    <w:rsid w:val="00E35945"/>
    <w:rsid w:val="00E35999"/>
    <w:rsid w:val="00E359FD"/>
    <w:rsid w:val="00E35A99"/>
    <w:rsid w:val="00E35B69"/>
    <w:rsid w:val="00E35E5D"/>
    <w:rsid w:val="00E360F7"/>
    <w:rsid w:val="00E36112"/>
    <w:rsid w:val="00E36158"/>
    <w:rsid w:val="00E364B2"/>
    <w:rsid w:val="00E364F7"/>
    <w:rsid w:val="00E3656B"/>
    <w:rsid w:val="00E36818"/>
    <w:rsid w:val="00E36945"/>
    <w:rsid w:val="00E369A8"/>
    <w:rsid w:val="00E369F6"/>
    <w:rsid w:val="00E36A6B"/>
    <w:rsid w:val="00E36BA2"/>
    <w:rsid w:val="00E36BD5"/>
    <w:rsid w:val="00E36BF6"/>
    <w:rsid w:val="00E36D63"/>
    <w:rsid w:val="00E36DE4"/>
    <w:rsid w:val="00E36E76"/>
    <w:rsid w:val="00E36F15"/>
    <w:rsid w:val="00E36F7E"/>
    <w:rsid w:val="00E3709E"/>
    <w:rsid w:val="00E37178"/>
    <w:rsid w:val="00E37186"/>
    <w:rsid w:val="00E371D0"/>
    <w:rsid w:val="00E37416"/>
    <w:rsid w:val="00E37514"/>
    <w:rsid w:val="00E37630"/>
    <w:rsid w:val="00E3769E"/>
    <w:rsid w:val="00E376FA"/>
    <w:rsid w:val="00E37819"/>
    <w:rsid w:val="00E37841"/>
    <w:rsid w:val="00E37B54"/>
    <w:rsid w:val="00E37C40"/>
    <w:rsid w:val="00E37F1A"/>
    <w:rsid w:val="00E37FAD"/>
    <w:rsid w:val="00E400A6"/>
    <w:rsid w:val="00E400EC"/>
    <w:rsid w:val="00E400F4"/>
    <w:rsid w:val="00E4011F"/>
    <w:rsid w:val="00E40232"/>
    <w:rsid w:val="00E40359"/>
    <w:rsid w:val="00E40395"/>
    <w:rsid w:val="00E4050D"/>
    <w:rsid w:val="00E4071B"/>
    <w:rsid w:val="00E40879"/>
    <w:rsid w:val="00E40A83"/>
    <w:rsid w:val="00E40D89"/>
    <w:rsid w:val="00E40E33"/>
    <w:rsid w:val="00E40F1F"/>
    <w:rsid w:val="00E40F53"/>
    <w:rsid w:val="00E40FB3"/>
    <w:rsid w:val="00E41015"/>
    <w:rsid w:val="00E4110D"/>
    <w:rsid w:val="00E41200"/>
    <w:rsid w:val="00E41349"/>
    <w:rsid w:val="00E41360"/>
    <w:rsid w:val="00E4147E"/>
    <w:rsid w:val="00E414EF"/>
    <w:rsid w:val="00E4151C"/>
    <w:rsid w:val="00E415C3"/>
    <w:rsid w:val="00E415F3"/>
    <w:rsid w:val="00E419BC"/>
    <w:rsid w:val="00E41A73"/>
    <w:rsid w:val="00E41AF2"/>
    <w:rsid w:val="00E41BA3"/>
    <w:rsid w:val="00E41C3B"/>
    <w:rsid w:val="00E41CA9"/>
    <w:rsid w:val="00E41CD5"/>
    <w:rsid w:val="00E41D26"/>
    <w:rsid w:val="00E41DA6"/>
    <w:rsid w:val="00E41DB3"/>
    <w:rsid w:val="00E41DF8"/>
    <w:rsid w:val="00E41E1D"/>
    <w:rsid w:val="00E41E36"/>
    <w:rsid w:val="00E41EA7"/>
    <w:rsid w:val="00E4212B"/>
    <w:rsid w:val="00E42238"/>
    <w:rsid w:val="00E422B8"/>
    <w:rsid w:val="00E42309"/>
    <w:rsid w:val="00E42323"/>
    <w:rsid w:val="00E427A2"/>
    <w:rsid w:val="00E427E0"/>
    <w:rsid w:val="00E42848"/>
    <w:rsid w:val="00E42851"/>
    <w:rsid w:val="00E42902"/>
    <w:rsid w:val="00E42960"/>
    <w:rsid w:val="00E4296C"/>
    <w:rsid w:val="00E42BBD"/>
    <w:rsid w:val="00E42DE5"/>
    <w:rsid w:val="00E42E92"/>
    <w:rsid w:val="00E43073"/>
    <w:rsid w:val="00E43227"/>
    <w:rsid w:val="00E43520"/>
    <w:rsid w:val="00E43532"/>
    <w:rsid w:val="00E435C0"/>
    <w:rsid w:val="00E437EA"/>
    <w:rsid w:val="00E43853"/>
    <w:rsid w:val="00E4385F"/>
    <w:rsid w:val="00E43860"/>
    <w:rsid w:val="00E43A6C"/>
    <w:rsid w:val="00E43B65"/>
    <w:rsid w:val="00E43CBA"/>
    <w:rsid w:val="00E43D4F"/>
    <w:rsid w:val="00E43D8E"/>
    <w:rsid w:val="00E43DB6"/>
    <w:rsid w:val="00E43E28"/>
    <w:rsid w:val="00E44100"/>
    <w:rsid w:val="00E44175"/>
    <w:rsid w:val="00E44182"/>
    <w:rsid w:val="00E4419E"/>
    <w:rsid w:val="00E441AD"/>
    <w:rsid w:val="00E44353"/>
    <w:rsid w:val="00E443D1"/>
    <w:rsid w:val="00E4453D"/>
    <w:rsid w:val="00E445B4"/>
    <w:rsid w:val="00E445D5"/>
    <w:rsid w:val="00E4463A"/>
    <w:rsid w:val="00E446AB"/>
    <w:rsid w:val="00E446B9"/>
    <w:rsid w:val="00E446DE"/>
    <w:rsid w:val="00E4482F"/>
    <w:rsid w:val="00E44885"/>
    <w:rsid w:val="00E448AA"/>
    <w:rsid w:val="00E448C7"/>
    <w:rsid w:val="00E44AD2"/>
    <w:rsid w:val="00E44ADE"/>
    <w:rsid w:val="00E44CA0"/>
    <w:rsid w:val="00E44CB5"/>
    <w:rsid w:val="00E44D0B"/>
    <w:rsid w:val="00E44DCC"/>
    <w:rsid w:val="00E4502A"/>
    <w:rsid w:val="00E450CC"/>
    <w:rsid w:val="00E450DF"/>
    <w:rsid w:val="00E45139"/>
    <w:rsid w:val="00E45265"/>
    <w:rsid w:val="00E452CB"/>
    <w:rsid w:val="00E453A5"/>
    <w:rsid w:val="00E45466"/>
    <w:rsid w:val="00E454EC"/>
    <w:rsid w:val="00E4591F"/>
    <w:rsid w:val="00E45962"/>
    <w:rsid w:val="00E45A4B"/>
    <w:rsid w:val="00E45BA3"/>
    <w:rsid w:val="00E45C3B"/>
    <w:rsid w:val="00E45C5B"/>
    <w:rsid w:val="00E45C7B"/>
    <w:rsid w:val="00E4606D"/>
    <w:rsid w:val="00E46243"/>
    <w:rsid w:val="00E4629D"/>
    <w:rsid w:val="00E462BF"/>
    <w:rsid w:val="00E46313"/>
    <w:rsid w:val="00E463D7"/>
    <w:rsid w:val="00E46481"/>
    <w:rsid w:val="00E46516"/>
    <w:rsid w:val="00E46601"/>
    <w:rsid w:val="00E46747"/>
    <w:rsid w:val="00E4687B"/>
    <w:rsid w:val="00E4693D"/>
    <w:rsid w:val="00E469BA"/>
    <w:rsid w:val="00E46C13"/>
    <w:rsid w:val="00E46C55"/>
    <w:rsid w:val="00E46DF6"/>
    <w:rsid w:val="00E46E23"/>
    <w:rsid w:val="00E46E73"/>
    <w:rsid w:val="00E46F32"/>
    <w:rsid w:val="00E46F46"/>
    <w:rsid w:val="00E46F95"/>
    <w:rsid w:val="00E46FCB"/>
    <w:rsid w:val="00E47085"/>
    <w:rsid w:val="00E47200"/>
    <w:rsid w:val="00E47262"/>
    <w:rsid w:val="00E47673"/>
    <w:rsid w:val="00E476AB"/>
    <w:rsid w:val="00E476FD"/>
    <w:rsid w:val="00E47758"/>
    <w:rsid w:val="00E47784"/>
    <w:rsid w:val="00E47792"/>
    <w:rsid w:val="00E478D6"/>
    <w:rsid w:val="00E47900"/>
    <w:rsid w:val="00E47967"/>
    <w:rsid w:val="00E47B58"/>
    <w:rsid w:val="00E47E57"/>
    <w:rsid w:val="00E47E76"/>
    <w:rsid w:val="00E5002D"/>
    <w:rsid w:val="00E50151"/>
    <w:rsid w:val="00E50161"/>
    <w:rsid w:val="00E501E1"/>
    <w:rsid w:val="00E50234"/>
    <w:rsid w:val="00E5029A"/>
    <w:rsid w:val="00E5037A"/>
    <w:rsid w:val="00E50465"/>
    <w:rsid w:val="00E50545"/>
    <w:rsid w:val="00E505BE"/>
    <w:rsid w:val="00E507AE"/>
    <w:rsid w:val="00E50C8B"/>
    <w:rsid w:val="00E50CEA"/>
    <w:rsid w:val="00E50D51"/>
    <w:rsid w:val="00E50DD2"/>
    <w:rsid w:val="00E50DF6"/>
    <w:rsid w:val="00E50F1B"/>
    <w:rsid w:val="00E50F78"/>
    <w:rsid w:val="00E50FCD"/>
    <w:rsid w:val="00E51070"/>
    <w:rsid w:val="00E51163"/>
    <w:rsid w:val="00E51258"/>
    <w:rsid w:val="00E51372"/>
    <w:rsid w:val="00E515E0"/>
    <w:rsid w:val="00E516C7"/>
    <w:rsid w:val="00E5170D"/>
    <w:rsid w:val="00E51812"/>
    <w:rsid w:val="00E51843"/>
    <w:rsid w:val="00E518B0"/>
    <w:rsid w:val="00E51941"/>
    <w:rsid w:val="00E51998"/>
    <w:rsid w:val="00E519F7"/>
    <w:rsid w:val="00E51C32"/>
    <w:rsid w:val="00E51C6F"/>
    <w:rsid w:val="00E51C8F"/>
    <w:rsid w:val="00E51CEE"/>
    <w:rsid w:val="00E51DA7"/>
    <w:rsid w:val="00E51EA5"/>
    <w:rsid w:val="00E51F7E"/>
    <w:rsid w:val="00E51F98"/>
    <w:rsid w:val="00E5204A"/>
    <w:rsid w:val="00E520B1"/>
    <w:rsid w:val="00E520E5"/>
    <w:rsid w:val="00E521D6"/>
    <w:rsid w:val="00E5220B"/>
    <w:rsid w:val="00E52374"/>
    <w:rsid w:val="00E5239A"/>
    <w:rsid w:val="00E524F9"/>
    <w:rsid w:val="00E527E6"/>
    <w:rsid w:val="00E528B7"/>
    <w:rsid w:val="00E5293A"/>
    <w:rsid w:val="00E52B32"/>
    <w:rsid w:val="00E52C5B"/>
    <w:rsid w:val="00E52D43"/>
    <w:rsid w:val="00E52DA3"/>
    <w:rsid w:val="00E52F02"/>
    <w:rsid w:val="00E53087"/>
    <w:rsid w:val="00E530E2"/>
    <w:rsid w:val="00E5312A"/>
    <w:rsid w:val="00E531E2"/>
    <w:rsid w:val="00E53454"/>
    <w:rsid w:val="00E534D2"/>
    <w:rsid w:val="00E53529"/>
    <w:rsid w:val="00E5358D"/>
    <w:rsid w:val="00E53643"/>
    <w:rsid w:val="00E5365A"/>
    <w:rsid w:val="00E53748"/>
    <w:rsid w:val="00E539D9"/>
    <w:rsid w:val="00E539EC"/>
    <w:rsid w:val="00E53FBC"/>
    <w:rsid w:val="00E53FF9"/>
    <w:rsid w:val="00E5408C"/>
    <w:rsid w:val="00E54303"/>
    <w:rsid w:val="00E544A9"/>
    <w:rsid w:val="00E5454A"/>
    <w:rsid w:val="00E54567"/>
    <w:rsid w:val="00E54679"/>
    <w:rsid w:val="00E546E0"/>
    <w:rsid w:val="00E547A1"/>
    <w:rsid w:val="00E54831"/>
    <w:rsid w:val="00E5497E"/>
    <w:rsid w:val="00E54AD0"/>
    <w:rsid w:val="00E54B82"/>
    <w:rsid w:val="00E54BF8"/>
    <w:rsid w:val="00E54C4F"/>
    <w:rsid w:val="00E55022"/>
    <w:rsid w:val="00E550C7"/>
    <w:rsid w:val="00E55121"/>
    <w:rsid w:val="00E5516B"/>
    <w:rsid w:val="00E5517E"/>
    <w:rsid w:val="00E55651"/>
    <w:rsid w:val="00E55696"/>
    <w:rsid w:val="00E556E1"/>
    <w:rsid w:val="00E55767"/>
    <w:rsid w:val="00E558CC"/>
    <w:rsid w:val="00E55A46"/>
    <w:rsid w:val="00E55B19"/>
    <w:rsid w:val="00E55BDB"/>
    <w:rsid w:val="00E55C11"/>
    <w:rsid w:val="00E55D55"/>
    <w:rsid w:val="00E55E74"/>
    <w:rsid w:val="00E55E75"/>
    <w:rsid w:val="00E5608A"/>
    <w:rsid w:val="00E56143"/>
    <w:rsid w:val="00E5616B"/>
    <w:rsid w:val="00E5619C"/>
    <w:rsid w:val="00E561DA"/>
    <w:rsid w:val="00E56206"/>
    <w:rsid w:val="00E563D4"/>
    <w:rsid w:val="00E564E3"/>
    <w:rsid w:val="00E56675"/>
    <w:rsid w:val="00E566DE"/>
    <w:rsid w:val="00E566F8"/>
    <w:rsid w:val="00E56772"/>
    <w:rsid w:val="00E567C4"/>
    <w:rsid w:val="00E567D0"/>
    <w:rsid w:val="00E568FA"/>
    <w:rsid w:val="00E569E9"/>
    <w:rsid w:val="00E56C2B"/>
    <w:rsid w:val="00E56CFF"/>
    <w:rsid w:val="00E56D5F"/>
    <w:rsid w:val="00E56DF3"/>
    <w:rsid w:val="00E56F08"/>
    <w:rsid w:val="00E56F8F"/>
    <w:rsid w:val="00E57021"/>
    <w:rsid w:val="00E570B6"/>
    <w:rsid w:val="00E57146"/>
    <w:rsid w:val="00E57206"/>
    <w:rsid w:val="00E572F4"/>
    <w:rsid w:val="00E573A8"/>
    <w:rsid w:val="00E573C9"/>
    <w:rsid w:val="00E57403"/>
    <w:rsid w:val="00E57424"/>
    <w:rsid w:val="00E5746E"/>
    <w:rsid w:val="00E574B4"/>
    <w:rsid w:val="00E574D7"/>
    <w:rsid w:val="00E5750C"/>
    <w:rsid w:val="00E57536"/>
    <w:rsid w:val="00E57547"/>
    <w:rsid w:val="00E575B2"/>
    <w:rsid w:val="00E575C8"/>
    <w:rsid w:val="00E57652"/>
    <w:rsid w:val="00E576CC"/>
    <w:rsid w:val="00E576CE"/>
    <w:rsid w:val="00E577B6"/>
    <w:rsid w:val="00E57920"/>
    <w:rsid w:val="00E57956"/>
    <w:rsid w:val="00E5798D"/>
    <w:rsid w:val="00E57A0D"/>
    <w:rsid w:val="00E57A23"/>
    <w:rsid w:val="00E57B24"/>
    <w:rsid w:val="00E57B6A"/>
    <w:rsid w:val="00E57BDB"/>
    <w:rsid w:val="00E57C4A"/>
    <w:rsid w:val="00E57E57"/>
    <w:rsid w:val="00E57EA9"/>
    <w:rsid w:val="00E57F8D"/>
    <w:rsid w:val="00E6001E"/>
    <w:rsid w:val="00E60025"/>
    <w:rsid w:val="00E60068"/>
    <w:rsid w:val="00E6015E"/>
    <w:rsid w:val="00E6017A"/>
    <w:rsid w:val="00E603E3"/>
    <w:rsid w:val="00E60466"/>
    <w:rsid w:val="00E604B0"/>
    <w:rsid w:val="00E60608"/>
    <w:rsid w:val="00E606DF"/>
    <w:rsid w:val="00E60757"/>
    <w:rsid w:val="00E607EC"/>
    <w:rsid w:val="00E6097D"/>
    <w:rsid w:val="00E60A46"/>
    <w:rsid w:val="00E60A80"/>
    <w:rsid w:val="00E60AC6"/>
    <w:rsid w:val="00E60AD7"/>
    <w:rsid w:val="00E60AEA"/>
    <w:rsid w:val="00E60CAF"/>
    <w:rsid w:val="00E60D36"/>
    <w:rsid w:val="00E60E65"/>
    <w:rsid w:val="00E61213"/>
    <w:rsid w:val="00E6130B"/>
    <w:rsid w:val="00E6131B"/>
    <w:rsid w:val="00E61322"/>
    <w:rsid w:val="00E61388"/>
    <w:rsid w:val="00E61408"/>
    <w:rsid w:val="00E6144A"/>
    <w:rsid w:val="00E61471"/>
    <w:rsid w:val="00E614A3"/>
    <w:rsid w:val="00E6163C"/>
    <w:rsid w:val="00E617B2"/>
    <w:rsid w:val="00E6195A"/>
    <w:rsid w:val="00E61996"/>
    <w:rsid w:val="00E61C58"/>
    <w:rsid w:val="00E61CF1"/>
    <w:rsid w:val="00E61D49"/>
    <w:rsid w:val="00E61DA3"/>
    <w:rsid w:val="00E61EF0"/>
    <w:rsid w:val="00E62101"/>
    <w:rsid w:val="00E622A6"/>
    <w:rsid w:val="00E6237F"/>
    <w:rsid w:val="00E62507"/>
    <w:rsid w:val="00E62696"/>
    <w:rsid w:val="00E62705"/>
    <w:rsid w:val="00E62783"/>
    <w:rsid w:val="00E6279C"/>
    <w:rsid w:val="00E62901"/>
    <w:rsid w:val="00E62A18"/>
    <w:rsid w:val="00E62C2F"/>
    <w:rsid w:val="00E62C4E"/>
    <w:rsid w:val="00E62CC9"/>
    <w:rsid w:val="00E62D0D"/>
    <w:rsid w:val="00E62D13"/>
    <w:rsid w:val="00E62D66"/>
    <w:rsid w:val="00E62E95"/>
    <w:rsid w:val="00E62E9A"/>
    <w:rsid w:val="00E62EA0"/>
    <w:rsid w:val="00E63033"/>
    <w:rsid w:val="00E63073"/>
    <w:rsid w:val="00E630F3"/>
    <w:rsid w:val="00E6328B"/>
    <w:rsid w:val="00E632D7"/>
    <w:rsid w:val="00E63302"/>
    <w:rsid w:val="00E6333D"/>
    <w:rsid w:val="00E63368"/>
    <w:rsid w:val="00E633D8"/>
    <w:rsid w:val="00E63633"/>
    <w:rsid w:val="00E636AE"/>
    <w:rsid w:val="00E637D4"/>
    <w:rsid w:val="00E63947"/>
    <w:rsid w:val="00E639BD"/>
    <w:rsid w:val="00E63AB5"/>
    <w:rsid w:val="00E63AE0"/>
    <w:rsid w:val="00E63C40"/>
    <w:rsid w:val="00E63D4D"/>
    <w:rsid w:val="00E6404F"/>
    <w:rsid w:val="00E640A7"/>
    <w:rsid w:val="00E64195"/>
    <w:rsid w:val="00E64196"/>
    <w:rsid w:val="00E6421B"/>
    <w:rsid w:val="00E642B6"/>
    <w:rsid w:val="00E64339"/>
    <w:rsid w:val="00E644AC"/>
    <w:rsid w:val="00E645EC"/>
    <w:rsid w:val="00E6460B"/>
    <w:rsid w:val="00E648C1"/>
    <w:rsid w:val="00E64AE2"/>
    <w:rsid w:val="00E64AED"/>
    <w:rsid w:val="00E64B68"/>
    <w:rsid w:val="00E64C58"/>
    <w:rsid w:val="00E64C98"/>
    <w:rsid w:val="00E64CD9"/>
    <w:rsid w:val="00E64CF6"/>
    <w:rsid w:val="00E64DCF"/>
    <w:rsid w:val="00E64F2C"/>
    <w:rsid w:val="00E64FE0"/>
    <w:rsid w:val="00E650A6"/>
    <w:rsid w:val="00E650D6"/>
    <w:rsid w:val="00E6519E"/>
    <w:rsid w:val="00E65414"/>
    <w:rsid w:val="00E655BA"/>
    <w:rsid w:val="00E65818"/>
    <w:rsid w:val="00E658D9"/>
    <w:rsid w:val="00E658FA"/>
    <w:rsid w:val="00E65969"/>
    <w:rsid w:val="00E65A04"/>
    <w:rsid w:val="00E65A5A"/>
    <w:rsid w:val="00E65A6C"/>
    <w:rsid w:val="00E65A9F"/>
    <w:rsid w:val="00E65BE9"/>
    <w:rsid w:val="00E65C89"/>
    <w:rsid w:val="00E65EB0"/>
    <w:rsid w:val="00E6606D"/>
    <w:rsid w:val="00E661E7"/>
    <w:rsid w:val="00E661FB"/>
    <w:rsid w:val="00E661FD"/>
    <w:rsid w:val="00E6629A"/>
    <w:rsid w:val="00E662A0"/>
    <w:rsid w:val="00E662D5"/>
    <w:rsid w:val="00E66413"/>
    <w:rsid w:val="00E66441"/>
    <w:rsid w:val="00E664D3"/>
    <w:rsid w:val="00E66538"/>
    <w:rsid w:val="00E6656F"/>
    <w:rsid w:val="00E66936"/>
    <w:rsid w:val="00E66B7F"/>
    <w:rsid w:val="00E66BBB"/>
    <w:rsid w:val="00E66E28"/>
    <w:rsid w:val="00E66E48"/>
    <w:rsid w:val="00E66E76"/>
    <w:rsid w:val="00E66F64"/>
    <w:rsid w:val="00E670C8"/>
    <w:rsid w:val="00E67263"/>
    <w:rsid w:val="00E672A1"/>
    <w:rsid w:val="00E67322"/>
    <w:rsid w:val="00E67396"/>
    <w:rsid w:val="00E673A5"/>
    <w:rsid w:val="00E673B8"/>
    <w:rsid w:val="00E67410"/>
    <w:rsid w:val="00E6750C"/>
    <w:rsid w:val="00E675B1"/>
    <w:rsid w:val="00E67764"/>
    <w:rsid w:val="00E67779"/>
    <w:rsid w:val="00E67849"/>
    <w:rsid w:val="00E67866"/>
    <w:rsid w:val="00E6791C"/>
    <w:rsid w:val="00E67B11"/>
    <w:rsid w:val="00E67B85"/>
    <w:rsid w:val="00E67B9E"/>
    <w:rsid w:val="00E67C05"/>
    <w:rsid w:val="00E67C58"/>
    <w:rsid w:val="00E67CE5"/>
    <w:rsid w:val="00E67D5B"/>
    <w:rsid w:val="00E67D89"/>
    <w:rsid w:val="00E67DB3"/>
    <w:rsid w:val="00E67EF1"/>
    <w:rsid w:val="00E701E1"/>
    <w:rsid w:val="00E70231"/>
    <w:rsid w:val="00E702A1"/>
    <w:rsid w:val="00E70307"/>
    <w:rsid w:val="00E70335"/>
    <w:rsid w:val="00E703E3"/>
    <w:rsid w:val="00E703F7"/>
    <w:rsid w:val="00E704E4"/>
    <w:rsid w:val="00E70622"/>
    <w:rsid w:val="00E708DA"/>
    <w:rsid w:val="00E709A0"/>
    <w:rsid w:val="00E70A3E"/>
    <w:rsid w:val="00E70B40"/>
    <w:rsid w:val="00E70B73"/>
    <w:rsid w:val="00E70D1F"/>
    <w:rsid w:val="00E70D95"/>
    <w:rsid w:val="00E70DD5"/>
    <w:rsid w:val="00E70DFF"/>
    <w:rsid w:val="00E70F03"/>
    <w:rsid w:val="00E713AC"/>
    <w:rsid w:val="00E71602"/>
    <w:rsid w:val="00E71647"/>
    <w:rsid w:val="00E71663"/>
    <w:rsid w:val="00E71835"/>
    <w:rsid w:val="00E718AC"/>
    <w:rsid w:val="00E718C8"/>
    <w:rsid w:val="00E719ED"/>
    <w:rsid w:val="00E71AF6"/>
    <w:rsid w:val="00E71B54"/>
    <w:rsid w:val="00E71B95"/>
    <w:rsid w:val="00E71DA4"/>
    <w:rsid w:val="00E71DB4"/>
    <w:rsid w:val="00E71F27"/>
    <w:rsid w:val="00E71F5B"/>
    <w:rsid w:val="00E71FD7"/>
    <w:rsid w:val="00E72027"/>
    <w:rsid w:val="00E7204C"/>
    <w:rsid w:val="00E72067"/>
    <w:rsid w:val="00E72142"/>
    <w:rsid w:val="00E72164"/>
    <w:rsid w:val="00E721D7"/>
    <w:rsid w:val="00E721F6"/>
    <w:rsid w:val="00E72279"/>
    <w:rsid w:val="00E723D3"/>
    <w:rsid w:val="00E7240C"/>
    <w:rsid w:val="00E72441"/>
    <w:rsid w:val="00E724C7"/>
    <w:rsid w:val="00E7252A"/>
    <w:rsid w:val="00E72583"/>
    <w:rsid w:val="00E7272F"/>
    <w:rsid w:val="00E72789"/>
    <w:rsid w:val="00E727BF"/>
    <w:rsid w:val="00E72831"/>
    <w:rsid w:val="00E72ACB"/>
    <w:rsid w:val="00E72BDA"/>
    <w:rsid w:val="00E72C9C"/>
    <w:rsid w:val="00E72D0A"/>
    <w:rsid w:val="00E72E24"/>
    <w:rsid w:val="00E72FEC"/>
    <w:rsid w:val="00E7300D"/>
    <w:rsid w:val="00E73017"/>
    <w:rsid w:val="00E73053"/>
    <w:rsid w:val="00E7306C"/>
    <w:rsid w:val="00E73155"/>
    <w:rsid w:val="00E7324E"/>
    <w:rsid w:val="00E73273"/>
    <w:rsid w:val="00E733F7"/>
    <w:rsid w:val="00E73439"/>
    <w:rsid w:val="00E735C5"/>
    <w:rsid w:val="00E736A2"/>
    <w:rsid w:val="00E73708"/>
    <w:rsid w:val="00E7377C"/>
    <w:rsid w:val="00E737A6"/>
    <w:rsid w:val="00E73875"/>
    <w:rsid w:val="00E73989"/>
    <w:rsid w:val="00E739AE"/>
    <w:rsid w:val="00E73A25"/>
    <w:rsid w:val="00E73B37"/>
    <w:rsid w:val="00E73BB2"/>
    <w:rsid w:val="00E73BBD"/>
    <w:rsid w:val="00E73E8E"/>
    <w:rsid w:val="00E73EEA"/>
    <w:rsid w:val="00E73F15"/>
    <w:rsid w:val="00E7410B"/>
    <w:rsid w:val="00E74111"/>
    <w:rsid w:val="00E74222"/>
    <w:rsid w:val="00E742B8"/>
    <w:rsid w:val="00E74428"/>
    <w:rsid w:val="00E74744"/>
    <w:rsid w:val="00E74787"/>
    <w:rsid w:val="00E747D1"/>
    <w:rsid w:val="00E747DF"/>
    <w:rsid w:val="00E748E2"/>
    <w:rsid w:val="00E74973"/>
    <w:rsid w:val="00E74A2B"/>
    <w:rsid w:val="00E74BF8"/>
    <w:rsid w:val="00E74E28"/>
    <w:rsid w:val="00E74F7D"/>
    <w:rsid w:val="00E751B3"/>
    <w:rsid w:val="00E751F7"/>
    <w:rsid w:val="00E7543B"/>
    <w:rsid w:val="00E755DC"/>
    <w:rsid w:val="00E75715"/>
    <w:rsid w:val="00E7572B"/>
    <w:rsid w:val="00E7578E"/>
    <w:rsid w:val="00E758D3"/>
    <w:rsid w:val="00E75912"/>
    <w:rsid w:val="00E75917"/>
    <w:rsid w:val="00E75930"/>
    <w:rsid w:val="00E75983"/>
    <w:rsid w:val="00E75A6F"/>
    <w:rsid w:val="00E75A87"/>
    <w:rsid w:val="00E75D68"/>
    <w:rsid w:val="00E75FC9"/>
    <w:rsid w:val="00E7601F"/>
    <w:rsid w:val="00E7614F"/>
    <w:rsid w:val="00E761A3"/>
    <w:rsid w:val="00E761A7"/>
    <w:rsid w:val="00E762CE"/>
    <w:rsid w:val="00E7635F"/>
    <w:rsid w:val="00E7637E"/>
    <w:rsid w:val="00E7638A"/>
    <w:rsid w:val="00E763DF"/>
    <w:rsid w:val="00E764D2"/>
    <w:rsid w:val="00E76540"/>
    <w:rsid w:val="00E765EB"/>
    <w:rsid w:val="00E7665C"/>
    <w:rsid w:val="00E76738"/>
    <w:rsid w:val="00E7673F"/>
    <w:rsid w:val="00E7677F"/>
    <w:rsid w:val="00E768AE"/>
    <w:rsid w:val="00E76AE8"/>
    <w:rsid w:val="00E76B12"/>
    <w:rsid w:val="00E76D75"/>
    <w:rsid w:val="00E76E27"/>
    <w:rsid w:val="00E76E2A"/>
    <w:rsid w:val="00E76E9E"/>
    <w:rsid w:val="00E76F5B"/>
    <w:rsid w:val="00E77016"/>
    <w:rsid w:val="00E772D7"/>
    <w:rsid w:val="00E7732B"/>
    <w:rsid w:val="00E775FE"/>
    <w:rsid w:val="00E77688"/>
    <w:rsid w:val="00E776E1"/>
    <w:rsid w:val="00E77750"/>
    <w:rsid w:val="00E77A96"/>
    <w:rsid w:val="00E77A97"/>
    <w:rsid w:val="00E77A9E"/>
    <w:rsid w:val="00E77B09"/>
    <w:rsid w:val="00E77C1C"/>
    <w:rsid w:val="00E77C69"/>
    <w:rsid w:val="00E77C87"/>
    <w:rsid w:val="00E77D27"/>
    <w:rsid w:val="00E77D78"/>
    <w:rsid w:val="00E77D85"/>
    <w:rsid w:val="00E77D8C"/>
    <w:rsid w:val="00E77EEF"/>
    <w:rsid w:val="00E802AC"/>
    <w:rsid w:val="00E80416"/>
    <w:rsid w:val="00E80430"/>
    <w:rsid w:val="00E80523"/>
    <w:rsid w:val="00E805B3"/>
    <w:rsid w:val="00E80832"/>
    <w:rsid w:val="00E80896"/>
    <w:rsid w:val="00E80933"/>
    <w:rsid w:val="00E80962"/>
    <w:rsid w:val="00E8097D"/>
    <w:rsid w:val="00E80984"/>
    <w:rsid w:val="00E80B76"/>
    <w:rsid w:val="00E80C76"/>
    <w:rsid w:val="00E80D9B"/>
    <w:rsid w:val="00E80D9E"/>
    <w:rsid w:val="00E80EB9"/>
    <w:rsid w:val="00E812DC"/>
    <w:rsid w:val="00E81396"/>
    <w:rsid w:val="00E8139E"/>
    <w:rsid w:val="00E813F5"/>
    <w:rsid w:val="00E815EE"/>
    <w:rsid w:val="00E81647"/>
    <w:rsid w:val="00E81690"/>
    <w:rsid w:val="00E816D5"/>
    <w:rsid w:val="00E8174B"/>
    <w:rsid w:val="00E81843"/>
    <w:rsid w:val="00E818D1"/>
    <w:rsid w:val="00E8192B"/>
    <w:rsid w:val="00E819EF"/>
    <w:rsid w:val="00E819FB"/>
    <w:rsid w:val="00E81B4F"/>
    <w:rsid w:val="00E81C36"/>
    <w:rsid w:val="00E81C6F"/>
    <w:rsid w:val="00E81DE9"/>
    <w:rsid w:val="00E8211A"/>
    <w:rsid w:val="00E821EA"/>
    <w:rsid w:val="00E82314"/>
    <w:rsid w:val="00E82340"/>
    <w:rsid w:val="00E82356"/>
    <w:rsid w:val="00E827BE"/>
    <w:rsid w:val="00E827D3"/>
    <w:rsid w:val="00E827FC"/>
    <w:rsid w:val="00E82B22"/>
    <w:rsid w:val="00E82B36"/>
    <w:rsid w:val="00E82B69"/>
    <w:rsid w:val="00E82D03"/>
    <w:rsid w:val="00E82E76"/>
    <w:rsid w:val="00E82EAE"/>
    <w:rsid w:val="00E830EC"/>
    <w:rsid w:val="00E83496"/>
    <w:rsid w:val="00E83516"/>
    <w:rsid w:val="00E8355D"/>
    <w:rsid w:val="00E8372C"/>
    <w:rsid w:val="00E83806"/>
    <w:rsid w:val="00E8397D"/>
    <w:rsid w:val="00E83A0E"/>
    <w:rsid w:val="00E83EC5"/>
    <w:rsid w:val="00E84098"/>
    <w:rsid w:val="00E8444F"/>
    <w:rsid w:val="00E84657"/>
    <w:rsid w:val="00E84870"/>
    <w:rsid w:val="00E84873"/>
    <w:rsid w:val="00E849CB"/>
    <w:rsid w:val="00E849E7"/>
    <w:rsid w:val="00E84A5A"/>
    <w:rsid w:val="00E84B48"/>
    <w:rsid w:val="00E84C46"/>
    <w:rsid w:val="00E84DC9"/>
    <w:rsid w:val="00E84E3D"/>
    <w:rsid w:val="00E84E64"/>
    <w:rsid w:val="00E84EB4"/>
    <w:rsid w:val="00E84F28"/>
    <w:rsid w:val="00E84F63"/>
    <w:rsid w:val="00E85043"/>
    <w:rsid w:val="00E853A0"/>
    <w:rsid w:val="00E853F4"/>
    <w:rsid w:val="00E85411"/>
    <w:rsid w:val="00E854D4"/>
    <w:rsid w:val="00E854FD"/>
    <w:rsid w:val="00E8553D"/>
    <w:rsid w:val="00E85543"/>
    <w:rsid w:val="00E8556D"/>
    <w:rsid w:val="00E85590"/>
    <w:rsid w:val="00E855E4"/>
    <w:rsid w:val="00E85651"/>
    <w:rsid w:val="00E85682"/>
    <w:rsid w:val="00E856C8"/>
    <w:rsid w:val="00E857BA"/>
    <w:rsid w:val="00E857D0"/>
    <w:rsid w:val="00E857E6"/>
    <w:rsid w:val="00E85840"/>
    <w:rsid w:val="00E85982"/>
    <w:rsid w:val="00E85AED"/>
    <w:rsid w:val="00E85B27"/>
    <w:rsid w:val="00E85DFF"/>
    <w:rsid w:val="00E85FB8"/>
    <w:rsid w:val="00E85FE7"/>
    <w:rsid w:val="00E8617D"/>
    <w:rsid w:val="00E86388"/>
    <w:rsid w:val="00E864E6"/>
    <w:rsid w:val="00E866E4"/>
    <w:rsid w:val="00E8684F"/>
    <w:rsid w:val="00E86966"/>
    <w:rsid w:val="00E86A30"/>
    <w:rsid w:val="00E86A9C"/>
    <w:rsid w:val="00E86AB4"/>
    <w:rsid w:val="00E86AF9"/>
    <w:rsid w:val="00E86B3C"/>
    <w:rsid w:val="00E870D0"/>
    <w:rsid w:val="00E87177"/>
    <w:rsid w:val="00E87296"/>
    <w:rsid w:val="00E873D4"/>
    <w:rsid w:val="00E87426"/>
    <w:rsid w:val="00E8746E"/>
    <w:rsid w:val="00E874BB"/>
    <w:rsid w:val="00E87537"/>
    <w:rsid w:val="00E87638"/>
    <w:rsid w:val="00E87663"/>
    <w:rsid w:val="00E87803"/>
    <w:rsid w:val="00E878E1"/>
    <w:rsid w:val="00E879B4"/>
    <w:rsid w:val="00E87AA3"/>
    <w:rsid w:val="00E87CB4"/>
    <w:rsid w:val="00E87D52"/>
    <w:rsid w:val="00E87D5A"/>
    <w:rsid w:val="00E87D81"/>
    <w:rsid w:val="00E87E5E"/>
    <w:rsid w:val="00E87F93"/>
    <w:rsid w:val="00E87FEE"/>
    <w:rsid w:val="00E900DC"/>
    <w:rsid w:val="00E90170"/>
    <w:rsid w:val="00E902DD"/>
    <w:rsid w:val="00E902ED"/>
    <w:rsid w:val="00E9032F"/>
    <w:rsid w:val="00E90376"/>
    <w:rsid w:val="00E90476"/>
    <w:rsid w:val="00E904DE"/>
    <w:rsid w:val="00E904FB"/>
    <w:rsid w:val="00E9056F"/>
    <w:rsid w:val="00E90593"/>
    <w:rsid w:val="00E905AF"/>
    <w:rsid w:val="00E90799"/>
    <w:rsid w:val="00E908FD"/>
    <w:rsid w:val="00E90996"/>
    <w:rsid w:val="00E90AE5"/>
    <w:rsid w:val="00E90B69"/>
    <w:rsid w:val="00E90CF1"/>
    <w:rsid w:val="00E90EE4"/>
    <w:rsid w:val="00E91062"/>
    <w:rsid w:val="00E91067"/>
    <w:rsid w:val="00E911E5"/>
    <w:rsid w:val="00E9169A"/>
    <w:rsid w:val="00E91762"/>
    <w:rsid w:val="00E91888"/>
    <w:rsid w:val="00E9199E"/>
    <w:rsid w:val="00E919C1"/>
    <w:rsid w:val="00E919DF"/>
    <w:rsid w:val="00E91A1C"/>
    <w:rsid w:val="00E91A4B"/>
    <w:rsid w:val="00E91A52"/>
    <w:rsid w:val="00E91AA0"/>
    <w:rsid w:val="00E91C62"/>
    <w:rsid w:val="00E91E92"/>
    <w:rsid w:val="00E91F89"/>
    <w:rsid w:val="00E92149"/>
    <w:rsid w:val="00E92170"/>
    <w:rsid w:val="00E92227"/>
    <w:rsid w:val="00E92356"/>
    <w:rsid w:val="00E92394"/>
    <w:rsid w:val="00E926D1"/>
    <w:rsid w:val="00E9297F"/>
    <w:rsid w:val="00E92A68"/>
    <w:rsid w:val="00E92A7B"/>
    <w:rsid w:val="00E92B3F"/>
    <w:rsid w:val="00E92B6B"/>
    <w:rsid w:val="00E92C3F"/>
    <w:rsid w:val="00E92E25"/>
    <w:rsid w:val="00E93038"/>
    <w:rsid w:val="00E93184"/>
    <w:rsid w:val="00E931AB"/>
    <w:rsid w:val="00E931F0"/>
    <w:rsid w:val="00E9331E"/>
    <w:rsid w:val="00E933AD"/>
    <w:rsid w:val="00E933B8"/>
    <w:rsid w:val="00E934C4"/>
    <w:rsid w:val="00E935E4"/>
    <w:rsid w:val="00E93601"/>
    <w:rsid w:val="00E93733"/>
    <w:rsid w:val="00E93790"/>
    <w:rsid w:val="00E937B4"/>
    <w:rsid w:val="00E93855"/>
    <w:rsid w:val="00E9392B"/>
    <w:rsid w:val="00E93A52"/>
    <w:rsid w:val="00E93BBE"/>
    <w:rsid w:val="00E93C96"/>
    <w:rsid w:val="00E93D96"/>
    <w:rsid w:val="00E93F13"/>
    <w:rsid w:val="00E940A5"/>
    <w:rsid w:val="00E94114"/>
    <w:rsid w:val="00E9422E"/>
    <w:rsid w:val="00E94248"/>
    <w:rsid w:val="00E942F6"/>
    <w:rsid w:val="00E9448A"/>
    <w:rsid w:val="00E9449C"/>
    <w:rsid w:val="00E9449F"/>
    <w:rsid w:val="00E944F1"/>
    <w:rsid w:val="00E9454F"/>
    <w:rsid w:val="00E94793"/>
    <w:rsid w:val="00E948D6"/>
    <w:rsid w:val="00E94904"/>
    <w:rsid w:val="00E94AC4"/>
    <w:rsid w:val="00E94BEC"/>
    <w:rsid w:val="00E94C0F"/>
    <w:rsid w:val="00E94C8A"/>
    <w:rsid w:val="00E94E63"/>
    <w:rsid w:val="00E95077"/>
    <w:rsid w:val="00E9508D"/>
    <w:rsid w:val="00E95100"/>
    <w:rsid w:val="00E95146"/>
    <w:rsid w:val="00E9521B"/>
    <w:rsid w:val="00E95267"/>
    <w:rsid w:val="00E9532E"/>
    <w:rsid w:val="00E95486"/>
    <w:rsid w:val="00E9558D"/>
    <w:rsid w:val="00E958ED"/>
    <w:rsid w:val="00E958F4"/>
    <w:rsid w:val="00E95936"/>
    <w:rsid w:val="00E95961"/>
    <w:rsid w:val="00E959AD"/>
    <w:rsid w:val="00E95A5C"/>
    <w:rsid w:val="00E95B00"/>
    <w:rsid w:val="00E95C5B"/>
    <w:rsid w:val="00E95DE3"/>
    <w:rsid w:val="00E9602C"/>
    <w:rsid w:val="00E9614A"/>
    <w:rsid w:val="00E9638E"/>
    <w:rsid w:val="00E96436"/>
    <w:rsid w:val="00E964A3"/>
    <w:rsid w:val="00E965DC"/>
    <w:rsid w:val="00E96609"/>
    <w:rsid w:val="00E9662D"/>
    <w:rsid w:val="00E966CC"/>
    <w:rsid w:val="00E96733"/>
    <w:rsid w:val="00E96768"/>
    <w:rsid w:val="00E96868"/>
    <w:rsid w:val="00E968AB"/>
    <w:rsid w:val="00E969EF"/>
    <w:rsid w:val="00E96A7A"/>
    <w:rsid w:val="00E96ACB"/>
    <w:rsid w:val="00E96B54"/>
    <w:rsid w:val="00E96BC7"/>
    <w:rsid w:val="00E96C20"/>
    <w:rsid w:val="00E96D2A"/>
    <w:rsid w:val="00E96D4C"/>
    <w:rsid w:val="00E96DDD"/>
    <w:rsid w:val="00E96F46"/>
    <w:rsid w:val="00E96FA9"/>
    <w:rsid w:val="00E96FBA"/>
    <w:rsid w:val="00E97020"/>
    <w:rsid w:val="00E9727A"/>
    <w:rsid w:val="00E9737E"/>
    <w:rsid w:val="00E973D2"/>
    <w:rsid w:val="00E97491"/>
    <w:rsid w:val="00E9762B"/>
    <w:rsid w:val="00E97683"/>
    <w:rsid w:val="00E976D0"/>
    <w:rsid w:val="00E977FC"/>
    <w:rsid w:val="00E978E7"/>
    <w:rsid w:val="00E979ED"/>
    <w:rsid w:val="00E97B11"/>
    <w:rsid w:val="00E97B3D"/>
    <w:rsid w:val="00E97BC2"/>
    <w:rsid w:val="00E97C19"/>
    <w:rsid w:val="00E97C63"/>
    <w:rsid w:val="00E97DA7"/>
    <w:rsid w:val="00E97DB6"/>
    <w:rsid w:val="00E97E17"/>
    <w:rsid w:val="00E97ECE"/>
    <w:rsid w:val="00E97FE8"/>
    <w:rsid w:val="00EA00CF"/>
    <w:rsid w:val="00EA00DB"/>
    <w:rsid w:val="00EA0245"/>
    <w:rsid w:val="00EA03E2"/>
    <w:rsid w:val="00EA0433"/>
    <w:rsid w:val="00EA043C"/>
    <w:rsid w:val="00EA0451"/>
    <w:rsid w:val="00EA04A0"/>
    <w:rsid w:val="00EA0549"/>
    <w:rsid w:val="00EA05FA"/>
    <w:rsid w:val="00EA0781"/>
    <w:rsid w:val="00EA081C"/>
    <w:rsid w:val="00EA083B"/>
    <w:rsid w:val="00EA0A1F"/>
    <w:rsid w:val="00EA1041"/>
    <w:rsid w:val="00EA1081"/>
    <w:rsid w:val="00EA1388"/>
    <w:rsid w:val="00EA13F2"/>
    <w:rsid w:val="00EA153A"/>
    <w:rsid w:val="00EA15C1"/>
    <w:rsid w:val="00EA15F8"/>
    <w:rsid w:val="00EA1690"/>
    <w:rsid w:val="00EA17E3"/>
    <w:rsid w:val="00EA185C"/>
    <w:rsid w:val="00EA18F6"/>
    <w:rsid w:val="00EA1A2D"/>
    <w:rsid w:val="00EA1C08"/>
    <w:rsid w:val="00EA1CE3"/>
    <w:rsid w:val="00EA1DFA"/>
    <w:rsid w:val="00EA1E06"/>
    <w:rsid w:val="00EA1E27"/>
    <w:rsid w:val="00EA1EB1"/>
    <w:rsid w:val="00EA1FF7"/>
    <w:rsid w:val="00EA20E8"/>
    <w:rsid w:val="00EA20EB"/>
    <w:rsid w:val="00EA2354"/>
    <w:rsid w:val="00EA2518"/>
    <w:rsid w:val="00EA2601"/>
    <w:rsid w:val="00EA2608"/>
    <w:rsid w:val="00EA27B4"/>
    <w:rsid w:val="00EA29B9"/>
    <w:rsid w:val="00EA29EF"/>
    <w:rsid w:val="00EA2B89"/>
    <w:rsid w:val="00EA2F18"/>
    <w:rsid w:val="00EA2F85"/>
    <w:rsid w:val="00EA2FEB"/>
    <w:rsid w:val="00EA302B"/>
    <w:rsid w:val="00EA30FA"/>
    <w:rsid w:val="00EA310F"/>
    <w:rsid w:val="00EA3184"/>
    <w:rsid w:val="00EA32DB"/>
    <w:rsid w:val="00EA3340"/>
    <w:rsid w:val="00EA33F8"/>
    <w:rsid w:val="00EA34F5"/>
    <w:rsid w:val="00EA3527"/>
    <w:rsid w:val="00EA3544"/>
    <w:rsid w:val="00EA35B5"/>
    <w:rsid w:val="00EA3612"/>
    <w:rsid w:val="00EA388B"/>
    <w:rsid w:val="00EA3AB5"/>
    <w:rsid w:val="00EA3AF7"/>
    <w:rsid w:val="00EA3B34"/>
    <w:rsid w:val="00EA3B61"/>
    <w:rsid w:val="00EA3B89"/>
    <w:rsid w:val="00EA3BF9"/>
    <w:rsid w:val="00EA3D20"/>
    <w:rsid w:val="00EA3D9A"/>
    <w:rsid w:val="00EA3F09"/>
    <w:rsid w:val="00EA412B"/>
    <w:rsid w:val="00EA418E"/>
    <w:rsid w:val="00EA42E0"/>
    <w:rsid w:val="00EA4575"/>
    <w:rsid w:val="00EA46B6"/>
    <w:rsid w:val="00EA4791"/>
    <w:rsid w:val="00EA47F9"/>
    <w:rsid w:val="00EA4818"/>
    <w:rsid w:val="00EA482A"/>
    <w:rsid w:val="00EA489B"/>
    <w:rsid w:val="00EA4B96"/>
    <w:rsid w:val="00EA4C12"/>
    <w:rsid w:val="00EA4D52"/>
    <w:rsid w:val="00EA4DBC"/>
    <w:rsid w:val="00EA4E5B"/>
    <w:rsid w:val="00EA4E93"/>
    <w:rsid w:val="00EA4F6E"/>
    <w:rsid w:val="00EA5057"/>
    <w:rsid w:val="00EA54B6"/>
    <w:rsid w:val="00EA54E7"/>
    <w:rsid w:val="00EA557A"/>
    <w:rsid w:val="00EA5666"/>
    <w:rsid w:val="00EA566A"/>
    <w:rsid w:val="00EA5818"/>
    <w:rsid w:val="00EA594D"/>
    <w:rsid w:val="00EA5997"/>
    <w:rsid w:val="00EA5BF8"/>
    <w:rsid w:val="00EA5D0C"/>
    <w:rsid w:val="00EA61B3"/>
    <w:rsid w:val="00EA6467"/>
    <w:rsid w:val="00EA6774"/>
    <w:rsid w:val="00EA67C2"/>
    <w:rsid w:val="00EA680A"/>
    <w:rsid w:val="00EA6A45"/>
    <w:rsid w:val="00EA6B1D"/>
    <w:rsid w:val="00EA6C93"/>
    <w:rsid w:val="00EA6CF2"/>
    <w:rsid w:val="00EA6EBE"/>
    <w:rsid w:val="00EA7093"/>
    <w:rsid w:val="00EA70FB"/>
    <w:rsid w:val="00EA7162"/>
    <w:rsid w:val="00EA7169"/>
    <w:rsid w:val="00EA7249"/>
    <w:rsid w:val="00EA7250"/>
    <w:rsid w:val="00EA72E8"/>
    <w:rsid w:val="00EA734C"/>
    <w:rsid w:val="00EA7390"/>
    <w:rsid w:val="00EA7414"/>
    <w:rsid w:val="00EA7480"/>
    <w:rsid w:val="00EA7585"/>
    <w:rsid w:val="00EA760B"/>
    <w:rsid w:val="00EA7667"/>
    <w:rsid w:val="00EA77C3"/>
    <w:rsid w:val="00EA7909"/>
    <w:rsid w:val="00EA7A48"/>
    <w:rsid w:val="00EA7AE5"/>
    <w:rsid w:val="00EA7CAD"/>
    <w:rsid w:val="00EA7E73"/>
    <w:rsid w:val="00EA7EA8"/>
    <w:rsid w:val="00EA7EB6"/>
    <w:rsid w:val="00EB015F"/>
    <w:rsid w:val="00EB02BB"/>
    <w:rsid w:val="00EB0360"/>
    <w:rsid w:val="00EB0385"/>
    <w:rsid w:val="00EB03CB"/>
    <w:rsid w:val="00EB042B"/>
    <w:rsid w:val="00EB04F0"/>
    <w:rsid w:val="00EB0531"/>
    <w:rsid w:val="00EB0789"/>
    <w:rsid w:val="00EB0915"/>
    <w:rsid w:val="00EB0AD9"/>
    <w:rsid w:val="00EB0C22"/>
    <w:rsid w:val="00EB0C84"/>
    <w:rsid w:val="00EB0CE7"/>
    <w:rsid w:val="00EB0D2C"/>
    <w:rsid w:val="00EB0F38"/>
    <w:rsid w:val="00EB0FD9"/>
    <w:rsid w:val="00EB1141"/>
    <w:rsid w:val="00EB1265"/>
    <w:rsid w:val="00EB13A8"/>
    <w:rsid w:val="00EB1454"/>
    <w:rsid w:val="00EB16D9"/>
    <w:rsid w:val="00EB1759"/>
    <w:rsid w:val="00EB1773"/>
    <w:rsid w:val="00EB17B9"/>
    <w:rsid w:val="00EB1FCB"/>
    <w:rsid w:val="00EB200B"/>
    <w:rsid w:val="00EB202D"/>
    <w:rsid w:val="00EB20BF"/>
    <w:rsid w:val="00EB22A0"/>
    <w:rsid w:val="00EB2380"/>
    <w:rsid w:val="00EB248E"/>
    <w:rsid w:val="00EB24FA"/>
    <w:rsid w:val="00EB25A9"/>
    <w:rsid w:val="00EB263E"/>
    <w:rsid w:val="00EB27BD"/>
    <w:rsid w:val="00EB27D3"/>
    <w:rsid w:val="00EB28D1"/>
    <w:rsid w:val="00EB2968"/>
    <w:rsid w:val="00EB29A0"/>
    <w:rsid w:val="00EB29DF"/>
    <w:rsid w:val="00EB2AB2"/>
    <w:rsid w:val="00EB2AD6"/>
    <w:rsid w:val="00EB2B15"/>
    <w:rsid w:val="00EB2B71"/>
    <w:rsid w:val="00EB2D1B"/>
    <w:rsid w:val="00EB2D9A"/>
    <w:rsid w:val="00EB2DE6"/>
    <w:rsid w:val="00EB3066"/>
    <w:rsid w:val="00EB3088"/>
    <w:rsid w:val="00EB30C3"/>
    <w:rsid w:val="00EB30CF"/>
    <w:rsid w:val="00EB31C5"/>
    <w:rsid w:val="00EB321A"/>
    <w:rsid w:val="00EB3235"/>
    <w:rsid w:val="00EB3286"/>
    <w:rsid w:val="00EB32A6"/>
    <w:rsid w:val="00EB32B3"/>
    <w:rsid w:val="00EB33FF"/>
    <w:rsid w:val="00EB3427"/>
    <w:rsid w:val="00EB344A"/>
    <w:rsid w:val="00EB3863"/>
    <w:rsid w:val="00EB3931"/>
    <w:rsid w:val="00EB3ADE"/>
    <w:rsid w:val="00EB3CC1"/>
    <w:rsid w:val="00EB3D20"/>
    <w:rsid w:val="00EB3EBD"/>
    <w:rsid w:val="00EB3F2E"/>
    <w:rsid w:val="00EB4073"/>
    <w:rsid w:val="00EB41AD"/>
    <w:rsid w:val="00EB4385"/>
    <w:rsid w:val="00EB4439"/>
    <w:rsid w:val="00EB46AE"/>
    <w:rsid w:val="00EB46CD"/>
    <w:rsid w:val="00EB47C1"/>
    <w:rsid w:val="00EB48D0"/>
    <w:rsid w:val="00EB4A58"/>
    <w:rsid w:val="00EB4A7B"/>
    <w:rsid w:val="00EB4ACD"/>
    <w:rsid w:val="00EB4B3B"/>
    <w:rsid w:val="00EB4B92"/>
    <w:rsid w:val="00EB4BE5"/>
    <w:rsid w:val="00EB4C46"/>
    <w:rsid w:val="00EB4C81"/>
    <w:rsid w:val="00EB4C90"/>
    <w:rsid w:val="00EB4E0D"/>
    <w:rsid w:val="00EB4E15"/>
    <w:rsid w:val="00EB4E97"/>
    <w:rsid w:val="00EB4ED7"/>
    <w:rsid w:val="00EB4FD4"/>
    <w:rsid w:val="00EB53C6"/>
    <w:rsid w:val="00EB5ADA"/>
    <w:rsid w:val="00EB5C48"/>
    <w:rsid w:val="00EB5C83"/>
    <w:rsid w:val="00EB5F6F"/>
    <w:rsid w:val="00EB5FD5"/>
    <w:rsid w:val="00EB5FE7"/>
    <w:rsid w:val="00EB605B"/>
    <w:rsid w:val="00EB61AF"/>
    <w:rsid w:val="00EB61F6"/>
    <w:rsid w:val="00EB623B"/>
    <w:rsid w:val="00EB62E0"/>
    <w:rsid w:val="00EB6483"/>
    <w:rsid w:val="00EB6612"/>
    <w:rsid w:val="00EB6658"/>
    <w:rsid w:val="00EB667C"/>
    <w:rsid w:val="00EB6722"/>
    <w:rsid w:val="00EB680D"/>
    <w:rsid w:val="00EB6871"/>
    <w:rsid w:val="00EB6874"/>
    <w:rsid w:val="00EB6912"/>
    <w:rsid w:val="00EB691A"/>
    <w:rsid w:val="00EB696E"/>
    <w:rsid w:val="00EB6A18"/>
    <w:rsid w:val="00EB6A5D"/>
    <w:rsid w:val="00EB6ACE"/>
    <w:rsid w:val="00EB6BB7"/>
    <w:rsid w:val="00EB6C0E"/>
    <w:rsid w:val="00EB6C65"/>
    <w:rsid w:val="00EB6D83"/>
    <w:rsid w:val="00EB6DA1"/>
    <w:rsid w:val="00EB6E88"/>
    <w:rsid w:val="00EB6F33"/>
    <w:rsid w:val="00EB6FDD"/>
    <w:rsid w:val="00EB70A5"/>
    <w:rsid w:val="00EB71DF"/>
    <w:rsid w:val="00EB72A2"/>
    <w:rsid w:val="00EB72B4"/>
    <w:rsid w:val="00EB730C"/>
    <w:rsid w:val="00EB745B"/>
    <w:rsid w:val="00EB7491"/>
    <w:rsid w:val="00EB7517"/>
    <w:rsid w:val="00EB778F"/>
    <w:rsid w:val="00EB78F5"/>
    <w:rsid w:val="00EB78FC"/>
    <w:rsid w:val="00EB7941"/>
    <w:rsid w:val="00EB794A"/>
    <w:rsid w:val="00EB798C"/>
    <w:rsid w:val="00EB7A15"/>
    <w:rsid w:val="00EB7A16"/>
    <w:rsid w:val="00EB7CF0"/>
    <w:rsid w:val="00EB7D1F"/>
    <w:rsid w:val="00EB7E61"/>
    <w:rsid w:val="00EC0488"/>
    <w:rsid w:val="00EC0491"/>
    <w:rsid w:val="00EC0521"/>
    <w:rsid w:val="00EC0528"/>
    <w:rsid w:val="00EC058E"/>
    <w:rsid w:val="00EC05DD"/>
    <w:rsid w:val="00EC0607"/>
    <w:rsid w:val="00EC0621"/>
    <w:rsid w:val="00EC0738"/>
    <w:rsid w:val="00EC0746"/>
    <w:rsid w:val="00EC0906"/>
    <w:rsid w:val="00EC096A"/>
    <w:rsid w:val="00EC099B"/>
    <w:rsid w:val="00EC0C65"/>
    <w:rsid w:val="00EC0CD1"/>
    <w:rsid w:val="00EC10E4"/>
    <w:rsid w:val="00EC136D"/>
    <w:rsid w:val="00EC13CC"/>
    <w:rsid w:val="00EC1442"/>
    <w:rsid w:val="00EC1554"/>
    <w:rsid w:val="00EC16F6"/>
    <w:rsid w:val="00EC1709"/>
    <w:rsid w:val="00EC19F0"/>
    <w:rsid w:val="00EC1B09"/>
    <w:rsid w:val="00EC1B29"/>
    <w:rsid w:val="00EC1CBB"/>
    <w:rsid w:val="00EC1E77"/>
    <w:rsid w:val="00EC1E7D"/>
    <w:rsid w:val="00EC1EBF"/>
    <w:rsid w:val="00EC211C"/>
    <w:rsid w:val="00EC223E"/>
    <w:rsid w:val="00EC2266"/>
    <w:rsid w:val="00EC238C"/>
    <w:rsid w:val="00EC2398"/>
    <w:rsid w:val="00EC2471"/>
    <w:rsid w:val="00EC259F"/>
    <w:rsid w:val="00EC267F"/>
    <w:rsid w:val="00EC278C"/>
    <w:rsid w:val="00EC27A1"/>
    <w:rsid w:val="00EC27F6"/>
    <w:rsid w:val="00EC2803"/>
    <w:rsid w:val="00EC29F2"/>
    <w:rsid w:val="00EC2C62"/>
    <w:rsid w:val="00EC2E6B"/>
    <w:rsid w:val="00EC2F92"/>
    <w:rsid w:val="00EC3046"/>
    <w:rsid w:val="00EC322F"/>
    <w:rsid w:val="00EC3263"/>
    <w:rsid w:val="00EC32C6"/>
    <w:rsid w:val="00EC33B2"/>
    <w:rsid w:val="00EC3415"/>
    <w:rsid w:val="00EC3494"/>
    <w:rsid w:val="00EC3723"/>
    <w:rsid w:val="00EC372C"/>
    <w:rsid w:val="00EC374D"/>
    <w:rsid w:val="00EC37CD"/>
    <w:rsid w:val="00EC38B4"/>
    <w:rsid w:val="00EC39B7"/>
    <w:rsid w:val="00EC3AA2"/>
    <w:rsid w:val="00EC3B9F"/>
    <w:rsid w:val="00EC3C28"/>
    <w:rsid w:val="00EC3C44"/>
    <w:rsid w:val="00EC3C47"/>
    <w:rsid w:val="00EC3DE7"/>
    <w:rsid w:val="00EC3E17"/>
    <w:rsid w:val="00EC3EEA"/>
    <w:rsid w:val="00EC3F57"/>
    <w:rsid w:val="00EC4117"/>
    <w:rsid w:val="00EC414B"/>
    <w:rsid w:val="00EC42A7"/>
    <w:rsid w:val="00EC4367"/>
    <w:rsid w:val="00EC457F"/>
    <w:rsid w:val="00EC46AE"/>
    <w:rsid w:val="00EC47B0"/>
    <w:rsid w:val="00EC4B09"/>
    <w:rsid w:val="00EC4B0E"/>
    <w:rsid w:val="00EC4C53"/>
    <w:rsid w:val="00EC4D3A"/>
    <w:rsid w:val="00EC4D48"/>
    <w:rsid w:val="00EC4EF2"/>
    <w:rsid w:val="00EC4F6B"/>
    <w:rsid w:val="00EC4FAB"/>
    <w:rsid w:val="00EC4FB1"/>
    <w:rsid w:val="00EC530C"/>
    <w:rsid w:val="00EC53B2"/>
    <w:rsid w:val="00EC5686"/>
    <w:rsid w:val="00EC56DA"/>
    <w:rsid w:val="00EC5738"/>
    <w:rsid w:val="00EC581D"/>
    <w:rsid w:val="00EC5909"/>
    <w:rsid w:val="00EC595A"/>
    <w:rsid w:val="00EC5A54"/>
    <w:rsid w:val="00EC5B83"/>
    <w:rsid w:val="00EC5BA9"/>
    <w:rsid w:val="00EC5C35"/>
    <w:rsid w:val="00EC5C3C"/>
    <w:rsid w:val="00EC5C59"/>
    <w:rsid w:val="00EC5C95"/>
    <w:rsid w:val="00EC5F0E"/>
    <w:rsid w:val="00EC5FC3"/>
    <w:rsid w:val="00EC6025"/>
    <w:rsid w:val="00EC614D"/>
    <w:rsid w:val="00EC61FF"/>
    <w:rsid w:val="00EC6311"/>
    <w:rsid w:val="00EC6584"/>
    <w:rsid w:val="00EC6683"/>
    <w:rsid w:val="00EC66A8"/>
    <w:rsid w:val="00EC6877"/>
    <w:rsid w:val="00EC6D88"/>
    <w:rsid w:val="00EC6E31"/>
    <w:rsid w:val="00EC6E37"/>
    <w:rsid w:val="00EC6EA7"/>
    <w:rsid w:val="00EC70B8"/>
    <w:rsid w:val="00EC71C6"/>
    <w:rsid w:val="00EC7260"/>
    <w:rsid w:val="00EC72C6"/>
    <w:rsid w:val="00EC73B5"/>
    <w:rsid w:val="00EC75D5"/>
    <w:rsid w:val="00EC7719"/>
    <w:rsid w:val="00EC77F7"/>
    <w:rsid w:val="00EC782C"/>
    <w:rsid w:val="00EC7981"/>
    <w:rsid w:val="00EC7A06"/>
    <w:rsid w:val="00EC7A6D"/>
    <w:rsid w:val="00EC7B35"/>
    <w:rsid w:val="00EC7C5D"/>
    <w:rsid w:val="00EC7CBD"/>
    <w:rsid w:val="00EC7EB4"/>
    <w:rsid w:val="00EC7EEF"/>
    <w:rsid w:val="00EC7FE0"/>
    <w:rsid w:val="00ED00C6"/>
    <w:rsid w:val="00ED00E8"/>
    <w:rsid w:val="00ED0116"/>
    <w:rsid w:val="00ED0156"/>
    <w:rsid w:val="00ED02AC"/>
    <w:rsid w:val="00ED02C4"/>
    <w:rsid w:val="00ED05CF"/>
    <w:rsid w:val="00ED0838"/>
    <w:rsid w:val="00ED08AA"/>
    <w:rsid w:val="00ED09BF"/>
    <w:rsid w:val="00ED0BAE"/>
    <w:rsid w:val="00ED0D33"/>
    <w:rsid w:val="00ED0D9F"/>
    <w:rsid w:val="00ED0DDB"/>
    <w:rsid w:val="00ED0E14"/>
    <w:rsid w:val="00ED0E46"/>
    <w:rsid w:val="00ED0F44"/>
    <w:rsid w:val="00ED1118"/>
    <w:rsid w:val="00ED11FD"/>
    <w:rsid w:val="00ED1279"/>
    <w:rsid w:val="00ED13E1"/>
    <w:rsid w:val="00ED152C"/>
    <w:rsid w:val="00ED16BD"/>
    <w:rsid w:val="00ED1766"/>
    <w:rsid w:val="00ED182B"/>
    <w:rsid w:val="00ED183A"/>
    <w:rsid w:val="00ED1A55"/>
    <w:rsid w:val="00ED1B7F"/>
    <w:rsid w:val="00ED1D31"/>
    <w:rsid w:val="00ED1FF9"/>
    <w:rsid w:val="00ED2037"/>
    <w:rsid w:val="00ED20AC"/>
    <w:rsid w:val="00ED213E"/>
    <w:rsid w:val="00ED2154"/>
    <w:rsid w:val="00ED2332"/>
    <w:rsid w:val="00ED2385"/>
    <w:rsid w:val="00ED24D8"/>
    <w:rsid w:val="00ED254E"/>
    <w:rsid w:val="00ED2614"/>
    <w:rsid w:val="00ED279F"/>
    <w:rsid w:val="00ED27C8"/>
    <w:rsid w:val="00ED2A11"/>
    <w:rsid w:val="00ED2B39"/>
    <w:rsid w:val="00ED2B95"/>
    <w:rsid w:val="00ED2D56"/>
    <w:rsid w:val="00ED2DAB"/>
    <w:rsid w:val="00ED3074"/>
    <w:rsid w:val="00ED3234"/>
    <w:rsid w:val="00ED3468"/>
    <w:rsid w:val="00ED36D9"/>
    <w:rsid w:val="00ED39F6"/>
    <w:rsid w:val="00ED3A27"/>
    <w:rsid w:val="00ED3B22"/>
    <w:rsid w:val="00ED3CAE"/>
    <w:rsid w:val="00ED3D2E"/>
    <w:rsid w:val="00ED3FDD"/>
    <w:rsid w:val="00ED4230"/>
    <w:rsid w:val="00ED42E3"/>
    <w:rsid w:val="00ED466C"/>
    <w:rsid w:val="00ED467B"/>
    <w:rsid w:val="00ED473E"/>
    <w:rsid w:val="00ED47E8"/>
    <w:rsid w:val="00ED4914"/>
    <w:rsid w:val="00ED4948"/>
    <w:rsid w:val="00ED49FD"/>
    <w:rsid w:val="00ED4CFF"/>
    <w:rsid w:val="00ED4D35"/>
    <w:rsid w:val="00ED4F7A"/>
    <w:rsid w:val="00ED5002"/>
    <w:rsid w:val="00ED5026"/>
    <w:rsid w:val="00ED512F"/>
    <w:rsid w:val="00ED53BA"/>
    <w:rsid w:val="00ED5405"/>
    <w:rsid w:val="00ED568E"/>
    <w:rsid w:val="00ED5718"/>
    <w:rsid w:val="00ED5759"/>
    <w:rsid w:val="00ED57D8"/>
    <w:rsid w:val="00ED593E"/>
    <w:rsid w:val="00ED5B3E"/>
    <w:rsid w:val="00ED5D1A"/>
    <w:rsid w:val="00ED5D8C"/>
    <w:rsid w:val="00ED5F9C"/>
    <w:rsid w:val="00ED624B"/>
    <w:rsid w:val="00ED62B7"/>
    <w:rsid w:val="00ED63B5"/>
    <w:rsid w:val="00ED64A8"/>
    <w:rsid w:val="00ED64AD"/>
    <w:rsid w:val="00ED64EC"/>
    <w:rsid w:val="00ED653B"/>
    <w:rsid w:val="00ED6687"/>
    <w:rsid w:val="00ED6698"/>
    <w:rsid w:val="00ED673B"/>
    <w:rsid w:val="00ED6743"/>
    <w:rsid w:val="00ED6766"/>
    <w:rsid w:val="00ED6799"/>
    <w:rsid w:val="00ED6870"/>
    <w:rsid w:val="00ED6A15"/>
    <w:rsid w:val="00ED6A52"/>
    <w:rsid w:val="00ED6A90"/>
    <w:rsid w:val="00ED6AD8"/>
    <w:rsid w:val="00ED6AEE"/>
    <w:rsid w:val="00ED6C22"/>
    <w:rsid w:val="00ED6C7D"/>
    <w:rsid w:val="00ED6D27"/>
    <w:rsid w:val="00ED70DB"/>
    <w:rsid w:val="00ED712B"/>
    <w:rsid w:val="00ED7131"/>
    <w:rsid w:val="00ED751A"/>
    <w:rsid w:val="00ED7537"/>
    <w:rsid w:val="00ED7602"/>
    <w:rsid w:val="00ED766C"/>
    <w:rsid w:val="00ED7808"/>
    <w:rsid w:val="00ED7826"/>
    <w:rsid w:val="00ED7ABA"/>
    <w:rsid w:val="00ED7AEB"/>
    <w:rsid w:val="00ED7BA7"/>
    <w:rsid w:val="00ED7D0A"/>
    <w:rsid w:val="00ED7DE5"/>
    <w:rsid w:val="00ED7F35"/>
    <w:rsid w:val="00EE01BB"/>
    <w:rsid w:val="00EE01BF"/>
    <w:rsid w:val="00EE02CD"/>
    <w:rsid w:val="00EE034D"/>
    <w:rsid w:val="00EE0350"/>
    <w:rsid w:val="00EE038C"/>
    <w:rsid w:val="00EE04FD"/>
    <w:rsid w:val="00EE0630"/>
    <w:rsid w:val="00EE0683"/>
    <w:rsid w:val="00EE06C4"/>
    <w:rsid w:val="00EE06C8"/>
    <w:rsid w:val="00EE0725"/>
    <w:rsid w:val="00EE0841"/>
    <w:rsid w:val="00EE089B"/>
    <w:rsid w:val="00EE0AB5"/>
    <w:rsid w:val="00EE0AFC"/>
    <w:rsid w:val="00EE0CAD"/>
    <w:rsid w:val="00EE0E96"/>
    <w:rsid w:val="00EE0FEC"/>
    <w:rsid w:val="00EE108A"/>
    <w:rsid w:val="00EE10DE"/>
    <w:rsid w:val="00EE1145"/>
    <w:rsid w:val="00EE12CE"/>
    <w:rsid w:val="00EE1332"/>
    <w:rsid w:val="00EE1380"/>
    <w:rsid w:val="00EE148C"/>
    <w:rsid w:val="00EE1519"/>
    <w:rsid w:val="00EE1556"/>
    <w:rsid w:val="00EE17EF"/>
    <w:rsid w:val="00EE1918"/>
    <w:rsid w:val="00EE1A37"/>
    <w:rsid w:val="00EE1BB0"/>
    <w:rsid w:val="00EE1BDC"/>
    <w:rsid w:val="00EE1E72"/>
    <w:rsid w:val="00EE1F89"/>
    <w:rsid w:val="00EE2012"/>
    <w:rsid w:val="00EE2118"/>
    <w:rsid w:val="00EE217E"/>
    <w:rsid w:val="00EE230C"/>
    <w:rsid w:val="00EE2326"/>
    <w:rsid w:val="00EE24B4"/>
    <w:rsid w:val="00EE24F7"/>
    <w:rsid w:val="00EE264D"/>
    <w:rsid w:val="00EE26ED"/>
    <w:rsid w:val="00EE27B7"/>
    <w:rsid w:val="00EE298A"/>
    <w:rsid w:val="00EE2CF2"/>
    <w:rsid w:val="00EE2D0A"/>
    <w:rsid w:val="00EE2D17"/>
    <w:rsid w:val="00EE2D3C"/>
    <w:rsid w:val="00EE2DB8"/>
    <w:rsid w:val="00EE2EB7"/>
    <w:rsid w:val="00EE2FCD"/>
    <w:rsid w:val="00EE2FCE"/>
    <w:rsid w:val="00EE3030"/>
    <w:rsid w:val="00EE3052"/>
    <w:rsid w:val="00EE3121"/>
    <w:rsid w:val="00EE312C"/>
    <w:rsid w:val="00EE31A6"/>
    <w:rsid w:val="00EE31FA"/>
    <w:rsid w:val="00EE3476"/>
    <w:rsid w:val="00EE3514"/>
    <w:rsid w:val="00EE3556"/>
    <w:rsid w:val="00EE36D2"/>
    <w:rsid w:val="00EE37D9"/>
    <w:rsid w:val="00EE380B"/>
    <w:rsid w:val="00EE3912"/>
    <w:rsid w:val="00EE3952"/>
    <w:rsid w:val="00EE39F6"/>
    <w:rsid w:val="00EE3A34"/>
    <w:rsid w:val="00EE3BCC"/>
    <w:rsid w:val="00EE3BE5"/>
    <w:rsid w:val="00EE40B8"/>
    <w:rsid w:val="00EE410E"/>
    <w:rsid w:val="00EE4279"/>
    <w:rsid w:val="00EE42DA"/>
    <w:rsid w:val="00EE43AD"/>
    <w:rsid w:val="00EE44F7"/>
    <w:rsid w:val="00EE4538"/>
    <w:rsid w:val="00EE455F"/>
    <w:rsid w:val="00EE45EA"/>
    <w:rsid w:val="00EE465C"/>
    <w:rsid w:val="00EE47C2"/>
    <w:rsid w:val="00EE49C0"/>
    <w:rsid w:val="00EE4AFC"/>
    <w:rsid w:val="00EE4B46"/>
    <w:rsid w:val="00EE4C1C"/>
    <w:rsid w:val="00EE4C3D"/>
    <w:rsid w:val="00EE4EC2"/>
    <w:rsid w:val="00EE4F14"/>
    <w:rsid w:val="00EE52C6"/>
    <w:rsid w:val="00EE539C"/>
    <w:rsid w:val="00EE541D"/>
    <w:rsid w:val="00EE5439"/>
    <w:rsid w:val="00EE54CA"/>
    <w:rsid w:val="00EE5603"/>
    <w:rsid w:val="00EE5679"/>
    <w:rsid w:val="00EE573B"/>
    <w:rsid w:val="00EE58CE"/>
    <w:rsid w:val="00EE5A4E"/>
    <w:rsid w:val="00EE5AB7"/>
    <w:rsid w:val="00EE5AE2"/>
    <w:rsid w:val="00EE5C4F"/>
    <w:rsid w:val="00EE5C69"/>
    <w:rsid w:val="00EE5CDD"/>
    <w:rsid w:val="00EE5F15"/>
    <w:rsid w:val="00EE5FB0"/>
    <w:rsid w:val="00EE6198"/>
    <w:rsid w:val="00EE61F4"/>
    <w:rsid w:val="00EE6270"/>
    <w:rsid w:val="00EE62B3"/>
    <w:rsid w:val="00EE638F"/>
    <w:rsid w:val="00EE6417"/>
    <w:rsid w:val="00EE64F9"/>
    <w:rsid w:val="00EE6651"/>
    <w:rsid w:val="00EE6691"/>
    <w:rsid w:val="00EE66CF"/>
    <w:rsid w:val="00EE6736"/>
    <w:rsid w:val="00EE6887"/>
    <w:rsid w:val="00EE68BD"/>
    <w:rsid w:val="00EE6AA3"/>
    <w:rsid w:val="00EE6BE2"/>
    <w:rsid w:val="00EE6BF3"/>
    <w:rsid w:val="00EE6D8F"/>
    <w:rsid w:val="00EE6E3F"/>
    <w:rsid w:val="00EE6F6C"/>
    <w:rsid w:val="00EE6F98"/>
    <w:rsid w:val="00EE6FDE"/>
    <w:rsid w:val="00EE702D"/>
    <w:rsid w:val="00EE70F2"/>
    <w:rsid w:val="00EE71E7"/>
    <w:rsid w:val="00EE74BB"/>
    <w:rsid w:val="00EE751A"/>
    <w:rsid w:val="00EE76DF"/>
    <w:rsid w:val="00EE770B"/>
    <w:rsid w:val="00EE7710"/>
    <w:rsid w:val="00EE77E5"/>
    <w:rsid w:val="00EE784D"/>
    <w:rsid w:val="00EE7937"/>
    <w:rsid w:val="00EE7A5C"/>
    <w:rsid w:val="00EE7AAB"/>
    <w:rsid w:val="00EE7AFE"/>
    <w:rsid w:val="00EE7D34"/>
    <w:rsid w:val="00EE7EC3"/>
    <w:rsid w:val="00EE7F9A"/>
    <w:rsid w:val="00EF008D"/>
    <w:rsid w:val="00EF010A"/>
    <w:rsid w:val="00EF0390"/>
    <w:rsid w:val="00EF03AC"/>
    <w:rsid w:val="00EF04A1"/>
    <w:rsid w:val="00EF0632"/>
    <w:rsid w:val="00EF0650"/>
    <w:rsid w:val="00EF07BB"/>
    <w:rsid w:val="00EF08F0"/>
    <w:rsid w:val="00EF0A97"/>
    <w:rsid w:val="00EF0B30"/>
    <w:rsid w:val="00EF0D5D"/>
    <w:rsid w:val="00EF0DA3"/>
    <w:rsid w:val="00EF0E08"/>
    <w:rsid w:val="00EF0F6C"/>
    <w:rsid w:val="00EF1105"/>
    <w:rsid w:val="00EF1139"/>
    <w:rsid w:val="00EF113F"/>
    <w:rsid w:val="00EF11DC"/>
    <w:rsid w:val="00EF11ED"/>
    <w:rsid w:val="00EF1361"/>
    <w:rsid w:val="00EF14DD"/>
    <w:rsid w:val="00EF153E"/>
    <w:rsid w:val="00EF155F"/>
    <w:rsid w:val="00EF1877"/>
    <w:rsid w:val="00EF188F"/>
    <w:rsid w:val="00EF191F"/>
    <w:rsid w:val="00EF1BBD"/>
    <w:rsid w:val="00EF1C1E"/>
    <w:rsid w:val="00EF1D8A"/>
    <w:rsid w:val="00EF1E34"/>
    <w:rsid w:val="00EF1E49"/>
    <w:rsid w:val="00EF1E9C"/>
    <w:rsid w:val="00EF1F9C"/>
    <w:rsid w:val="00EF1FC8"/>
    <w:rsid w:val="00EF2002"/>
    <w:rsid w:val="00EF210C"/>
    <w:rsid w:val="00EF235D"/>
    <w:rsid w:val="00EF2406"/>
    <w:rsid w:val="00EF2472"/>
    <w:rsid w:val="00EF248E"/>
    <w:rsid w:val="00EF2550"/>
    <w:rsid w:val="00EF2748"/>
    <w:rsid w:val="00EF28A2"/>
    <w:rsid w:val="00EF292A"/>
    <w:rsid w:val="00EF2A09"/>
    <w:rsid w:val="00EF2A4F"/>
    <w:rsid w:val="00EF2A7D"/>
    <w:rsid w:val="00EF2AB2"/>
    <w:rsid w:val="00EF2BFB"/>
    <w:rsid w:val="00EF2C00"/>
    <w:rsid w:val="00EF2CAC"/>
    <w:rsid w:val="00EF2EE6"/>
    <w:rsid w:val="00EF2EF4"/>
    <w:rsid w:val="00EF2F43"/>
    <w:rsid w:val="00EF326F"/>
    <w:rsid w:val="00EF35D7"/>
    <w:rsid w:val="00EF38BF"/>
    <w:rsid w:val="00EF3A22"/>
    <w:rsid w:val="00EF3AD2"/>
    <w:rsid w:val="00EF3BBF"/>
    <w:rsid w:val="00EF3C05"/>
    <w:rsid w:val="00EF3C4E"/>
    <w:rsid w:val="00EF3E14"/>
    <w:rsid w:val="00EF3E8A"/>
    <w:rsid w:val="00EF3EE9"/>
    <w:rsid w:val="00EF4081"/>
    <w:rsid w:val="00EF409D"/>
    <w:rsid w:val="00EF418F"/>
    <w:rsid w:val="00EF4221"/>
    <w:rsid w:val="00EF43DE"/>
    <w:rsid w:val="00EF449A"/>
    <w:rsid w:val="00EF450F"/>
    <w:rsid w:val="00EF454A"/>
    <w:rsid w:val="00EF45CD"/>
    <w:rsid w:val="00EF46F8"/>
    <w:rsid w:val="00EF471B"/>
    <w:rsid w:val="00EF478A"/>
    <w:rsid w:val="00EF47FC"/>
    <w:rsid w:val="00EF4830"/>
    <w:rsid w:val="00EF4879"/>
    <w:rsid w:val="00EF495C"/>
    <w:rsid w:val="00EF49C6"/>
    <w:rsid w:val="00EF4A09"/>
    <w:rsid w:val="00EF4B95"/>
    <w:rsid w:val="00EF4BBE"/>
    <w:rsid w:val="00EF4C95"/>
    <w:rsid w:val="00EF4CD7"/>
    <w:rsid w:val="00EF4CE3"/>
    <w:rsid w:val="00EF4D7C"/>
    <w:rsid w:val="00EF4EB2"/>
    <w:rsid w:val="00EF4EB9"/>
    <w:rsid w:val="00EF4F9D"/>
    <w:rsid w:val="00EF517C"/>
    <w:rsid w:val="00EF517E"/>
    <w:rsid w:val="00EF51EA"/>
    <w:rsid w:val="00EF5545"/>
    <w:rsid w:val="00EF556C"/>
    <w:rsid w:val="00EF55B9"/>
    <w:rsid w:val="00EF5676"/>
    <w:rsid w:val="00EF56DA"/>
    <w:rsid w:val="00EF5717"/>
    <w:rsid w:val="00EF5835"/>
    <w:rsid w:val="00EF58A8"/>
    <w:rsid w:val="00EF5ADE"/>
    <w:rsid w:val="00EF5C06"/>
    <w:rsid w:val="00EF5C63"/>
    <w:rsid w:val="00EF5C98"/>
    <w:rsid w:val="00EF5D30"/>
    <w:rsid w:val="00EF5E93"/>
    <w:rsid w:val="00EF5F00"/>
    <w:rsid w:val="00EF600E"/>
    <w:rsid w:val="00EF600F"/>
    <w:rsid w:val="00EF6027"/>
    <w:rsid w:val="00EF6229"/>
    <w:rsid w:val="00EF64F2"/>
    <w:rsid w:val="00EF65EA"/>
    <w:rsid w:val="00EF682A"/>
    <w:rsid w:val="00EF69C7"/>
    <w:rsid w:val="00EF6B75"/>
    <w:rsid w:val="00EF6D08"/>
    <w:rsid w:val="00EF6DA3"/>
    <w:rsid w:val="00EF6E02"/>
    <w:rsid w:val="00EF6F54"/>
    <w:rsid w:val="00EF6F9A"/>
    <w:rsid w:val="00EF6FDB"/>
    <w:rsid w:val="00EF7133"/>
    <w:rsid w:val="00EF7143"/>
    <w:rsid w:val="00EF720C"/>
    <w:rsid w:val="00EF722F"/>
    <w:rsid w:val="00EF7285"/>
    <w:rsid w:val="00EF77FF"/>
    <w:rsid w:val="00EF79A9"/>
    <w:rsid w:val="00EF7A24"/>
    <w:rsid w:val="00EF7B6A"/>
    <w:rsid w:val="00EF7D98"/>
    <w:rsid w:val="00EF7E3D"/>
    <w:rsid w:val="00F0021C"/>
    <w:rsid w:val="00F00479"/>
    <w:rsid w:val="00F0051E"/>
    <w:rsid w:val="00F00706"/>
    <w:rsid w:val="00F009B0"/>
    <w:rsid w:val="00F00A1E"/>
    <w:rsid w:val="00F00A7F"/>
    <w:rsid w:val="00F00AEA"/>
    <w:rsid w:val="00F00C23"/>
    <w:rsid w:val="00F00D71"/>
    <w:rsid w:val="00F00DA2"/>
    <w:rsid w:val="00F00E40"/>
    <w:rsid w:val="00F00F2D"/>
    <w:rsid w:val="00F010C7"/>
    <w:rsid w:val="00F011A6"/>
    <w:rsid w:val="00F01219"/>
    <w:rsid w:val="00F0141A"/>
    <w:rsid w:val="00F0149A"/>
    <w:rsid w:val="00F0166B"/>
    <w:rsid w:val="00F016D3"/>
    <w:rsid w:val="00F016DF"/>
    <w:rsid w:val="00F01A7F"/>
    <w:rsid w:val="00F01B13"/>
    <w:rsid w:val="00F01C88"/>
    <w:rsid w:val="00F01CDB"/>
    <w:rsid w:val="00F01D94"/>
    <w:rsid w:val="00F01DCC"/>
    <w:rsid w:val="00F01DDF"/>
    <w:rsid w:val="00F01E2F"/>
    <w:rsid w:val="00F01F3A"/>
    <w:rsid w:val="00F01FB9"/>
    <w:rsid w:val="00F0209F"/>
    <w:rsid w:val="00F02125"/>
    <w:rsid w:val="00F02168"/>
    <w:rsid w:val="00F02321"/>
    <w:rsid w:val="00F023BE"/>
    <w:rsid w:val="00F02404"/>
    <w:rsid w:val="00F02495"/>
    <w:rsid w:val="00F02792"/>
    <w:rsid w:val="00F027B0"/>
    <w:rsid w:val="00F028C9"/>
    <w:rsid w:val="00F029CC"/>
    <w:rsid w:val="00F02BCE"/>
    <w:rsid w:val="00F02D5F"/>
    <w:rsid w:val="00F02F02"/>
    <w:rsid w:val="00F02FCE"/>
    <w:rsid w:val="00F030C6"/>
    <w:rsid w:val="00F030FD"/>
    <w:rsid w:val="00F03190"/>
    <w:rsid w:val="00F0324F"/>
    <w:rsid w:val="00F0336A"/>
    <w:rsid w:val="00F03399"/>
    <w:rsid w:val="00F03450"/>
    <w:rsid w:val="00F034AE"/>
    <w:rsid w:val="00F034E5"/>
    <w:rsid w:val="00F03537"/>
    <w:rsid w:val="00F03646"/>
    <w:rsid w:val="00F0381D"/>
    <w:rsid w:val="00F038F8"/>
    <w:rsid w:val="00F03927"/>
    <w:rsid w:val="00F03959"/>
    <w:rsid w:val="00F03A40"/>
    <w:rsid w:val="00F03B00"/>
    <w:rsid w:val="00F03B6C"/>
    <w:rsid w:val="00F03CA2"/>
    <w:rsid w:val="00F03CE6"/>
    <w:rsid w:val="00F03E13"/>
    <w:rsid w:val="00F03EE4"/>
    <w:rsid w:val="00F0402B"/>
    <w:rsid w:val="00F04043"/>
    <w:rsid w:val="00F041EE"/>
    <w:rsid w:val="00F0423F"/>
    <w:rsid w:val="00F04274"/>
    <w:rsid w:val="00F0428A"/>
    <w:rsid w:val="00F0436D"/>
    <w:rsid w:val="00F04400"/>
    <w:rsid w:val="00F0451F"/>
    <w:rsid w:val="00F0455C"/>
    <w:rsid w:val="00F0464D"/>
    <w:rsid w:val="00F0489C"/>
    <w:rsid w:val="00F048F3"/>
    <w:rsid w:val="00F0496B"/>
    <w:rsid w:val="00F049A4"/>
    <w:rsid w:val="00F04AEC"/>
    <w:rsid w:val="00F04B05"/>
    <w:rsid w:val="00F04D5F"/>
    <w:rsid w:val="00F04DCF"/>
    <w:rsid w:val="00F04E7A"/>
    <w:rsid w:val="00F04F8B"/>
    <w:rsid w:val="00F04FD3"/>
    <w:rsid w:val="00F0504F"/>
    <w:rsid w:val="00F0528F"/>
    <w:rsid w:val="00F054AD"/>
    <w:rsid w:val="00F0550D"/>
    <w:rsid w:val="00F05599"/>
    <w:rsid w:val="00F055A6"/>
    <w:rsid w:val="00F05746"/>
    <w:rsid w:val="00F05831"/>
    <w:rsid w:val="00F0583C"/>
    <w:rsid w:val="00F05876"/>
    <w:rsid w:val="00F05882"/>
    <w:rsid w:val="00F05947"/>
    <w:rsid w:val="00F059A2"/>
    <w:rsid w:val="00F05ACE"/>
    <w:rsid w:val="00F05BA2"/>
    <w:rsid w:val="00F05C03"/>
    <w:rsid w:val="00F05C1A"/>
    <w:rsid w:val="00F05C98"/>
    <w:rsid w:val="00F05D32"/>
    <w:rsid w:val="00F05EFC"/>
    <w:rsid w:val="00F05F32"/>
    <w:rsid w:val="00F05FDB"/>
    <w:rsid w:val="00F05FDC"/>
    <w:rsid w:val="00F0600B"/>
    <w:rsid w:val="00F06048"/>
    <w:rsid w:val="00F06055"/>
    <w:rsid w:val="00F060DF"/>
    <w:rsid w:val="00F062E8"/>
    <w:rsid w:val="00F06336"/>
    <w:rsid w:val="00F06350"/>
    <w:rsid w:val="00F06365"/>
    <w:rsid w:val="00F063D2"/>
    <w:rsid w:val="00F0640C"/>
    <w:rsid w:val="00F064CF"/>
    <w:rsid w:val="00F06559"/>
    <w:rsid w:val="00F06606"/>
    <w:rsid w:val="00F06654"/>
    <w:rsid w:val="00F06721"/>
    <w:rsid w:val="00F06736"/>
    <w:rsid w:val="00F067E7"/>
    <w:rsid w:val="00F06B2A"/>
    <w:rsid w:val="00F06BAB"/>
    <w:rsid w:val="00F06BC7"/>
    <w:rsid w:val="00F06CFF"/>
    <w:rsid w:val="00F06D51"/>
    <w:rsid w:val="00F06DB9"/>
    <w:rsid w:val="00F06DE1"/>
    <w:rsid w:val="00F06E10"/>
    <w:rsid w:val="00F06E39"/>
    <w:rsid w:val="00F06E55"/>
    <w:rsid w:val="00F06F04"/>
    <w:rsid w:val="00F06F52"/>
    <w:rsid w:val="00F06F5C"/>
    <w:rsid w:val="00F06F80"/>
    <w:rsid w:val="00F06FB8"/>
    <w:rsid w:val="00F06FCF"/>
    <w:rsid w:val="00F0720E"/>
    <w:rsid w:val="00F0738E"/>
    <w:rsid w:val="00F073D1"/>
    <w:rsid w:val="00F0748E"/>
    <w:rsid w:val="00F07557"/>
    <w:rsid w:val="00F075EC"/>
    <w:rsid w:val="00F076BF"/>
    <w:rsid w:val="00F076D7"/>
    <w:rsid w:val="00F0773B"/>
    <w:rsid w:val="00F077F2"/>
    <w:rsid w:val="00F079F2"/>
    <w:rsid w:val="00F07A87"/>
    <w:rsid w:val="00F07B63"/>
    <w:rsid w:val="00F07BCA"/>
    <w:rsid w:val="00F07C17"/>
    <w:rsid w:val="00F07D2C"/>
    <w:rsid w:val="00F07E91"/>
    <w:rsid w:val="00F10153"/>
    <w:rsid w:val="00F10266"/>
    <w:rsid w:val="00F103CA"/>
    <w:rsid w:val="00F1042B"/>
    <w:rsid w:val="00F104AB"/>
    <w:rsid w:val="00F10519"/>
    <w:rsid w:val="00F10555"/>
    <w:rsid w:val="00F105A2"/>
    <w:rsid w:val="00F10673"/>
    <w:rsid w:val="00F1067A"/>
    <w:rsid w:val="00F106EA"/>
    <w:rsid w:val="00F107E8"/>
    <w:rsid w:val="00F109D1"/>
    <w:rsid w:val="00F10A21"/>
    <w:rsid w:val="00F10AEC"/>
    <w:rsid w:val="00F10BB1"/>
    <w:rsid w:val="00F10BF0"/>
    <w:rsid w:val="00F10D39"/>
    <w:rsid w:val="00F10E93"/>
    <w:rsid w:val="00F10FC6"/>
    <w:rsid w:val="00F10FF6"/>
    <w:rsid w:val="00F11030"/>
    <w:rsid w:val="00F1104B"/>
    <w:rsid w:val="00F11088"/>
    <w:rsid w:val="00F110A0"/>
    <w:rsid w:val="00F11109"/>
    <w:rsid w:val="00F11113"/>
    <w:rsid w:val="00F11150"/>
    <w:rsid w:val="00F1125C"/>
    <w:rsid w:val="00F11292"/>
    <w:rsid w:val="00F113A0"/>
    <w:rsid w:val="00F114BC"/>
    <w:rsid w:val="00F1166D"/>
    <w:rsid w:val="00F118B9"/>
    <w:rsid w:val="00F118EA"/>
    <w:rsid w:val="00F119B9"/>
    <w:rsid w:val="00F11B5E"/>
    <w:rsid w:val="00F11B9B"/>
    <w:rsid w:val="00F11C1B"/>
    <w:rsid w:val="00F11C68"/>
    <w:rsid w:val="00F11C70"/>
    <w:rsid w:val="00F11DEC"/>
    <w:rsid w:val="00F11EA6"/>
    <w:rsid w:val="00F11F29"/>
    <w:rsid w:val="00F121D4"/>
    <w:rsid w:val="00F1233D"/>
    <w:rsid w:val="00F123E7"/>
    <w:rsid w:val="00F12449"/>
    <w:rsid w:val="00F12457"/>
    <w:rsid w:val="00F124D9"/>
    <w:rsid w:val="00F12504"/>
    <w:rsid w:val="00F12519"/>
    <w:rsid w:val="00F126DF"/>
    <w:rsid w:val="00F1275B"/>
    <w:rsid w:val="00F127FD"/>
    <w:rsid w:val="00F1281F"/>
    <w:rsid w:val="00F1290D"/>
    <w:rsid w:val="00F1294A"/>
    <w:rsid w:val="00F129D1"/>
    <w:rsid w:val="00F12A30"/>
    <w:rsid w:val="00F12BAD"/>
    <w:rsid w:val="00F12BF5"/>
    <w:rsid w:val="00F12C49"/>
    <w:rsid w:val="00F12E30"/>
    <w:rsid w:val="00F13001"/>
    <w:rsid w:val="00F1301A"/>
    <w:rsid w:val="00F13064"/>
    <w:rsid w:val="00F13094"/>
    <w:rsid w:val="00F130B4"/>
    <w:rsid w:val="00F13279"/>
    <w:rsid w:val="00F1328B"/>
    <w:rsid w:val="00F1337A"/>
    <w:rsid w:val="00F133B5"/>
    <w:rsid w:val="00F133BF"/>
    <w:rsid w:val="00F135CA"/>
    <w:rsid w:val="00F13828"/>
    <w:rsid w:val="00F13891"/>
    <w:rsid w:val="00F138F0"/>
    <w:rsid w:val="00F139A7"/>
    <w:rsid w:val="00F139AA"/>
    <w:rsid w:val="00F13AD0"/>
    <w:rsid w:val="00F13B52"/>
    <w:rsid w:val="00F13BBE"/>
    <w:rsid w:val="00F13BE9"/>
    <w:rsid w:val="00F13F64"/>
    <w:rsid w:val="00F13FFF"/>
    <w:rsid w:val="00F14050"/>
    <w:rsid w:val="00F1406D"/>
    <w:rsid w:val="00F140FE"/>
    <w:rsid w:val="00F142D2"/>
    <w:rsid w:val="00F1438C"/>
    <w:rsid w:val="00F143C9"/>
    <w:rsid w:val="00F14407"/>
    <w:rsid w:val="00F1446C"/>
    <w:rsid w:val="00F14544"/>
    <w:rsid w:val="00F145DB"/>
    <w:rsid w:val="00F14646"/>
    <w:rsid w:val="00F1466A"/>
    <w:rsid w:val="00F14865"/>
    <w:rsid w:val="00F1486F"/>
    <w:rsid w:val="00F14921"/>
    <w:rsid w:val="00F14950"/>
    <w:rsid w:val="00F14965"/>
    <w:rsid w:val="00F14F43"/>
    <w:rsid w:val="00F14F7D"/>
    <w:rsid w:val="00F15039"/>
    <w:rsid w:val="00F1536B"/>
    <w:rsid w:val="00F1541D"/>
    <w:rsid w:val="00F1542B"/>
    <w:rsid w:val="00F1581B"/>
    <w:rsid w:val="00F15925"/>
    <w:rsid w:val="00F15964"/>
    <w:rsid w:val="00F15A28"/>
    <w:rsid w:val="00F15A32"/>
    <w:rsid w:val="00F15A3B"/>
    <w:rsid w:val="00F15B3D"/>
    <w:rsid w:val="00F15C62"/>
    <w:rsid w:val="00F15F17"/>
    <w:rsid w:val="00F15F4E"/>
    <w:rsid w:val="00F1600C"/>
    <w:rsid w:val="00F16093"/>
    <w:rsid w:val="00F160CE"/>
    <w:rsid w:val="00F1614B"/>
    <w:rsid w:val="00F16293"/>
    <w:rsid w:val="00F16455"/>
    <w:rsid w:val="00F16722"/>
    <w:rsid w:val="00F167DB"/>
    <w:rsid w:val="00F167FC"/>
    <w:rsid w:val="00F16CB6"/>
    <w:rsid w:val="00F16D11"/>
    <w:rsid w:val="00F16EA8"/>
    <w:rsid w:val="00F16EE4"/>
    <w:rsid w:val="00F16EF6"/>
    <w:rsid w:val="00F17067"/>
    <w:rsid w:val="00F17112"/>
    <w:rsid w:val="00F17199"/>
    <w:rsid w:val="00F172EF"/>
    <w:rsid w:val="00F1742B"/>
    <w:rsid w:val="00F1742E"/>
    <w:rsid w:val="00F174AE"/>
    <w:rsid w:val="00F1769B"/>
    <w:rsid w:val="00F177F8"/>
    <w:rsid w:val="00F1789F"/>
    <w:rsid w:val="00F178EE"/>
    <w:rsid w:val="00F17A26"/>
    <w:rsid w:val="00F17A93"/>
    <w:rsid w:val="00F17B97"/>
    <w:rsid w:val="00F17BA0"/>
    <w:rsid w:val="00F17C1D"/>
    <w:rsid w:val="00F17C30"/>
    <w:rsid w:val="00F17CCA"/>
    <w:rsid w:val="00F17E08"/>
    <w:rsid w:val="00F17E0E"/>
    <w:rsid w:val="00F17E1E"/>
    <w:rsid w:val="00F17F8F"/>
    <w:rsid w:val="00F20031"/>
    <w:rsid w:val="00F2010E"/>
    <w:rsid w:val="00F20253"/>
    <w:rsid w:val="00F20354"/>
    <w:rsid w:val="00F203CC"/>
    <w:rsid w:val="00F203FA"/>
    <w:rsid w:val="00F20425"/>
    <w:rsid w:val="00F204E0"/>
    <w:rsid w:val="00F2056D"/>
    <w:rsid w:val="00F207A0"/>
    <w:rsid w:val="00F20831"/>
    <w:rsid w:val="00F209BB"/>
    <w:rsid w:val="00F209FE"/>
    <w:rsid w:val="00F20A67"/>
    <w:rsid w:val="00F20ACE"/>
    <w:rsid w:val="00F20AD8"/>
    <w:rsid w:val="00F20B3E"/>
    <w:rsid w:val="00F20B7C"/>
    <w:rsid w:val="00F20BCF"/>
    <w:rsid w:val="00F20BD1"/>
    <w:rsid w:val="00F20C41"/>
    <w:rsid w:val="00F20CD5"/>
    <w:rsid w:val="00F20D00"/>
    <w:rsid w:val="00F20D28"/>
    <w:rsid w:val="00F20E0B"/>
    <w:rsid w:val="00F20E96"/>
    <w:rsid w:val="00F21018"/>
    <w:rsid w:val="00F21030"/>
    <w:rsid w:val="00F210D0"/>
    <w:rsid w:val="00F21157"/>
    <w:rsid w:val="00F21173"/>
    <w:rsid w:val="00F211B0"/>
    <w:rsid w:val="00F2129F"/>
    <w:rsid w:val="00F21662"/>
    <w:rsid w:val="00F216F9"/>
    <w:rsid w:val="00F21704"/>
    <w:rsid w:val="00F21747"/>
    <w:rsid w:val="00F21846"/>
    <w:rsid w:val="00F21929"/>
    <w:rsid w:val="00F21951"/>
    <w:rsid w:val="00F21C01"/>
    <w:rsid w:val="00F21C37"/>
    <w:rsid w:val="00F21C8F"/>
    <w:rsid w:val="00F21CD6"/>
    <w:rsid w:val="00F21CF6"/>
    <w:rsid w:val="00F21D76"/>
    <w:rsid w:val="00F21F1E"/>
    <w:rsid w:val="00F21F90"/>
    <w:rsid w:val="00F22083"/>
    <w:rsid w:val="00F2209F"/>
    <w:rsid w:val="00F220D9"/>
    <w:rsid w:val="00F2217E"/>
    <w:rsid w:val="00F22242"/>
    <w:rsid w:val="00F22263"/>
    <w:rsid w:val="00F222A6"/>
    <w:rsid w:val="00F22450"/>
    <w:rsid w:val="00F22479"/>
    <w:rsid w:val="00F227B6"/>
    <w:rsid w:val="00F227E8"/>
    <w:rsid w:val="00F228F2"/>
    <w:rsid w:val="00F22A48"/>
    <w:rsid w:val="00F22A50"/>
    <w:rsid w:val="00F22A7F"/>
    <w:rsid w:val="00F22B90"/>
    <w:rsid w:val="00F22BF3"/>
    <w:rsid w:val="00F22D54"/>
    <w:rsid w:val="00F22D82"/>
    <w:rsid w:val="00F22D85"/>
    <w:rsid w:val="00F22ED0"/>
    <w:rsid w:val="00F22F11"/>
    <w:rsid w:val="00F2310D"/>
    <w:rsid w:val="00F232A4"/>
    <w:rsid w:val="00F2338B"/>
    <w:rsid w:val="00F23459"/>
    <w:rsid w:val="00F23600"/>
    <w:rsid w:val="00F23612"/>
    <w:rsid w:val="00F237EB"/>
    <w:rsid w:val="00F238F6"/>
    <w:rsid w:val="00F23905"/>
    <w:rsid w:val="00F23914"/>
    <w:rsid w:val="00F239FE"/>
    <w:rsid w:val="00F23A41"/>
    <w:rsid w:val="00F23B2A"/>
    <w:rsid w:val="00F23B79"/>
    <w:rsid w:val="00F23C1B"/>
    <w:rsid w:val="00F23C4F"/>
    <w:rsid w:val="00F23E36"/>
    <w:rsid w:val="00F23E3C"/>
    <w:rsid w:val="00F23FD7"/>
    <w:rsid w:val="00F24057"/>
    <w:rsid w:val="00F240D1"/>
    <w:rsid w:val="00F24152"/>
    <w:rsid w:val="00F24153"/>
    <w:rsid w:val="00F24154"/>
    <w:rsid w:val="00F24262"/>
    <w:rsid w:val="00F2438F"/>
    <w:rsid w:val="00F243CD"/>
    <w:rsid w:val="00F24408"/>
    <w:rsid w:val="00F24437"/>
    <w:rsid w:val="00F24627"/>
    <w:rsid w:val="00F246B5"/>
    <w:rsid w:val="00F24724"/>
    <w:rsid w:val="00F2478C"/>
    <w:rsid w:val="00F247B1"/>
    <w:rsid w:val="00F247CB"/>
    <w:rsid w:val="00F2497B"/>
    <w:rsid w:val="00F24A7E"/>
    <w:rsid w:val="00F24CA3"/>
    <w:rsid w:val="00F24D07"/>
    <w:rsid w:val="00F2502F"/>
    <w:rsid w:val="00F25063"/>
    <w:rsid w:val="00F2554E"/>
    <w:rsid w:val="00F25564"/>
    <w:rsid w:val="00F2556B"/>
    <w:rsid w:val="00F25584"/>
    <w:rsid w:val="00F255B4"/>
    <w:rsid w:val="00F255C8"/>
    <w:rsid w:val="00F259F0"/>
    <w:rsid w:val="00F25AF5"/>
    <w:rsid w:val="00F25C18"/>
    <w:rsid w:val="00F25C45"/>
    <w:rsid w:val="00F25D5C"/>
    <w:rsid w:val="00F25E12"/>
    <w:rsid w:val="00F25E26"/>
    <w:rsid w:val="00F2608C"/>
    <w:rsid w:val="00F2634A"/>
    <w:rsid w:val="00F2654F"/>
    <w:rsid w:val="00F26564"/>
    <w:rsid w:val="00F265BD"/>
    <w:rsid w:val="00F2677B"/>
    <w:rsid w:val="00F26798"/>
    <w:rsid w:val="00F268A0"/>
    <w:rsid w:val="00F268F0"/>
    <w:rsid w:val="00F26A58"/>
    <w:rsid w:val="00F26AE2"/>
    <w:rsid w:val="00F26B91"/>
    <w:rsid w:val="00F26B97"/>
    <w:rsid w:val="00F26C12"/>
    <w:rsid w:val="00F26C2A"/>
    <w:rsid w:val="00F26D78"/>
    <w:rsid w:val="00F26DD0"/>
    <w:rsid w:val="00F26E6D"/>
    <w:rsid w:val="00F26FF6"/>
    <w:rsid w:val="00F2704A"/>
    <w:rsid w:val="00F27151"/>
    <w:rsid w:val="00F27402"/>
    <w:rsid w:val="00F27491"/>
    <w:rsid w:val="00F2749E"/>
    <w:rsid w:val="00F27512"/>
    <w:rsid w:val="00F275DD"/>
    <w:rsid w:val="00F27646"/>
    <w:rsid w:val="00F27649"/>
    <w:rsid w:val="00F27754"/>
    <w:rsid w:val="00F277A9"/>
    <w:rsid w:val="00F277ED"/>
    <w:rsid w:val="00F27829"/>
    <w:rsid w:val="00F27921"/>
    <w:rsid w:val="00F2798A"/>
    <w:rsid w:val="00F27A7E"/>
    <w:rsid w:val="00F27D3B"/>
    <w:rsid w:val="00F27DFB"/>
    <w:rsid w:val="00F27E24"/>
    <w:rsid w:val="00F27F10"/>
    <w:rsid w:val="00F27FE7"/>
    <w:rsid w:val="00F300BE"/>
    <w:rsid w:val="00F303FD"/>
    <w:rsid w:val="00F30436"/>
    <w:rsid w:val="00F306F9"/>
    <w:rsid w:val="00F30759"/>
    <w:rsid w:val="00F30951"/>
    <w:rsid w:val="00F30A33"/>
    <w:rsid w:val="00F30A96"/>
    <w:rsid w:val="00F30AA7"/>
    <w:rsid w:val="00F30C4E"/>
    <w:rsid w:val="00F30C99"/>
    <w:rsid w:val="00F30D3E"/>
    <w:rsid w:val="00F30D47"/>
    <w:rsid w:val="00F30D94"/>
    <w:rsid w:val="00F30DD0"/>
    <w:rsid w:val="00F31031"/>
    <w:rsid w:val="00F3112C"/>
    <w:rsid w:val="00F3127F"/>
    <w:rsid w:val="00F31438"/>
    <w:rsid w:val="00F314DF"/>
    <w:rsid w:val="00F31730"/>
    <w:rsid w:val="00F31879"/>
    <w:rsid w:val="00F31A02"/>
    <w:rsid w:val="00F31BD9"/>
    <w:rsid w:val="00F31BF9"/>
    <w:rsid w:val="00F31DFF"/>
    <w:rsid w:val="00F31E7A"/>
    <w:rsid w:val="00F31F83"/>
    <w:rsid w:val="00F31F9E"/>
    <w:rsid w:val="00F3221C"/>
    <w:rsid w:val="00F32277"/>
    <w:rsid w:val="00F32343"/>
    <w:rsid w:val="00F323A0"/>
    <w:rsid w:val="00F32427"/>
    <w:rsid w:val="00F3244C"/>
    <w:rsid w:val="00F324D4"/>
    <w:rsid w:val="00F32564"/>
    <w:rsid w:val="00F32783"/>
    <w:rsid w:val="00F327B7"/>
    <w:rsid w:val="00F327BF"/>
    <w:rsid w:val="00F32939"/>
    <w:rsid w:val="00F329D4"/>
    <w:rsid w:val="00F32A02"/>
    <w:rsid w:val="00F32AFB"/>
    <w:rsid w:val="00F32B5B"/>
    <w:rsid w:val="00F32DC3"/>
    <w:rsid w:val="00F33234"/>
    <w:rsid w:val="00F33276"/>
    <w:rsid w:val="00F333B1"/>
    <w:rsid w:val="00F33443"/>
    <w:rsid w:val="00F33458"/>
    <w:rsid w:val="00F334B7"/>
    <w:rsid w:val="00F334D0"/>
    <w:rsid w:val="00F335E2"/>
    <w:rsid w:val="00F33829"/>
    <w:rsid w:val="00F338B0"/>
    <w:rsid w:val="00F33B05"/>
    <w:rsid w:val="00F33B59"/>
    <w:rsid w:val="00F33EC6"/>
    <w:rsid w:val="00F33EF3"/>
    <w:rsid w:val="00F33F0D"/>
    <w:rsid w:val="00F33F8C"/>
    <w:rsid w:val="00F34046"/>
    <w:rsid w:val="00F3406C"/>
    <w:rsid w:val="00F3408A"/>
    <w:rsid w:val="00F3412D"/>
    <w:rsid w:val="00F34192"/>
    <w:rsid w:val="00F342AF"/>
    <w:rsid w:val="00F342E8"/>
    <w:rsid w:val="00F344B1"/>
    <w:rsid w:val="00F344FF"/>
    <w:rsid w:val="00F3466C"/>
    <w:rsid w:val="00F34711"/>
    <w:rsid w:val="00F34779"/>
    <w:rsid w:val="00F34A01"/>
    <w:rsid w:val="00F34A7A"/>
    <w:rsid w:val="00F34AA7"/>
    <w:rsid w:val="00F34AA9"/>
    <w:rsid w:val="00F34AF5"/>
    <w:rsid w:val="00F34B82"/>
    <w:rsid w:val="00F34C24"/>
    <w:rsid w:val="00F34D0F"/>
    <w:rsid w:val="00F34EDC"/>
    <w:rsid w:val="00F34FA5"/>
    <w:rsid w:val="00F35014"/>
    <w:rsid w:val="00F35068"/>
    <w:rsid w:val="00F35079"/>
    <w:rsid w:val="00F35093"/>
    <w:rsid w:val="00F35142"/>
    <w:rsid w:val="00F3533C"/>
    <w:rsid w:val="00F3535E"/>
    <w:rsid w:val="00F3536A"/>
    <w:rsid w:val="00F3542D"/>
    <w:rsid w:val="00F3544D"/>
    <w:rsid w:val="00F35453"/>
    <w:rsid w:val="00F354F4"/>
    <w:rsid w:val="00F3558D"/>
    <w:rsid w:val="00F35617"/>
    <w:rsid w:val="00F35721"/>
    <w:rsid w:val="00F35885"/>
    <w:rsid w:val="00F3588C"/>
    <w:rsid w:val="00F359C2"/>
    <w:rsid w:val="00F35A2A"/>
    <w:rsid w:val="00F35A97"/>
    <w:rsid w:val="00F35AC7"/>
    <w:rsid w:val="00F35BA3"/>
    <w:rsid w:val="00F35BD5"/>
    <w:rsid w:val="00F35C66"/>
    <w:rsid w:val="00F35E92"/>
    <w:rsid w:val="00F35EAE"/>
    <w:rsid w:val="00F35F49"/>
    <w:rsid w:val="00F35FF8"/>
    <w:rsid w:val="00F363DF"/>
    <w:rsid w:val="00F364DB"/>
    <w:rsid w:val="00F36605"/>
    <w:rsid w:val="00F36638"/>
    <w:rsid w:val="00F3665C"/>
    <w:rsid w:val="00F36679"/>
    <w:rsid w:val="00F366A5"/>
    <w:rsid w:val="00F3687C"/>
    <w:rsid w:val="00F368D8"/>
    <w:rsid w:val="00F36A49"/>
    <w:rsid w:val="00F36ADF"/>
    <w:rsid w:val="00F36C3A"/>
    <w:rsid w:val="00F36CE0"/>
    <w:rsid w:val="00F36D78"/>
    <w:rsid w:val="00F36D99"/>
    <w:rsid w:val="00F36DEB"/>
    <w:rsid w:val="00F36F2F"/>
    <w:rsid w:val="00F36F44"/>
    <w:rsid w:val="00F36F8E"/>
    <w:rsid w:val="00F36FAF"/>
    <w:rsid w:val="00F3703A"/>
    <w:rsid w:val="00F3731D"/>
    <w:rsid w:val="00F3741C"/>
    <w:rsid w:val="00F376D9"/>
    <w:rsid w:val="00F379B5"/>
    <w:rsid w:val="00F379C0"/>
    <w:rsid w:val="00F37E03"/>
    <w:rsid w:val="00F37F23"/>
    <w:rsid w:val="00F4014F"/>
    <w:rsid w:val="00F40165"/>
    <w:rsid w:val="00F40187"/>
    <w:rsid w:val="00F401A6"/>
    <w:rsid w:val="00F4032E"/>
    <w:rsid w:val="00F4039D"/>
    <w:rsid w:val="00F404C3"/>
    <w:rsid w:val="00F405A1"/>
    <w:rsid w:val="00F406B9"/>
    <w:rsid w:val="00F40752"/>
    <w:rsid w:val="00F407EB"/>
    <w:rsid w:val="00F40898"/>
    <w:rsid w:val="00F409A4"/>
    <w:rsid w:val="00F409CD"/>
    <w:rsid w:val="00F40AC9"/>
    <w:rsid w:val="00F40DB9"/>
    <w:rsid w:val="00F41158"/>
    <w:rsid w:val="00F41368"/>
    <w:rsid w:val="00F413FA"/>
    <w:rsid w:val="00F4140A"/>
    <w:rsid w:val="00F41472"/>
    <w:rsid w:val="00F41512"/>
    <w:rsid w:val="00F415B1"/>
    <w:rsid w:val="00F415C3"/>
    <w:rsid w:val="00F416AE"/>
    <w:rsid w:val="00F4171A"/>
    <w:rsid w:val="00F41733"/>
    <w:rsid w:val="00F418B3"/>
    <w:rsid w:val="00F418E3"/>
    <w:rsid w:val="00F41A49"/>
    <w:rsid w:val="00F41A96"/>
    <w:rsid w:val="00F41D02"/>
    <w:rsid w:val="00F41D5C"/>
    <w:rsid w:val="00F41EEE"/>
    <w:rsid w:val="00F41F65"/>
    <w:rsid w:val="00F41F7D"/>
    <w:rsid w:val="00F41FF3"/>
    <w:rsid w:val="00F42059"/>
    <w:rsid w:val="00F421FC"/>
    <w:rsid w:val="00F4242E"/>
    <w:rsid w:val="00F42914"/>
    <w:rsid w:val="00F429F3"/>
    <w:rsid w:val="00F42B04"/>
    <w:rsid w:val="00F42B16"/>
    <w:rsid w:val="00F42C60"/>
    <w:rsid w:val="00F42CB2"/>
    <w:rsid w:val="00F42D05"/>
    <w:rsid w:val="00F42F8A"/>
    <w:rsid w:val="00F431ED"/>
    <w:rsid w:val="00F4328F"/>
    <w:rsid w:val="00F43345"/>
    <w:rsid w:val="00F43361"/>
    <w:rsid w:val="00F4371D"/>
    <w:rsid w:val="00F4384F"/>
    <w:rsid w:val="00F4388F"/>
    <w:rsid w:val="00F438A6"/>
    <w:rsid w:val="00F43923"/>
    <w:rsid w:val="00F43AC5"/>
    <w:rsid w:val="00F43AD0"/>
    <w:rsid w:val="00F43B07"/>
    <w:rsid w:val="00F43B62"/>
    <w:rsid w:val="00F43D77"/>
    <w:rsid w:val="00F43DCC"/>
    <w:rsid w:val="00F43E88"/>
    <w:rsid w:val="00F4415C"/>
    <w:rsid w:val="00F442F6"/>
    <w:rsid w:val="00F444C8"/>
    <w:rsid w:val="00F44565"/>
    <w:rsid w:val="00F445B9"/>
    <w:rsid w:val="00F44710"/>
    <w:rsid w:val="00F44AA1"/>
    <w:rsid w:val="00F44B38"/>
    <w:rsid w:val="00F44C4E"/>
    <w:rsid w:val="00F44D28"/>
    <w:rsid w:val="00F44EFB"/>
    <w:rsid w:val="00F450B5"/>
    <w:rsid w:val="00F4523E"/>
    <w:rsid w:val="00F4524E"/>
    <w:rsid w:val="00F45314"/>
    <w:rsid w:val="00F45366"/>
    <w:rsid w:val="00F4536B"/>
    <w:rsid w:val="00F453E3"/>
    <w:rsid w:val="00F453F0"/>
    <w:rsid w:val="00F45485"/>
    <w:rsid w:val="00F4551C"/>
    <w:rsid w:val="00F45543"/>
    <w:rsid w:val="00F45624"/>
    <w:rsid w:val="00F4583E"/>
    <w:rsid w:val="00F45AFC"/>
    <w:rsid w:val="00F45C0F"/>
    <w:rsid w:val="00F45CFD"/>
    <w:rsid w:val="00F45E46"/>
    <w:rsid w:val="00F45EB3"/>
    <w:rsid w:val="00F45FAB"/>
    <w:rsid w:val="00F46051"/>
    <w:rsid w:val="00F460C3"/>
    <w:rsid w:val="00F46226"/>
    <w:rsid w:val="00F46266"/>
    <w:rsid w:val="00F4632A"/>
    <w:rsid w:val="00F463EA"/>
    <w:rsid w:val="00F46419"/>
    <w:rsid w:val="00F465CE"/>
    <w:rsid w:val="00F46610"/>
    <w:rsid w:val="00F46743"/>
    <w:rsid w:val="00F46823"/>
    <w:rsid w:val="00F46AE9"/>
    <w:rsid w:val="00F46BC1"/>
    <w:rsid w:val="00F46C13"/>
    <w:rsid w:val="00F46DD7"/>
    <w:rsid w:val="00F470B1"/>
    <w:rsid w:val="00F4714D"/>
    <w:rsid w:val="00F47162"/>
    <w:rsid w:val="00F47181"/>
    <w:rsid w:val="00F47186"/>
    <w:rsid w:val="00F471A1"/>
    <w:rsid w:val="00F47369"/>
    <w:rsid w:val="00F47582"/>
    <w:rsid w:val="00F475CC"/>
    <w:rsid w:val="00F47BB3"/>
    <w:rsid w:val="00F47BF2"/>
    <w:rsid w:val="00F47BF3"/>
    <w:rsid w:val="00F47C2C"/>
    <w:rsid w:val="00F47D81"/>
    <w:rsid w:val="00F47E7C"/>
    <w:rsid w:val="00F47E92"/>
    <w:rsid w:val="00F47EA0"/>
    <w:rsid w:val="00F5006B"/>
    <w:rsid w:val="00F502F1"/>
    <w:rsid w:val="00F50486"/>
    <w:rsid w:val="00F50585"/>
    <w:rsid w:val="00F50623"/>
    <w:rsid w:val="00F50643"/>
    <w:rsid w:val="00F5067B"/>
    <w:rsid w:val="00F506D3"/>
    <w:rsid w:val="00F5084E"/>
    <w:rsid w:val="00F50854"/>
    <w:rsid w:val="00F508D4"/>
    <w:rsid w:val="00F50A81"/>
    <w:rsid w:val="00F50BE9"/>
    <w:rsid w:val="00F50C5A"/>
    <w:rsid w:val="00F50D69"/>
    <w:rsid w:val="00F50D6C"/>
    <w:rsid w:val="00F50DFA"/>
    <w:rsid w:val="00F50E8D"/>
    <w:rsid w:val="00F50EAC"/>
    <w:rsid w:val="00F50EC5"/>
    <w:rsid w:val="00F50FBA"/>
    <w:rsid w:val="00F5118C"/>
    <w:rsid w:val="00F51454"/>
    <w:rsid w:val="00F5148C"/>
    <w:rsid w:val="00F5172B"/>
    <w:rsid w:val="00F51832"/>
    <w:rsid w:val="00F518E7"/>
    <w:rsid w:val="00F51935"/>
    <w:rsid w:val="00F51A4F"/>
    <w:rsid w:val="00F51B86"/>
    <w:rsid w:val="00F51C3F"/>
    <w:rsid w:val="00F51C54"/>
    <w:rsid w:val="00F51C88"/>
    <w:rsid w:val="00F51D66"/>
    <w:rsid w:val="00F51F26"/>
    <w:rsid w:val="00F52095"/>
    <w:rsid w:val="00F52188"/>
    <w:rsid w:val="00F521F9"/>
    <w:rsid w:val="00F52201"/>
    <w:rsid w:val="00F52272"/>
    <w:rsid w:val="00F5229C"/>
    <w:rsid w:val="00F52427"/>
    <w:rsid w:val="00F524E0"/>
    <w:rsid w:val="00F5257A"/>
    <w:rsid w:val="00F526D9"/>
    <w:rsid w:val="00F52739"/>
    <w:rsid w:val="00F527A6"/>
    <w:rsid w:val="00F527B2"/>
    <w:rsid w:val="00F52815"/>
    <w:rsid w:val="00F528C7"/>
    <w:rsid w:val="00F52A14"/>
    <w:rsid w:val="00F52A4A"/>
    <w:rsid w:val="00F52AE7"/>
    <w:rsid w:val="00F52C52"/>
    <w:rsid w:val="00F52C63"/>
    <w:rsid w:val="00F52CFE"/>
    <w:rsid w:val="00F52D7C"/>
    <w:rsid w:val="00F52E09"/>
    <w:rsid w:val="00F52E5E"/>
    <w:rsid w:val="00F52E8E"/>
    <w:rsid w:val="00F52FDA"/>
    <w:rsid w:val="00F530D4"/>
    <w:rsid w:val="00F53127"/>
    <w:rsid w:val="00F53155"/>
    <w:rsid w:val="00F53174"/>
    <w:rsid w:val="00F531A3"/>
    <w:rsid w:val="00F531E4"/>
    <w:rsid w:val="00F531ED"/>
    <w:rsid w:val="00F53227"/>
    <w:rsid w:val="00F53289"/>
    <w:rsid w:val="00F532ED"/>
    <w:rsid w:val="00F533A9"/>
    <w:rsid w:val="00F533B0"/>
    <w:rsid w:val="00F53459"/>
    <w:rsid w:val="00F5345D"/>
    <w:rsid w:val="00F534C5"/>
    <w:rsid w:val="00F5368B"/>
    <w:rsid w:val="00F537A8"/>
    <w:rsid w:val="00F539CD"/>
    <w:rsid w:val="00F53A55"/>
    <w:rsid w:val="00F53AFB"/>
    <w:rsid w:val="00F53BAB"/>
    <w:rsid w:val="00F53D12"/>
    <w:rsid w:val="00F53E12"/>
    <w:rsid w:val="00F53ECA"/>
    <w:rsid w:val="00F5432E"/>
    <w:rsid w:val="00F54332"/>
    <w:rsid w:val="00F545D6"/>
    <w:rsid w:val="00F545F8"/>
    <w:rsid w:val="00F547A1"/>
    <w:rsid w:val="00F54937"/>
    <w:rsid w:val="00F549F9"/>
    <w:rsid w:val="00F54A42"/>
    <w:rsid w:val="00F54A6E"/>
    <w:rsid w:val="00F54C25"/>
    <w:rsid w:val="00F54CB2"/>
    <w:rsid w:val="00F54D06"/>
    <w:rsid w:val="00F54E05"/>
    <w:rsid w:val="00F54EF0"/>
    <w:rsid w:val="00F54F08"/>
    <w:rsid w:val="00F5524A"/>
    <w:rsid w:val="00F553B1"/>
    <w:rsid w:val="00F5546C"/>
    <w:rsid w:val="00F55649"/>
    <w:rsid w:val="00F55746"/>
    <w:rsid w:val="00F55785"/>
    <w:rsid w:val="00F557C4"/>
    <w:rsid w:val="00F557F2"/>
    <w:rsid w:val="00F55903"/>
    <w:rsid w:val="00F55987"/>
    <w:rsid w:val="00F55ACD"/>
    <w:rsid w:val="00F55BC9"/>
    <w:rsid w:val="00F55D14"/>
    <w:rsid w:val="00F55D16"/>
    <w:rsid w:val="00F55DAA"/>
    <w:rsid w:val="00F55E86"/>
    <w:rsid w:val="00F55F91"/>
    <w:rsid w:val="00F5603B"/>
    <w:rsid w:val="00F56060"/>
    <w:rsid w:val="00F56222"/>
    <w:rsid w:val="00F562C4"/>
    <w:rsid w:val="00F563AF"/>
    <w:rsid w:val="00F563E6"/>
    <w:rsid w:val="00F56437"/>
    <w:rsid w:val="00F566E3"/>
    <w:rsid w:val="00F568A2"/>
    <w:rsid w:val="00F569A1"/>
    <w:rsid w:val="00F56A3C"/>
    <w:rsid w:val="00F56A82"/>
    <w:rsid w:val="00F56B40"/>
    <w:rsid w:val="00F56C63"/>
    <w:rsid w:val="00F56C6E"/>
    <w:rsid w:val="00F56E10"/>
    <w:rsid w:val="00F56E4D"/>
    <w:rsid w:val="00F56F2F"/>
    <w:rsid w:val="00F56F5A"/>
    <w:rsid w:val="00F570EA"/>
    <w:rsid w:val="00F573E7"/>
    <w:rsid w:val="00F5784D"/>
    <w:rsid w:val="00F57850"/>
    <w:rsid w:val="00F579C2"/>
    <w:rsid w:val="00F57BE2"/>
    <w:rsid w:val="00F57C80"/>
    <w:rsid w:val="00F57DB5"/>
    <w:rsid w:val="00F57F04"/>
    <w:rsid w:val="00F57F42"/>
    <w:rsid w:val="00F57FF8"/>
    <w:rsid w:val="00F6000D"/>
    <w:rsid w:val="00F60088"/>
    <w:rsid w:val="00F600C3"/>
    <w:rsid w:val="00F60138"/>
    <w:rsid w:val="00F60200"/>
    <w:rsid w:val="00F6056F"/>
    <w:rsid w:val="00F606BA"/>
    <w:rsid w:val="00F608BD"/>
    <w:rsid w:val="00F60928"/>
    <w:rsid w:val="00F609B2"/>
    <w:rsid w:val="00F60A65"/>
    <w:rsid w:val="00F60ADC"/>
    <w:rsid w:val="00F60B3D"/>
    <w:rsid w:val="00F60B55"/>
    <w:rsid w:val="00F60BDE"/>
    <w:rsid w:val="00F60D86"/>
    <w:rsid w:val="00F60DC2"/>
    <w:rsid w:val="00F60DDA"/>
    <w:rsid w:val="00F60E0D"/>
    <w:rsid w:val="00F60ECF"/>
    <w:rsid w:val="00F61077"/>
    <w:rsid w:val="00F6146B"/>
    <w:rsid w:val="00F6181D"/>
    <w:rsid w:val="00F61885"/>
    <w:rsid w:val="00F61C02"/>
    <w:rsid w:val="00F61D19"/>
    <w:rsid w:val="00F61D24"/>
    <w:rsid w:val="00F61D2F"/>
    <w:rsid w:val="00F61DAD"/>
    <w:rsid w:val="00F61E63"/>
    <w:rsid w:val="00F620E2"/>
    <w:rsid w:val="00F62138"/>
    <w:rsid w:val="00F6239D"/>
    <w:rsid w:val="00F625B4"/>
    <w:rsid w:val="00F625F6"/>
    <w:rsid w:val="00F6273A"/>
    <w:rsid w:val="00F6287C"/>
    <w:rsid w:val="00F628B3"/>
    <w:rsid w:val="00F62983"/>
    <w:rsid w:val="00F6299A"/>
    <w:rsid w:val="00F629D3"/>
    <w:rsid w:val="00F62A73"/>
    <w:rsid w:val="00F62AFB"/>
    <w:rsid w:val="00F62B41"/>
    <w:rsid w:val="00F62B5B"/>
    <w:rsid w:val="00F62BCA"/>
    <w:rsid w:val="00F62BDA"/>
    <w:rsid w:val="00F62C66"/>
    <w:rsid w:val="00F62DFA"/>
    <w:rsid w:val="00F62F39"/>
    <w:rsid w:val="00F62F42"/>
    <w:rsid w:val="00F63027"/>
    <w:rsid w:val="00F631B1"/>
    <w:rsid w:val="00F63241"/>
    <w:rsid w:val="00F6324E"/>
    <w:rsid w:val="00F63415"/>
    <w:rsid w:val="00F634B2"/>
    <w:rsid w:val="00F63539"/>
    <w:rsid w:val="00F6353C"/>
    <w:rsid w:val="00F6357F"/>
    <w:rsid w:val="00F63597"/>
    <w:rsid w:val="00F637D1"/>
    <w:rsid w:val="00F63911"/>
    <w:rsid w:val="00F639A2"/>
    <w:rsid w:val="00F63A7D"/>
    <w:rsid w:val="00F63B50"/>
    <w:rsid w:val="00F63BFD"/>
    <w:rsid w:val="00F63C1A"/>
    <w:rsid w:val="00F63C79"/>
    <w:rsid w:val="00F63CF0"/>
    <w:rsid w:val="00F63D7E"/>
    <w:rsid w:val="00F63F5D"/>
    <w:rsid w:val="00F63F69"/>
    <w:rsid w:val="00F640E7"/>
    <w:rsid w:val="00F64148"/>
    <w:rsid w:val="00F6438F"/>
    <w:rsid w:val="00F64429"/>
    <w:rsid w:val="00F6449C"/>
    <w:rsid w:val="00F644F2"/>
    <w:rsid w:val="00F645F6"/>
    <w:rsid w:val="00F646F0"/>
    <w:rsid w:val="00F64744"/>
    <w:rsid w:val="00F648B9"/>
    <w:rsid w:val="00F64A1F"/>
    <w:rsid w:val="00F64B11"/>
    <w:rsid w:val="00F64BC2"/>
    <w:rsid w:val="00F64DEC"/>
    <w:rsid w:val="00F64F44"/>
    <w:rsid w:val="00F6521A"/>
    <w:rsid w:val="00F65223"/>
    <w:rsid w:val="00F65230"/>
    <w:rsid w:val="00F6536A"/>
    <w:rsid w:val="00F653C0"/>
    <w:rsid w:val="00F6546A"/>
    <w:rsid w:val="00F655D3"/>
    <w:rsid w:val="00F65661"/>
    <w:rsid w:val="00F65A28"/>
    <w:rsid w:val="00F65B9A"/>
    <w:rsid w:val="00F65F7E"/>
    <w:rsid w:val="00F66104"/>
    <w:rsid w:val="00F661CD"/>
    <w:rsid w:val="00F6624E"/>
    <w:rsid w:val="00F662BF"/>
    <w:rsid w:val="00F6642A"/>
    <w:rsid w:val="00F66501"/>
    <w:rsid w:val="00F66585"/>
    <w:rsid w:val="00F6677A"/>
    <w:rsid w:val="00F66877"/>
    <w:rsid w:val="00F6693F"/>
    <w:rsid w:val="00F66B32"/>
    <w:rsid w:val="00F66C6A"/>
    <w:rsid w:val="00F66C78"/>
    <w:rsid w:val="00F66D20"/>
    <w:rsid w:val="00F66D3F"/>
    <w:rsid w:val="00F66DC5"/>
    <w:rsid w:val="00F66E15"/>
    <w:rsid w:val="00F6706E"/>
    <w:rsid w:val="00F670A5"/>
    <w:rsid w:val="00F670E0"/>
    <w:rsid w:val="00F670E3"/>
    <w:rsid w:val="00F671F9"/>
    <w:rsid w:val="00F67298"/>
    <w:rsid w:val="00F672B0"/>
    <w:rsid w:val="00F672CD"/>
    <w:rsid w:val="00F674CC"/>
    <w:rsid w:val="00F675BE"/>
    <w:rsid w:val="00F6776C"/>
    <w:rsid w:val="00F67790"/>
    <w:rsid w:val="00F677EC"/>
    <w:rsid w:val="00F677F4"/>
    <w:rsid w:val="00F67852"/>
    <w:rsid w:val="00F6789D"/>
    <w:rsid w:val="00F678CA"/>
    <w:rsid w:val="00F678E9"/>
    <w:rsid w:val="00F67A90"/>
    <w:rsid w:val="00F67B62"/>
    <w:rsid w:val="00F67BAD"/>
    <w:rsid w:val="00F67BD9"/>
    <w:rsid w:val="00F67F3C"/>
    <w:rsid w:val="00F70167"/>
    <w:rsid w:val="00F701CB"/>
    <w:rsid w:val="00F702BC"/>
    <w:rsid w:val="00F70543"/>
    <w:rsid w:val="00F70555"/>
    <w:rsid w:val="00F706AC"/>
    <w:rsid w:val="00F70777"/>
    <w:rsid w:val="00F707C6"/>
    <w:rsid w:val="00F70926"/>
    <w:rsid w:val="00F70B76"/>
    <w:rsid w:val="00F70BD9"/>
    <w:rsid w:val="00F70C40"/>
    <w:rsid w:val="00F70C4A"/>
    <w:rsid w:val="00F7103B"/>
    <w:rsid w:val="00F711C4"/>
    <w:rsid w:val="00F7122D"/>
    <w:rsid w:val="00F712C0"/>
    <w:rsid w:val="00F71302"/>
    <w:rsid w:val="00F713E0"/>
    <w:rsid w:val="00F71424"/>
    <w:rsid w:val="00F714E8"/>
    <w:rsid w:val="00F715EC"/>
    <w:rsid w:val="00F7161A"/>
    <w:rsid w:val="00F71630"/>
    <w:rsid w:val="00F7183A"/>
    <w:rsid w:val="00F718C0"/>
    <w:rsid w:val="00F71922"/>
    <w:rsid w:val="00F71A42"/>
    <w:rsid w:val="00F71A9B"/>
    <w:rsid w:val="00F71B8E"/>
    <w:rsid w:val="00F71D12"/>
    <w:rsid w:val="00F71D82"/>
    <w:rsid w:val="00F71DA9"/>
    <w:rsid w:val="00F71F74"/>
    <w:rsid w:val="00F71FBC"/>
    <w:rsid w:val="00F720C1"/>
    <w:rsid w:val="00F720E8"/>
    <w:rsid w:val="00F722AA"/>
    <w:rsid w:val="00F722AF"/>
    <w:rsid w:val="00F72351"/>
    <w:rsid w:val="00F7251C"/>
    <w:rsid w:val="00F7256C"/>
    <w:rsid w:val="00F726E0"/>
    <w:rsid w:val="00F72754"/>
    <w:rsid w:val="00F72775"/>
    <w:rsid w:val="00F727CA"/>
    <w:rsid w:val="00F727E6"/>
    <w:rsid w:val="00F72893"/>
    <w:rsid w:val="00F728A1"/>
    <w:rsid w:val="00F729E0"/>
    <w:rsid w:val="00F72A52"/>
    <w:rsid w:val="00F72AD2"/>
    <w:rsid w:val="00F72AF3"/>
    <w:rsid w:val="00F72B0C"/>
    <w:rsid w:val="00F72C44"/>
    <w:rsid w:val="00F72C67"/>
    <w:rsid w:val="00F72D86"/>
    <w:rsid w:val="00F72F16"/>
    <w:rsid w:val="00F72F89"/>
    <w:rsid w:val="00F73198"/>
    <w:rsid w:val="00F732F0"/>
    <w:rsid w:val="00F73690"/>
    <w:rsid w:val="00F736C3"/>
    <w:rsid w:val="00F736EE"/>
    <w:rsid w:val="00F737CE"/>
    <w:rsid w:val="00F7383D"/>
    <w:rsid w:val="00F73948"/>
    <w:rsid w:val="00F739AF"/>
    <w:rsid w:val="00F739F0"/>
    <w:rsid w:val="00F73BA9"/>
    <w:rsid w:val="00F73CEC"/>
    <w:rsid w:val="00F73D0A"/>
    <w:rsid w:val="00F7433C"/>
    <w:rsid w:val="00F743DD"/>
    <w:rsid w:val="00F74629"/>
    <w:rsid w:val="00F74639"/>
    <w:rsid w:val="00F74A88"/>
    <w:rsid w:val="00F74C3A"/>
    <w:rsid w:val="00F74CCF"/>
    <w:rsid w:val="00F74DBE"/>
    <w:rsid w:val="00F74F42"/>
    <w:rsid w:val="00F74F8B"/>
    <w:rsid w:val="00F75016"/>
    <w:rsid w:val="00F7501C"/>
    <w:rsid w:val="00F750C8"/>
    <w:rsid w:val="00F7516D"/>
    <w:rsid w:val="00F751D8"/>
    <w:rsid w:val="00F75301"/>
    <w:rsid w:val="00F75344"/>
    <w:rsid w:val="00F75400"/>
    <w:rsid w:val="00F75681"/>
    <w:rsid w:val="00F757B3"/>
    <w:rsid w:val="00F75981"/>
    <w:rsid w:val="00F75A87"/>
    <w:rsid w:val="00F75BA8"/>
    <w:rsid w:val="00F75C83"/>
    <w:rsid w:val="00F75E76"/>
    <w:rsid w:val="00F75F5B"/>
    <w:rsid w:val="00F76032"/>
    <w:rsid w:val="00F760AC"/>
    <w:rsid w:val="00F762C2"/>
    <w:rsid w:val="00F76300"/>
    <w:rsid w:val="00F76371"/>
    <w:rsid w:val="00F764FC"/>
    <w:rsid w:val="00F76524"/>
    <w:rsid w:val="00F765AB"/>
    <w:rsid w:val="00F76610"/>
    <w:rsid w:val="00F766A1"/>
    <w:rsid w:val="00F766AD"/>
    <w:rsid w:val="00F76727"/>
    <w:rsid w:val="00F767F8"/>
    <w:rsid w:val="00F76872"/>
    <w:rsid w:val="00F76934"/>
    <w:rsid w:val="00F76A33"/>
    <w:rsid w:val="00F76A68"/>
    <w:rsid w:val="00F76AFC"/>
    <w:rsid w:val="00F76BC9"/>
    <w:rsid w:val="00F76C01"/>
    <w:rsid w:val="00F76C1B"/>
    <w:rsid w:val="00F76C9D"/>
    <w:rsid w:val="00F76DBE"/>
    <w:rsid w:val="00F76E5F"/>
    <w:rsid w:val="00F76F36"/>
    <w:rsid w:val="00F77048"/>
    <w:rsid w:val="00F770EF"/>
    <w:rsid w:val="00F7717F"/>
    <w:rsid w:val="00F774F6"/>
    <w:rsid w:val="00F775F5"/>
    <w:rsid w:val="00F7778A"/>
    <w:rsid w:val="00F777A8"/>
    <w:rsid w:val="00F777B1"/>
    <w:rsid w:val="00F7798D"/>
    <w:rsid w:val="00F77A4C"/>
    <w:rsid w:val="00F77B9D"/>
    <w:rsid w:val="00F77BD9"/>
    <w:rsid w:val="00F77C3B"/>
    <w:rsid w:val="00F77FD5"/>
    <w:rsid w:val="00F8007F"/>
    <w:rsid w:val="00F8008A"/>
    <w:rsid w:val="00F80218"/>
    <w:rsid w:val="00F80239"/>
    <w:rsid w:val="00F802EC"/>
    <w:rsid w:val="00F8034B"/>
    <w:rsid w:val="00F80386"/>
    <w:rsid w:val="00F803A8"/>
    <w:rsid w:val="00F804F7"/>
    <w:rsid w:val="00F8051D"/>
    <w:rsid w:val="00F80847"/>
    <w:rsid w:val="00F8084F"/>
    <w:rsid w:val="00F80A28"/>
    <w:rsid w:val="00F80C22"/>
    <w:rsid w:val="00F80C77"/>
    <w:rsid w:val="00F80D5F"/>
    <w:rsid w:val="00F80D63"/>
    <w:rsid w:val="00F8102D"/>
    <w:rsid w:val="00F81042"/>
    <w:rsid w:val="00F810BC"/>
    <w:rsid w:val="00F8123A"/>
    <w:rsid w:val="00F8154A"/>
    <w:rsid w:val="00F81581"/>
    <w:rsid w:val="00F81686"/>
    <w:rsid w:val="00F817CD"/>
    <w:rsid w:val="00F81885"/>
    <w:rsid w:val="00F818C8"/>
    <w:rsid w:val="00F81901"/>
    <w:rsid w:val="00F819AA"/>
    <w:rsid w:val="00F819DA"/>
    <w:rsid w:val="00F819E1"/>
    <w:rsid w:val="00F81A70"/>
    <w:rsid w:val="00F81ACE"/>
    <w:rsid w:val="00F81BD3"/>
    <w:rsid w:val="00F81D58"/>
    <w:rsid w:val="00F81DEA"/>
    <w:rsid w:val="00F81F40"/>
    <w:rsid w:val="00F81FF7"/>
    <w:rsid w:val="00F82439"/>
    <w:rsid w:val="00F82449"/>
    <w:rsid w:val="00F825C1"/>
    <w:rsid w:val="00F825CD"/>
    <w:rsid w:val="00F82641"/>
    <w:rsid w:val="00F82737"/>
    <w:rsid w:val="00F82811"/>
    <w:rsid w:val="00F829BE"/>
    <w:rsid w:val="00F82A79"/>
    <w:rsid w:val="00F82A84"/>
    <w:rsid w:val="00F82A9C"/>
    <w:rsid w:val="00F82ABE"/>
    <w:rsid w:val="00F82ACE"/>
    <w:rsid w:val="00F82C8E"/>
    <w:rsid w:val="00F82D4A"/>
    <w:rsid w:val="00F82E7C"/>
    <w:rsid w:val="00F82F25"/>
    <w:rsid w:val="00F82F2C"/>
    <w:rsid w:val="00F83049"/>
    <w:rsid w:val="00F830C3"/>
    <w:rsid w:val="00F830E8"/>
    <w:rsid w:val="00F83159"/>
    <w:rsid w:val="00F831A0"/>
    <w:rsid w:val="00F83264"/>
    <w:rsid w:val="00F832CC"/>
    <w:rsid w:val="00F83308"/>
    <w:rsid w:val="00F8331F"/>
    <w:rsid w:val="00F8332B"/>
    <w:rsid w:val="00F835BF"/>
    <w:rsid w:val="00F8361D"/>
    <w:rsid w:val="00F836AF"/>
    <w:rsid w:val="00F836B9"/>
    <w:rsid w:val="00F8370F"/>
    <w:rsid w:val="00F837C6"/>
    <w:rsid w:val="00F8381E"/>
    <w:rsid w:val="00F838AB"/>
    <w:rsid w:val="00F83B11"/>
    <w:rsid w:val="00F83B4E"/>
    <w:rsid w:val="00F83B85"/>
    <w:rsid w:val="00F83C9C"/>
    <w:rsid w:val="00F83CCA"/>
    <w:rsid w:val="00F83D4A"/>
    <w:rsid w:val="00F8400A"/>
    <w:rsid w:val="00F840CA"/>
    <w:rsid w:val="00F840DE"/>
    <w:rsid w:val="00F841FC"/>
    <w:rsid w:val="00F84274"/>
    <w:rsid w:val="00F8441F"/>
    <w:rsid w:val="00F8443E"/>
    <w:rsid w:val="00F8449F"/>
    <w:rsid w:val="00F8463F"/>
    <w:rsid w:val="00F8490C"/>
    <w:rsid w:val="00F84960"/>
    <w:rsid w:val="00F84B4E"/>
    <w:rsid w:val="00F84D68"/>
    <w:rsid w:val="00F84D8C"/>
    <w:rsid w:val="00F84DC2"/>
    <w:rsid w:val="00F84DF9"/>
    <w:rsid w:val="00F84E78"/>
    <w:rsid w:val="00F84F5E"/>
    <w:rsid w:val="00F84F6D"/>
    <w:rsid w:val="00F84FBF"/>
    <w:rsid w:val="00F85112"/>
    <w:rsid w:val="00F85116"/>
    <w:rsid w:val="00F853B3"/>
    <w:rsid w:val="00F853B9"/>
    <w:rsid w:val="00F856CA"/>
    <w:rsid w:val="00F85936"/>
    <w:rsid w:val="00F85967"/>
    <w:rsid w:val="00F85992"/>
    <w:rsid w:val="00F85AED"/>
    <w:rsid w:val="00F85D28"/>
    <w:rsid w:val="00F85D98"/>
    <w:rsid w:val="00F85DB3"/>
    <w:rsid w:val="00F85E7F"/>
    <w:rsid w:val="00F8603A"/>
    <w:rsid w:val="00F8630B"/>
    <w:rsid w:val="00F8642C"/>
    <w:rsid w:val="00F864BF"/>
    <w:rsid w:val="00F864CB"/>
    <w:rsid w:val="00F86544"/>
    <w:rsid w:val="00F86587"/>
    <w:rsid w:val="00F86742"/>
    <w:rsid w:val="00F86743"/>
    <w:rsid w:val="00F86816"/>
    <w:rsid w:val="00F868D7"/>
    <w:rsid w:val="00F869CE"/>
    <w:rsid w:val="00F86A98"/>
    <w:rsid w:val="00F86AD9"/>
    <w:rsid w:val="00F86B06"/>
    <w:rsid w:val="00F86B60"/>
    <w:rsid w:val="00F86C0F"/>
    <w:rsid w:val="00F86CA3"/>
    <w:rsid w:val="00F86E53"/>
    <w:rsid w:val="00F86E81"/>
    <w:rsid w:val="00F86E99"/>
    <w:rsid w:val="00F86F38"/>
    <w:rsid w:val="00F86F51"/>
    <w:rsid w:val="00F87061"/>
    <w:rsid w:val="00F8709C"/>
    <w:rsid w:val="00F87315"/>
    <w:rsid w:val="00F87318"/>
    <w:rsid w:val="00F87581"/>
    <w:rsid w:val="00F875D7"/>
    <w:rsid w:val="00F877F1"/>
    <w:rsid w:val="00F87AF8"/>
    <w:rsid w:val="00F87B2D"/>
    <w:rsid w:val="00F87CE8"/>
    <w:rsid w:val="00F87D78"/>
    <w:rsid w:val="00F87EEB"/>
    <w:rsid w:val="00F87F4A"/>
    <w:rsid w:val="00F900A7"/>
    <w:rsid w:val="00F901BC"/>
    <w:rsid w:val="00F902C0"/>
    <w:rsid w:val="00F903E7"/>
    <w:rsid w:val="00F90483"/>
    <w:rsid w:val="00F9050F"/>
    <w:rsid w:val="00F905A4"/>
    <w:rsid w:val="00F905DF"/>
    <w:rsid w:val="00F9060A"/>
    <w:rsid w:val="00F9068A"/>
    <w:rsid w:val="00F906D9"/>
    <w:rsid w:val="00F907CA"/>
    <w:rsid w:val="00F908BF"/>
    <w:rsid w:val="00F90925"/>
    <w:rsid w:val="00F909DE"/>
    <w:rsid w:val="00F90C93"/>
    <w:rsid w:val="00F90CE7"/>
    <w:rsid w:val="00F90E79"/>
    <w:rsid w:val="00F90F11"/>
    <w:rsid w:val="00F90FEA"/>
    <w:rsid w:val="00F9109E"/>
    <w:rsid w:val="00F91195"/>
    <w:rsid w:val="00F9133A"/>
    <w:rsid w:val="00F915B2"/>
    <w:rsid w:val="00F91705"/>
    <w:rsid w:val="00F9175F"/>
    <w:rsid w:val="00F91799"/>
    <w:rsid w:val="00F918DA"/>
    <w:rsid w:val="00F918EE"/>
    <w:rsid w:val="00F91ABB"/>
    <w:rsid w:val="00F91AC3"/>
    <w:rsid w:val="00F91B77"/>
    <w:rsid w:val="00F91BE6"/>
    <w:rsid w:val="00F91CAB"/>
    <w:rsid w:val="00F91D81"/>
    <w:rsid w:val="00F91F4E"/>
    <w:rsid w:val="00F9204D"/>
    <w:rsid w:val="00F92080"/>
    <w:rsid w:val="00F920DE"/>
    <w:rsid w:val="00F920F6"/>
    <w:rsid w:val="00F921E5"/>
    <w:rsid w:val="00F922B4"/>
    <w:rsid w:val="00F9232D"/>
    <w:rsid w:val="00F92358"/>
    <w:rsid w:val="00F923D0"/>
    <w:rsid w:val="00F923FA"/>
    <w:rsid w:val="00F925AA"/>
    <w:rsid w:val="00F92723"/>
    <w:rsid w:val="00F92756"/>
    <w:rsid w:val="00F92773"/>
    <w:rsid w:val="00F92838"/>
    <w:rsid w:val="00F92949"/>
    <w:rsid w:val="00F92B23"/>
    <w:rsid w:val="00F92BEF"/>
    <w:rsid w:val="00F92C36"/>
    <w:rsid w:val="00F92FF6"/>
    <w:rsid w:val="00F930CE"/>
    <w:rsid w:val="00F93153"/>
    <w:rsid w:val="00F93177"/>
    <w:rsid w:val="00F9341C"/>
    <w:rsid w:val="00F93454"/>
    <w:rsid w:val="00F935EA"/>
    <w:rsid w:val="00F935F6"/>
    <w:rsid w:val="00F9362C"/>
    <w:rsid w:val="00F9378E"/>
    <w:rsid w:val="00F93B3C"/>
    <w:rsid w:val="00F93BA0"/>
    <w:rsid w:val="00F93D3D"/>
    <w:rsid w:val="00F93D4D"/>
    <w:rsid w:val="00F93E8B"/>
    <w:rsid w:val="00F9401A"/>
    <w:rsid w:val="00F941B2"/>
    <w:rsid w:val="00F946D8"/>
    <w:rsid w:val="00F94B76"/>
    <w:rsid w:val="00F94C53"/>
    <w:rsid w:val="00F94C68"/>
    <w:rsid w:val="00F94CCA"/>
    <w:rsid w:val="00F94D3D"/>
    <w:rsid w:val="00F94D9B"/>
    <w:rsid w:val="00F94DB2"/>
    <w:rsid w:val="00F94EFB"/>
    <w:rsid w:val="00F9509E"/>
    <w:rsid w:val="00F95103"/>
    <w:rsid w:val="00F95114"/>
    <w:rsid w:val="00F9514E"/>
    <w:rsid w:val="00F953E3"/>
    <w:rsid w:val="00F95524"/>
    <w:rsid w:val="00F95609"/>
    <w:rsid w:val="00F9566D"/>
    <w:rsid w:val="00F956A8"/>
    <w:rsid w:val="00F9571F"/>
    <w:rsid w:val="00F95745"/>
    <w:rsid w:val="00F957CE"/>
    <w:rsid w:val="00F95DA4"/>
    <w:rsid w:val="00F95E17"/>
    <w:rsid w:val="00F96387"/>
    <w:rsid w:val="00F96432"/>
    <w:rsid w:val="00F96550"/>
    <w:rsid w:val="00F96553"/>
    <w:rsid w:val="00F96620"/>
    <w:rsid w:val="00F9666B"/>
    <w:rsid w:val="00F96798"/>
    <w:rsid w:val="00F96884"/>
    <w:rsid w:val="00F96E30"/>
    <w:rsid w:val="00F96F92"/>
    <w:rsid w:val="00F9713C"/>
    <w:rsid w:val="00F9713E"/>
    <w:rsid w:val="00F97170"/>
    <w:rsid w:val="00F971AE"/>
    <w:rsid w:val="00F971EE"/>
    <w:rsid w:val="00F9728B"/>
    <w:rsid w:val="00F972C6"/>
    <w:rsid w:val="00F9733C"/>
    <w:rsid w:val="00F97466"/>
    <w:rsid w:val="00F9749D"/>
    <w:rsid w:val="00F97671"/>
    <w:rsid w:val="00F97952"/>
    <w:rsid w:val="00F97BE5"/>
    <w:rsid w:val="00F97C75"/>
    <w:rsid w:val="00F97CE2"/>
    <w:rsid w:val="00F97D9D"/>
    <w:rsid w:val="00F97E48"/>
    <w:rsid w:val="00F97E5B"/>
    <w:rsid w:val="00F97F8E"/>
    <w:rsid w:val="00FA0090"/>
    <w:rsid w:val="00FA0176"/>
    <w:rsid w:val="00FA01AE"/>
    <w:rsid w:val="00FA01BE"/>
    <w:rsid w:val="00FA07FF"/>
    <w:rsid w:val="00FA081F"/>
    <w:rsid w:val="00FA090E"/>
    <w:rsid w:val="00FA097E"/>
    <w:rsid w:val="00FA09DA"/>
    <w:rsid w:val="00FA0A6A"/>
    <w:rsid w:val="00FA0AE3"/>
    <w:rsid w:val="00FA0AF1"/>
    <w:rsid w:val="00FA0B0E"/>
    <w:rsid w:val="00FA0D31"/>
    <w:rsid w:val="00FA0E37"/>
    <w:rsid w:val="00FA0F77"/>
    <w:rsid w:val="00FA0FD6"/>
    <w:rsid w:val="00FA1248"/>
    <w:rsid w:val="00FA13E6"/>
    <w:rsid w:val="00FA1829"/>
    <w:rsid w:val="00FA18BA"/>
    <w:rsid w:val="00FA18E1"/>
    <w:rsid w:val="00FA195B"/>
    <w:rsid w:val="00FA1C62"/>
    <w:rsid w:val="00FA1D57"/>
    <w:rsid w:val="00FA1E33"/>
    <w:rsid w:val="00FA1E57"/>
    <w:rsid w:val="00FA1ED9"/>
    <w:rsid w:val="00FA1F0C"/>
    <w:rsid w:val="00FA1F43"/>
    <w:rsid w:val="00FA1FED"/>
    <w:rsid w:val="00FA1FFE"/>
    <w:rsid w:val="00FA2177"/>
    <w:rsid w:val="00FA21CC"/>
    <w:rsid w:val="00FA226B"/>
    <w:rsid w:val="00FA22E6"/>
    <w:rsid w:val="00FA2585"/>
    <w:rsid w:val="00FA2595"/>
    <w:rsid w:val="00FA25C3"/>
    <w:rsid w:val="00FA264E"/>
    <w:rsid w:val="00FA27E7"/>
    <w:rsid w:val="00FA27FA"/>
    <w:rsid w:val="00FA2805"/>
    <w:rsid w:val="00FA2A94"/>
    <w:rsid w:val="00FA2AB7"/>
    <w:rsid w:val="00FA2B2D"/>
    <w:rsid w:val="00FA2CC1"/>
    <w:rsid w:val="00FA2D7E"/>
    <w:rsid w:val="00FA2EB1"/>
    <w:rsid w:val="00FA3089"/>
    <w:rsid w:val="00FA30C5"/>
    <w:rsid w:val="00FA3131"/>
    <w:rsid w:val="00FA31C6"/>
    <w:rsid w:val="00FA3219"/>
    <w:rsid w:val="00FA33B0"/>
    <w:rsid w:val="00FA34A8"/>
    <w:rsid w:val="00FA350F"/>
    <w:rsid w:val="00FA35B8"/>
    <w:rsid w:val="00FA3817"/>
    <w:rsid w:val="00FA3A73"/>
    <w:rsid w:val="00FA3AA7"/>
    <w:rsid w:val="00FA3C80"/>
    <w:rsid w:val="00FA3DEC"/>
    <w:rsid w:val="00FA3EAC"/>
    <w:rsid w:val="00FA4038"/>
    <w:rsid w:val="00FA4075"/>
    <w:rsid w:val="00FA40FC"/>
    <w:rsid w:val="00FA4137"/>
    <w:rsid w:val="00FA41A6"/>
    <w:rsid w:val="00FA41D1"/>
    <w:rsid w:val="00FA424E"/>
    <w:rsid w:val="00FA42B7"/>
    <w:rsid w:val="00FA43DF"/>
    <w:rsid w:val="00FA4447"/>
    <w:rsid w:val="00FA4626"/>
    <w:rsid w:val="00FA462F"/>
    <w:rsid w:val="00FA4691"/>
    <w:rsid w:val="00FA4706"/>
    <w:rsid w:val="00FA4731"/>
    <w:rsid w:val="00FA4746"/>
    <w:rsid w:val="00FA4855"/>
    <w:rsid w:val="00FA49ED"/>
    <w:rsid w:val="00FA4A15"/>
    <w:rsid w:val="00FA4ACF"/>
    <w:rsid w:val="00FA4B24"/>
    <w:rsid w:val="00FA5193"/>
    <w:rsid w:val="00FA52CA"/>
    <w:rsid w:val="00FA537A"/>
    <w:rsid w:val="00FA53EC"/>
    <w:rsid w:val="00FA57BE"/>
    <w:rsid w:val="00FA57E3"/>
    <w:rsid w:val="00FA5B0B"/>
    <w:rsid w:val="00FA5B1B"/>
    <w:rsid w:val="00FA5B4C"/>
    <w:rsid w:val="00FA5BC1"/>
    <w:rsid w:val="00FA5C06"/>
    <w:rsid w:val="00FA5D17"/>
    <w:rsid w:val="00FA5E1C"/>
    <w:rsid w:val="00FA5E33"/>
    <w:rsid w:val="00FA5E72"/>
    <w:rsid w:val="00FA6001"/>
    <w:rsid w:val="00FA6007"/>
    <w:rsid w:val="00FA60E1"/>
    <w:rsid w:val="00FA61DF"/>
    <w:rsid w:val="00FA61F5"/>
    <w:rsid w:val="00FA623C"/>
    <w:rsid w:val="00FA631F"/>
    <w:rsid w:val="00FA6355"/>
    <w:rsid w:val="00FA6444"/>
    <w:rsid w:val="00FA645A"/>
    <w:rsid w:val="00FA647A"/>
    <w:rsid w:val="00FA64C0"/>
    <w:rsid w:val="00FA6503"/>
    <w:rsid w:val="00FA6676"/>
    <w:rsid w:val="00FA66E9"/>
    <w:rsid w:val="00FA67A6"/>
    <w:rsid w:val="00FA689E"/>
    <w:rsid w:val="00FA68B9"/>
    <w:rsid w:val="00FA699A"/>
    <w:rsid w:val="00FA6B08"/>
    <w:rsid w:val="00FA6BFE"/>
    <w:rsid w:val="00FA6C12"/>
    <w:rsid w:val="00FA6C17"/>
    <w:rsid w:val="00FA6F9E"/>
    <w:rsid w:val="00FA70C2"/>
    <w:rsid w:val="00FA71B2"/>
    <w:rsid w:val="00FA71BC"/>
    <w:rsid w:val="00FA7297"/>
    <w:rsid w:val="00FA7360"/>
    <w:rsid w:val="00FA7372"/>
    <w:rsid w:val="00FA75D3"/>
    <w:rsid w:val="00FA7671"/>
    <w:rsid w:val="00FA77C1"/>
    <w:rsid w:val="00FA7AE4"/>
    <w:rsid w:val="00FA7AE7"/>
    <w:rsid w:val="00FA7B00"/>
    <w:rsid w:val="00FA7CCB"/>
    <w:rsid w:val="00FA7CF6"/>
    <w:rsid w:val="00FA7DAD"/>
    <w:rsid w:val="00FA7E65"/>
    <w:rsid w:val="00FA7EBB"/>
    <w:rsid w:val="00FA7EEC"/>
    <w:rsid w:val="00FA7F80"/>
    <w:rsid w:val="00FA7FAA"/>
    <w:rsid w:val="00FB00E0"/>
    <w:rsid w:val="00FB0298"/>
    <w:rsid w:val="00FB02E9"/>
    <w:rsid w:val="00FB02FF"/>
    <w:rsid w:val="00FB0376"/>
    <w:rsid w:val="00FB03A5"/>
    <w:rsid w:val="00FB0412"/>
    <w:rsid w:val="00FB05CF"/>
    <w:rsid w:val="00FB0723"/>
    <w:rsid w:val="00FB07E9"/>
    <w:rsid w:val="00FB07EE"/>
    <w:rsid w:val="00FB0859"/>
    <w:rsid w:val="00FB08B5"/>
    <w:rsid w:val="00FB0B55"/>
    <w:rsid w:val="00FB0C00"/>
    <w:rsid w:val="00FB0C2B"/>
    <w:rsid w:val="00FB0C50"/>
    <w:rsid w:val="00FB0C78"/>
    <w:rsid w:val="00FB0D20"/>
    <w:rsid w:val="00FB0F41"/>
    <w:rsid w:val="00FB0FF0"/>
    <w:rsid w:val="00FB1120"/>
    <w:rsid w:val="00FB11A6"/>
    <w:rsid w:val="00FB11AE"/>
    <w:rsid w:val="00FB11FE"/>
    <w:rsid w:val="00FB1658"/>
    <w:rsid w:val="00FB17C8"/>
    <w:rsid w:val="00FB185B"/>
    <w:rsid w:val="00FB19CC"/>
    <w:rsid w:val="00FB1A1F"/>
    <w:rsid w:val="00FB1B0D"/>
    <w:rsid w:val="00FB1C24"/>
    <w:rsid w:val="00FB1C51"/>
    <w:rsid w:val="00FB1E27"/>
    <w:rsid w:val="00FB1F42"/>
    <w:rsid w:val="00FB1F62"/>
    <w:rsid w:val="00FB1F8E"/>
    <w:rsid w:val="00FB2016"/>
    <w:rsid w:val="00FB20DC"/>
    <w:rsid w:val="00FB20F2"/>
    <w:rsid w:val="00FB2155"/>
    <w:rsid w:val="00FB2268"/>
    <w:rsid w:val="00FB229A"/>
    <w:rsid w:val="00FB2368"/>
    <w:rsid w:val="00FB2399"/>
    <w:rsid w:val="00FB23A6"/>
    <w:rsid w:val="00FB2457"/>
    <w:rsid w:val="00FB24BF"/>
    <w:rsid w:val="00FB2686"/>
    <w:rsid w:val="00FB26A0"/>
    <w:rsid w:val="00FB26E6"/>
    <w:rsid w:val="00FB271F"/>
    <w:rsid w:val="00FB272F"/>
    <w:rsid w:val="00FB27A2"/>
    <w:rsid w:val="00FB29AB"/>
    <w:rsid w:val="00FB2B7A"/>
    <w:rsid w:val="00FB2C1B"/>
    <w:rsid w:val="00FB2C26"/>
    <w:rsid w:val="00FB2D5D"/>
    <w:rsid w:val="00FB2E0F"/>
    <w:rsid w:val="00FB2E9C"/>
    <w:rsid w:val="00FB2EDA"/>
    <w:rsid w:val="00FB305B"/>
    <w:rsid w:val="00FB306D"/>
    <w:rsid w:val="00FB311B"/>
    <w:rsid w:val="00FB31CF"/>
    <w:rsid w:val="00FB33A3"/>
    <w:rsid w:val="00FB36A5"/>
    <w:rsid w:val="00FB38DD"/>
    <w:rsid w:val="00FB38E3"/>
    <w:rsid w:val="00FB3B63"/>
    <w:rsid w:val="00FB3C60"/>
    <w:rsid w:val="00FB3CB9"/>
    <w:rsid w:val="00FB3D3A"/>
    <w:rsid w:val="00FB3D64"/>
    <w:rsid w:val="00FB3E1F"/>
    <w:rsid w:val="00FB3FC8"/>
    <w:rsid w:val="00FB40AF"/>
    <w:rsid w:val="00FB40DE"/>
    <w:rsid w:val="00FB4112"/>
    <w:rsid w:val="00FB41AF"/>
    <w:rsid w:val="00FB44B2"/>
    <w:rsid w:val="00FB45A2"/>
    <w:rsid w:val="00FB45C0"/>
    <w:rsid w:val="00FB45DB"/>
    <w:rsid w:val="00FB46D9"/>
    <w:rsid w:val="00FB4707"/>
    <w:rsid w:val="00FB4728"/>
    <w:rsid w:val="00FB48E3"/>
    <w:rsid w:val="00FB4AA3"/>
    <w:rsid w:val="00FB4B5E"/>
    <w:rsid w:val="00FB4B74"/>
    <w:rsid w:val="00FB4B7F"/>
    <w:rsid w:val="00FB4BDB"/>
    <w:rsid w:val="00FB4CAB"/>
    <w:rsid w:val="00FB4E76"/>
    <w:rsid w:val="00FB506A"/>
    <w:rsid w:val="00FB5131"/>
    <w:rsid w:val="00FB52CA"/>
    <w:rsid w:val="00FB53A1"/>
    <w:rsid w:val="00FB54FC"/>
    <w:rsid w:val="00FB57B8"/>
    <w:rsid w:val="00FB59F9"/>
    <w:rsid w:val="00FB5A7D"/>
    <w:rsid w:val="00FB5AA5"/>
    <w:rsid w:val="00FB5B71"/>
    <w:rsid w:val="00FB5BC3"/>
    <w:rsid w:val="00FB5C49"/>
    <w:rsid w:val="00FB5D38"/>
    <w:rsid w:val="00FB5D78"/>
    <w:rsid w:val="00FB5DC3"/>
    <w:rsid w:val="00FB5E14"/>
    <w:rsid w:val="00FB5E63"/>
    <w:rsid w:val="00FB5F12"/>
    <w:rsid w:val="00FB5FC2"/>
    <w:rsid w:val="00FB6085"/>
    <w:rsid w:val="00FB6213"/>
    <w:rsid w:val="00FB6405"/>
    <w:rsid w:val="00FB684A"/>
    <w:rsid w:val="00FB68B8"/>
    <w:rsid w:val="00FB68D2"/>
    <w:rsid w:val="00FB6B34"/>
    <w:rsid w:val="00FB6D2E"/>
    <w:rsid w:val="00FB6EF0"/>
    <w:rsid w:val="00FB6FB6"/>
    <w:rsid w:val="00FB6FFA"/>
    <w:rsid w:val="00FB6FFB"/>
    <w:rsid w:val="00FB717C"/>
    <w:rsid w:val="00FB728F"/>
    <w:rsid w:val="00FB7453"/>
    <w:rsid w:val="00FB75A4"/>
    <w:rsid w:val="00FB767A"/>
    <w:rsid w:val="00FB7695"/>
    <w:rsid w:val="00FB77A2"/>
    <w:rsid w:val="00FB78C4"/>
    <w:rsid w:val="00FB78D2"/>
    <w:rsid w:val="00FB7979"/>
    <w:rsid w:val="00FB79E3"/>
    <w:rsid w:val="00FB7A17"/>
    <w:rsid w:val="00FB7B12"/>
    <w:rsid w:val="00FB7B4F"/>
    <w:rsid w:val="00FB7C82"/>
    <w:rsid w:val="00FB7CF8"/>
    <w:rsid w:val="00FB7E15"/>
    <w:rsid w:val="00FC012D"/>
    <w:rsid w:val="00FC021D"/>
    <w:rsid w:val="00FC024F"/>
    <w:rsid w:val="00FC030C"/>
    <w:rsid w:val="00FC0382"/>
    <w:rsid w:val="00FC038E"/>
    <w:rsid w:val="00FC05E9"/>
    <w:rsid w:val="00FC0772"/>
    <w:rsid w:val="00FC08FE"/>
    <w:rsid w:val="00FC0BAD"/>
    <w:rsid w:val="00FC0C45"/>
    <w:rsid w:val="00FC0C52"/>
    <w:rsid w:val="00FC0CA9"/>
    <w:rsid w:val="00FC0F02"/>
    <w:rsid w:val="00FC0F2C"/>
    <w:rsid w:val="00FC10A3"/>
    <w:rsid w:val="00FC1269"/>
    <w:rsid w:val="00FC1309"/>
    <w:rsid w:val="00FC13F4"/>
    <w:rsid w:val="00FC16C7"/>
    <w:rsid w:val="00FC179F"/>
    <w:rsid w:val="00FC17F4"/>
    <w:rsid w:val="00FC180E"/>
    <w:rsid w:val="00FC1855"/>
    <w:rsid w:val="00FC1927"/>
    <w:rsid w:val="00FC193A"/>
    <w:rsid w:val="00FC1B5E"/>
    <w:rsid w:val="00FC1D4A"/>
    <w:rsid w:val="00FC1D6F"/>
    <w:rsid w:val="00FC1EF1"/>
    <w:rsid w:val="00FC1F3B"/>
    <w:rsid w:val="00FC1F49"/>
    <w:rsid w:val="00FC207E"/>
    <w:rsid w:val="00FC2166"/>
    <w:rsid w:val="00FC2186"/>
    <w:rsid w:val="00FC23D9"/>
    <w:rsid w:val="00FC23E7"/>
    <w:rsid w:val="00FC2483"/>
    <w:rsid w:val="00FC26BB"/>
    <w:rsid w:val="00FC2766"/>
    <w:rsid w:val="00FC2A21"/>
    <w:rsid w:val="00FC2B77"/>
    <w:rsid w:val="00FC2C1E"/>
    <w:rsid w:val="00FC2C37"/>
    <w:rsid w:val="00FC2C46"/>
    <w:rsid w:val="00FC2DA5"/>
    <w:rsid w:val="00FC2F34"/>
    <w:rsid w:val="00FC2F4D"/>
    <w:rsid w:val="00FC2FCE"/>
    <w:rsid w:val="00FC3003"/>
    <w:rsid w:val="00FC3149"/>
    <w:rsid w:val="00FC3239"/>
    <w:rsid w:val="00FC3248"/>
    <w:rsid w:val="00FC32E8"/>
    <w:rsid w:val="00FC3328"/>
    <w:rsid w:val="00FC3438"/>
    <w:rsid w:val="00FC3458"/>
    <w:rsid w:val="00FC35D4"/>
    <w:rsid w:val="00FC3638"/>
    <w:rsid w:val="00FC3742"/>
    <w:rsid w:val="00FC38A7"/>
    <w:rsid w:val="00FC3982"/>
    <w:rsid w:val="00FC3983"/>
    <w:rsid w:val="00FC3A18"/>
    <w:rsid w:val="00FC3C8D"/>
    <w:rsid w:val="00FC3DB3"/>
    <w:rsid w:val="00FC3F92"/>
    <w:rsid w:val="00FC3FD4"/>
    <w:rsid w:val="00FC4215"/>
    <w:rsid w:val="00FC43FB"/>
    <w:rsid w:val="00FC4592"/>
    <w:rsid w:val="00FC476C"/>
    <w:rsid w:val="00FC476E"/>
    <w:rsid w:val="00FC4776"/>
    <w:rsid w:val="00FC488B"/>
    <w:rsid w:val="00FC48F1"/>
    <w:rsid w:val="00FC4A70"/>
    <w:rsid w:val="00FC4B12"/>
    <w:rsid w:val="00FC4B25"/>
    <w:rsid w:val="00FC4C38"/>
    <w:rsid w:val="00FC4D43"/>
    <w:rsid w:val="00FC4E8D"/>
    <w:rsid w:val="00FC4EA1"/>
    <w:rsid w:val="00FC4FAC"/>
    <w:rsid w:val="00FC5062"/>
    <w:rsid w:val="00FC50E8"/>
    <w:rsid w:val="00FC52A0"/>
    <w:rsid w:val="00FC5313"/>
    <w:rsid w:val="00FC5343"/>
    <w:rsid w:val="00FC54C8"/>
    <w:rsid w:val="00FC553B"/>
    <w:rsid w:val="00FC554B"/>
    <w:rsid w:val="00FC5664"/>
    <w:rsid w:val="00FC56DF"/>
    <w:rsid w:val="00FC5806"/>
    <w:rsid w:val="00FC58D9"/>
    <w:rsid w:val="00FC5A0D"/>
    <w:rsid w:val="00FC5B0C"/>
    <w:rsid w:val="00FC5BE8"/>
    <w:rsid w:val="00FC5D7E"/>
    <w:rsid w:val="00FC5F7A"/>
    <w:rsid w:val="00FC5FF3"/>
    <w:rsid w:val="00FC6084"/>
    <w:rsid w:val="00FC6140"/>
    <w:rsid w:val="00FC6155"/>
    <w:rsid w:val="00FC62CB"/>
    <w:rsid w:val="00FC63DA"/>
    <w:rsid w:val="00FC6624"/>
    <w:rsid w:val="00FC66C7"/>
    <w:rsid w:val="00FC67DA"/>
    <w:rsid w:val="00FC6C30"/>
    <w:rsid w:val="00FC6C36"/>
    <w:rsid w:val="00FC6CDE"/>
    <w:rsid w:val="00FC6D12"/>
    <w:rsid w:val="00FC6D60"/>
    <w:rsid w:val="00FC6DC6"/>
    <w:rsid w:val="00FC6E39"/>
    <w:rsid w:val="00FC7029"/>
    <w:rsid w:val="00FC70C3"/>
    <w:rsid w:val="00FC7108"/>
    <w:rsid w:val="00FC715C"/>
    <w:rsid w:val="00FC7248"/>
    <w:rsid w:val="00FC724D"/>
    <w:rsid w:val="00FC732A"/>
    <w:rsid w:val="00FC74F9"/>
    <w:rsid w:val="00FC753E"/>
    <w:rsid w:val="00FC77C9"/>
    <w:rsid w:val="00FC77F6"/>
    <w:rsid w:val="00FC7A3F"/>
    <w:rsid w:val="00FC7D0C"/>
    <w:rsid w:val="00FC7FBD"/>
    <w:rsid w:val="00FD0044"/>
    <w:rsid w:val="00FD00A3"/>
    <w:rsid w:val="00FD00E0"/>
    <w:rsid w:val="00FD01C8"/>
    <w:rsid w:val="00FD0239"/>
    <w:rsid w:val="00FD029A"/>
    <w:rsid w:val="00FD03E2"/>
    <w:rsid w:val="00FD0405"/>
    <w:rsid w:val="00FD075B"/>
    <w:rsid w:val="00FD07B2"/>
    <w:rsid w:val="00FD07CF"/>
    <w:rsid w:val="00FD083B"/>
    <w:rsid w:val="00FD0903"/>
    <w:rsid w:val="00FD096E"/>
    <w:rsid w:val="00FD0A5D"/>
    <w:rsid w:val="00FD0ABB"/>
    <w:rsid w:val="00FD0B6F"/>
    <w:rsid w:val="00FD0BA7"/>
    <w:rsid w:val="00FD0D8D"/>
    <w:rsid w:val="00FD0DCA"/>
    <w:rsid w:val="00FD1063"/>
    <w:rsid w:val="00FD1064"/>
    <w:rsid w:val="00FD1132"/>
    <w:rsid w:val="00FD1223"/>
    <w:rsid w:val="00FD135C"/>
    <w:rsid w:val="00FD1375"/>
    <w:rsid w:val="00FD14E5"/>
    <w:rsid w:val="00FD1705"/>
    <w:rsid w:val="00FD1719"/>
    <w:rsid w:val="00FD1758"/>
    <w:rsid w:val="00FD1776"/>
    <w:rsid w:val="00FD17E8"/>
    <w:rsid w:val="00FD1914"/>
    <w:rsid w:val="00FD1926"/>
    <w:rsid w:val="00FD19C1"/>
    <w:rsid w:val="00FD1A7C"/>
    <w:rsid w:val="00FD1B15"/>
    <w:rsid w:val="00FD1C7E"/>
    <w:rsid w:val="00FD1CE4"/>
    <w:rsid w:val="00FD1E3B"/>
    <w:rsid w:val="00FD215E"/>
    <w:rsid w:val="00FD2183"/>
    <w:rsid w:val="00FD222F"/>
    <w:rsid w:val="00FD235B"/>
    <w:rsid w:val="00FD23E4"/>
    <w:rsid w:val="00FD2458"/>
    <w:rsid w:val="00FD25B3"/>
    <w:rsid w:val="00FD2601"/>
    <w:rsid w:val="00FD2609"/>
    <w:rsid w:val="00FD260B"/>
    <w:rsid w:val="00FD2622"/>
    <w:rsid w:val="00FD2854"/>
    <w:rsid w:val="00FD2914"/>
    <w:rsid w:val="00FD2A03"/>
    <w:rsid w:val="00FD2A17"/>
    <w:rsid w:val="00FD2CD5"/>
    <w:rsid w:val="00FD2D3E"/>
    <w:rsid w:val="00FD2FC4"/>
    <w:rsid w:val="00FD30BB"/>
    <w:rsid w:val="00FD30CB"/>
    <w:rsid w:val="00FD3329"/>
    <w:rsid w:val="00FD34A1"/>
    <w:rsid w:val="00FD3534"/>
    <w:rsid w:val="00FD355D"/>
    <w:rsid w:val="00FD3561"/>
    <w:rsid w:val="00FD35D5"/>
    <w:rsid w:val="00FD36CC"/>
    <w:rsid w:val="00FD3893"/>
    <w:rsid w:val="00FD3A23"/>
    <w:rsid w:val="00FD3A81"/>
    <w:rsid w:val="00FD3AFE"/>
    <w:rsid w:val="00FD3B78"/>
    <w:rsid w:val="00FD3D53"/>
    <w:rsid w:val="00FD3D55"/>
    <w:rsid w:val="00FD3EFA"/>
    <w:rsid w:val="00FD3F88"/>
    <w:rsid w:val="00FD3F9C"/>
    <w:rsid w:val="00FD3FB9"/>
    <w:rsid w:val="00FD3FD6"/>
    <w:rsid w:val="00FD408C"/>
    <w:rsid w:val="00FD44BC"/>
    <w:rsid w:val="00FD4599"/>
    <w:rsid w:val="00FD49C6"/>
    <w:rsid w:val="00FD4C02"/>
    <w:rsid w:val="00FD4C9A"/>
    <w:rsid w:val="00FD4C9F"/>
    <w:rsid w:val="00FD4CDC"/>
    <w:rsid w:val="00FD4EBF"/>
    <w:rsid w:val="00FD50D7"/>
    <w:rsid w:val="00FD50F8"/>
    <w:rsid w:val="00FD51CA"/>
    <w:rsid w:val="00FD5234"/>
    <w:rsid w:val="00FD5262"/>
    <w:rsid w:val="00FD5335"/>
    <w:rsid w:val="00FD5337"/>
    <w:rsid w:val="00FD533C"/>
    <w:rsid w:val="00FD5526"/>
    <w:rsid w:val="00FD55BC"/>
    <w:rsid w:val="00FD5635"/>
    <w:rsid w:val="00FD5666"/>
    <w:rsid w:val="00FD566D"/>
    <w:rsid w:val="00FD5B29"/>
    <w:rsid w:val="00FD5BAC"/>
    <w:rsid w:val="00FD5D14"/>
    <w:rsid w:val="00FD5D74"/>
    <w:rsid w:val="00FD5E98"/>
    <w:rsid w:val="00FD648A"/>
    <w:rsid w:val="00FD64AB"/>
    <w:rsid w:val="00FD6642"/>
    <w:rsid w:val="00FD6655"/>
    <w:rsid w:val="00FD6944"/>
    <w:rsid w:val="00FD6978"/>
    <w:rsid w:val="00FD6996"/>
    <w:rsid w:val="00FD6A19"/>
    <w:rsid w:val="00FD6C52"/>
    <w:rsid w:val="00FD6D75"/>
    <w:rsid w:val="00FD6D78"/>
    <w:rsid w:val="00FD6FD1"/>
    <w:rsid w:val="00FD7098"/>
    <w:rsid w:val="00FD712C"/>
    <w:rsid w:val="00FD7278"/>
    <w:rsid w:val="00FD727B"/>
    <w:rsid w:val="00FD7307"/>
    <w:rsid w:val="00FD7329"/>
    <w:rsid w:val="00FD7561"/>
    <w:rsid w:val="00FD762F"/>
    <w:rsid w:val="00FD765B"/>
    <w:rsid w:val="00FD76E9"/>
    <w:rsid w:val="00FD7704"/>
    <w:rsid w:val="00FD774A"/>
    <w:rsid w:val="00FD77DE"/>
    <w:rsid w:val="00FD787B"/>
    <w:rsid w:val="00FD78F4"/>
    <w:rsid w:val="00FD7953"/>
    <w:rsid w:val="00FD7D75"/>
    <w:rsid w:val="00FD7E68"/>
    <w:rsid w:val="00FE0054"/>
    <w:rsid w:val="00FE0085"/>
    <w:rsid w:val="00FE00C9"/>
    <w:rsid w:val="00FE0159"/>
    <w:rsid w:val="00FE0249"/>
    <w:rsid w:val="00FE04C9"/>
    <w:rsid w:val="00FE050A"/>
    <w:rsid w:val="00FE0640"/>
    <w:rsid w:val="00FE070B"/>
    <w:rsid w:val="00FE0777"/>
    <w:rsid w:val="00FE089F"/>
    <w:rsid w:val="00FE0A12"/>
    <w:rsid w:val="00FE0A61"/>
    <w:rsid w:val="00FE0A6E"/>
    <w:rsid w:val="00FE0B99"/>
    <w:rsid w:val="00FE0C98"/>
    <w:rsid w:val="00FE0D24"/>
    <w:rsid w:val="00FE0DD7"/>
    <w:rsid w:val="00FE0EB8"/>
    <w:rsid w:val="00FE0EF0"/>
    <w:rsid w:val="00FE102A"/>
    <w:rsid w:val="00FE10AC"/>
    <w:rsid w:val="00FE129A"/>
    <w:rsid w:val="00FE13E2"/>
    <w:rsid w:val="00FE14DD"/>
    <w:rsid w:val="00FE15BC"/>
    <w:rsid w:val="00FE15F0"/>
    <w:rsid w:val="00FE1649"/>
    <w:rsid w:val="00FE16DD"/>
    <w:rsid w:val="00FE177E"/>
    <w:rsid w:val="00FE182C"/>
    <w:rsid w:val="00FE1842"/>
    <w:rsid w:val="00FE1906"/>
    <w:rsid w:val="00FE1A24"/>
    <w:rsid w:val="00FE1A6A"/>
    <w:rsid w:val="00FE1AC0"/>
    <w:rsid w:val="00FE1ADD"/>
    <w:rsid w:val="00FE1B66"/>
    <w:rsid w:val="00FE1C88"/>
    <w:rsid w:val="00FE1F23"/>
    <w:rsid w:val="00FE2021"/>
    <w:rsid w:val="00FE2124"/>
    <w:rsid w:val="00FE21A8"/>
    <w:rsid w:val="00FE21E6"/>
    <w:rsid w:val="00FE228B"/>
    <w:rsid w:val="00FE24CB"/>
    <w:rsid w:val="00FE25CF"/>
    <w:rsid w:val="00FE2763"/>
    <w:rsid w:val="00FE2765"/>
    <w:rsid w:val="00FE276C"/>
    <w:rsid w:val="00FE277A"/>
    <w:rsid w:val="00FE27D2"/>
    <w:rsid w:val="00FE28B0"/>
    <w:rsid w:val="00FE294A"/>
    <w:rsid w:val="00FE2A0C"/>
    <w:rsid w:val="00FE2B09"/>
    <w:rsid w:val="00FE2B29"/>
    <w:rsid w:val="00FE2BEF"/>
    <w:rsid w:val="00FE2C90"/>
    <w:rsid w:val="00FE2D8A"/>
    <w:rsid w:val="00FE3022"/>
    <w:rsid w:val="00FE31B4"/>
    <w:rsid w:val="00FE3460"/>
    <w:rsid w:val="00FE3469"/>
    <w:rsid w:val="00FE348D"/>
    <w:rsid w:val="00FE34F2"/>
    <w:rsid w:val="00FE3534"/>
    <w:rsid w:val="00FE37AB"/>
    <w:rsid w:val="00FE38F5"/>
    <w:rsid w:val="00FE3A23"/>
    <w:rsid w:val="00FE3BC4"/>
    <w:rsid w:val="00FE3CC2"/>
    <w:rsid w:val="00FE3DCC"/>
    <w:rsid w:val="00FE3E81"/>
    <w:rsid w:val="00FE3F26"/>
    <w:rsid w:val="00FE4006"/>
    <w:rsid w:val="00FE4438"/>
    <w:rsid w:val="00FE4490"/>
    <w:rsid w:val="00FE44A9"/>
    <w:rsid w:val="00FE466C"/>
    <w:rsid w:val="00FE46DC"/>
    <w:rsid w:val="00FE471E"/>
    <w:rsid w:val="00FE47DE"/>
    <w:rsid w:val="00FE47E4"/>
    <w:rsid w:val="00FE4B37"/>
    <w:rsid w:val="00FE4C54"/>
    <w:rsid w:val="00FE4C91"/>
    <w:rsid w:val="00FE4CB2"/>
    <w:rsid w:val="00FE4E11"/>
    <w:rsid w:val="00FE4FCA"/>
    <w:rsid w:val="00FE4FEB"/>
    <w:rsid w:val="00FE508F"/>
    <w:rsid w:val="00FE5168"/>
    <w:rsid w:val="00FE52C4"/>
    <w:rsid w:val="00FE54DA"/>
    <w:rsid w:val="00FE580D"/>
    <w:rsid w:val="00FE580E"/>
    <w:rsid w:val="00FE586A"/>
    <w:rsid w:val="00FE5BE1"/>
    <w:rsid w:val="00FE5D12"/>
    <w:rsid w:val="00FE5D70"/>
    <w:rsid w:val="00FE5DA1"/>
    <w:rsid w:val="00FE6106"/>
    <w:rsid w:val="00FE624C"/>
    <w:rsid w:val="00FE62F8"/>
    <w:rsid w:val="00FE6542"/>
    <w:rsid w:val="00FE6749"/>
    <w:rsid w:val="00FE6760"/>
    <w:rsid w:val="00FE6918"/>
    <w:rsid w:val="00FE6B3C"/>
    <w:rsid w:val="00FE6D00"/>
    <w:rsid w:val="00FE6DC7"/>
    <w:rsid w:val="00FE6F9C"/>
    <w:rsid w:val="00FE70BF"/>
    <w:rsid w:val="00FE724E"/>
    <w:rsid w:val="00FE7257"/>
    <w:rsid w:val="00FE7346"/>
    <w:rsid w:val="00FE736B"/>
    <w:rsid w:val="00FE7453"/>
    <w:rsid w:val="00FE74C1"/>
    <w:rsid w:val="00FE757B"/>
    <w:rsid w:val="00FE760C"/>
    <w:rsid w:val="00FE76DF"/>
    <w:rsid w:val="00FE7741"/>
    <w:rsid w:val="00FE77B3"/>
    <w:rsid w:val="00FE7926"/>
    <w:rsid w:val="00FE7944"/>
    <w:rsid w:val="00FE7A88"/>
    <w:rsid w:val="00FE7F4A"/>
    <w:rsid w:val="00FE7F6E"/>
    <w:rsid w:val="00FF0088"/>
    <w:rsid w:val="00FF045F"/>
    <w:rsid w:val="00FF049E"/>
    <w:rsid w:val="00FF05D6"/>
    <w:rsid w:val="00FF087F"/>
    <w:rsid w:val="00FF08D7"/>
    <w:rsid w:val="00FF09B3"/>
    <w:rsid w:val="00FF0A81"/>
    <w:rsid w:val="00FF0AEB"/>
    <w:rsid w:val="00FF0D86"/>
    <w:rsid w:val="00FF1143"/>
    <w:rsid w:val="00FF1148"/>
    <w:rsid w:val="00FF136D"/>
    <w:rsid w:val="00FF1489"/>
    <w:rsid w:val="00FF1504"/>
    <w:rsid w:val="00FF158E"/>
    <w:rsid w:val="00FF15E2"/>
    <w:rsid w:val="00FF16D0"/>
    <w:rsid w:val="00FF171E"/>
    <w:rsid w:val="00FF1812"/>
    <w:rsid w:val="00FF1A12"/>
    <w:rsid w:val="00FF1A2D"/>
    <w:rsid w:val="00FF1AA7"/>
    <w:rsid w:val="00FF1ACB"/>
    <w:rsid w:val="00FF1CC8"/>
    <w:rsid w:val="00FF1D6B"/>
    <w:rsid w:val="00FF1DC9"/>
    <w:rsid w:val="00FF1E0F"/>
    <w:rsid w:val="00FF1FF5"/>
    <w:rsid w:val="00FF204D"/>
    <w:rsid w:val="00FF20E0"/>
    <w:rsid w:val="00FF2203"/>
    <w:rsid w:val="00FF2249"/>
    <w:rsid w:val="00FF2289"/>
    <w:rsid w:val="00FF2294"/>
    <w:rsid w:val="00FF22B1"/>
    <w:rsid w:val="00FF258A"/>
    <w:rsid w:val="00FF283A"/>
    <w:rsid w:val="00FF2A07"/>
    <w:rsid w:val="00FF2A0B"/>
    <w:rsid w:val="00FF2A27"/>
    <w:rsid w:val="00FF2AC7"/>
    <w:rsid w:val="00FF2E36"/>
    <w:rsid w:val="00FF3073"/>
    <w:rsid w:val="00FF3099"/>
    <w:rsid w:val="00FF315D"/>
    <w:rsid w:val="00FF32DC"/>
    <w:rsid w:val="00FF32F1"/>
    <w:rsid w:val="00FF3314"/>
    <w:rsid w:val="00FF346E"/>
    <w:rsid w:val="00FF3486"/>
    <w:rsid w:val="00FF3668"/>
    <w:rsid w:val="00FF3818"/>
    <w:rsid w:val="00FF38A3"/>
    <w:rsid w:val="00FF393B"/>
    <w:rsid w:val="00FF3C8B"/>
    <w:rsid w:val="00FF3D83"/>
    <w:rsid w:val="00FF3E3A"/>
    <w:rsid w:val="00FF3EE1"/>
    <w:rsid w:val="00FF3F29"/>
    <w:rsid w:val="00FF3F45"/>
    <w:rsid w:val="00FF3FB7"/>
    <w:rsid w:val="00FF3FFD"/>
    <w:rsid w:val="00FF42DD"/>
    <w:rsid w:val="00FF4428"/>
    <w:rsid w:val="00FF44A4"/>
    <w:rsid w:val="00FF4542"/>
    <w:rsid w:val="00FF465E"/>
    <w:rsid w:val="00FF4871"/>
    <w:rsid w:val="00FF4965"/>
    <w:rsid w:val="00FF4A0D"/>
    <w:rsid w:val="00FF4A7D"/>
    <w:rsid w:val="00FF4B0D"/>
    <w:rsid w:val="00FF4B85"/>
    <w:rsid w:val="00FF4C4A"/>
    <w:rsid w:val="00FF4C87"/>
    <w:rsid w:val="00FF4CA3"/>
    <w:rsid w:val="00FF4DC4"/>
    <w:rsid w:val="00FF4DF3"/>
    <w:rsid w:val="00FF4E11"/>
    <w:rsid w:val="00FF5025"/>
    <w:rsid w:val="00FF5273"/>
    <w:rsid w:val="00FF52E4"/>
    <w:rsid w:val="00FF53F5"/>
    <w:rsid w:val="00FF5441"/>
    <w:rsid w:val="00FF54B9"/>
    <w:rsid w:val="00FF5641"/>
    <w:rsid w:val="00FF5674"/>
    <w:rsid w:val="00FF583F"/>
    <w:rsid w:val="00FF5A7B"/>
    <w:rsid w:val="00FF5A95"/>
    <w:rsid w:val="00FF5BBE"/>
    <w:rsid w:val="00FF5BD1"/>
    <w:rsid w:val="00FF5CD2"/>
    <w:rsid w:val="00FF5D79"/>
    <w:rsid w:val="00FF5E00"/>
    <w:rsid w:val="00FF5E47"/>
    <w:rsid w:val="00FF5E53"/>
    <w:rsid w:val="00FF5E7D"/>
    <w:rsid w:val="00FF5ED2"/>
    <w:rsid w:val="00FF6080"/>
    <w:rsid w:val="00FF60C6"/>
    <w:rsid w:val="00FF62D2"/>
    <w:rsid w:val="00FF635B"/>
    <w:rsid w:val="00FF647A"/>
    <w:rsid w:val="00FF6512"/>
    <w:rsid w:val="00FF6623"/>
    <w:rsid w:val="00FF6639"/>
    <w:rsid w:val="00FF667C"/>
    <w:rsid w:val="00FF66AB"/>
    <w:rsid w:val="00FF6939"/>
    <w:rsid w:val="00FF694C"/>
    <w:rsid w:val="00FF699D"/>
    <w:rsid w:val="00FF69F6"/>
    <w:rsid w:val="00FF6A1A"/>
    <w:rsid w:val="00FF6A9A"/>
    <w:rsid w:val="00FF6B47"/>
    <w:rsid w:val="00FF6B69"/>
    <w:rsid w:val="00FF6B91"/>
    <w:rsid w:val="00FF6E0B"/>
    <w:rsid w:val="00FF6E22"/>
    <w:rsid w:val="00FF6EF2"/>
    <w:rsid w:val="00FF6F65"/>
    <w:rsid w:val="00FF7078"/>
    <w:rsid w:val="00FF71F1"/>
    <w:rsid w:val="00FF7235"/>
    <w:rsid w:val="00FF7250"/>
    <w:rsid w:val="00FF729E"/>
    <w:rsid w:val="00FF770E"/>
    <w:rsid w:val="00FF78CC"/>
    <w:rsid w:val="00FF78D8"/>
    <w:rsid w:val="00FF78F2"/>
    <w:rsid w:val="00FF7AD4"/>
    <w:rsid w:val="00FF7AE3"/>
    <w:rsid w:val="00FF7BCE"/>
    <w:rsid w:val="00FF7C40"/>
    <w:rsid w:val="00FF7C90"/>
    <w:rsid w:val="00FF7CEB"/>
    <w:rsid w:val="00FF7CF4"/>
    <w:rsid w:val="00FF7D65"/>
    <w:rsid w:val="00FF7FA7"/>
    <w:rsid w:val="01003315"/>
    <w:rsid w:val="010B6553"/>
    <w:rsid w:val="010BDFA4"/>
    <w:rsid w:val="0113A135"/>
    <w:rsid w:val="0120B14C"/>
    <w:rsid w:val="01260ED0"/>
    <w:rsid w:val="01360054"/>
    <w:rsid w:val="014FBBF1"/>
    <w:rsid w:val="01533B9F"/>
    <w:rsid w:val="01582666"/>
    <w:rsid w:val="01594938"/>
    <w:rsid w:val="016953F4"/>
    <w:rsid w:val="0169FF2E"/>
    <w:rsid w:val="0179CD32"/>
    <w:rsid w:val="017F6F7E"/>
    <w:rsid w:val="01806643"/>
    <w:rsid w:val="01827CA9"/>
    <w:rsid w:val="0182A27F"/>
    <w:rsid w:val="0185112A"/>
    <w:rsid w:val="0197EEB0"/>
    <w:rsid w:val="01A2675F"/>
    <w:rsid w:val="01A45C14"/>
    <w:rsid w:val="01A8E188"/>
    <w:rsid w:val="01B8E7F9"/>
    <w:rsid w:val="01BB89F5"/>
    <w:rsid w:val="01CB779D"/>
    <w:rsid w:val="01D1AF98"/>
    <w:rsid w:val="01D84D0D"/>
    <w:rsid w:val="01D8886A"/>
    <w:rsid w:val="01DCA408"/>
    <w:rsid w:val="01F1705D"/>
    <w:rsid w:val="01F8D24D"/>
    <w:rsid w:val="01FE7933"/>
    <w:rsid w:val="0202A46F"/>
    <w:rsid w:val="0203B553"/>
    <w:rsid w:val="0206C17B"/>
    <w:rsid w:val="0207F491"/>
    <w:rsid w:val="02087568"/>
    <w:rsid w:val="022057F5"/>
    <w:rsid w:val="022B844B"/>
    <w:rsid w:val="0237634A"/>
    <w:rsid w:val="023855B5"/>
    <w:rsid w:val="023B2773"/>
    <w:rsid w:val="0245BD74"/>
    <w:rsid w:val="0250935D"/>
    <w:rsid w:val="0254DFE2"/>
    <w:rsid w:val="025B7FD3"/>
    <w:rsid w:val="026F5B68"/>
    <w:rsid w:val="0276F541"/>
    <w:rsid w:val="02796E1E"/>
    <w:rsid w:val="027E12C3"/>
    <w:rsid w:val="029C30FB"/>
    <w:rsid w:val="029F6DF9"/>
    <w:rsid w:val="02A063BD"/>
    <w:rsid w:val="02A246CE"/>
    <w:rsid w:val="02AC691A"/>
    <w:rsid w:val="02B069DB"/>
    <w:rsid w:val="02B44C8C"/>
    <w:rsid w:val="02BA264F"/>
    <w:rsid w:val="02BEDEBB"/>
    <w:rsid w:val="02C34647"/>
    <w:rsid w:val="02CB7195"/>
    <w:rsid w:val="02CD8DE9"/>
    <w:rsid w:val="02CE40F9"/>
    <w:rsid w:val="02D6AA19"/>
    <w:rsid w:val="02DB2011"/>
    <w:rsid w:val="02DCC0BE"/>
    <w:rsid w:val="02E097A4"/>
    <w:rsid w:val="02E80AD2"/>
    <w:rsid w:val="02F7A8FE"/>
    <w:rsid w:val="02F7D493"/>
    <w:rsid w:val="02FC5A21"/>
    <w:rsid w:val="03010AA9"/>
    <w:rsid w:val="030AA798"/>
    <w:rsid w:val="03195FEA"/>
    <w:rsid w:val="031D40F6"/>
    <w:rsid w:val="03207D89"/>
    <w:rsid w:val="03234227"/>
    <w:rsid w:val="0324A4A5"/>
    <w:rsid w:val="03288770"/>
    <w:rsid w:val="0329A77B"/>
    <w:rsid w:val="032E976A"/>
    <w:rsid w:val="03331C8E"/>
    <w:rsid w:val="03394E15"/>
    <w:rsid w:val="033D4869"/>
    <w:rsid w:val="03470701"/>
    <w:rsid w:val="034B462A"/>
    <w:rsid w:val="0351197F"/>
    <w:rsid w:val="0355EBC4"/>
    <w:rsid w:val="03567C0A"/>
    <w:rsid w:val="035CCA3C"/>
    <w:rsid w:val="03680D2C"/>
    <w:rsid w:val="036E4552"/>
    <w:rsid w:val="0371AE47"/>
    <w:rsid w:val="037F561D"/>
    <w:rsid w:val="0388B457"/>
    <w:rsid w:val="038D664C"/>
    <w:rsid w:val="038F0D87"/>
    <w:rsid w:val="0391D41C"/>
    <w:rsid w:val="03938112"/>
    <w:rsid w:val="03993DAB"/>
    <w:rsid w:val="039D6E17"/>
    <w:rsid w:val="039DCBC4"/>
    <w:rsid w:val="039EB6AF"/>
    <w:rsid w:val="03A4A5C6"/>
    <w:rsid w:val="03A82416"/>
    <w:rsid w:val="03A8926E"/>
    <w:rsid w:val="03AD1620"/>
    <w:rsid w:val="03AF7FB4"/>
    <w:rsid w:val="03B6AB96"/>
    <w:rsid w:val="03B7D615"/>
    <w:rsid w:val="03BA676A"/>
    <w:rsid w:val="03BE20D4"/>
    <w:rsid w:val="03C53FB1"/>
    <w:rsid w:val="03CB2066"/>
    <w:rsid w:val="03CB371E"/>
    <w:rsid w:val="03D3B6D2"/>
    <w:rsid w:val="03D5D9F9"/>
    <w:rsid w:val="03D716EC"/>
    <w:rsid w:val="03DD50E5"/>
    <w:rsid w:val="03E00485"/>
    <w:rsid w:val="03ED2368"/>
    <w:rsid w:val="03EF5C96"/>
    <w:rsid w:val="04059430"/>
    <w:rsid w:val="0405DBB7"/>
    <w:rsid w:val="0408DB63"/>
    <w:rsid w:val="040F5325"/>
    <w:rsid w:val="04115E84"/>
    <w:rsid w:val="0418B8BF"/>
    <w:rsid w:val="04228F5F"/>
    <w:rsid w:val="0422A23E"/>
    <w:rsid w:val="042444B5"/>
    <w:rsid w:val="0426B7D3"/>
    <w:rsid w:val="043A3112"/>
    <w:rsid w:val="043BC1AA"/>
    <w:rsid w:val="0441BDB7"/>
    <w:rsid w:val="0449E886"/>
    <w:rsid w:val="044D7EA9"/>
    <w:rsid w:val="044FA425"/>
    <w:rsid w:val="04687225"/>
    <w:rsid w:val="046DD367"/>
    <w:rsid w:val="046F53DA"/>
    <w:rsid w:val="047B6B2A"/>
    <w:rsid w:val="047CF6A8"/>
    <w:rsid w:val="0485FC42"/>
    <w:rsid w:val="0492AFA2"/>
    <w:rsid w:val="0492BE80"/>
    <w:rsid w:val="04940715"/>
    <w:rsid w:val="04A720AB"/>
    <w:rsid w:val="04AE9813"/>
    <w:rsid w:val="04B39984"/>
    <w:rsid w:val="04B73374"/>
    <w:rsid w:val="04C273E9"/>
    <w:rsid w:val="04C41818"/>
    <w:rsid w:val="04C5B2DA"/>
    <w:rsid w:val="04C76A6E"/>
    <w:rsid w:val="04CB2DE5"/>
    <w:rsid w:val="04CDABD6"/>
    <w:rsid w:val="04CDBC8B"/>
    <w:rsid w:val="04D8DCCB"/>
    <w:rsid w:val="04DCFFC9"/>
    <w:rsid w:val="04DFAFA7"/>
    <w:rsid w:val="04EE1338"/>
    <w:rsid w:val="04FFA82A"/>
    <w:rsid w:val="05068D0C"/>
    <w:rsid w:val="0506E23B"/>
    <w:rsid w:val="0509BA55"/>
    <w:rsid w:val="050AE976"/>
    <w:rsid w:val="0519FCA1"/>
    <w:rsid w:val="051F040F"/>
    <w:rsid w:val="052598D5"/>
    <w:rsid w:val="0526A95E"/>
    <w:rsid w:val="052A8C65"/>
    <w:rsid w:val="052E6DA1"/>
    <w:rsid w:val="052EC99B"/>
    <w:rsid w:val="05332450"/>
    <w:rsid w:val="053ECB8C"/>
    <w:rsid w:val="054120A1"/>
    <w:rsid w:val="05437F53"/>
    <w:rsid w:val="0549025F"/>
    <w:rsid w:val="054E9795"/>
    <w:rsid w:val="05578235"/>
    <w:rsid w:val="055825AA"/>
    <w:rsid w:val="055D0C64"/>
    <w:rsid w:val="055ED7CC"/>
    <w:rsid w:val="05633CB0"/>
    <w:rsid w:val="05647034"/>
    <w:rsid w:val="05648E03"/>
    <w:rsid w:val="0570F028"/>
    <w:rsid w:val="05732204"/>
    <w:rsid w:val="0574A504"/>
    <w:rsid w:val="05760EDD"/>
    <w:rsid w:val="057D793F"/>
    <w:rsid w:val="057FB6F3"/>
    <w:rsid w:val="0580BBCE"/>
    <w:rsid w:val="05873DFD"/>
    <w:rsid w:val="058CA55A"/>
    <w:rsid w:val="059D154D"/>
    <w:rsid w:val="05AD5436"/>
    <w:rsid w:val="05BA342F"/>
    <w:rsid w:val="05BF9576"/>
    <w:rsid w:val="05C2BAEB"/>
    <w:rsid w:val="05D3678A"/>
    <w:rsid w:val="05DF974B"/>
    <w:rsid w:val="05E53962"/>
    <w:rsid w:val="05EBA815"/>
    <w:rsid w:val="05F33414"/>
    <w:rsid w:val="05FC9035"/>
    <w:rsid w:val="05FCC684"/>
    <w:rsid w:val="05FEC7AA"/>
    <w:rsid w:val="05FECE78"/>
    <w:rsid w:val="06059733"/>
    <w:rsid w:val="060C287D"/>
    <w:rsid w:val="060F2F3A"/>
    <w:rsid w:val="0612C258"/>
    <w:rsid w:val="0615AEE5"/>
    <w:rsid w:val="0619D698"/>
    <w:rsid w:val="061AAFFD"/>
    <w:rsid w:val="061F6324"/>
    <w:rsid w:val="0623D2C8"/>
    <w:rsid w:val="0625E110"/>
    <w:rsid w:val="06272DB3"/>
    <w:rsid w:val="062CE577"/>
    <w:rsid w:val="0631C226"/>
    <w:rsid w:val="06392F86"/>
    <w:rsid w:val="063B92AE"/>
    <w:rsid w:val="0646188E"/>
    <w:rsid w:val="064F6F73"/>
    <w:rsid w:val="0650E096"/>
    <w:rsid w:val="0650E38C"/>
    <w:rsid w:val="0652D8E8"/>
    <w:rsid w:val="065BC300"/>
    <w:rsid w:val="06615B04"/>
    <w:rsid w:val="06625D83"/>
    <w:rsid w:val="0662FE2A"/>
    <w:rsid w:val="066680EF"/>
    <w:rsid w:val="066E8BCF"/>
    <w:rsid w:val="0675B1A6"/>
    <w:rsid w:val="067C3DC8"/>
    <w:rsid w:val="06837DC6"/>
    <w:rsid w:val="068B35FC"/>
    <w:rsid w:val="068CEF8F"/>
    <w:rsid w:val="06A1AD63"/>
    <w:rsid w:val="06A2F37E"/>
    <w:rsid w:val="06A635C4"/>
    <w:rsid w:val="06AA9266"/>
    <w:rsid w:val="06BB6142"/>
    <w:rsid w:val="06BDA49E"/>
    <w:rsid w:val="06BEBD53"/>
    <w:rsid w:val="06C34D51"/>
    <w:rsid w:val="06C77FD3"/>
    <w:rsid w:val="06C832D8"/>
    <w:rsid w:val="06D88D9D"/>
    <w:rsid w:val="06E5AE4C"/>
    <w:rsid w:val="06E9A464"/>
    <w:rsid w:val="06ECE2EF"/>
    <w:rsid w:val="06EFCB7E"/>
    <w:rsid w:val="06F2D8AF"/>
    <w:rsid w:val="06F803A0"/>
    <w:rsid w:val="06FE6835"/>
    <w:rsid w:val="0701987E"/>
    <w:rsid w:val="0708F85B"/>
    <w:rsid w:val="070AAE47"/>
    <w:rsid w:val="07146CC8"/>
    <w:rsid w:val="071B2E60"/>
    <w:rsid w:val="071EE082"/>
    <w:rsid w:val="0730809E"/>
    <w:rsid w:val="07345BE1"/>
    <w:rsid w:val="073FCD5A"/>
    <w:rsid w:val="07403E74"/>
    <w:rsid w:val="0743AF24"/>
    <w:rsid w:val="074C7E96"/>
    <w:rsid w:val="0750D683"/>
    <w:rsid w:val="0753BA11"/>
    <w:rsid w:val="07568CB9"/>
    <w:rsid w:val="075E4F98"/>
    <w:rsid w:val="075ECD75"/>
    <w:rsid w:val="076323A9"/>
    <w:rsid w:val="076670BA"/>
    <w:rsid w:val="076FE834"/>
    <w:rsid w:val="07702977"/>
    <w:rsid w:val="0776DE15"/>
    <w:rsid w:val="07794D94"/>
    <w:rsid w:val="077CD43C"/>
    <w:rsid w:val="07852904"/>
    <w:rsid w:val="0785C996"/>
    <w:rsid w:val="078976B2"/>
    <w:rsid w:val="078D14B6"/>
    <w:rsid w:val="078D5E87"/>
    <w:rsid w:val="078F256D"/>
    <w:rsid w:val="079B02C9"/>
    <w:rsid w:val="079BA937"/>
    <w:rsid w:val="079C8D26"/>
    <w:rsid w:val="079DA5D2"/>
    <w:rsid w:val="07A0A309"/>
    <w:rsid w:val="07A10003"/>
    <w:rsid w:val="07A29C96"/>
    <w:rsid w:val="07AAF0E8"/>
    <w:rsid w:val="07AB39A1"/>
    <w:rsid w:val="07AD575F"/>
    <w:rsid w:val="07B47072"/>
    <w:rsid w:val="07B6E88B"/>
    <w:rsid w:val="07BB8BAF"/>
    <w:rsid w:val="07C9F9E1"/>
    <w:rsid w:val="07CF7295"/>
    <w:rsid w:val="07D38246"/>
    <w:rsid w:val="07D5D309"/>
    <w:rsid w:val="07D624DB"/>
    <w:rsid w:val="07D73B8E"/>
    <w:rsid w:val="07DE0A3A"/>
    <w:rsid w:val="07E8E4AD"/>
    <w:rsid w:val="07F26A86"/>
    <w:rsid w:val="07F8F0F1"/>
    <w:rsid w:val="07FBE31C"/>
    <w:rsid w:val="07FC93C6"/>
    <w:rsid w:val="07FE2593"/>
    <w:rsid w:val="0800F1A1"/>
    <w:rsid w:val="08023BE7"/>
    <w:rsid w:val="08086716"/>
    <w:rsid w:val="0808833A"/>
    <w:rsid w:val="080B19CB"/>
    <w:rsid w:val="0812002D"/>
    <w:rsid w:val="0816A799"/>
    <w:rsid w:val="08212397"/>
    <w:rsid w:val="08231AC4"/>
    <w:rsid w:val="0827A30D"/>
    <w:rsid w:val="082CE33D"/>
    <w:rsid w:val="083269E5"/>
    <w:rsid w:val="08474A14"/>
    <w:rsid w:val="0851A3C7"/>
    <w:rsid w:val="0857F2B4"/>
    <w:rsid w:val="085EA340"/>
    <w:rsid w:val="085EBDA9"/>
    <w:rsid w:val="086CF99B"/>
    <w:rsid w:val="086E0716"/>
    <w:rsid w:val="0876EE59"/>
    <w:rsid w:val="087E240D"/>
    <w:rsid w:val="08895A97"/>
    <w:rsid w:val="088C93DB"/>
    <w:rsid w:val="08948226"/>
    <w:rsid w:val="08A10EDA"/>
    <w:rsid w:val="08B2DAAD"/>
    <w:rsid w:val="08BD1EFF"/>
    <w:rsid w:val="08CAA93D"/>
    <w:rsid w:val="08D490AE"/>
    <w:rsid w:val="08DA338B"/>
    <w:rsid w:val="08E2737B"/>
    <w:rsid w:val="08E3E7B8"/>
    <w:rsid w:val="08E9A293"/>
    <w:rsid w:val="08F7D0F5"/>
    <w:rsid w:val="0900A8B2"/>
    <w:rsid w:val="09054366"/>
    <w:rsid w:val="0906974D"/>
    <w:rsid w:val="0907A499"/>
    <w:rsid w:val="0913A4BC"/>
    <w:rsid w:val="09185CE5"/>
    <w:rsid w:val="091D7C0B"/>
    <w:rsid w:val="09230F01"/>
    <w:rsid w:val="092A276B"/>
    <w:rsid w:val="092D7674"/>
    <w:rsid w:val="092F5964"/>
    <w:rsid w:val="0931F4DC"/>
    <w:rsid w:val="093A0D3E"/>
    <w:rsid w:val="0941395F"/>
    <w:rsid w:val="0941E42E"/>
    <w:rsid w:val="0943915C"/>
    <w:rsid w:val="094A84CE"/>
    <w:rsid w:val="094BE24A"/>
    <w:rsid w:val="094E5F41"/>
    <w:rsid w:val="095C3AAC"/>
    <w:rsid w:val="09664D43"/>
    <w:rsid w:val="09712973"/>
    <w:rsid w:val="097C398E"/>
    <w:rsid w:val="097FF296"/>
    <w:rsid w:val="09842FB8"/>
    <w:rsid w:val="0984B5AE"/>
    <w:rsid w:val="098F6D33"/>
    <w:rsid w:val="099540D5"/>
    <w:rsid w:val="09967A11"/>
    <w:rsid w:val="0998C37C"/>
    <w:rsid w:val="09A3B36F"/>
    <w:rsid w:val="09A51489"/>
    <w:rsid w:val="09A5A1FE"/>
    <w:rsid w:val="09AB2E8E"/>
    <w:rsid w:val="09AEF6C6"/>
    <w:rsid w:val="09D3E437"/>
    <w:rsid w:val="09D4DBA6"/>
    <w:rsid w:val="09DD3135"/>
    <w:rsid w:val="09DE8A0A"/>
    <w:rsid w:val="09E1DEFC"/>
    <w:rsid w:val="09F328E7"/>
    <w:rsid w:val="0A095874"/>
    <w:rsid w:val="0A17AE2F"/>
    <w:rsid w:val="0A187DC9"/>
    <w:rsid w:val="0A199F45"/>
    <w:rsid w:val="0A23772A"/>
    <w:rsid w:val="0A34BC5B"/>
    <w:rsid w:val="0A3A8D02"/>
    <w:rsid w:val="0A402813"/>
    <w:rsid w:val="0A43C429"/>
    <w:rsid w:val="0A4416AA"/>
    <w:rsid w:val="0A4D2A56"/>
    <w:rsid w:val="0A5BCD4B"/>
    <w:rsid w:val="0A60B6F2"/>
    <w:rsid w:val="0A6B14C5"/>
    <w:rsid w:val="0A7777C0"/>
    <w:rsid w:val="0A84278A"/>
    <w:rsid w:val="0A853C87"/>
    <w:rsid w:val="0A860736"/>
    <w:rsid w:val="0A94A36A"/>
    <w:rsid w:val="0A9F876A"/>
    <w:rsid w:val="0AA2E8B4"/>
    <w:rsid w:val="0AA3E439"/>
    <w:rsid w:val="0AA484CF"/>
    <w:rsid w:val="0AAEDCD9"/>
    <w:rsid w:val="0AB03E63"/>
    <w:rsid w:val="0ABD2C5F"/>
    <w:rsid w:val="0AC73C53"/>
    <w:rsid w:val="0AD169DF"/>
    <w:rsid w:val="0AD5A2E4"/>
    <w:rsid w:val="0AD6EFFF"/>
    <w:rsid w:val="0ADD26BE"/>
    <w:rsid w:val="0AE97162"/>
    <w:rsid w:val="0AF7D629"/>
    <w:rsid w:val="0AFCA83B"/>
    <w:rsid w:val="0B0BC3EA"/>
    <w:rsid w:val="0B10DC6E"/>
    <w:rsid w:val="0B13B4F2"/>
    <w:rsid w:val="0B193C81"/>
    <w:rsid w:val="0B1C0FBF"/>
    <w:rsid w:val="0B29146D"/>
    <w:rsid w:val="0B2CA23F"/>
    <w:rsid w:val="0B2E7AC8"/>
    <w:rsid w:val="0B3EDF43"/>
    <w:rsid w:val="0B40DE50"/>
    <w:rsid w:val="0B481002"/>
    <w:rsid w:val="0B491697"/>
    <w:rsid w:val="0B4E8CAC"/>
    <w:rsid w:val="0B5AFD69"/>
    <w:rsid w:val="0B5B8970"/>
    <w:rsid w:val="0B5C773E"/>
    <w:rsid w:val="0B5D205C"/>
    <w:rsid w:val="0B5D25C7"/>
    <w:rsid w:val="0B676689"/>
    <w:rsid w:val="0B67788E"/>
    <w:rsid w:val="0B69CF22"/>
    <w:rsid w:val="0B6AA19F"/>
    <w:rsid w:val="0B74F7DE"/>
    <w:rsid w:val="0B7D085A"/>
    <w:rsid w:val="0B8199D0"/>
    <w:rsid w:val="0B87918A"/>
    <w:rsid w:val="0B881F26"/>
    <w:rsid w:val="0B898D69"/>
    <w:rsid w:val="0B9A6E35"/>
    <w:rsid w:val="0B9D22A5"/>
    <w:rsid w:val="0BA670D8"/>
    <w:rsid w:val="0BBE50C1"/>
    <w:rsid w:val="0BCD12FF"/>
    <w:rsid w:val="0BD15654"/>
    <w:rsid w:val="0BE614B7"/>
    <w:rsid w:val="0BE77158"/>
    <w:rsid w:val="0BE85F0B"/>
    <w:rsid w:val="0BEAACF2"/>
    <w:rsid w:val="0BEECFC1"/>
    <w:rsid w:val="0BEF7413"/>
    <w:rsid w:val="0BF1B9DC"/>
    <w:rsid w:val="0BF3ECE5"/>
    <w:rsid w:val="0BF443D9"/>
    <w:rsid w:val="0BF8A242"/>
    <w:rsid w:val="0BFC4216"/>
    <w:rsid w:val="0BFF14A1"/>
    <w:rsid w:val="0C024FF9"/>
    <w:rsid w:val="0C07DD93"/>
    <w:rsid w:val="0C089968"/>
    <w:rsid w:val="0C152107"/>
    <w:rsid w:val="0C2199BD"/>
    <w:rsid w:val="0C36405B"/>
    <w:rsid w:val="0C38B902"/>
    <w:rsid w:val="0C3FA56F"/>
    <w:rsid w:val="0C3FC1C1"/>
    <w:rsid w:val="0C478FE4"/>
    <w:rsid w:val="0C4909A5"/>
    <w:rsid w:val="0C4F319C"/>
    <w:rsid w:val="0C500EAC"/>
    <w:rsid w:val="0C594EE2"/>
    <w:rsid w:val="0C6C19C0"/>
    <w:rsid w:val="0C742F5E"/>
    <w:rsid w:val="0C76A0FF"/>
    <w:rsid w:val="0C81E1BC"/>
    <w:rsid w:val="0C84D607"/>
    <w:rsid w:val="0C9F7EA0"/>
    <w:rsid w:val="0CA85730"/>
    <w:rsid w:val="0CAAFFDF"/>
    <w:rsid w:val="0CAF250E"/>
    <w:rsid w:val="0CB0E3CD"/>
    <w:rsid w:val="0CBE64AD"/>
    <w:rsid w:val="0CBEADFD"/>
    <w:rsid w:val="0CC37E1E"/>
    <w:rsid w:val="0CC99CDD"/>
    <w:rsid w:val="0CD5C400"/>
    <w:rsid w:val="0CD7F633"/>
    <w:rsid w:val="0CD8B779"/>
    <w:rsid w:val="0CDDB8CD"/>
    <w:rsid w:val="0CDE4657"/>
    <w:rsid w:val="0CE83B89"/>
    <w:rsid w:val="0CEAB681"/>
    <w:rsid w:val="0CEB1776"/>
    <w:rsid w:val="0CED1064"/>
    <w:rsid w:val="0CF2A3C7"/>
    <w:rsid w:val="0CF7C344"/>
    <w:rsid w:val="0CFF325A"/>
    <w:rsid w:val="0D002BFD"/>
    <w:rsid w:val="0D0CAA81"/>
    <w:rsid w:val="0D1295CA"/>
    <w:rsid w:val="0D15CC8D"/>
    <w:rsid w:val="0D1AA9EC"/>
    <w:rsid w:val="0D1BFCAD"/>
    <w:rsid w:val="0D210045"/>
    <w:rsid w:val="0D26235D"/>
    <w:rsid w:val="0D2DD945"/>
    <w:rsid w:val="0D31B52D"/>
    <w:rsid w:val="0D35BFE0"/>
    <w:rsid w:val="0D37FBFB"/>
    <w:rsid w:val="0D4E7928"/>
    <w:rsid w:val="0D506FF4"/>
    <w:rsid w:val="0D522028"/>
    <w:rsid w:val="0D57E9D9"/>
    <w:rsid w:val="0D585E6F"/>
    <w:rsid w:val="0D604108"/>
    <w:rsid w:val="0D643B8E"/>
    <w:rsid w:val="0D66AB20"/>
    <w:rsid w:val="0D6C9073"/>
    <w:rsid w:val="0D6DD8E1"/>
    <w:rsid w:val="0D705979"/>
    <w:rsid w:val="0D83DA83"/>
    <w:rsid w:val="0D8B5441"/>
    <w:rsid w:val="0D995ABE"/>
    <w:rsid w:val="0D9E2D54"/>
    <w:rsid w:val="0DA5DBEC"/>
    <w:rsid w:val="0DA799D5"/>
    <w:rsid w:val="0DACAFD3"/>
    <w:rsid w:val="0DACDA6A"/>
    <w:rsid w:val="0DB1CC8F"/>
    <w:rsid w:val="0DBFAFF6"/>
    <w:rsid w:val="0DC322E0"/>
    <w:rsid w:val="0DC4883F"/>
    <w:rsid w:val="0DC7FD6A"/>
    <w:rsid w:val="0DCE75AD"/>
    <w:rsid w:val="0DDD0C66"/>
    <w:rsid w:val="0DE4F364"/>
    <w:rsid w:val="0DE99768"/>
    <w:rsid w:val="0DEA7F85"/>
    <w:rsid w:val="0DEF94D3"/>
    <w:rsid w:val="0DF5FF9F"/>
    <w:rsid w:val="0DFE6B64"/>
    <w:rsid w:val="0DFEFFD3"/>
    <w:rsid w:val="0E0259A7"/>
    <w:rsid w:val="0E1A7FEA"/>
    <w:rsid w:val="0E329124"/>
    <w:rsid w:val="0E32EA90"/>
    <w:rsid w:val="0E35A7E4"/>
    <w:rsid w:val="0E3B79E3"/>
    <w:rsid w:val="0E3B9771"/>
    <w:rsid w:val="0E3BA6A5"/>
    <w:rsid w:val="0E42779E"/>
    <w:rsid w:val="0E4C2EF8"/>
    <w:rsid w:val="0E4C5C36"/>
    <w:rsid w:val="0E4F01F4"/>
    <w:rsid w:val="0E51A37D"/>
    <w:rsid w:val="0E5CE066"/>
    <w:rsid w:val="0E5F47C6"/>
    <w:rsid w:val="0E5F90E8"/>
    <w:rsid w:val="0E6748D4"/>
    <w:rsid w:val="0E68F685"/>
    <w:rsid w:val="0E7072E9"/>
    <w:rsid w:val="0E74F855"/>
    <w:rsid w:val="0E79A3A7"/>
    <w:rsid w:val="0E897FF9"/>
    <w:rsid w:val="0E8A2CEE"/>
    <w:rsid w:val="0E901693"/>
    <w:rsid w:val="0E925A2A"/>
    <w:rsid w:val="0E9BC10B"/>
    <w:rsid w:val="0EA15784"/>
    <w:rsid w:val="0EA1C605"/>
    <w:rsid w:val="0EA2499F"/>
    <w:rsid w:val="0EADFD16"/>
    <w:rsid w:val="0EB45D88"/>
    <w:rsid w:val="0EB8527C"/>
    <w:rsid w:val="0EB8E5C0"/>
    <w:rsid w:val="0EBF21A1"/>
    <w:rsid w:val="0EC00CB4"/>
    <w:rsid w:val="0EC791BC"/>
    <w:rsid w:val="0EC89CB7"/>
    <w:rsid w:val="0ED0A867"/>
    <w:rsid w:val="0ED223BA"/>
    <w:rsid w:val="0ED4BDE9"/>
    <w:rsid w:val="0ED5B264"/>
    <w:rsid w:val="0ED8887A"/>
    <w:rsid w:val="0EDDA6EF"/>
    <w:rsid w:val="0EE63322"/>
    <w:rsid w:val="0EE69512"/>
    <w:rsid w:val="0EECDC4D"/>
    <w:rsid w:val="0EF593F9"/>
    <w:rsid w:val="0EF7E57F"/>
    <w:rsid w:val="0EFE1EB5"/>
    <w:rsid w:val="0EFEB798"/>
    <w:rsid w:val="0EFEE476"/>
    <w:rsid w:val="0F053B16"/>
    <w:rsid w:val="0F0598E6"/>
    <w:rsid w:val="0F0B8075"/>
    <w:rsid w:val="0F157C2C"/>
    <w:rsid w:val="0F1A4636"/>
    <w:rsid w:val="0F1D917F"/>
    <w:rsid w:val="0F313525"/>
    <w:rsid w:val="0F360851"/>
    <w:rsid w:val="0F3A98CD"/>
    <w:rsid w:val="0F3AD8A8"/>
    <w:rsid w:val="0F3AF475"/>
    <w:rsid w:val="0F402C9E"/>
    <w:rsid w:val="0F4299CA"/>
    <w:rsid w:val="0F48D914"/>
    <w:rsid w:val="0F4997D4"/>
    <w:rsid w:val="0F4A95EE"/>
    <w:rsid w:val="0F5724B2"/>
    <w:rsid w:val="0F612B02"/>
    <w:rsid w:val="0F6CEB6F"/>
    <w:rsid w:val="0F6EE614"/>
    <w:rsid w:val="0F7F9318"/>
    <w:rsid w:val="0F829FC8"/>
    <w:rsid w:val="0F84A785"/>
    <w:rsid w:val="0F897838"/>
    <w:rsid w:val="0F9BC768"/>
    <w:rsid w:val="0F9BEF29"/>
    <w:rsid w:val="0FA441B7"/>
    <w:rsid w:val="0FA71E3A"/>
    <w:rsid w:val="0FAD34C0"/>
    <w:rsid w:val="0FB3A018"/>
    <w:rsid w:val="0FBA5F4A"/>
    <w:rsid w:val="0FBB21EC"/>
    <w:rsid w:val="0FC90F0F"/>
    <w:rsid w:val="0FCE6404"/>
    <w:rsid w:val="0FD94CEA"/>
    <w:rsid w:val="0FDD2E02"/>
    <w:rsid w:val="0FE3A102"/>
    <w:rsid w:val="0FEB8BCE"/>
    <w:rsid w:val="0FEC6A5B"/>
    <w:rsid w:val="0FED89B4"/>
    <w:rsid w:val="0FEDA326"/>
    <w:rsid w:val="0FF2AAAB"/>
    <w:rsid w:val="0FFC1D1C"/>
    <w:rsid w:val="100124B0"/>
    <w:rsid w:val="1002EEE6"/>
    <w:rsid w:val="1004D905"/>
    <w:rsid w:val="100AD058"/>
    <w:rsid w:val="100E9FAA"/>
    <w:rsid w:val="1010B3F4"/>
    <w:rsid w:val="1015F42B"/>
    <w:rsid w:val="101D3B3E"/>
    <w:rsid w:val="101E2B00"/>
    <w:rsid w:val="101E84EA"/>
    <w:rsid w:val="101EDB64"/>
    <w:rsid w:val="10253C14"/>
    <w:rsid w:val="10273E0D"/>
    <w:rsid w:val="10278B41"/>
    <w:rsid w:val="102F5541"/>
    <w:rsid w:val="10328BFF"/>
    <w:rsid w:val="10370F10"/>
    <w:rsid w:val="1037D633"/>
    <w:rsid w:val="10404E0A"/>
    <w:rsid w:val="10419F9D"/>
    <w:rsid w:val="10431D5F"/>
    <w:rsid w:val="1043D87F"/>
    <w:rsid w:val="1056F7BB"/>
    <w:rsid w:val="105CC119"/>
    <w:rsid w:val="105EDD05"/>
    <w:rsid w:val="10644844"/>
    <w:rsid w:val="106746AF"/>
    <w:rsid w:val="106B525F"/>
    <w:rsid w:val="106C76FF"/>
    <w:rsid w:val="10780CCC"/>
    <w:rsid w:val="107ECCBB"/>
    <w:rsid w:val="1082A46B"/>
    <w:rsid w:val="10906354"/>
    <w:rsid w:val="1094A252"/>
    <w:rsid w:val="10A19A67"/>
    <w:rsid w:val="10A1DC9D"/>
    <w:rsid w:val="10A921CB"/>
    <w:rsid w:val="10B37F7D"/>
    <w:rsid w:val="10B764A5"/>
    <w:rsid w:val="10BA01C0"/>
    <w:rsid w:val="10BB3728"/>
    <w:rsid w:val="10BCA096"/>
    <w:rsid w:val="10C21F52"/>
    <w:rsid w:val="10C2B217"/>
    <w:rsid w:val="10C66EB4"/>
    <w:rsid w:val="10C9889F"/>
    <w:rsid w:val="10D16D39"/>
    <w:rsid w:val="10D46C1E"/>
    <w:rsid w:val="10D4E086"/>
    <w:rsid w:val="10DFB898"/>
    <w:rsid w:val="10E78BC9"/>
    <w:rsid w:val="10E9F2BB"/>
    <w:rsid w:val="10EE43A1"/>
    <w:rsid w:val="10F1A5F5"/>
    <w:rsid w:val="10F39970"/>
    <w:rsid w:val="10F4DC86"/>
    <w:rsid w:val="10FBF087"/>
    <w:rsid w:val="1103CA3A"/>
    <w:rsid w:val="11052AC5"/>
    <w:rsid w:val="1108EB48"/>
    <w:rsid w:val="110CF680"/>
    <w:rsid w:val="110E2468"/>
    <w:rsid w:val="111016D1"/>
    <w:rsid w:val="1111516A"/>
    <w:rsid w:val="11137BC4"/>
    <w:rsid w:val="11167447"/>
    <w:rsid w:val="111A69F4"/>
    <w:rsid w:val="111AD968"/>
    <w:rsid w:val="111EE1F2"/>
    <w:rsid w:val="1121C0CB"/>
    <w:rsid w:val="11250EE8"/>
    <w:rsid w:val="1126BA64"/>
    <w:rsid w:val="112C6146"/>
    <w:rsid w:val="113383E8"/>
    <w:rsid w:val="11381E0F"/>
    <w:rsid w:val="1146FF62"/>
    <w:rsid w:val="114B28F3"/>
    <w:rsid w:val="114E009D"/>
    <w:rsid w:val="114F9A04"/>
    <w:rsid w:val="115A31D8"/>
    <w:rsid w:val="115BDA6C"/>
    <w:rsid w:val="115F6EA1"/>
    <w:rsid w:val="116DEC76"/>
    <w:rsid w:val="116DED77"/>
    <w:rsid w:val="1170A31B"/>
    <w:rsid w:val="117F3FD9"/>
    <w:rsid w:val="1182929E"/>
    <w:rsid w:val="118551F4"/>
    <w:rsid w:val="118B53A9"/>
    <w:rsid w:val="118DF541"/>
    <w:rsid w:val="118E0931"/>
    <w:rsid w:val="119342B9"/>
    <w:rsid w:val="11984CA8"/>
    <w:rsid w:val="119B2172"/>
    <w:rsid w:val="119E6A06"/>
    <w:rsid w:val="119F9B6E"/>
    <w:rsid w:val="11BC88CC"/>
    <w:rsid w:val="11BC8F39"/>
    <w:rsid w:val="11BF2AD7"/>
    <w:rsid w:val="11C95BFF"/>
    <w:rsid w:val="11D4A019"/>
    <w:rsid w:val="11D74168"/>
    <w:rsid w:val="11D95A7D"/>
    <w:rsid w:val="11DC4CED"/>
    <w:rsid w:val="11DD574A"/>
    <w:rsid w:val="11DDAC35"/>
    <w:rsid w:val="11EDFCD4"/>
    <w:rsid w:val="11F93A2F"/>
    <w:rsid w:val="11FB20CC"/>
    <w:rsid w:val="11FCC8D8"/>
    <w:rsid w:val="1206C5DF"/>
    <w:rsid w:val="120E243B"/>
    <w:rsid w:val="122356FF"/>
    <w:rsid w:val="122C34B6"/>
    <w:rsid w:val="1236DF4C"/>
    <w:rsid w:val="1239DEC0"/>
    <w:rsid w:val="1240F235"/>
    <w:rsid w:val="1242A3F3"/>
    <w:rsid w:val="124615E7"/>
    <w:rsid w:val="12466695"/>
    <w:rsid w:val="12482EFB"/>
    <w:rsid w:val="124942A0"/>
    <w:rsid w:val="1256CA1E"/>
    <w:rsid w:val="12574E84"/>
    <w:rsid w:val="125A5BFC"/>
    <w:rsid w:val="125A98D1"/>
    <w:rsid w:val="12607A84"/>
    <w:rsid w:val="126946F5"/>
    <w:rsid w:val="126C170D"/>
    <w:rsid w:val="1281734F"/>
    <w:rsid w:val="1281A190"/>
    <w:rsid w:val="128499FA"/>
    <w:rsid w:val="128858F3"/>
    <w:rsid w:val="12913289"/>
    <w:rsid w:val="12929E2D"/>
    <w:rsid w:val="1294B9BB"/>
    <w:rsid w:val="12957A2B"/>
    <w:rsid w:val="129D5F1C"/>
    <w:rsid w:val="129D812A"/>
    <w:rsid w:val="129E3156"/>
    <w:rsid w:val="12A95F03"/>
    <w:rsid w:val="12AD10CB"/>
    <w:rsid w:val="12ADDF33"/>
    <w:rsid w:val="12AF25B7"/>
    <w:rsid w:val="12B2ED54"/>
    <w:rsid w:val="12B6B6BB"/>
    <w:rsid w:val="12BD08F6"/>
    <w:rsid w:val="12BE8262"/>
    <w:rsid w:val="12C0F438"/>
    <w:rsid w:val="12C2C304"/>
    <w:rsid w:val="12C51362"/>
    <w:rsid w:val="12C5857E"/>
    <w:rsid w:val="12CD3924"/>
    <w:rsid w:val="12CF937A"/>
    <w:rsid w:val="12D0DFD1"/>
    <w:rsid w:val="12D1FAAE"/>
    <w:rsid w:val="12D707B3"/>
    <w:rsid w:val="12D79F89"/>
    <w:rsid w:val="12DD9D30"/>
    <w:rsid w:val="12DE36C9"/>
    <w:rsid w:val="12E2D120"/>
    <w:rsid w:val="12EC9D21"/>
    <w:rsid w:val="12F2A51B"/>
    <w:rsid w:val="130938C4"/>
    <w:rsid w:val="130A2AAE"/>
    <w:rsid w:val="130E946E"/>
    <w:rsid w:val="131A02F2"/>
    <w:rsid w:val="13205487"/>
    <w:rsid w:val="1321EE6B"/>
    <w:rsid w:val="1322BE3F"/>
    <w:rsid w:val="132439F9"/>
    <w:rsid w:val="1341AFA1"/>
    <w:rsid w:val="1345C350"/>
    <w:rsid w:val="134689D4"/>
    <w:rsid w:val="1347D880"/>
    <w:rsid w:val="1349B3FE"/>
    <w:rsid w:val="134D9339"/>
    <w:rsid w:val="135363FB"/>
    <w:rsid w:val="13579582"/>
    <w:rsid w:val="135A9973"/>
    <w:rsid w:val="135B44A7"/>
    <w:rsid w:val="1365B146"/>
    <w:rsid w:val="136F24A0"/>
    <w:rsid w:val="13731C54"/>
    <w:rsid w:val="1379B295"/>
    <w:rsid w:val="138139F5"/>
    <w:rsid w:val="13820165"/>
    <w:rsid w:val="1383E787"/>
    <w:rsid w:val="1386737F"/>
    <w:rsid w:val="1395AE62"/>
    <w:rsid w:val="13A0154E"/>
    <w:rsid w:val="13A73414"/>
    <w:rsid w:val="13AF36DE"/>
    <w:rsid w:val="13B2CA85"/>
    <w:rsid w:val="13B66ADD"/>
    <w:rsid w:val="13D743A4"/>
    <w:rsid w:val="13E1DF39"/>
    <w:rsid w:val="13E4E08F"/>
    <w:rsid w:val="13E89AC4"/>
    <w:rsid w:val="13EADACF"/>
    <w:rsid w:val="13EEF36F"/>
    <w:rsid w:val="13F9F6D7"/>
    <w:rsid w:val="14017617"/>
    <w:rsid w:val="14048888"/>
    <w:rsid w:val="14087884"/>
    <w:rsid w:val="14088B71"/>
    <w:rsid w:val="1408B023"/>
    <w:rsid w:val="1421A0D0"/>
    <w:rsid w:val="142811D8"/>
    <w:rsid w:val="143B8599"/>
    <w:rsid w:val="143C81C7"/>
    <w:rsid w:val="143F0F22"/>
    <w:rsid w:val="14406287"/>
    <w:rsid w:val="1442C394"/>
    <w:rsid w:val="1444E3AE"/>
    <w:rsid w:val="144CED7F"/>
    <w:rsid w:val="144D3B52"/>
    <w:rsid w:val="145026C5"/>
    <w:rsid w:val="1451980F"/>
    <w:rsid w:val="1455B26C"/>
    <w:rsid w:val="1457DB37"/>
    <w:rsid w:val="145A1EEA"/>
    <w:rsid w:val="145EF5C1"/>
    <w:rsid w:val="1462E36D"/>
    <w:rsid w:val="1467D0E4"/>
    <w:rsid w:val="147321E6"/>
    <w:rsid w:val="147C6C2C"/>
    <w:rsid w:val="147E706E"/>
    <w:rsid w:val="1493887D"/>
    <w:rsid w:val="149705AA"/>
    <w:rsid w:val="1497B038"/>
    <w:rsid w:val="149A21F0"/>
    <w:rsid w:val="149E75B0"/>
    <w:rsid w:val="14A6C830"/>
    <w:rsid w:val="14A81B95"/>
    <w:rsid w:val="14B06788"/>
    <w:rsid w:val="14BF3F63"/>
    <w:rsid w:val="14C0038B"/>
    <w:rsid w:val="14C711FC"/>
    <w:rsid w:val="14C92AC2"/>
    <w:rsid w:val="14CF1E2B"/>
    <w:rsid w:val="14D0CC7A"/>
    <w:rsid w:val="14D273B6"/>
    <w:rsid w:val="14D6E009"/>
    <w:rsid w:val="14D79499"/>
    <w:rsid w:val="14DC1C84"/>
    <w:rsid w:val="14DCE375"/>
    <w:rsid w:val="14DE7D05"/>
    <w:rsid w:val="14E75B12"/>
    <w:rsid w:val="14EB7BA0"/>
    <w:rsid w:val="14EE6451"/>
    <w:rsid w:val="14F071BA"/>
    <w:rsid w:val="14F3092C"/>
    <w:rsid w:val="14F6C0EC"/>
    <w:rsid w:val="14FDF198"/>
    <w:rsid w:val="1502018C"/>
    <w:rsid w:val="150F02B8"/>
    <w:rsid w:val="1510A5F7"/>
    <w:rsid w:val="15232D94"/>
    <w:rsid w:val="15295E09"/>
    <w:rsid w:val="152DBED3"/>
    <w:rsid w:val="152DF66A"/>
    <w:rsid w:val="152E9397"/>
    <w:rsid w:val="152F9BCE"/>
    <w:rsid w:val="15379673"/>
    <w:rsid w:val="1542EC15"/>
    <w:rsid w:val="15449716"/>
    <w:rsid w:val="1544FC63"/>
    <w:rsid w:val="15483C95"/>
    <w:rsid w:val="15496974"/>
    <w:rsid w:val="154D81FA"/>
    <w:rsid w:val="154E9862"/>
    <w:rsid w:val="1551EB75"/>
    <w:rsid w:val="15561C39"/>
    <w:rsid w:val="155722E8"/>
    <w:rsid w:val="155BF7CE"/>
    <w:rsid w:val="15638886"/>
    <w:rsid w:val="156DCCA4"/>
    <w:rsid w:val="15787C04"/>
    <w:rsid w:val="157C9945"/>
    <w:rsid w:val="158841FC"/>
    <w:rsid w:val="15A1EE89"/>
    <w:rsid w:val="15A2A01E"/>
    <w:rsid w:val="15A85B77"/>
    <w:rsid w:val="15B384FB"/>
    <w:rsid w:val="15C51430"/>
    <w:rsid w:val="15C99B61"/>
    <w:rsid w:val="15E82E59"/>
    <w:rsid w:val="15E832E5"/>
    <w:rsid w:val="15F09C3E"/>
    <w:rsid w:val="15F781B0"/>
    <w:rsid w:val="15F96491"/>
    <w:rsid w:val="15FD689B"/>
    <w:rsid w:val="16018289"/>
    <w:rsid w:val="1603E62B"/>
    <w:rsid w:val="160831B9"/>
    <w:rsid w:val="160AB36C"/>
    <w:rsid w:val="1613E6F9"/>
    <w:rsid w:val="16167FFC"/>
    <w:rsid w:val="1617CA41"/>
    <w:rsid w:val="1618FD98"/>
    <w:rsid w:val="161CA57A"/>
    <w:rsid w:val="1620A63E"/>
    <w:rsid w:val="1625F573"/>
    <w:rsid w:val="162E7047"/>
    <w:rsid w:val="16392281"/>
    <w:rsid w:val="163EF2E6"/>
    <w:rsid w:val="163F99AD"/>
    <w:rsid w:val="1642B469"/>
    <w:rsid w:val="16454C2A"/>
    <w:rsid w:val="164C4021"/>
    <w:rsid w:val="1659A24D"/>
    <w:rsid w:val="166B91FF"/>
    <w:rsid w:val="16720AA9"/>
    <w:rsid w:val="1684786F"/>
    <w:rsid w:val="16878AB5"/>
    <w:rsid w:val="1687BE7C"/>
    <w:rsid w:val="168A20A7"/>
    <w:rsid w:val="168A9146"/>
    <w:rsid w:val="168C6431"/>
    <w:rsid w:val="168D6BC4"/>
    <w:rsid w:val="168EBCEC"/>
    <w:rsid w:val="1695941F"/>
    <w:rsid w:val="16AB9F2E"/>
    <w:rsid w:val="16B38863"/>
    <w:rsid w:val="16BE0FA1"/>
    <w:rsid w:val="16C1B5C9"/>
    <w:rsid w:val="16C55DB7"/>
    <w:rsid w:val="16C73535"/>
    <w:rsid w:val="16D99F61"/>
    <w:rsid w:val="16DB703D"/>
    <w:rsid w:val="16E47F82"/>
    <w:rsid w:val="16E878F6"/>
    <w:rsid w:val="16EB0563"/>
    <w:rsid w:val="16F46919"/>
    <w:rsid w:val="16FF1EEA"/>
    <w:rsid w:val="1711047C"/>
    <w:rsid w:val="1713E75E"/>
    <w:rsid w:val="17166907"/>
    <w:rsid w:val="171D95BE"/>
    <w:rsid w:val="17253898"/>
    <w:rsid w:val="1726FBF7"/>
    <w:rsid w:val="172813B6"/>
    <w:rsid w:val="173344C7"/>
    <w:rsid w:val="17369A08"/>
    <w:rsid w:val="1737A68B"/>
    <w:rsid w:val="174A5CB8"/>
    <w:rsid w:val="174B67AC"/>
    <w:rsid w:val="174D9DE4"/>
    <w:rsid w:val="174F0F8B"/>
    <w:rsid w:val="175596C8"/>
    <w:rsid w:val="17641A98"/>
    <w:rsid w:val="1766D60A"/>
    <w:rsid w:val="1769AACC"/>
    <w:rsid w:val="17732B4F"/>
    <w:rsid w:val="17787D63"/>
    <w:rsid w:val="177B870F"/>
    <w:rsid w:val="177BB0C8"/>
    <w:rsid w:val="17831164"/>
    <w:rsid w:val="178FAE52"/>
    <w:rsid w:val="1794502A"/>
    <w:rsid w:val="1796A778"/>
    <w:rsid w:val="179904A2"/>
    <w:rsid w:val="179951E8"/>
    <w:rsid w:val="17999569"/>
    <w:rsid w:val="179AC661"/>
    <w:rsid w:val="17A8D470"/>
    <w:rsid w:val="17AC66C9"/>
    <w:rsid w:val="17B25DBE"/>
    <w:rsid w:val="17B40556"/>
    <w:rsid w:val="17BDEDF6"/>
    <w:rsid w:val="17C1EB5E"/>
    <w:rsid w:val="17C6F1FB"/>
    <w:rsid w:val="17C92795"/>
    <w:rsid w:val="17C9C500"/>
    <w:rsid w:val="17CD58F0"/>
    <w:rsid w:val="17D713C1"/>
    <w:rsid w:val="17DBB35C"/>
    <w:rsid w:val="17EAF2AE"/>
    <w:rsid w:val="17EE372B"/>
    <w:rsid w:val="17FDA52D"/>
    <w:rsid w:val="17FF35F7"/>
    <w:rsid w:val="1806FF59"/>
    <w:rsid w:val="180F4C17"/>
    <w:rsid w:val="180F4DAA"/>
    <w:rsid w:val="18110E5C"/>
    <w:rsid w:val="18195DB3"/>
    <w:rsid w:val="182524A5"/>
    <w:rsid w:val="182BDF63"/>
    <w:rsid w:val="182CB143"/>
    <w:rsid w:val="182EEE9C"/>
    <w:rsid w:val="18376520"/>
    <w:rsid w:val="183C95C5"/>
    <w:rsid w:val="18404529"/>
    <w:rsid w:val="184190A1"/>
    <w:rsid w:val="184E1930"/>
    <w:rsid w:val="18527D55"/>
    <w:rsid w:val="185A7460"/>
    <w:rsid w:val="18601CA2"/>
    <w:rsid w:val="1861EACB"/>
    <w:rsid w:val="18711046"/>
    <w:rsid w:val="1876ECA4"/>
    <w:rsid w:val="18786674"/>
    <w:rsid w:val="187ECF23"/>
    <w:rsid w:val="18840C45"/>
    <w:rsid w:val="18863EDA"/>
    <w:rsid w:val="188667D8"/>
    <w:rsid w:val="188C5E6A"/>
    <w:rsid w:val="188CCC52"/>
    <w:rsid w:val="188F85D4"/>
    <w:rsid w:val="1891B28A"/>
    <w:rsid w:val="189851A5"/>
    <w:rsid w:val="18A536EE"/>
    <w:rsid w:val="18A9159C"/>
    <w:rsid w:val="18AD75A2"/>
    <w:rsid w:val="18B594D1"/>
    <w:rsid w:val="18BA78F5"/>
    <w:rsid w:val="18BBD4FD"/>
    <w:rsid w:val="18CC4ED1"/>
    <w:rsid w:val="18D19E7D"/>
    <w:rsid w:val="18D2D245"/>
    <w:rsid w:val="18D5AE7A"/>
    <w:rsid w:val="18D80E6B"/>
    <w:rsid w:val="18D8795A"/>
    <w:rsid w:val="18E4019C"/>
    <w:rsid w:val="18E98037"/>
    <w:rsid w:val="18F07ABF"/>
    <w:rsid w:val="1901F470"/>
    <w:rsid w:val="190C1DA6"/>
    <w:rsid w:val="1913CC73"/>
    <w:rsid w:val="1924A826"/>
    <w:rsid w:val="192B261B"/>
    <w:rsid w:val="1936548B"/>
    <w:rsid w:val="193A3A05"/>
    <w:rsid w:val="193FE3D3"/>
    <w:rsid w:val="194698F8"/>
    <w:rsid w:val="194A4E7F"/>
    <w:rsid w:val="19511E86"/>
    <w:rsid w:val="195259D5"/>
    <w:rsid w:val="19568F30"/>
    <w:rsid w:val="1959E91B"/>
    <w:rsid w:val="195A618A"/>
    <w:rsid w:val="196262A4"/>
    <w:rsid w:val="1963C19E"/>
    <w:rsid w:val="196AFAFD"/>
    <w:rsid w:val="196E7E0B"/>
    <w:rsid w:val="1975435F"/>
    <w:rsid w:val="19794ACB"/>
    <w:rsid w:val="19803340"/>
    <w:rsid w:val="1985BEBC"/>
    <w:rsid w:val="1986132F"/>
    <w:rsid w:val="198B6E3D"/>
    <w:rsid w:val="19907B04"/>
    <w:rsid w:val="1993F18F"/>
    <w:rsid w:val="1999643C"/>
    <w:rsid w:val="1999CBDF"/>
    <w:rsid w:val="199FB643"/>
    <w:rsid w:val="19A1DD15"/>
    <w:rsid w:val="19B3EF3C"/>
    <w:rsid w:val="19B57876"/>
    <w:rsid w:val="19B6B3B5"/>
    <w:rsid w:val="19C1C79C"/>
    <w:rsid w:val="19D6E65E"/>
    <w:rsid w:val="19DC2C25"/>
    <w:rsid w:val="19DE60BE"/>
    <w:rsid w:val="19E7202D"/>
    <w:rsid w:val="19F0E76B"/>
    <w:rsid w:val="19F512D3"/>
    <w:rsid w:val="19FB579E"/>
    <w:rsid w:val="1A011FBA"/>
    <w:rsid w:val="1A13B893"/>
    <w:rsid w:val="1A149FAA"/>
    <w:rsid w:val="1A19A222"/>
    <w:rsid w:val="1A1AC4E7"/>
    <w:rsid w:val="1A264CE3"/>
    <w:rsid w:val="1A29A2B0"/>
    <w:rsid w:val="1A2A2597"/>
    <w:rsid w:val="1A2E47E8"/>
    <w:rsid w:val="1A31B231"/>
    <w:rsid w:val="1A31BFD3"/>
    <w:rsid w:val="1A39EADE"/>
    <w:rsid w:val="1A3E2B96"/>
    <w:rsid w:val="1A3E5E8C"/>
    <w:rsid w:val="1A4023EA"/>
    <w:rsid w:val="1A584370"/>
    <w:rsid w:val="1A5CDADE"/>
    <w:rsid w:val="1A5DFDA4"/>
    <w:rsid w:val="1A671354"/>
    <w:rsid w:val="1A723244"/>
    <w:rsid w:val="1A78ED4D"/>
    <w:rsid w:val="1A7F89E2"/>
    <w:rsid w:val="1A8F4318"/>
    <w:rsid w:val="1A9C84A4"/>
    <w:rsid w:val="1A9D8361"/>
    <w:rsid w:val="1AA0807C"/>
    <w:rsid w:val="1AACC227"/>
    <w:rsid w:val="1AB63E2E"/>
    <w:rsid w:val="1ABFA647"/>
    <w:rsid w:val="1AC47750"/>
    <w:rsid w:val="1ACA253F"/>
    <w:rsid w:val="1AD19426"/>
    <w:rsid w:val="1AD19F4B"/>
    <w:rsid w:val="1AD7335E"/>
    <w:rsid w:val="1ADA8F27"/>
    <w:rsid w:val="1ADE86DD"/>
    <w:rsid w:val="1AE076BA"/>
    <w:rsid w:val="1AE877FD"/>
    <w:rsid w:val="1AEEC2A2"/>
    <w:rsid w:val="1AF15599"/>
    <w:rsid w:val="1AF77789"/>
    <w:rsid w:val="1AFB941C"/>
    <w:rsid w:val="1B071320"/>
    <w:rsid w:val="1B14B273"/>
    <w:rsid w:val="1B1906B1"/>
    <w:rsid w:val="1B1A92C1"/>
    <w:rsid w:val="1B24F3BB"/>
    <w:rsid w:val="1B2E726D"/>
    <w:rsid w:val="1B2FFA70"/>
    <w:rsid w:val="1B326DEA"/>
    <w:rsid w:val="1B3C381E"/>
    <w:rsid w:val="1B3FE3E6"/>
    <w:rsid w:val="1B403833"/>
    <w:rsid w:val="1B47F5A9"/>
    <w:rsid w:val="1B482C16"/>
    <w:rsid w:val="1B518F7A"/>
    <w:rsid w:val="1B519EF0"/>
    <w:rsid w:val="1B5BF2C7"/>
    <w:rsid w:val="1B68DFE9"/>
    <w:rsid w:val="1B6D499B"/>
    <w:rsid w:val="1B6EE7F7"/>
    <w:rsid w:val="1B6F3A57"/>
    <w:rsid w:val="1B7072FE"/>
    <w:rsid w:val="1B744973"/>
    <w:rsid w:val="1B786121"/>
    <w:rsid w:val="1B856EB0"/>
    <w:rsid w:val="1B896A89"/>
    <w:rsid w:val="1B8EF788"/>
    <w:rsid w:val="1B9546D8"/>
    <w:rsid w:val="1B9C5DC0"/>
    <w:rsid w:val="1BA0CBBA"/>
    <w:rsid w:val="1BA36C07"/>
    <w:rsid w:val="1BA4EB96"/>
    <w:rsid w:val="1BAEFFB4"/>
    <w:rsid w:val="1BAF10D5"/>
    <w:rsid w:val="1BBC353B"/>
    <w:rsid w:val="1BBE6F97"/>
    <w:rsid w:val="1BD4A85B"/>
    <w:rsid w:val="1BD62123"/>
    <w:rsid w:val="1BD811A4"/>
    <w:rsid w:val="1BDA45F8"/>
    <w:rsid w:val="1BDB4558"/>
    <w:rsid w:val="1BDF7EBE"/>
    <w:rsid w:val="1BED2581"/>
    <w:rsid w:val="1BEDF5C9"/>
    <w:rsid w:val="1BF24A3F"/>
    <w:rsid w:val="1BF960BF"/>
    <w:rsid w:val="1BFB05F2"/>
    <w:rsid w:val="1C078900"/>
    <w:rsid w:val="1C0CBB2E"/>
    <w:rsid w:val="1C16B598"/>
    <w:rsid w:val="1C1E5DDD"/>
    <w:rsid w:val="1C2459D7"/>
    <w:rsid w:val="1C292455"/>
    <w:rsid w:val="1C29D4FC"/>
    <w:rsid w:val="1C2C3698"/>
    <w:rsid w:val="1C3AD019"/>
    <w:rsid w:val="1C3E76DD"/>
    <w:rsid w:val="1C40912C"/>
    <w:rsid w:val="1C4C399E"/>
    <w:rsid w:val="1C4E0775"/>
    <w:rsid w:val="1C4FECE9"/>
    <w:rsid w:val="1C580EBE"/>
    <w:rsid w:val="1C5A854C"/>
    <w:rsid w:val="1C6A0AC1"/>
    <w:rsid w:val="1C6C1D48"/>
    <w:rsid w:val="1C6D3271"/>
    <w:rsid w:val="1C726D0F"/>
    <w:rsid w:val="1C73E50D"/>
    <w:rsid w:val="1C8431BB"/>
    <w:rsid w:val="1C857584"/>
    <w:rsid w:val="1C87E9B6"/>
    <w:rsid w:val="1C8F356A"/>
    <w:rsid w:val="1CA7A260"/>
    <w:rsid w:val="1CA7F73E"/>
    <w:rsid w:val="1CB0A2AE"/>
    <w:rsid w:val="1CB133BF"/>
    <w:rsid w:val="1CB6C50E"/>
    <w:rsid w:val="1CBA9FD8"/>
    <w:rsid w:val="1CC17C99"/>
    <w:rsid w:val="1CC7E01B"/>
    <w:rsid w:val="1CC7E678"/>
    <w:rsid w:val="1CCB8D8C"/>
    <w:rsid w:val="1CCFB2FC"/>
    <w:rsid w:val="1CD1ADF3"/>
    <w:rsid w:val="1CD2DE40"/>
    <w:rsid w:val="1CDA1030"/>
    <w:rsid w:val="1CDBD7C7"/>
    <w:rsid w:val="1CEB9F82"/>
    <w:rsid w:val="1CEC2B55"/>
    <w:rsid w:val="1CF1148C"/>
    <w:rsid w:val="1CF5660E"/>
    <w:rsid w:val="1CF62702"/>
    <w:rsid w:val="1CF66E4B"/>
    <w:rsid w:val="1CF942FF"/>
    <w:rsid w:val="1D01AC5F"/>
    <w:rsid w:val="1D026E9D"/>
    <w:rsid w:val="1D03B781"/>
    <w:rsid w:val="1D076B11"/>
    <w:rsid w:val="1D129F3C"/>
    <w:rsid w:val="1D1D3EAF"/>
    <w:rsid w:val="1D1DC17D"/>
    <w:rsid w:val="1D248DE4"/>
    <w:rsid w:val="1D27BC5E"/>
    <w:rsid w:val="1D2B1694"/>
    <w:rsid w:val="1D2B2214"/>
    <w:rsid w:val="1D35441C"/>
    <w:rsid w:val="1D47C007"/>
    <w:rsid w:val="1D480BF7"/>
    <w:rsid w:val="1D484449"/>
    <w:rsid w:val="1D484957"/>
    <w:rsid w:val="1D4C2238"/>
    <w:rsid w:val="1D5092C4"/>
    <w:rsid w:val="1D572316"/>
    <w:rsid w:val="1D580F11"/>
    <w:rsid w:val="1D5C208C"/>
    <w:rsid w:val="1D6442E7"/>
    <w:rsid w:val="1D6B8376"/>
    <w:rsid w:val="1D72B088"/>
    <w:rsid w:val="1D7A1B0B"/>
    <w:rsid w:val="1D886EE4"/>
    <w:rsid w:val="1D891C42"/>
    <w:rsid w:val="1D8941EB"/>
    <w:rsid w:val="1D9487E9"/>
    <w:rsid w:val="1D9527C9"/>
    <w:rsid w:val="1D985B1F"/>
    <w:rsid w:val="1D9A4F7D"/>
    <w:rsid w:val="1DA69D00"/>
    <w:rsid w:val="1DA71DA7"/>
    <w:rsid w:val="1DB10791"/>
    <w:rsid w:val="1DB11094"/>
    <w:rsid w:val="1DB3F8AC"/>
    <w:rsid w:val="1DB6B972"/>
    <w:rsid w:val="1DC51B13"/>
    <w:rsid w:val="1DCA037C"/>
    <w:rsid w:val="1DD0800A"/>
    <w:rsid w:val="1DE0A260"/>
    <w:rsid w:val="1DE92AC2"/>
    <w:rsid w:val="1DEB51FB"/>
    <w:rsid w:val="1DECC048"/>
    <w:rsid w:val="1DF57B93"/>
    <w:rsid w:val="1DF6A2A7"/>
    <w:rsid w:val="1DFC494A"/>
    <w:rsid w:val="1E009976"/>
    <w:rsid w:val="1E017260"/>
    <w:rsid w:val="1E068EAF"/>
    <w:rsid w:val="1E0C7326"/>
    <w:rsid w:val="1E11B050"/>
    <w:rsid w:val="1E13E882"/>
    <w:rsid w:val="1E19B944"/>
    <w:rsid w:val="1E1DF849"/>
    <w:rsid w:val="1E1F25DD"/>
    <w:rsid w:val="1E302303"/>
    <w:rsid w:val="1E307776"/>
    <w:rsid w:val="1E3E25A6"/>
    <w:rsid w:val="1E3E46C3"/>
    <w:rsid w:val="1E3F9817"/>
    <w:rsid w:val="1E413164"/>
    <w:rsid w:val="1E5253D7"/>
    <w:rsid w:val="1E5533B6"/>
    <w:rsid w:val="1E595C9D"/>
    <w:rsid w:val="1E599601"/>
    <w:rsid w:val="1E608116"/>
    <w:rsid w:val="1E60CF40"/>
    <w:rsid w:val="1E624B2E"/>
    <w:rsid w:val="1E6346E7"/>
    <w:rsid w:val="1E649BBD"/>
    <w:rsid w:val="1E6AA77B"/>
    <w:rsid w:val="1E6B1078"/>
    <w:rsid w:val="1E6C7F9E"/>
    <w:rsid w:val="1E6FF1FF"/>
    <w:rsid w:val="1E7AF22F"/>
    <w:rsid w:val="1E7EBEFE"/>
    <w:rsid w:val="1E89022B"/>
    <w:rsid w:val="1E918BDD"/>
    <w:rsid w:val="1E9365AE"/>
    <w:rsid w:val="1E948F58"/>
    <w:rsid w:val="1E97FCC0"/>
    <w:rsid w:val="1E98A3CC"/>
    <w:rsid w:val="1E99D625"/>
    <w:rsid w:val="1E9A62FC"/>
    <w:rsid w:val="1EAB748D"/>
    <w:rsid w:val="1EB4E43B"/>
    <w:rsid w:val="1EBD0C7F"/>
    <w:rsid w:val="1EC4132B"/>
    <w:rsid w:val="1EDDC381"/>
    <w:rsid w:val="1EE91B9D"/>
    <w:rsid w:val="1EF6052D"/>
    <w:rsid w:val="1EF6E953"/>
    <w:rsid w:val="1EFC91DD"/>
    <w:rsid w:val="1F05CFB1"/>
    <w:rsid w:val="1F0755AD"/>
    <w:rsid w:val="1F0A2FAD"/>
    <w:rsid w:val="1F0E7AD1"/>
    <w:rsid w:val="1F1538BB"/>
    <w:rsid w:val="1F217F3E"/>
    <w:rsid w:val="1F2383B1"/>
    <w:rsid w:val="1F270B33"/>
    <w:rsid w:val="1F29037C"/>
    <w:rsid w:val="1F297EBE"/>
    <w:rsid w:val="1F2D894A"/>
    <w:rsid w:val="1F2EA8F2"/>
    <w:rsid w:val="1F314F0D"/>
    <w:rsid w:val="1F33712B"/>
    <w:rsid w:val="1F3A75A9"/>
    <w:rsid w:val="1F3ADDC1"/>
    <w:rsid w:val="1F3E0FBF"/>
    <w:rsid w:val="1F4033BB"/>
    <w:rsid w:val="1F422139"/>
    <w:rsid w:val="1F429166"/>
    <w:rsid w:val="1F42BF96"/>
    <w:rsid w:val="1F49F071"/>
    <w:rsid w:val="1F4F2089"/>
    <w:rsid w:val="1F57A8F1"/>
    <w:rsid w:val="1F619660"/>
    <w:rsid w:val="1F69B264"/>
    <w:rsid w:val="1F71944C"/>
    <w:rsid w:val="1F71E11D"/>
    <w:rsid w:val="1F731B55"/>
    <w:rsid w:val="1F77783D"/>
    <w:rsid w:val="1F7A371C"/>
    <w:rsid w:val="1F8A66D8"/>
    <w:rsid w:val="1F8D4A76"/>
    <w:rsid w:val="1F93947A"/>
    <w:rsid w:val="1FA02A17"/>
    <w:rsid w:val="1FA18AC6"/>
    <w:rsid w:val="1FA28C6C"/>
    <w:rsid w:val="1FB66A38"/>
    <w:rsid w:val="1FB68981"/>
    <w:rsid w:val="1FBB890A"/>
    <w:rsid w:val="1FBCF791"/>
    <w:rsid w:val="1FC6CE18"/>
    <w:rsid w:val="1FCC6D5E"/>
    <w:rsid w:val="1FD104B3"/>
    <w:rsid w:val="1FE1E294"/>
    <w:rsid w:val="1FE309A1"/>
    <w:rsid w:val="1FE90951"/>
    <w:rsid w:val="1FEDCB40"/>
    <w:rsid w:val="1FF075E8"/>
    <w:rsid w:val="1FF31EC1"/>
    <w:rsid w:val="20016C53"/>
    <w:rsid w:val="2001DA48"/>
    <w:rsid w:val="2006B1DD"/>
    <w:rsid w:val="20078909"/>
    <w:rsid w:val="200A5B71"/>
    <w:rsid w:val="200AEC77"/>
    <w:rsid w:val="200D697F"/>
    <w:rsid w:val="200FE25E"/>
    <w:rsid w:val="20182ECF"/>
    <w:rsid w:val="2019ACDA"/>
    <w:rsid w:val="20311005"/>
    <w:rsid w:val="20326410"/>
    <w:rsid w:val="2035199C"/>
    <w:rsid w:val="203AC29D"/>
    <w:rsid w:val="20561E2E"/>
    <w:rsid w:val="205B6243"/>
    <w:rsid w:val="205BF01E"/>
    <w:rsid w:val="2063BF3D"/>
    <w:rsid w:val="206706DF"/>
    <w:rsid w:val="20746632"/>
    <w:rsid w:val="20757094"/>
    <w:rsid w:val="2076EC7C"/>
    <w:rsid w:val="2077FE9B"/>
    <w:rsid w:val="207EF54F"/>
    <w:rsid w:val="20868FCE"/>
    <w:rsid w:val="208B1C45"/>
    <w:rsid w:val="208F278B"/>
    <w:rsid w:val="2094EA55"/>
    <w:rsid w:val="20A6F5C3"/>
    <w:rsid w:val="20AC427D"/>
    <w:rsid w:val="20AF935E"/>
    <w:rsid w:val="20B0D54F"/>
    <w:rsid w:val="20BAB946"/>
    <w:rsid w:val="20BD76C3"/>
    <w:rsid w:val="20BD844E"/>
    <w:rsid w:val="20BE044C"/>
    <w:rsid w:val="20BE7900"/>
    <w:rsid w:val="20C92900"/>
    <w:rsid w:val="20CE0709"/>
    <w:rsid w:val="20CF291D"/>
    <w:rsid w:val="20D17949"/>
    <w:rsid w:val="20D589B5"/>
    <w:rsid w:val="20DB1081"/>
    <w:rsid w:val="20DD8254"/>
    <w:rsid w:val="20DE595B"/>
    <w:rsid w:val="20E2A00B"/>
    <w:rsid w:val="20E78EEE"/>
    <w:rsid w:val="20EB3AAC"/>
    <w:rsid w:val="2104F5C2"/>
    <w:rsid w:val="210AFDDC"/>
    <w:rsid w:val="210D9D30"/>
    <w:rsid w:val="210FE2DD"/>
    <w:rsid w:val="210FFF60"/>
    <w:rsid w:val="2111A44B"/>
    <w:rsid w:val="21140689"/>
    <w:rsid w:val="2116BD90"/>
    <w:rsid w:val="211B3873"/>
    <w:rsid w:val="211EB3FB"/>
    <w:rsid w:val="21200F06"/>
    <w:rsid w:val="21258B5E"/>
    <w:rsid w:val="2131FEE3"/>
    <w:rsid w:val="2132DB1B"/>
    <w:rsid w:val="2136DDE6"/>
    <w:rsid w:val="2139C571"/>
    <w:rsid w:val="213C5029"/>
    <w:rsid w:val="2147F021"/>
    <w:rsid w:val="2148184B"/>
    <w:rsid w:val="214B692A"/>
    <w:rsid w:val="21505695"/>
    <w:rsid w:val="216113E1"/>
    <w:rsid w:val="216D80D8"/>
    <w:rsid w:val="2173BB64"/>
    <w:rsid w:val="2177F4E6"/>
    <w:rsid w:val="218838E8"/>
    <w:rsid w:val="219D3C1F"/>
    <w:rsid w:val="21A8C2EC"/>
    <w:rsid w:val="21ADA5EF"/>
    <w:rsid w:val="21B3AD0D"/>
    <w:rsid w:val="21B77BD3"/>
    <w:rsid w:val="21B8AD0E"/>
    <w:rsid w:val="21B97FE9"/>
    <w:rsid w:val="21C8968C"/>
    <w:rsid w:val="21DDCCC2"/>
    <w:rsid w:val="21E3DAB8"/>
    <w:rsid w:val="21E64EB0"/>
    <w:rsid w:val="21E7A9C3"/>
    <w:rsid w:val="21E85AE4"/>
    <w:rsid w:val="21F35778"/>
    <w:rsid w:val="21FC481F"/>
    <w:rsid w:val="21FCC76D"/>
    <w:rsid w:val="21FE7428"/>
    <w:rsid w:val="22005BF6"/>
    <w:rsid w:val="2205C1BF"/>
    <w:rsid w:val="220C898F"/>
    <w:rsid w:val="22152101"/>
    <w:rsid w:val="22168E2C"/>
    <w:rsid w:val="22174F4F"/>
    <w:rsid w:val="22291CA8"/>
    <w:rsid w:val="222D02B2"/>
    <w:rsid w:val="223985B9"/>
    <w:rsid w:val="224235DD"/>
    <w:rsid w:val="2246B6AB"/>
    <w:rsid w:val="2246C9FB"/>
    <w:rsid w:val="2256837B"/>
    <w:rsid w:val="225C9A54"/>
    <w:rsid w:val="22633AD0"/>
    <w:rsid w:val="226E106D"/>
    <w:rsid w:val="2274907C"/>
    <w:rsid w:val="2279626E"/>
    <w:rsid w:val="227D5BA7"/>
    <w:rsid w:val="227E6F4F"/>
    <w:rsid w:val="22891C68"/>
    <w:rsid w:val="228DFD3B"/>
    <w:rsid w:val="229DC462"/>
    <w:rsid w:val="22A3E828"/>
    <w:rsid w:val="22A477EF"/>
    <w:rsid w:val="22A5814E"/>
    <w:rsid w:val="22A775A9"/>
    <w:rsid w:val="22AB8328"/>
    <w:rsid w:val="22AD9803"/>
    <w:rsid w:val="22AFDAF9"/>
    <w:rsid w:val="22B663E2"/>
    <w:rsid w:val="22B7685D"/>
    <w:rsid w:val="22BA21FC"/>
    <w:rsid w:val="22C24C6A"/>
    <w:rsid w:val="22C59412"/>
    <w:rsid w:val="22C68183"/>
    <w:rsid w:val="22D8739D"/>
    <w:rsid w:val="22D92EFA"/>
    <w:rsid w:val="22DA7075"/>
    <w:rsid w:val="22DB966C"/>
    <w:rsid w:val="22DBB7A6"/>
    <w:rsid w:val="22DEB437"/>
    <w:rsid w:val="22DFAFAD"/>
    <w:rsid w:val="22E11AA8"/>
    <w:rsid w:val="22F09C6F"/>
    <w:rsid w:val="22F30AF8"/>
    <w:rsid w:val="230EEFCA"/>
    <w:rsid w:val="231725E0"/>
    <w:rsid w:val="231A675E"/>
    <w:rsid w:val="231BAA31"/>
    <w:rsid w:val="2326C5C6"/>
    <w:rsid w:val="232C8976"/>
    <w:rsid w:val="232EAAE6"/>
    <w:rsid w:val="23320732"/>
    <w:rsid w:val="233B3AC7"/>
    <w:rsid w:val="234A8C86"/>
    <w:rsid w:val="234E3DCD"/>
    <w:rsid w:val="23500CA3"/>
    <w:rsid w:val="235BE3EE"/>
    <w:rsid w:val="236179E2"/>
    <w:rsid w:val="23670FE9"/>
    <w:rsid w:val="236DF28A"/>
    <w:rsid w:val="2371693E"/>
    <w:rsid w:val="23716D35"/>
    <w:rsid w:val="2376420A"/>
    <w:rsid w:val="23770FFE"/>
    <w:rsid w:val="237DD96C"/>
    <w:rsid w:val="2380DB9A"/>
    <w:rsid w:val="23811543"/>
    <w:rsid w:val="23826CA8"/>
    <w:rsid w:val="23842FA3"/>
    <w:rsid w:val="23876F70"/>
    <w:rsid w:val="238B0B1C"/>
    <w:rsid w:val="238E010B"/>
    <w:rsid w:val="2396955C"/>
    <w:rsid w:val="239B5C52"/>
    <w:rsid w:val="239BE251"/>
    <w:rsid w:val="239E93F7"/>
    <w:rsid w:val="23A3709D"/>
    <w:rsid w:val="23A86CEC"/>
    <w:rsid w:val="23BA3ED6"/>
    <w:rsid w:val="23C138BD"/>
    <w:rsid w:val="23D0D031"/>
    <w:rsid w:val="23E2E6CB"/>
    <w:rsid w:val="23F292B5"/>
    <w:rsid w:val="23FAD273"/>
    <w:rsid w:val="240416EA"/>
    <w:rsid w:val="24053F2C"/>
    <w:rsid w:val="24066519"/>
    <w:rsid w:val="24098194"/>
    <w:rsid w:val="240F2A05"/>
    <w:rsid w:val="24127F49"/>
    <w:rsid w:val="2416B8BB"/>
    <w:rsid w:val="24193FAC"/>
    <w:rsid w:val="241D1C30"/>
    <w:rsid w:val="241E64F3"/>
    <w:rsid w:val="2425BBAC"/>
    <w:rsid w:val="24310124"/>
    <w:rsid w:val="243AE97A"/>
    <w:rsid w:val="243D7FCF"/>
    <w:rsid w:val="244725D9"/>
    <w:rsid w:val="2458E8B1"/>
    <w:rsid w:val="2470B580"/>
    <w:rsid w:val="24755D71"/>
    <w:rsid w:val="24766962"/>
    <w:rsid w:val="2476F0EA"/>
    <w:rsid w:val="2477E230"/>
    <w:rsid w:val="24899E67"/>
    <w:rsid w:val="248F6B98"/>
    <w:rsid w:val="24901941"/>
    <w:rsid w:val="24929B10"/>
    <w:rsid w:val="2497D579"/>
    <w:rsid w:val="249D0804"/>
    <w:rsid w:val="24A4D429"/>
    <w:rsid w:val="24A6D996"/>
    <w:rsid w:val="24AA8D00"/>
    <w:rsid w:val="24AB74AA"/>
    <w:rsid w:val="24B1E5D5"/>
    <w:rsid w:val="24B9E37B"/>
    <w:rsid w:val="24BDC075"/>
    <w:rsid w:val="24C6BAE8"/>
    <w:rsid w:val="24C74F6E"/>
    <w:rsid w:val="24C7FA86"/>
    <w:rsid w:val="24C99E4E"/>
    <w:rsid w:val="24CEDCA0"/>
    <w:rsid w:val="24D2417B"/>
    <w:rsid w:val="24D4932C"/>
    <w:rsid w:val="24E70044"/>
    <w:rsid w:val="24EEB229"/>
    <w:rsid w:val="24F0C235"/>
    <w:rsid w:val="24F1CF50"/>
    <w:rsid w:val="24F6CAFC"/>
    <w:rsid w:val="25058038"/>
    <w:rsid w:val="250780FE"/>
    <w:rsid w:val="251AD484"/>
    <w:rsid w:val="251E17E0"/>
    <w:rsid w:val="2524435C"/>
    <w:rsid w:val="253578BD"/>
    <w:rsid w:val="2536E0C0"/>
    <w:rsid w:val="253B643F"/>
    <w:rsid w:val="25479671"/>
    <w:rsid w:val="254A6979"/>
    <w:rsid w:val="254B082A"/>
    <w:rsid w:val="25504642"/>
    <w:rsid w:val="255400D4"/>
    <w:rsid w:val="25554F3E"/>
    <w:rsid w:val="25581A76"/>
    <w:rsid w:val="25614ECC"/>
    <w:rsid w:val="25656D6D"/>
    <w:rsid w:val="256ABAD4"/>
    <w:rsid w:val="2579CF13"/>
    <w:rsid w:val="257DC111"/>
    <w:rsid w:val="25875148"/>
    <w:rsid w:val="2590B9F3"/>
    <w:rsid w:val="25A20787"/>
    <w:rsid w:val="25A439EA"/>
    <w:rsid w:val="25A5A7B6"/>
    <w:rsid w:val="25AC655B"/>
    <w:rsid w:val="25B3D640"/>
    <w:rsid w:val="25B56B4F"/>
    <w:rsid w:val="25B661E4"/>
    <w:rsid w:val="25B6B00F"/>
    <w:rsid w:val="25B78FBD"/>
    <w:rsid w:val="25C22BE1"/>
    <w:rsid w:val="25D38ADF"/>
    <w:rsid w:val="25DD02C0"/>
    <w:rsid w:val="25DDDC02"/>
    <w:rsid w:val="25E2FABD"/>
    <w:rsid w:val="25EF5687"/>
    <w:rsid w:val="25FC17F7"/>
    <w:rsid w:val="25FCA296"/>
    <w:rsid w:val="2607EAD9"/>
    <w:rsid w:val="260E11E2"/>
    <w:rsid w:val="26169B49"/>
    <w:rsid w:val="261AE82E"/>
    <w:rsid w:val="26202955"/>
    <w:rsid w:val="262AEE19"/>
    <w:rsid w:val="262CF49F"/>
    <w:rsid w:val="26395E32"/>
    <w:rsid w:val="26415B2F"/>
    <w:rsid w:val="2649287B"/>
    <w:rsid w:val="264F9013"/>
    <w:rsid w:val="2654821A"/>
    <w:rsid w:val="265B9A32"/>
    <w:rsid w:val="265DB6E1"/>
    <w:rsid w:val="266257F8"/>
    <w:rsid w:val="2664D971"/>
    <w:rsid w:val="26672757"/>
    <w:rsid w:val="26682E33"/>
    <w:rsid w:val="2668A7C3"/>
    <w:rsid w:val="266971C3"/>
    <w:rsid w:val="2669B083"/>
    <w:rsid w:val="2674047D"/>
    <w:rsid w:val="267619DA"/>
    <w:rsid w:val="2683A740"/>
    <w:rsid w:val="268D7729"/>
    <w:rsid w:val="26945059"/>
    <w:rsid w:val="2695AD95"/>
    <w:rsid w:val="26960919"/>
    <w:rsid w:val="2697F435"/>
    <w:rsid w:val="269D8474"/>
    <w:rsid w:val="26A25DE3"/>
    <w:rsid w:val="26A51151"/>
    <w:rsid w:val="26B2871A"/>
    <w:rsid w:val="26B96CAD"/>
    <w:rsid w:val="26BD41F7"/>
    <w:rsid w:val="26BEEFDE"/>
    <w:rsid w:val="26C69914"/>
    <w:rsid w:val="26D00C55"/>
    <w:rsid w:val="26E841B9"/>
    <w:rsid w:val="26F3E2AC"/>
    <w:rsid w:val="26F66663"/>
    <w:rsid w:val="26F7FAE7"/>
    <w:rsid w:val="26FF8D9E"/>
    <w:rsid w:val="2701E8CC"/>
    <w:rsid w:val="2702156A"/>
    <w:rsid w:val="27039067"/>
    <w:rsid w:val="2704899B"/>
    <w:rsid w:val="270962DE"/>
    <w:rsid w:val="270B5CFE"/>
    <w:rsid w:val="27158E9A"/>
    <w:rsid w:val="271AE264"/>
    <w:rsid w:val="27237707"/>
    <w:rsid w:val="27239EBB"/>
    <w:rsid w:val="272951C5"/>
    <w:rsid w:val="27327E8A"/>
    <w:rsid w:val="2735D254"/>
    <w:rsid w:val="2736AB3D"/>
    <w:rsid w:val="273C1A14"/>
    <w:rsid w:val="2744F3B4"/>
    <w:rsid w:val="2748A0C2"/>
    <w:rsid w:val="2749DFFF"/>
    <w:rsid w:val="274AC201"/>
    <w:rsid w:val="274BE6E6"/>
    <w:rsid w:val="274F414E"/>
    <w:rsid w:val="275143B5"/>
    <w:rsid w:val="27613656"/>
    <w:rsid w:val="2764A688"/>
    <w:rsid w:val="276761E6"/>
    <w:rsid w:val="2767D129"/>
    <w:rsid w:val="276E9368"/>
    <w:rsid w:val="277C257F"/>
    <w:rsid w:val="277C58F3"/>
    <w:rsid w:val="27883C04"/>
    <w:rsid w:val="279142E8"/>
    <w:rsid w:val="2793FA20"/>
    <w:rsid w:val="2794F0B5"/>
    <w:rsid w:val="27985D03"/>
    <w:rsid w:val="27998CA1"/>
    <w:rsid w:val="279C1E1E"/>
    <w:rsid w:val="279D2BA8"/>
    <w:rsid w:val="279F56DD"/>
    <w:rsid w:val="27A09FDE"/>
    <w:rsid w:val="27AB517B"/>
    <w:rsid w:val="27AC4759"/>
    <w:rsid w:val="27AF1994"/>
    <w:rsid w:val="27B0B13D"/>
    <w:rsid w:val="27B38934"/>
    <w:rsid w:val="27BAE385"/>
    <w:rsid w:val="27C65F66"/>
    <w:rsid w:val="27C7FF13"/>
    <w:rsid w:val="27C8B347"/>
    <w:rsid w:val="27C980E7"/>
    <w:rsid w:val="27CFDD7F"/>
    <w:rsid w:val="27D23AB2"/>
    <w:rsid w:val="27D3C9CD"/>
    <w:rsid w:val="27E245A6"/>
    <w:rsid w:val="27E4A44B"/>
    <w:rsid w:val="27EA55A3"/>
    <w:rsid w:val="27EAF533"/>
    <w:rsid w:val="27F390E9"/>
    <w:rsid w:val="27FCBDD9"/>
    <w:rsid w:val="280EDDE6"/>
    <w:rsid w:val="2810F328"/>
    <w:rsid w:val="281EAA06"/>
    <w:rsid w:val="282ACCB8"/>
    <w:rsid w:val="282FFD83"/>
    <w:rsid w:val="2839E2B9"/>
    <w:rsid w:val="283B791B"/>
    <w:rsid w:val="2843D56C"/>
    <w:rsid w:val="2844BF0F"/>
    <w:rsid w:val="2853B0A3"/>
    <w:rsid w:val="2858418A"/>
    <w:rsid w:val="285D08AD"/>
    <w:rsid w:val="28631B62"/>
    <w:rsid w:val="286DF9C0"/>
    <w:rsid w:val="287C1932"/>
    <w:rsid w:val="287CB27A"/>
    <w:rsid w:val="2885C849"/>
    <w:rsid w:val="2887FE1F"/>
    <w:rsid w:val="288D7F59"/>
    <w:rsid w:val="288F1D28"/>
    <w:rsid w:val="28967BE4"/>
    <w:rsid w:val="2899CB7B"/>
    <w:rsid w:val="289A2610"/>
    <w:rsid w:val="289D9D25"/>
    <w:rsid w:val="289DC3F6"/>
    <w:rsid w:val="28ACF7E5"/>
    <w:rsid w:val="28B48AC0"/>
    <w:rsid w:val="28BD2F06"/>
    <w:rsid w:val="28BD62DC"/>
    <w:rsid w:val="28BF4C18"/>
    <w:rsid w:val="28C683A2"/>
    <w:rsid w:val="28C6F4FD"/>
    <w:rsid w:val="28CE7F87"/>
    <w:rsid w:val="28D50721"/>
    <w:rsid w:val="28DE9DD6"/>
    <w:rsid w:val="28E666B6"/>
    <w:rsid w:val="28EAE71D"/>
    <w:rsid w:val="28EE5432"/>
    <w:rsid w:val="28F15F31"/>
    <w:rsid w:val="2900704C"/>
    <w:rsid w:val="29080B73"/>
    <w:rsid w:val="29125A62"/>
    <w:rsid w:val="2914CBC3"/>
    <w:rsid w:val="291F8A8A"/>
    <w:rsid w:val="292305F2"/>
    <w:rsid w:val="29254A11"/>
    <w:rsid w:val="2925A38F"/>
    <w:rsid w:val="292ED86E"/>
    <w:rsid w:val="294321AB"/>
    <w:rsid w:val="29476DB1"/>
    <w:rsid w:val="294924B3"/>
    <w:rsid w:val="2958FB4F"/>
    <w:rsid w:val="2959AF8F"/>
    <w:rsid w:val="295E3040"/>
    <w:rsid w:val="296184C1"/>
    <w:rsid w:val="29751784"/>
    <w:rsid w:val="2976C183"/>
    <w:rsid w:val="2976D6CA"/>
    <w:rsid w:val="297C2121"/>
    <w:rsid w:val="297F570B"/>
    <w:rsid w:val="298362DE"/>
    <w:rsid w:val="2989B448"/>
    <w:rsid w:val="298C46D3"/>
    <w:rsid w:val="2996E0B4"/>
    <w:rsid w:val="299CE19B"/>
    <w:rsid w:val="29B9F9D9"/>
    <w:rsid w:val="29BC30FD"/>
    <w:rsid w:val="29C4D286"/>
    <w:rsid w:val="29C953BA"/>
    <w:rsid w:val="29C9A3E3"/>
    <w:rsid w:val="29D0B309"/>
    <w:rsid w:val="29D0C4D4"/>
    <w:rsid w:val="29D29A75"/>
    <w:rsid w:val="29D7AAB3"/>
    <w:rsid w:val="29D93DD7"/>
    <w:rsid w:val="29DDDBE8"/>
    <w:rsid w:val="29E56F01"/>
    <w:rsid w:val="29E5A25F"/>
    <w:rsid w:val="29F0015D"/>
    <w:rsid w:val="2A01BDA7"/>
    <w:rsid w:val="2A056778"/>
    <w:rsid w:val="2A190DB6"/>
    <w:rsid w:val="2A1BF092"/>
    <w:rsid w:val="2A28AD44"/>
    <w:rsid w:val="2A2B22A4"/>
    <w:rsid w:val="2A353AAB"/>
    <w:rsid w:val="2A3A02AD"/>
    <w:rsid w:val="2A3E4029"/>
    <w:rsid w:val="2A3ECFC6"/>
    <w:rsid w:val="2A45C914"/>
    <w:rsid w:val="2A4F349B"/>
    <w:rsid w:val="2A5BC641"/>
    <w:rsid w:val="2A64CEF0"/>
    <w:rsid w:val="2A6E5F58"/>
    <w:rsid w:val="2A7D7E78"/>
    <w:rsid w:val="2A7F6A7C"/>
    <w:rsid w:val="2A89C396"/>
    <w:rsid w:val="2A8F96E8"/>
    <w:rsid w:val="2A91BE76"/>
    <w:rsid w:val="2A9C53AA"/>
    <w:rsid w:val="2AA094D3"/>
    <w:rsid w:val="2AA4C3A4"/>
    <w:rsid w:val="2AB36E02"/>
    <w:rsid w:val="2AB72510"/>
    <w:rsid w:val="2ABA38D3"/>
    <w:rsid w:val="2AC342F3"/>
    <w:rsid w:val="2AC75863"/>
    <w:rsid w:val="2AC86B5A"/>
    <w:rsid w:val="2ACE57CD"/>
    <w:rsid w:val="2AD05AD5"/>
    <w:rsid w:val="2AD176FE"/>
    <w:rsid w:val="2AD79D74"/>
    <w:rsid w:val="2ADDE665"/>
    <w:rsid w:val="2AE6477B"/>
    <w:rsid w:val="2AE9DDE8"/>
    <w:rsid w:val="2AEAC7EB"/>
    <w:rsid w:val="2AFA4086"/>
    <w:rsid w:val="2B01EDFB"/>
    <w:rsid w:val="2B03A659"/>
    <w:rsid w:val="2B0B5E7C"/>
    <w:rsid w:val="2B1156E4"/>
    <w:rsid w:val="2B1A3BAA"/>
    <w:rsid w:val="2B219D8A"/>
    <w:rsid w:val="2B2AC8BE"/>
    <w:rsid w:val="2B2BBBCF"/>
    <w:rsid w:val="2B2D9D70"/>
    <w:rsid w:val="2B31FE24"/>
    <w:rsid w:val="2B33FB6B"/>
    <w:rsid w:val="2B39146B"/>
    <w:rsid w:val="2B4936AB"/>
    <w:rsid w:val="2B56FEBB"/>
    <w:rsid w:val="2B5F61DC"/>
    <w:rsid w:val="2B69921D"/>
    <w:rsid w:val="2B6B934A"/>
    <w:rsid w:val="2B76825A"/>
    <w:rsid w:val="2B76E71E"/>
    <w:rsid w:val="2B840C85"/>
    <w:rsid w:val="2B84370C"/>
    <w:rsid w:val="2B87DC02"/>
    <w:rsid w:val="2B8F792D"/>
    <w:rsid w:val="2B930167"/>
    <w:rsid w:val="2B9AE393"/>
    <w:rsid w:val="2BA4B0D6"/>
    <w:rsid w:val="2BABFFA1"/>
    <w:rsid w:val="2BACE260"/>
    <w:rsid w:val="2BB24761"/>
    <w:rsid w:val="2BB4813F"/>
    <w:rsid w:val="2BBD90E0"/>
    <w:rsid w:val="2BCC0ABD"/>
    <w:rsid w:val="2BD2240A"/>
    <w:rsid w:val="2BE203B2"/>
    <w:rsid w:val="2BE38F20"/>
    <w:rsid w:val="2BEDC45F"/>
    <w:rsid w:val="2BEE6700"/>
    <w:rsid w:val="2BF19834"/>
    <w:rsid w:val="2BF78DE2"/>
    <w:rsid w:val="2BF80F4C"/>
    <w:rsid w:val="2BF98224"/>
    <w:rsid w:val="2C048BE2"/>
    <w:rsid w:val="2C0716F3"/>
    <w:rsid w:val="2C0B3D8C"/>
    <w:rsid w:val="2C1980F7"/>
    <w:rsid w:val="2C19E5A0"/>
    <w:rsid w:val="2C1F72EF"/>
    <w:rsid w:val="2C228141"/>
    <w:rsid w:val="2C255118"/>
    <w:rsid w:val="2C2F3107"/>
    <w:rsid w:val="2C306D93"/>
    <w:rsid w:val="2C36162A"/>
    <w:rsid w:val="2C38BAC1"/>
    <w:rsid w:val="2C3C4B20"/>
    <w:rsid w:val="2C3C9B0A"/>
    <w:rsid w:val="2C43C708"/>
    <w:rsid w:val="2C50298C"/>
    <w:rsid w:val="2C777478"/>
    <w:rsid w:val="2C80DB18"/>
    <w:rsid w:val="2C883D1B"/>
    <w:rsid w:val="2C8C1BBF"/>
    <w:rsid w:val="2C939729"/>
    <w:rsid w:val="2C966DBA"/>
    <w:rsid w:val="2C97080E"/>
    <w:rsid w:val="2C9F4555"/>
    <w:rsid w:val="2CAC638A"/>
    <w:rsid w:val="2CAD6F10"/>
    <w:rsid w:val="2CAF3D23"/>
    <w:rsid w:val="2CB02CFE"/>
    <w:rsid w:val="2CBA4D0F"/>
    <w:rsid w:val="2CBA5641"/>
    <w:rsid w:val="2CC369A9"/>
    <w:rsid w:val="2CCBAB51"/>
    <w:rsid w:val="2CCDFD52"/>
    <w:rsid w:val="2CD021CC"/>
    <w:rsid w:val="2CD113C7"/>
    <w:rsid w:val="2CD4DE01"/>
    <w:rsid w:val="2CDAA218"/>
    <w:rsid w:val="2CDD656F"/>
    <w:rsid w:val="2CE3512A"/>
    <w:rsid w:val="2CF34C9C"/>
    <w:rsid w:val="2CF7F772"/>
    <w:rsid w:val="2CFD925F"/>
    <w:rsid w:val="2D045C7C"/>
    <w:rsid w:val="2D072CDD"/>
    <w:rsid w:val="2D0E3E5B"/>
    <w:rsid w:val="2D16CD63"/>
    <w:rsid w:val="2D1ADD82"/>
    <w:rsid w:val="2D27381A"/>
    <w:rsid w:val="2D2754FE"/>
    <w:rsid w:val="2D341816"/>
    <w:rsid w:val="2D38C504"/>
    <w:rsid w:val="2D3D2958"/>
    <w:rsid w:val="2D40A3FD"/>
    <w:rsid w:val="2D44BE99"/>
    <w:rsid w:val="2D481C08"/>
    <w:rsid w:val="2D4930A5"/>
    <w:rsid w:val="2D49DBC5"/>
    <w:rsid w:val="2D49E6D3"/>
    <w:rsid w:val="2D4BFD0F"/>
    <w:rsid w:val="2D57A778"/>
    <w:rsid w:val="2D5C4788"/>
    <w:rsid w:val="2D668FA9"/>
    <w:rsid w:val="2D66F7F3"/>
    <w:rsid w:val="2D724769"/>
    <w:rsid w:val="2D724D4C"/>
    <w:rsid w:val="2D7D87EB"/>
    <w:rsid w:val="2D889965"/>
    <w:rsid w:val="2D8B3C94"/>
    <w:rsid w:val="2D8C525D"/>
    <w:rsid w:val="2D8C8516"/>
    <w:rsid w:val="2D8D46B3"/>
    <w:rsid w:val="2D8F601C"/>
    <w:rsid w:val="2D93D91B"/>
    <w:rsid w:val="2D9BBA14"/>
    <w:rsid w:val="2DA1F376"/>
    <w:rsid w:val="2DA40F26"/>
    <w:rsid w:val="2DA6F666"/>
    <w:rsid w:val="2DA92736"/>
    <w:rsid w:val="2DB838DC"/>
    <w:rsid w:val="2DBC3AB7"/>
    <w:rsid w:val="2DC59D06"/>
    <w:rsid w:val="2DD1265B"/>
    <w:rsid w:val="2DD3DC14"/>
    <w:rsid w:val="2DDA7697"/>
    <w:rsid w:val="2DDB749D"/>
    <w:rsid w:val="2DDE1716"/>
    <w:rsid w:val="2DE59ED5"/>
    <w:rsid w:val="2DE78F67"/>
    <w:rsid w:val="2DE84A5D"/>
    <w:rsid w:val="2DEB397B"/>
    <w:rsid w:val="2DF0995D"/>
    <w:rsid w:val="2DF42DA9"/>
    <w:rsid w:val="2E0043C0"/>
    <w:rsid w:val="2E01E57B"/>
    <w:rsid w:val="2E088E3F"/>
    <w:rsid w:val="2E0A62B8"/>
    <w:rsid w:val="2E0A8793"/>
    <w:rsid w:val="2E1631E1"/>
    <w:rsid w:val="2E183518"/>
    <w:rsid w:val="2E18E876"/>
    <w:rsid w:val="2E1B0C95"/>
    <w:rsid w:val="2E22B74D"/>
    <w:rsid w:val="2E27E929"/>
    <w:rsid w:val="2E391EA9"/>
    <w:rsid w:val="2E3C0E26"/>
    <w:rsid w:val="2E41EAB8"/>
    <w:rsid w:val="2E4337E3"/>
    <w:rsid w:val="2E457E56"/>
    <w:rsid w:val="2E46493B"/>
    <w:rsid w:val="2E4E3F81"/>
    <w:rsid w:val="2E4F8E39"/>
    <w:rsid w:val="2E51BA7B"/>
    <w:rsid w:val="2E5493D6"/>
    <w:rsid w:val="2E59BC69"/>
    <w:rsid w:val="2E6074B3"/>
    <w:rsid w:val="2E667BBA"/>
    <w:rsid w:val="2E68929D"/>
    <w:rsid w:val="2E68A7E6"/>
    <w:rsid w:val="2E78DD5F"/>
    <w:rsid w:val="2E88EDAA"/>
    <w:rsid w:val="2E88F85E"/>
    <w:rsid w:val="2E8A49CE"/>
    <w:rsid w:val="2E8D58D2"/>
    <w:rsid w:val="2E9680A6"/>
    <w:rsid w:val="2E98817B"/>
    <w:rsid w:val="2EA376F0"/>
    <w:rsid w:val="2EAD871B"/>
    <w:rsid w:val="2EB11927"/>
    <w:rsid w:val="2EB2B413"/>
    <w:rsid w:val="2EB9CEB9"/>
    <w:rsid w:val="2EBBAC7F"/>
    <w:rsid w:val="2EBFCBD1"/>
    <w:rsid w:val="2EC04976"/>
    <w:rsid w:val="2EC3B8DD"/>
    <w:rsid w:val="2EC89560"/>
    <w:rsid w:val="2ECA4A1A"/>
    <w:rsid w:val="2ECD1433"/>
    <w:rsid w:val="2ED79390"/>
    <w:rsid w:val="2EDBB07F"/>
    <w:rsid w:val="2EE0536F"/>
    <w:rsid w:val="2EE1B15D"/>
    <w:rsid w:val="2EE7B2C9"/>
    <w:rsid w:val="2EF5A006"/>
    <w:rsid w:val="2F060080"/>
    <w:rsid w:val="2F07065C"/>
    <w:rsid w:val="2F083EED"/>
    <w:rsid w:val="2F103180"/>
    <w:rsid w:val="2F1A6FB0"/>
    <w:rsid w:val="2F1D1F91"/>
    <w:rsid w:val="2F38D81E"/>
    <w:rsid w:val="2F435358"/>
    <w:rsid w:val="2F4585CD"/>
    <w:rsid w:val="2F4A2211"/>
    <w:rsid w:val="2F4A2B78"/>
    <w:rsid w:val="2F4B2171"/>
    <w:rsid w:val="2F4C6120"/>
    <w:rsid w:val="2F4EE22E"/>
    <w:rsid w:val="2F4FFADF"/>
    <w:rsid w:val="2F57EAC8"/>
    <w:rsid w:val="2F5DAE5B"/>
    <w:rsid w:val="2F620D8B"/>
    <w:rsid w:val="2F6721A6"/>
    <w:rsid w:val="2F6F9691"/>
    <w:rsid w:val="2F780156"/>
    <w:rsid w:val="2F7DF31E"/>
    <w:rsid w:val="2F9030F7"/>
    <w:rsid w:val="2F9F2350"/>
    <w:rsid w:val="2FB559ED"/>
    <w:rsid w:val="2FB56B77"/>
    <w:rsid w:val="2FC64B51"/>
    <w:rsid w:val="2FD144D1"/>
    <w:rsid w:val="2FD1891A"/>
    <w:rsid w:val="2FD24E6F"/>
    <w:rsid w:val="2FD25216"/>
    <w:rsid w:val="2FD8D32D"/>
    <w:rsid w:val="2FDD2110"/>
    <w:rsid w:val="2FE55E86"/>
    <w:rsid w:val="2FEE3A3C"/>
    <w:rsid w:val="2FF08A5F"/>
    <w:rsid w:val="2FF4FB06"/>
    <w:rsid w:val="2FF75E3E"/>
    <w:rsid w:val="2FF9D77B"/>
    <w:rsid w:val="2FFFF12A"/>
    <w:rsid w:val="300A4E33"/>
    <w:rsid w:val="300C4B77"/>
    <w:rsid w:val="300E226D"/>
    <w:rsid w:val="30167A4A"/>
    <w:rsid w:val="302824B0"/>
    <w:rsid w:val="3029128F"/>
    <w:rsid w:val="303556EE"/>
    <w:rsid w:val="3037BB53"/>
    <w:rsid w:val="304AE205"/>
    <w:rsid w:val="304E6269"/>
    <w:rsid w:val="304EBAD9"/>
    <w:rsid w:val="30580F9F"/>
    <w:rsid w:val="30590623"/>
    <w:rsid w:val="305CC23F"/>
    <w:rsid w:val="3060F868"/>
    <w:rsid w:val="307092BD"/>
    <w:rsid w:val="3070BCFC"/>
    <w:rsid w:val="30850D34"/>
    <w:rsid w:val="308FDFC9"/>
    <w:rsid w:val="30922F76"/>
    <w:rsid w:val="309C01AB"/>
    <w:rsid w:val="309F1DDC"/>
    <w:rsid w:val="30A13EB9"/>
    <w:rsid w:val="30A23693"/>
    <w:rsid w:val="30A2E85F"/>
    <w:rsid w:val="30A4A0E9"/>
    <w:rsid w:val="30AE4288"/>
    <w:rsid w:val="30B493C3"/>
    <w:rsid w:val="30B66548"/>
    <w:rsid w:val="30B82D03"/>
    <w:rsid w:val="30BA5CBD"/>
    <w:rsid w:val="30BAEEDA"/>
    <w:rsid w:val="30C1B401"/>
    <w:rsid w:val="30C7A846"/>
    <w:rsid w:val="30C9F3E7"/>
    <w:rsid w:val="30D067B8"/>
    <w:rsid w:val="30D523E5"/>
    <w:rsid w:val="30DC8C27"/>
    <w:rsid w:val="30DD7855"/>
    <w:rsid w:val="30DE79B2"/>
    <w:rsid w:val="30E06A95"/>
    <w:rsid w:val="30E18042"/>
    <w:rsid w:val="30E6C407"/>
    <w:rsid w:val="30F5A0DB"/>
    <w:rsid w:val="30FA2F1F"/>
    <w:rsid w:val="310039D0"/>
    <w:rsid w:val="310BE6BC"/>
    <w:rsid w:val="310E1726"/>
    <w:rsid w:val="311521AD"/>
    <w:rsid w:val="31179DCB"/>
    <w:rsid w:val="31187A85"/>
    <w:rsid w:val="31276326"/>
    <w:rsid w:val="3128B948"/>
    <w:rsid w:val="3133434E"/>
    <w:rsid w:val="3139932D"/>
    <w:rsid w:val="313A9345"/>
    <w:rsid w:val="31417430"/>
    <w:rsid w:val="31441230"/>
    <w:rsid w:val="31452C75"/>
    <w:rsid w:val="314E1ED0"/>
    <w:rsid w:val="3153D37C"/>
    <w:rsid w:val="316077B3"/>
    <w:rsid w:val="3161B035"/>
    <w:rsid w:val="31636EDA"/>
    <w:rsid w:val="3163F80C"/>
    <w:rsid w:val="31697C76"/>
    <w:rsid w:val="317A754C"/>
    <w:rsid w:val="317B71CD"/>
    <w:rsid w:val="3181E10C"/>
    <w:rsid w:val="318E03E0"/>
    <w:rsid w:val="319C3774"/>
    <w:rsid w:val="319CC3B8"/>
    <w:rsid w:val="31A15A37"/>
    <w:rsid w:val="31A5F5A1"/>
    <w:rsid w:val="31AB4481"/>
    <w:rsid w:val="31B3B1AD"/>
    <w:rsid w:val="31B43D1D"/>
    <w:rsid w:val="31B72C5A"/>
    <w:rsid w:val="31C7CEBA"/>
    <w:rsid w:val="31CA3D02"/>
    <w:rsid w:val="31D05820"/>
    <w:rsid w:val="31D68C5F"/>
    <w:rsid w:val="31D70FF0"/>
    <w:rsid w:val="31D9E364"/>
    <w:rsid w:val="31DCAFF5"/>
    <w:rsid w:val="31DCDBC6"/>
    <w:rsid w:val="31EA2587"/>
    <w:rsid w:val="31ED167F"/>
    <w:rsid w:val="31F29B62"/>
    <w:rsid w:val="31F37E26"/>
    <w:rsid w:val="31FE7C3A"/>
    <w:rsid w:val="32017D31"/>
    <w:rsid w:val="321476FC"/>
    <w:rsid w:val="3215EF73"/>
    <w:rsid w:val="321A9237"/>
    <w:rsid w:val="321B23AB"/>
    <w:rsid w:val="32238CD2"/>
    <w:rsid w:val="3233B7BB"/>
    <w:rsid w:val="3233BC62"/>
    <w:rsid w:val="3233C6BB"/>
    <w:rsid w:val="323AA939"/>
    <w:rsid w:val="325386C5"/>
    <w:rsid w:val="325EDB54"/>
    <w:rsid w:val="32647714"/>
    <w:rsid w:val="326B728C"/>
    <w:rsid w:val="326F4849"/>
    <w:rsid w:val="3271CB72"/>
    <w:rsid w:val="327A5509"/>
    <w:rsid w:val="327A920B"/>
    <w:rsid w:val="327BD663"/>
    <w:rsid w:val="327E6B9C"/>
    <w:rsid w:val="32817E59"/>
    <w:rsid w:val="3287552B"/>
    <w:rsid w:val="3288FB56"/>
    <w:rsid w:val="329B9478"/>
    <w:rsid w:val="32AB5E3D"/>
    <w:rsid w:val="32AC04CA"/>
    <w:rsid w:val="32B3DC28"/>
    <w:rsid w:val="32BAF29E"/>
    <w:rsid w:val="32BCE755"/>
    <w:rsid w:val="32C1ADC1"/>
    <w:rsid w:val="32CA60D8"/>
    <w:rsid w:val="32CFBAB2"/>
    <w:rsid w:val="32D35B8C"/>
    <w:rsid w:val="32D48B48"/>
    <w:rsid w:val="32D89784"/>
    <w:rsid w:val="32E94ABA"/>
    <w:rsid w:val="32EA4C9D"/>
    <w:rsid w:val="32EAB106"/>
    <w:rsid w:val="32EDAE62"/>
    <w:rsid w:val="32F69E66"/>
    <w:rsid w:val="32F8A42C"/>
    <w:rsid w:val="32FE6218"/>
    <w:rsid w:val="33009903"/>
    <w:rsid w:val="33057B08"/>
    <w:rsid w:val="330D0ACC"/>
    <w:rsid w:val="330FDBD4"/>
    <w:rsid w:val="3313AA05"/>
    <w:rsid w:val="331A0B6C"/>
    <w:rsid w:val="332D40EA"/>
    <w:rsid w:val="33308418"/>
    <w:rsid w:val="33345EA6"/>
    <w:rsid w:val="333A4423"/>
    <w:rsid w:val="334451F0"/>
    <w:rsid w:val="33570BE3"/>
    <w:rsid w:val="335A327A"/>
    <w:rsid w:val="335F5FB5"/>
    <w:rsid w:val="336999D8"/>
    <w:rsid w:val="336F5643"/>
    <w:rsid w:val="337350C1"/>
    <w:rsid w:val="33792F78"/>
    <w:rsid w:val="337D57A5"/>
    <w:rsid w:val="337F10EC"/>
    <w:rsid w:val="33810B32"/>
    <w:rsid w:val="33899C17"/>
    <w:rsid w:val="33918EAB"/>
    <w:rsid w:val="3396E6A2"/>
    <w:rsid w:val="33A2B230"/>
    <w:rsid w:val="33AB15DA"/>
    <w:rsid w:val="33AFBB16"/>
    <w:rsid w:val="33BAC9AF"/>
    <w:rsid w:val="33BBB077"/>
    <w:rsid w:val="33C883D3"/>
    <w:rsid w:val="33CB3C16"/>
    <w:rsid w:val="33CFD71D"/>
    <w:rsid w:val="33D03AA2"/>
    <w:rsid w:val="33D23F60"/>
    <w:rsid w:val="33D2FAFF"/>
    <w:rsid w:val="33DB12AD"/>
    <w:rsid w:val="33E496D4"/>
    <w:rsid w:val="33E53B0D"/>
    <w:rsid w:val="33E8C6A3"/>
    <w:rsid w:val="33EF0FC5"/>
    <w:rsid w:val="33EF8272"/>
    <w:rsid w:val="33F4B121"/>
    <w:rsid w:val="33F7858F"/>
    <w:rsid w:val="3412E616"/>
    <w:rsid w:val="34239879"/>
    <w:rsid w:val="342D2559"/>
    <w:rsid w:val="342DCF59"/>
    <w:rsid w:val="342E8AB1"/>
    <w:rsid w:val="34542C1E"/>
    <w:rsid w:val="34611CF5"/>
    <w:rsid w:val="34629CB2"/>
    <w:rsid w:val="3467A96F"/>
    <w:rsid w:val="346A0B88"/>
    <w:rsid w:val="34753579"/>
    <w:rsid w:val="347A875D"/>
    <w:rsid w:val="3482677E"/>
    <w:rsid w:val="3493190C"/>
    <w:rsid w:val="34957CA2"/>
    <w:rsid w:val="3497D1A2"/>
    <w:rsid w:val="34AC4777"/>
    <w:rsid w:val="34AEAAC4"/>
    <w:rsid w:val="34B1EBA9"/>
    <w:rsid w:val="34BC7007"/>
    <w:rsid w:val="34C85DB6"/>
    <w:rsid w:val="34D4EEDB"/>
    <w:rsid w:val="34D6A6C1"/>
    <w:rsid w:val="34D83956"/>
    <w:rsid w:val="34EB638A"/>
    <w:rsid w:val="34F6C98A"/>
    <w:rsid w:val="34FAE469"/>
    <w:rsid w:val="350736D9"/>
    <w:rsid w:val="35090DFC"/>
    <w:rsid w:val="350C438D"/>
    <w:rsid w:val="351681E2"/>
    <w:rsid w:val="35195BF0"/>
    <w:rsid w:val="351A0884"/>
    <w:rsid w:val="351D4318"/>
    <w:rsid w:val="3520977A"/>
    <w:rsid w:val="35266173"/>
    <w:rsid w:val="352EF01F"/>
    <w:rsid w:val="353000D8"/>
    <w:rsid w:val="353185C7"/>
    <w:rsid w:val="3531EF30"/>
    <w:rsid w:val="35361635"/>
    <w:rsid w:val="353836CF"/>
    <w:rsid w:val="353D3AF0"/>
    <w:rsid w:val="354239B1"/>
    <w:rsid w:val="354A0E80"/>
    <w:rsid w:val="354A23AE"/>
    <w:rsid w:val="354D44C7"/>
    <w:rsid w:val="355353D6"/>
    <w:rsid w:val="355D8E50"/>
    <w:rsid w:val="3562EEFD"/>
    <w:rsid w:val="356D940E"/>
    <w:rsid w:val="35719A9C"/>
    <w:rsid w:val="3571BB5B"/>
    <w:rsid w:val="35721A4A"/>
    <w:rsid w:val="3575FF9D"/>
    <w:rsid w:val="3578A5B2"/>
    <w:rsid w:val="357B28E2"/>
    <w:rsid w:val="35924E14"/>
    <w:rsid w:val="35A77CBE"/>
    <w:rsid w:val="35A942F8"/>
    <w:rsid w:val="35AB1B58"/>
    <w:rsid w:val="35B086AC"/>
    <w:rsid w:val="35B73BCE"/>
    <w:rsid w:val="35B7FF69"/>
    <w:rsid w:val="35BA0DF0"/>
    <w:rsid w:val="35C1AAA4"/>
    <w:rsid w:val="35CC6204"/>
    <w:rsid w:val="35D230B9"/>
    <w:rsid w:val="35D8AF66"/>
    <w:rsid w:val="35DD21E1"/>
    <w:rsid w:val="35EA8562"/>
    <w:rsid w:val="35ED6419"/>
    <w:rsid w:val="35EEAB24"/>
    <w:rsid w:val="35F2241A"/>
    <w:rsid w:val="35FE6404"/>
    <w:rsid w:val="35FE8E6D"/>
    <w:rsid w:val="361428F0"/>
    <w:rsid w:val="361920E8"/>
    <w:rsid w:val="361C1FEB"/>
    <w:rsid w:val="3625FC00"/>
    <w:rsid w:val="362838A7"/>
    <w:rsid w:val="362BB1F1"/>
    <w:rsid w:val="362F2653"/>
    <w:rsid w:val="3635D4DC"/>
    <w:rsid w:val="363732B8"/>
    <w:rsid w:val="36381629"/>
    <w:rsid w:val="363C3D7F"/>
    <w:rsid w:val="363E7AC4"/>
    <w:rsid w:val="363EEF2A"/>
    <w:rsid w:val="364577AA"/>
    <w:rsid w:val="3649A7AB"/>
    <w:rsid w:val="3649EA7C"/>
    <w:rsid w:val="365073CB"/>
    <w:rsid w:val="36509650"/>
    <w:rsid w:val="36542DC8"/>
    <w:rsid w:val="3659C95F"/>
    <w:rsid w:val="365D5188"/>
    <w:rsid w:val="3665CF30"/>
    <w:rsid w:val="36673615"/>
    <w:rsid w:val="3668FD37"/>
    <w:rsid w:val="366F865D"/>
    <w:rsid w:val="3684C480"/>
    <w:rsid w:val="3685AD95"/>
    <w:rsid w:val="36883CFE"/>
    <w:rsid w:val="368E6CA3"/>
    <w:rsid w:val="368E9C07"/>
    <w:rsid w:val="3694AC28"/>
    <w:rsid w:val="36A1ADA8"/>
    <w:rsid w:val="36AC314C"/>
    <w:rsid w:val="36B228A4"/>
    <w:rsid w:val="36B62C5C"/>
    <w:rsid w:val="36B934F3"/>
    <w:rsid w:val="36BF43A3"/>
    <w:rsid w:val="36C78858"/>
    <w:rsid w:val="36C88C19"/>
    <w:rsid w:val="36D1D8E9"/>
    <w:rsid w:val="36D5366B"/>
    <w:rsid w:val="36E1B784"/>
    <w:rsid w:val="36E21CE6"/>
    <w:rsid w:val="36E46AEE"/>
    <w:rsid w:val="36EA535D"/>
    <w:rsid w:val="36F2FA2F"/>
    <w:rsid w:val="36F3BDC2"/>
    <w:rsid w:val="36F7668C"/>
    <w:rsid w:val="36FF10AF"/>
    <w:rsid w:val="36FF1C82"/>
    <w:rsid w:val="370DDB68"/>
    <w:rsid w:val="370E7218"/>
    <w:rsid w:val="3713CA3C"/>
    <w:rsid w:val="3713FDE6"/>
    <w:rsid w:val="371A70D3"/>
    <w:rsid w:val="372C1546"/>
    <w:rsid w:val="372F13E1"/>
    <w:rsid w:val="373341A8"/>
    <w:rsid w:val="37426128"/>
    <w:rsid w:val="3748BE1B"/>
    <w:rsid w:val="3748FB86"/>
    <w:rsid w:val="37536E2E"/>
    <w:rsid w:val="3754D1B4"/>
    <w:rsid w:val="3759A318"/>
    <w:rsid w:val="375B8B1F"/>
    <w:rsid w:val="3761C2FD"/>
    <w:rsid w:val="376DA6E9"/>
    <w:rsid w:val="377441D2"/>
    <w:rsid w:val="377CC9ED"/>
    <w:rsid w:val="378841BD"/>
    <w:rsid w:val="37887C87"/>
    <w:rsid w:val="378B35D8"/>
    <w:rsid w:val="37969BA1"/>
    <w:rsid w:val="3797E603"/>
    <w:rsid w:val="379BF511"/>
    <w:rsid w:val="37B8F64B"/>
    <w:rsid w:val="37C3A7A5"/>
    <w:rsid w:val="37DA0C50"/>
    <w:rsid w:val="37FAA00E"/>
    <w:rsid w:val="37FD9FDF"/>
    <w:rsid w:val="381774B4"/>
    <w:rsid w:val="381E95F3"/>
    <w:rsid w:val="382E8FC6"/>
    <w:rsid w:val="382ED9D7"/>
    <w:rsid w:val="38300999"/>
    <w:rsid w:val="38454339"/>
    <w:rsid w:val="384B3482"/>
    <w:rsid w:val="385E494A"/>
    <w:rsid w:val="385F80F3"/>
    <w:rsid w:val="3863878C"/>
    <w:rsid w:val="386921CC"/>
    <w:rsid w:val="386A33BD"/>
    <w:rsid w:val="387104CE"/>
    <w:rsid w:val="3878AA78"/>
    <w:rsid w:val="38801256"/>
    <w:rsid w:val="38849775"/>
    <w:rsid w:val="3888DA3C"/>
    <w:rsid w:val="3890CE2A"/>
    <w:rsid w:val="38935C50"/>
    <w:rsid w:val="389ADD14"/>
    <w:rsid w:val="389E4C28"/>
    <w:rsid w:val="38A2B3F0"/>
    <w:rsid w:val="38AB587A"/>
    <w:rsid w:val="38B8B8E1"/>
    <w:rsid w:val="38C372FE"/>
    <w:rsid w:val="38C378CE"/>
    <w:rsid w:val="38C77068"/>
    <w:rsid w:val="38CB5968"/>
    <w:rsid w:val="38CF06AD"/>
    <w:rsid w:val="38D1A86B"/>
    <w:rsid w:val="38D3A0F4"/>
    <w:rsid w:val="38DE5B57"/>
    <w:rsid w:val="38DEEDD5"/>
    <w:rsid w:val="38F442A9"/>
    <w:rsid w:val="38FC07E8"/>
    <w:rsid w:val="39021CDE"/>
    <w:rsid w:val="3909BCAC"/>
    <w:rsid w:val="390DB57B"/>
    <w:rsid w:val="39143FF2"/>
    <w:rsid w:val="3918166B"/>
    <w:rsid w:val="39186B4B"/>
    <w:rsid w:val="3919A2E9"/>
    <w:rsid w:val="39259E84"/>
    <w:rsid w:val="39295852"/>
    <w:rsid w:val="392ADD4E"/>
    <w:rsid w:val="39360701"/>
    <w:rsid w:val="3941F82C"/>
    <w:rsid w:val="39458844"/>
    <w:rsid w:val="394776CD"/>
    <w:rsid w:val="3948E2DD"/>
    <w:rsid w:val="395355BF"/>
    <w:rsid w:val="39558685"/>
    <w:rsid w:val="3957C445"/>
    <w:rsid w:val="395C20E5"/>
    <w:rsid w:val="395FA15F"/>
    <w:rsid w:val="39608DFD"/>
    <w:rsid w:val="39629D6B"/>
    <w:rsid w:val="396D95F6"/>
    <w:rsid w:val="3972A093"/>
    <w:rsid w:val="39733CB9"/>
    <w:rsid w:val="39760C55"/>
    <w:rsid w:val="397CA1CF"/>
    <w:rsid w:val="397D9A0C"/>
    <w:rsid w:val="397FA3DC"/>
    <w:rsid w:val="398698CD"/>
    <w:rsid w:val="3989056F"/>
    <w:rsid w:val="398C8AEE"/>
    <w:rsid w:val="399999C2"/>
    <w:rsid w:val="399B2FC8"/>
    <w:rsid w:val="399D2C2C"/>
    <w:rsid w:val="399F3E7A"/>
    <w:rsid w:val="39A39F20"/>
    <w:rsid w:val="39AB6C62"/>
    <w:rsid w:val="39B6F3B0"/>
    <w:rsid w:val="39BC5D1F"/>
    <w:rsid w:val="39BEA809"/>
    <w:rsid w:val="39C12520"/>
    <w:rsid w:val="39CDF1D6"/>
    <w:rsid w:val="39CE4031"/>
    <w:rsid w:val="39D83483"/>
    <w:rsid w:val="39D89ACD"/>
    <w:rsid w:val="39DC28AC"/>
    <w:rsid w:val="39E1758A"/>
    <w:rsid w:val="39EA1D3B"/>
    <w:rsid w:val="3A0194C8"/>
    <w:rsid w:val="3A05174A"/>
    <w:rsid w:val="3A0AEDD5"/>
    <w:rsid w:val="3A12BD68"/>
    <w:rsid w:val="3A245FCA"/>
    <w:rsid w:val="3A2C2EAB"/>
    <w:rsid w:val="3A2CFDCB"/>
    <w:rsid w:val="3A2F3C71"/>
    <w:rsid w:val="3A31EDE8"/>
    <w:rsid w:val="3A33344B"/>
    <w:rsid w:val="3A393D91"/>
    <w:rsid w:val="3A395E80"/>
    <w:rsid w:val="3A40492B"/>
    <w:rsid w:val="3A41CC9C"/>
    <w:rsid w:val="3A4481B3"/>
    <w:rsid w:val="3A462BCD"/>
    <w:rsid w:val="3A472642"/>
    <w:rsid w:val="3A4F81A4"/>
    <w:rsid w:val="3A555911"/>
    <w:rsid w:val="3A5D1E4D"/>
    <w:rsid w:val="3A606BD6"/>
    <w:rsid w:val="3A651B62"/>
    <w:rsid w:val="3A696AAE"/>
    <w:rsid w:val="3A6C48D0"/>
    <w:rsid w:val="3A71958D"/>
    <w:rsid w:val="3A7BED20"/>
    <w:rsid w:val="3A7F5CAE"/>
    <w:rsid w:val="3A829310"/>
    <w:rsid w:val="3A8A79FC"/>
    <w:rsid w:val="3A915E68"/>
    <w:rsid w:val="3A94CC63"/>
    <w:rsid w:val="3AA30E5F"/>
    <w:rsid w:val="3AA5B75E"/>
    <w:rsid w:val="3AA7CE55"/>
    <w:rsid w:val="3AA91F12"/>
    <w:rsid w:val="3AA9A25E"/>
    <w:rsid w:val="3AB42C7F"/>
    <w:rsid w:val="3AB7E131"/>
    <w:rsid w:val="3AB8F75C"/>
    <w:rsid w:val="3AB954DA"/>
    <w:rsid w:val="3AC343EA"/>
    <w:rsid w:val="3AC6D807"/>
    <w:rsid w:val="3AC90139"/>
    <w:rsid w:val="3ACA4FDC"/>
    <w:rsid w:val="3ACFA5D2"/>
    <w:rsid w:val="3AD63003"/>
    <w:rsid w:val="3AD6C488"/>
    <w:rsid w:val="3ADC1544"/>
    <w:rsid w:val="3AE118E4"/>
    <w:rsid w:val="3AE504B5"/>
    <w:rsid w:val="3AE60F0F"/>
    <w:rsid w:val="3AEAB400"/>
    <w:rsid w:val="3AF2CAB8"/>
    <w:rsid w:val="3AF8A85D"/>
    <w:rsid w:val="3AF9F06C"/>
    <w:rsid w:val="3AFB24CF"/>
    <w:rsid w:val="3AFDD11A"/>
    <w:rsid w:val="3AFEAB7D"/>
    <w:rsid w:val="3AFEFC00"/>
    <w:rsid w:val="3AFF4EE6"/>
    <w:rsid w:val="3B0412FE"/>
    <w:rsid w:val="3B0F83EC"/>
    <w:rsid w:val="3B0FD6E8"/>
    <w:rsid w:val="3B109ABD"/>
    <w:rsid w:val="3B12EB80"/>
    <w:rsid w:val="3B161F82"/>
    <w:rsid w:val="3B1ECECA"/>
    <w:rsid w:val="3B1FF1E2"/>
    <w:rsid w:val="3B22811B"/>
    <w:rsid w:val="3B27201E"/>
    <w:rsid w:val="3B3046B4"/>
    <w:rsid w:val="3B322CA2"/>
    <w:rsid w:val="3B353BB4"/>
    <w:rsid w:val="3B39D8F5"/>
    <w:rsid w:val="3B41B73E"/>
    <w:rsid w:val="3B46B5B4"/>
    <w:rsid w:val="3B49F6CA"/>
    <w:rsid w:val="3B5C793A"/>
    <w:rsid w:val="3B5DDDCE"/>
    <w:rsid w:val="3B63F9CE"/>
    <w:rsid w:val="3B6465DD"/>
    <w:rsid w:val="3B70CE2A"/>
    <w:rsid w:val="3B7590E8"/>
    <w:rsid w:val="3B78B954"/>
    <w:rsid w:val="3B78C798"/>
    <w:rsid w:val="3B7BDCCF"/>
    <w:rsid w:val="3B935DCF"/>
    <w:rsid w:val="3B971BB9"/>
    <w:rsid w:val="3BA19602"/>
    <w:rsid w:val="3BA3CE7E"/>
    <w:rsid w:val="3BA8BFDC"/>
    <w:rsid w:val="3BA9CE8C"/>
    <w:rsid w:val="3BB0A259"/>
    <w:rsid w:val="3BB9D12C"/>
    <w:rsid w:val="3BCA164F"/>
    <w:rsid w:val="3BD170AB"/>
    <w:rsid w:val="3BD4E1E6"/>
    <w:rsid w:val="3BDA2E9D"/>
    <w:rsid w:val="3BDA7B06"/>
    <w:rsid w:val="3BEF6FC5"/>
    <w:rsid w:val="3BF36CB1"/>
    <w:rsid w:val="3BF946BD"/>
    <w:rsid w:val="3BFD7997"/>
    <w:rsid w:val="3C02CB74"/>
    <w:rsid w:val="3C0441C4"/>
    <w:rsid w:val="3C0D2F0B"/>
    <w:rsid w:val="3C0D4D3A"/>
    <w:rsid w:val="3C0FBF57"/>
    <w:rsid w:val="3C1600D3"/>
    <w:rsid w:val="3C16DED3"/>
    <w:rsid w:val="3C19DC2D"/>
    <w:rsid w:val="3C1F59C0"/>
    <w:rsid w:val="3C20CFA5"/>
    <w:rsid w:val="3C2CB511"/>
    <w:rsid w:val="3C356ECB"/>
    <w:rsid w:val="3C4783C0"/>
    <w:rsid w:val="3C4CC707"/>
    <w:rsid w:val="3C4CE12F"/>
    <w:rsid w:val="3C4E5C9D"/>
    <w:rsid w:val="3C663A43"/>
    <w:rsid w:val="3C702719"/>
    <w:rsid w:val="3C7159B9"/>
    <w:rsid w:val="3C7268BA"/>
    <w:rsid w:val="3C73131F"/>
    <w:rsid w:val="3C742872"/>
    <w:rsid w:val="3C8396BB"/>
    <w:rsid w:val="3C83AC14"/>
    <w:rsid w:val="3C859A57"/>
    <w:rsid w:val="3C8B553E"/>
    <w:rsid w:val="3C925DDD"/>
    <w:rsid w:val="3C94AEEF"/>
    <w:rsid w:val="3C9C2DD1"/>
    <w:rsid w:val="3C9C6124"/>
    <w:rsid w:val="3C9CCF5B"/>
    <w:rsid w:val="3CA5DC0E"/>
    <w:rsid w:val="3CB18FB5"/>
    <w:rsid w:val="3CB4DECD"/>
    <w:rsid w:val="3CB5D9EC"/>
    <w:rsid w:val="3CBD0A35"/>
    <w:rsid w:val="3CCE5AD0"/>
    <w:rsid w:val="3CD56234"/>
    <w:rsid w:val="3CD77550"/>
    <w:rsid w:val="3CD826DB"/>
    <w:rsid w:val="3CE6B9FB"/>
    <w:rsid w:val="3CEB402B"/>
    <w:rsid w:val="3CF569D7"/>
    <w:rsid w:val="3CFAC47E"/>
    <w:rsid w:val="3D0067CC"/>
    <w:rsid w:val="3D02BA00"/>
    <w:rsid w:val="3D0634E4"/>
    <w:rsid w:val="3D091C0B"/>
    <w:rsid w:val="3D09281C"/>
    <w:rsid w:val="3D14C5BC"/>
    <w:rsid w:val="3D19528A"/>
    <w:rsid w:val="3D1A4C61"/>
    <w:rsid w:val="3D283758"/>
    <w:rsid w:val="3D2D63A9"/>
    <w:rsid w:val="3D3001FD"/>
    <w:rsid w:val="3D34D46F"/>
    <w:rsid w:val="3D3A29E6"/>
    <w:rsid w:val="3D3F1A47"/>
    <w:rsid w:val="3D41E6F8"/>
    <w:rsid w:val="3D463CF9"/>
    <w:rsid w:val="3D4A21E7"/>
    <w:rsid w:val="3D4BA13B"/>
    <w:rsid w:val="3D4DBF78"/>
    <w:rsid w:val="3D54AE27"/>
    <w:rsid w:val="3D5E3095"/>
    <w:rsid w:val="3D63AB5A"/>
    <w:rsid w:val="3D68A6B8"/>
    <w:rsid w:val="3D6942EA"/>
    <w:rsid w:val="3D6BD78D"/>
    <w:rsid w:val="3D74E25E"/>
    <w:rsid w:val="3D83B487"/>
    <w:rsid w:val="3D8A5ECE"/>
    <w:rsid w:val="3D8BBC4B"/>
    <w:rsid w:val="3D8CD950"/>
    <w:rsid w:val="3D948DE1"/>
    <w:rsid w:val="3D98236A"/>
    <w:rsid w:val="3DA0B58A"/>
    <w:rsid w:val="3DA25AE7"/>
    <w:rsid w:val="3DA432B4"/>
    <w:rsid w:val="3DA7BBE0"/>
    <w:rsid w:val="3DAF024D"/>
    <w:rsid w:val="3DB062AD"/>
    <w:rsid w:val="3DB304CA"/>
    <w:rsid w:val="3DCA1ABE"/>
    <w:rsid w:val="3DCAAA35"/>
    <w:rsid w:val="3DCFF277"/>
    <w:rsid w:val="3DD26EFA"/>
    <w:rsid w:val="3DDCF668"/>
    <w:rsid w:val="3DDE3A9D"/>
    <w:rsid w:val="3DE196FB"/>
    <w:rsid w:val="3DE57FEC"/>
    <w:rsid w:val="3DE96A12"/>
    <w:rsid w:val="3E026B85"/>
    <w:rsid w:val="3E051DD0"/>
    <w:rsid w:val="3E0AECA4"/>
    <w:rsid w:val="3E0CB34D"/>
    <w:rsid w:val="3E0CEE6E"/>
    <w:rsid w:val="3E106781"/>
    <w:rsid w:val="3E1C584A"/>
    <w:rsid w:val="3E2B4FC3"/>
    <w:rsid w:val="3E31A895"/>
    <w:rsid w:val="3E35EAC2"/>
    <w:rsid w:val="3E3B589F"/>
    <w:rsid w:val="3E3F9417"/>
    <w:rsid w:val="3E42CC6E"/>
    <w:rsid w:val="3E484881"/>
    <w:rsid w:val="3E48A52E"/>
    <w:rsid w:val="3E4A2923"/>
    <w:rsid w:val="3E4FC39B"/>
    <w:rsid w:val="3E5C8384"/>
    <w:rsid w:val="3E5D2875"/>
    <w:rsid w:val="3E6004FD"/>
    <w:rsid w:val="3E620852"/>
    <w:rsid w:val="3E71711E"/>
    <w:rsid w:val="3E719D84"/>
    <w:rsid w:val="3E76A0B9"/>
    <w:rsid w:val="3E79F877"/>
    <w:rsid w:val="3E7C2133"/>
    <w:rsid w:val="3E7FE5AC"/>
    <w:rsid w:val="3E867AF3"/>
    <w:rsid w:val="3E8FD4C9"/>
    <w:rsid w:val="3E9FE7FE"/>
    <w:rsid w:val="3EA92CB7"/>
    <w:rsid w:val="3EA9A2F2"/>
    <w:rsid w:val="3EBDE2F5"/>
    <w:rsid w:val="3EBE8BF3"/>
    <w:rsid w:val="3EC8AEA9"/>
    <w:rsid w:val="3ECA3596"/>
    <w:rsid w:val="3ECF41B8"/>
    <w:rsid w:val="3ECF4795"/>
    <w:rsid w:val="3EDDF5B0"/>
    <w:rsid w:val="3EF05FED"/>
    <w:rsid w:val="3EF39E34"/>
    <w:rsid w:val="3EF6D3A0"/>
    <w:rsid w:val="3EFFD81B"/>
    <w:rsid w:val="3F00457F"/>
    <w:rsid w:val="3F0E28BD"/>
    <w:rsid w:val="3F11984B"/>
    <w:rsid w:val="3F162108"/>
    <w:rsid w:val="3F1BA73B"/>
    <w:rsid w:val="3F1DA43F"/>
    <w:rsid w:val="3F20D741"/>
    <w:rsid w:val="3F237A48"/>
    <w:rsid w:val="3F27918D"/>
    <w:rsid w:val="3F2D57CC"/>
    <w:rsid w:val="3F2DA722"/>
    <w:rsid w:val="3F3165AF"/>
    <w:rsid w:val="3F36D484"/>
    <w:rsid w:val="3F38986F"/>
    <w:rsid w:val="3F44C4B1"/>
    <w:rsid w:val="3F470D53"/>
    <w:rsid w:val="3F4A4517"/>
    <w:rsid w:val="3F4A814C"/>
    <w:rsid w:val="3F4DE71C"/>
    <w:rsid w:val="3F4FECA0"/>
    <w:rsid w:val="3F50073C"/>
    <w:rsid w:val="3F5009CA"/>
    <w:rsid w:val="3F54743C"/>
    <w:rsid w:val="3F60F6AD"/>
    <w:rsid w:val="3F675944"/>
    <w:rsid w:val="3F765D62"/>
    <w:rsid w:val="3F7788FB"/>
    <w:rsid w:val="3F793F75"/>
    <w:rsid w:val="3F7BD1D3"/>
    <w:rsid w:val="3F7CC752"/>
    <w:rsid w:val="3F835C34"/>
    <w:rsid w:val="3F84ADF3"/>
    <w:rsid w:val="3F8648DC"/>
    <w:rsid w:val="3F8B2CC2"/>
    <w:rsid w:val="3F8E77DE"/>
    <w:rsid w:val="3F90D015"/>
    <w:rsid w:val="3F967129"/>
    <w:rsid w:val="3F9E4443"/>
    <w:rsid w:val="3F9FAE83"/>
    <w:rsid w:val="3FA24CA5"/>
    <w:rsid w:val="3FA9C6B6"/>
    <w:rsid w:val="3FAFA309"/>
    <w:rsid w:val="3FB25020"/>
    <w:rsid w:val="3FB2944E"/>
    <w:rsid w:val="3FB43FC2"/>
    <w:rsid w:val="3FC5E013"/>
    <w:rsid w:val="3FD15CB5"/>
    <w:rsid w:val="3FD8B8D3"/>
    <w:rsid w:val="3FD9B091"/>
    <w:rsid w:val="3FDB6F41"/>
    <w:rsid w:val="3FE3B666"/>
    <w:rsid w:val="3FF5519C"/>
    <w:rsid w:val="3FFAED1C"/>
    <w:rsid w:val="3FFB3A33"/>
    <w:rsid w:val="400A578D"/>
    <w:rsid w:val="400C1767"/>
    <w:rsid w:val="400C93BC"/>
    <w:rsid w:val="400D2EA6"/>
    <w:rsid w:val="400EE5A8"/>
    <w:rsid w:val="40175764"/>
    <w:rsid w:val="401AC28C"/>
    <w:rsid w:val="4025DB77"/>
    <w:rsid w:val="4034C184"/>
    <w:rsid w:val="40350CBC"/>
    <w:rsid w:val="403C49E5"/>
    <w:rsid w:val="40445E85"/>
    <w:rsid w:val="404A4E29"/>
    <w:rsid w:val="404CCBC5"/>
    <w:rsid w:val="4052B50F"/>
    <w:rsid w:val="405A7EF8"/>
    <w:rsid w:val="405CCC43"/>
    <w:rsid w:val="4060DDC7"/>
    <w:rsid w:val="406B23AF"/>
    <w:rsid w:val="406FD770"/>
    <w:rsid w:val="407085C6"/>
    <w:rsid w:val="408CE7B7"/>
    <w:rsid w:val="408EDD40"/>
    <w:rsid w:val="409228E8"/>
    <w:rsid w:val="40923ED5"/>
    <w:rsid w:val="409564B0"/>
    <w:rsid w:val="4097E56E"/>
    <w:rsid w:val="4099BA93"/>
    <w:rsid w:val="409F4C20"/>
    <w:rsid w:val="40A6ACD5"/>
    <w:rsid w:val="40B5483F"/>
    <w:rsid w:val="40C614C6"/>
    <w:rsid w:val="40CA4AB6"/>
    <w:rsid w:val="40D07D6F"/>
    <w:rsid w:val="40D0A376"/>
    <w:rsid w:val="40D1B6D9"/>
    <w:rsid w:val="40DD5A93"/>
    <w:rsid w:val="40DEACCE"/>
    <w:rsid w:val="40ED218A"/>
    <w:rsid w:val="40F328F2"/>
    <w:rsid w:val="40FAA9E6"/>
    <w:rsid w:val="41061933"/>
    <w:rsid w:val="4106D839"/>
    <w:rsid w:val="410CA921"/>
    <w:rsid w:val="411499D7"/>
    <w:rsid w:val="411953F2"/>
    <w:rsid w:val="411AD050"/>
    <w:rsid w:val="412D95EB"/>
    <w:rsid w:val="413479E0"/>
    <w:rsid w:val="413B307B"/>
    <w:rsid w:val="413B3E93"/>
    <w:rsid w:val="41446CDF"/>
    <w:rsid w:val="41581DF8"/>
    <w:rsid w:val="41675F1B"/>
    <w:rsid w:val="41688186"/>
    <w:rsid w:val="41693227"/>
    <w:rsid w:val="417816AE"/>
    <w:rsid w:val="417DDB8A"/>
    <w:rsid w:val="4184DA4C"/>
    <w:rsid w:val="4186CFF8"/>
    <w:rsid w:val="418AF7A0"/>
    <w:rsid w:val="41944EBE"/>
    <w:rsid w:val="4199C222"/>
    <w:rsid w:val="419FAF6E"/>
    <w:rsid w:val="41A66F68"/>
    <w:rsid w:val="41BCF1DA"/>
    <w:rsid w:val="41C1B68F"/>
    <w:rsid w:val="41C37DB5"/>
    <w:rsid w:val="41CC3959"/>
    <w:rsid w:val="41D185A2"/>
    <w:rsid w:val="41D88190"/>
    <w:rsid w:val="41D9925D"/>
    <w:rsid w:val="41E0ADDA"/>
    <w:rsid w:val="41E11E75"/>
    <w:rsid w:val="41E1E7E4"/>
    <w:rsid w:val="41E1E941"/>
    <w:rsid w:val="41E606F3"/>
    <w:rsid w:val="41EF25F8"/>
    <w:rsid w:val="41F3B0E9"/>
    <w:rsid w:val="41F62589"/>
    <w:rsid w:val="41F81B35"/>
    <w:rsid w:val="41FE5F21"/>
    <w:rsid w:val="4207D86F"/>
    <w:rsid w:val="420B29C0"/>
    <w:rsid w:val="420DD428"/>
    <w:rsid w:val="4213B525"/>
    <w:rsid w:val="421442E7"/>
    <w:rsid w:val="42146132"/>
    <w:rsid w:val="421716EE"/>
    <w:rsid w:val="421D0778"/>
    <w:rsid w:val="42266951"/>
    <w:rsid w:val="422803E3"/>
    <w:rsid w:val="422FBC8C"/>
    <w:rsid w:val="4231AFD4"/>
    <w:rsid w:val="42362CD1"/>
    <w:rsid w:val="423A3D77"/>
    <w:rsid w:val="4246B8D3"/>
    <w:rsid w:val="424759D6"/>
    <w:rsid w:val="424E1B49"/>
    <w:rsid w:val="4250D572"/>
    <w:rsid w:val="425D722C"/>
    <w:rsid w:val="425E7E22"/>
    <w:rsid w:val="426007F0"/>
    <w:rsid w:val="4266B456"/>
    <w:rsid w:val="4266BC19"/>
    <w:rsid w:val="4268F0EC"/>
    <w:rsid w:val="426FCD1E"/>
    <w:rsid w:val="4270A8BD"/>
    <w:rsid w:val="42759D17"/>
    <w:rsid w:val="4275BC9F"/>
    <w:rsid w:val="427E657D"/>
    <w:rsid w:val="428F4232"/>
    <w:rsid w:val="428F66E4"/>
    <w:rsid w:val="42910EE9"/>
    <w:rsid w:val="42917141"/>
    <w:rsid w:val="429319B7"/>
    <w:rsid w:val="4293D1E2"/>
    <w:rsid w:val="429B57C0"/>
    <w:rsid w:val="42A1C0D3"/>
    <w:rsid w:val="42A4BFB6"/>
    <w:rsid w:val="42A89861"/>
    <w:rsid w:val="42B9BE58"/>
    <w:rsid w:val="42BBA13C"/>
    <w:rsid w:val="42C16CC8"/>
    <w:rsid w:val="42C5E284"/>
    <w:rsid w:val="42C7382B"/>
    <w:rsid w:val="42C97783"/>
    <w:rsid w:val="42CB624A"/>
    <w:rsid w:val="42CC48C1"/>
    <w:rsid w:val="42E4A4CA"/>
    <w:rsid w:val="42EFF4E2"/>
    <w:rsid w:val="42F5848C"/>
    <w:rsid w:val="42FBD1E4"/>
    <w:rsid w:val="42FD7C5C"/>
    <w:rsid w:val="4300EC32"/>
    <w:rsid w:val="43061E34"/>
    <w:rsid w:val="4307F165"/>
    <w:rsid w:val="43085CB1"/>
    <w:rsid w:val="430F0B3D"/>
    <w:rsid w:val="4314A8C1"/>
    <w:rsid w:val="4314B011"/>
    <w:rsid w:val="43155763"/>
    <w:rsid w:val="43157D55"/>
    <w:rsid w:val="43183175"/>
    <w:rsid w:val="43188B5D"/>
    <w:rsid w:val="431C10AF"/>
    <w:rsid w:val="4320F102"/>
    <w:rsid w:val="4329E64E"/>
    <w:rsid w:val="432F5C06"/>
    <w:rsid w:val="43436ACF"/>
    <w:rsid w:val="434EA087"/>
    <w:rsid w:val="4355030F"/>
    <w:rsid w:val="435A6529"/>
    <w:rsid w:val="435CFD36"/>
    <w:rsid w:val="4364FCF2"/>
    <w:rsid w:val="43662025"/>
    <w:rsid w:val="436F00B0"/>
    <w:rsid w:val="4370E523"/>
    <w:rsid w:val="437775C2"/>
    <w:rsid w:val="437FA29D"/>
    <w:rsid w:val="4383AF26"/>
    <w:rsid w:val="438AA2B5"/>
    <w:rsid w:val="438AEAF0"/>
    <w:rsid w:val="4392490B"/>
    <w:rsid w:val="43967B65"/>
    <w:rsid w:val="4399920E"/>
    <w:rsid w:val="439C1F4D"/>
    <w:rsid w:val="439DF53C"/>
    <w:rsid w:val="439DF83C"/>
    <w:rsid w:val="439F738C"/>
    <w:rsid w:val="43AAF5BD"/>
    <w:rsid w:val="43B15F99"/>
    <w:rsid w:val="43B47E91"/>
    <w:rsid w:val="43B5615E"/>
    <w:rsid w:val="43B75AD4"/>
    <w:rsid w:val="43B7AB9A"/>
    <w:rsid w:val="43BD9AAD"/>
    <w:rsid w:val="43C221F7"/>
    <w:rsid w:val="43C68F5A"/>
    <w:rsid w:val="43C76634"/>
    <w:rsid w:val="43CB73CC"/>
    <w:rsid w:val="43CDB970"/>
    <w:rsid w:val="43D3436D"/>
    <w:rsid w:val="43D6D7AE"/>
    <w:rsid w:val="43DF845F"/>
    <w:rsid w:val="43E4F245"/>
    <w:rsid w:val="43E8BAFB"/>
    <w:rsid w:val="43EB0DAD"/>
    <w:rsid w:val="43F66833"/>
    <w:rsid w:val="43FE5A1C"/>
    <w:rsid w:val="4402E76F"/>
    <w:rsid w:val="44061907"/>
    <w:rsid w:val="440621F0"/>
    <w:rsid w:val="44102C41"/>
    <w:rsid w:val="44115B46"/>
    <w:rsid w:val="441972BF"/>
    <w:rsid w:val="441E243E"/>
    <w:rsid w:val="4420B590"/>
    <w:rsid w:val="442A40A6"/>
    <w:rsid w:val="442F1ECC"/>
    <w:rsid w:val="44422F98"/>
    <w:rsid w:val="44465AB3"/>
    <w:rsid w:val="446362DF"/>
    <w:rsid w:val="44677F4E"/>
    <w:rsid w:val="4467C513"/>
    <w:rsid w:val="446CDC9F"/>
    <w:rsid w:val="446DD4BB"/>
    <w:rsid w:val="447A9B7D"/>
    <w:rsid w:val="447E040C"/>
    <w:rsid w:val="44807536"/>
    <w:rsid w:val="4481F98B"/>
    <w:rsid w:val="4485AFD6"/>
    <w:rsid w:val="44880418"/>
    <w:rsid w:val="44889BBF"/>
    <w:rsid w:val="449AB8EB"/>
    <w:rsid w:val="449E0CEC"/>
    <w:rsid w:val="449E1276"/>
    <w:rsid w:val="449F0B81"/>
    <w:rsid w:val="44A67B9E"/>
    <w:rsid w:val="44A6AD1A"/>
    <w:rsid w:val="44AC69B0"/>
    <w:rsid w:val="44AE2F61"/>
    <w:rsid w:val="44AEC99C"/>
    <w:rsid w:val="44B6FC81"/>
    <w:rsid w:val="44BD513D"/>
    <w:rsid w:val="44C5CB28"/>
    <w:rsid w:val="44D0D099"/>
    <w:rsid w:val="44D2ABEE"/>
    <w:rsid w:val="44D46D83"/>
    <w:rsid w:val="44D6EEB7"/>
    <w:rsid w:val="44DB929B"/>
    <w:rsid w:val="44DB9A06"/>
    <w:rsid w:val="44DDB134"/>
    <w:rsid w:val="44EDDACC"/>
    <w:rsid w:val="44F169AF"/>
    <w:rsid w:val="44F52336"/>
    <w:rsid w:val="4502E423"/>
    <w:rsid w:val="4508A3F2"/>
    <w:rsid w:val="450E29BB"/>
    <w:rsid w:val="450F2903"/>
    <w:rsid w:val="4516E78F"/>
    <w:rsid w:val="45193166"/>
    <w:rsid w:val="45261633"/>
    <w:rsid w:val="45306B86"/>
    <w:rsid w:val="454039B1"/>
    <w:rsid w:val="45480ED7"/>
    <w:rsid w:val="4549D998"/>
    <w:rsid w:val="454F884C"/>
    <w:rsid w:val="45557165"/>
    <w:rsid w:val="45595E08"/>
    <w:rsid w:val="455BF9E9"/>
    <w:rsid w:val="45698FD6"/>
    <w:rsid w:val="4583ECE6"/>
    <w:rsid w:val="458B32D9"/>
    <w:rsid w:val="4596D8B3"/>
    <w:rsid w:val="459BE4C7"/>
    <w:rsid w:val="459E0757"/>
    <w:rsid w:val="45A02E2F"/>
    <w:rsid w:val="45A0A457"/>
    <w:rsid w:val="45A1539F"/>
    <w:rsid w:val="45A9DDEC"/>
    <w:rsid w:val="45AAA2FA"/>
    <w:rsid w:val="45AB3872"/>
    <w:rsid w:val="45B32E18"/>
    <w:rsid w:val="45B98FF2"/>
    <w:rsid w:val="45B9DF16"/>
    <w:rsid w:val="45BFCA50"/>
    <w:rsid w:val="45C2844E"/>
    <w:rsid w:val="45C72C2A"/>
    <w:rsid w:val="45D3C8E9"/>
    <w:rsid w:val="45E420D8"/>
    <w:rsid w:val="45E47099"/>
    <w:rsid w:val="45ED362E"/>
    <w:rsid w:val="45F172DA"/>
    <w:rsid w:val="45F1BD6D"/>
    <w:rsid w:val="45F3289E"/>
    <w:rsid w:val="45F5CC5C"/>
    <w:rsid w:val="45F9B7FC"/>
    <w:rsid w:val="45FAF871"/>
    <w:rsid w:val="45FC704B"/>
    <w:rsid w:val="45FE9F05"/>
    <w:rsid w:val="4601653E"/>
    <w:rsid w:val="460CF082"/>
    <w:rsid w:val="4625C862"/>
    <w:rsid w:val="462B17F8"/>
    <w:rsid w:val="463A0603"/>
    <w:rsid w:val="463AD4C1"/>
    <w:rsid w:val="46414C47"/>
    <w:rsid w:val="46444B70"/>
    <w:rsid w:val="464BEED5"/>
    <w:rsid w:val="4651497C"/>
    <w:rsid w:val="465EDD2E"/>
    <w:rsid w:val="4662A343"/>
    <w:rsid w:val="466352E8"/>
    <w:rsid w:val="466597F1"/>
    <w:rsid w:val="466CEDAC"/>
    <w:rsid w:val="466D6359"/>
    <w:rsid w:val="46710AC2"/>
    <w:rsid w:val="4675E8C9"/>
    <w:rsid w:val="4678F22D"/>
    <w:rsid w:val="467D061C"/>
    <w:rsid w:val="467EBAB6"/>
    <w:rsid w:val="468633FB"/>
    <w:rsid w:val="46879ED9"/>
    <w:rsid w:val="468E9FA8"/>
    <w:rsid w:val="46966204"/>
    <w:rsid w:val="469E37BB"/>
    <w:rsid w:val="46A1A291"/>
    <w:rsid w:val="46AAFC99"/>
    <w:rsid w:val="46AC7622"/>
    <w:rsid w:val="46ADC2C4"/>
    <w:rsid w:val="46B4990E"/>
    <w:rsid w:val="46BD9049"/>
    <w:rsid w:val="46C03F1B"/>
    <w:rsid w:val="46C053E2"/>
    <w:rsid w:val="46C0DB0F"/>
    <w:rsid w:val="46C244CA"/>
    <w:rsid w:val="46C47EBA"/>
    <w:rsid w:val="46CB3F4D"/>
    <w:rsid w:val="46CC8CC0"/>
    <w:rsid w:val="46CF542C"/>
    <w:rsid w:val="46D8AC98"/>
    <w:rsid w:val="46E0F1EC"/>
    <w:rsid w:val="46E146C1"/>
    <w:rsid w:val="46E3C459"/>
    <w:rsid w:val="46EDF4EF"/>
    <w:rsid w:val="46F05C07"/>
    <w:rsid w:val="46F459BD"/>
    <w:rsid w:val="46F591B4"/>
    <w:rsid w:val="46F844B3"/>
    <w:rsid w:val="46FC3ABC"/>
    <w:rsid w:val="470308B2"/>
    <w:rsid w:val="470D9F44"/>
    <w:rsid w:val="47126841"/>
    <w:rsid w:val="471B2D37"/>
    <w:rsid w:val="472CD7BA"/>
    <w:rsid w:val="4730C101"/>
    <w:rsid w:val="47377854"/>
    <w:rsid w:val="4737B3CF"/>
    <w:rsid w:val="474AF64B"/>
    <w:rsid w:val="4756BDA2"/>
    <w:rsid w:val="475D3E8B"/>
    <w:rsid w:val="4761FFC6"/>
    <w:rsid w:val="476D7B6E"/>
    <w:rsid w:val="4779A4F1"/>
    <w:rsid w:val="477C3EDD"/>
    <w:rsid w:val="477DD32F"/>
    <w:rsid w:val="477FC1DD"/>
    <w:rsid w:val="47821C48"/>
    <w:rsid w:val="47899CFB"/>
    <w:rsid w:val="478DF3D3"/>
    <w:rsid w:val="4792E61E"/>
    <w:rsid w:val="4794D61F"/>
    <w:rsid w:val="47A33678"/>
    <w:rsid w:val="47AF210D"/>
    <w:rsid w:val="47B1C740"/>
    <w:rsid w:val="47BF70FF"/>
    <w:rsid w:val="47CBB595"/>
    <w:rsid w:val="47CD4FF8"/>
    <w:rsid w:val="47DA4F53"/>
    <w:rsid w:val="47DC2507"/>
    <w:rsid w:val="47E0636F"/>
    <w:rsid w:val="47F00AB4"/>
    <w:rsid w:val="480114F0"/>
    <w:rsid w:val="48018F73"/>
    <w:rsid w:val="4804345F"/>
    <w:rsid w:val="48083181"/>
    <w:rsid w:val="480FF134"/>
    <w:rsid w:val="481181F1"/>
    <w:rsid w:val="481ADEAF"/>
    <w:rsid w:val="4825140C"/>
    <w:rsid w:val="4825CAFA"/>
    <w:rsid w:val="4826849D"/>
    <w:rsid w:val="482CDFE4"/>
    <w:rsid w:val="482F5BCD"/>
    <w:rsid w:val="48328C8E"/>
    <w:rsid w:val="4832CBF9"/>
    <w:rsid w:val="4836D486"/>
    <w:rsid w:val="4837F097"/>
    <w:rsid w:val="48480A54"/>
    <w:rsid w:val="484D174E"/>
    <w:rsid w:val="4852FC51"/>
    <w:rsid w:val="48532F80"/>
    <w:rsid w:val="48540F8A"/>
    <w:rsid w:val="48625EFD"/>
    <w:rsid w:val="48673AE8"/>
    <w:rsid w:val="486C0093"/>
    <w:rsid w:val="486FF3D8"/>
    <w:rsid w:val="487BD036"/>
    <w:rsid w:val="487FF3A2"/>
    <w:rsid w:val="48807D50"/>
    <w:rsid w:val="489248DA"/>
    <w:rsid w:val="48961409"/>
    <w:rsid w:val="48989006"/>
    <w:rsid w:val="489891EF"/>
    <w:rsid w:val="489B8621"/>
    <w:rsid w:val="489E5D81"/>
    <w:rsid w:val="48AB9AE8"/>
    <w:rsid w:val="48BCE6D1"/>
    <w:rsid w:val="48BEBE1E"/>
    <w:rsid w:val="48C26C63"/>
    <w:rsid w:val="48C416E3"/>
    <w:rsid w:val="48D6C6B1"/>
    <w:rsid w:val="48E034F4"/>
    <w:rsid w:val="48E28CEA"/>
    <w:rsid w:val="48E388EB"/>
    <w:rsid w:val="48F440C1"/>
    <w:rsid w:val="48F53E99"/>
    <w:rsid w:val="48F7EA95"/>
    <w:rsid w:val="48FED53B"/>
    <w:rsid w:val="49051B07"/>
    <w:rsid w:val="4909A330"/>
    <w:rsid w:val="490F706B"/>
    <w:rsid w:val="49334305"/>
    <w:rsid w:val="4938C74C"/>
    <w:rsid w:val="494046EC"/>
    <w:rsid w:val="4947088D"/>
    <w:rsid w:val="494CAA1F"/>
    <w:rsid w:val="494F8D56"/>
    <w:rsid w:val="495C6A79"/>
    <w:rsid w:val="4962153E"/>
    <w:rsid w:val="49646CCA"/>
    <w:rsid w:val="49690037"/>
    <w:rsid w:val="49691391"/>
    <w:rsid w:val="49765FF7"/>
    <w:rsid w:val="497B41E8"/>
    <w:rsid w:val="498095D1"/>
    <w:rsid w:val="498189C4"/>
    <w:rsid w:val="498657C2"/>
    <w:rsid w:val="4987E7F0"/>
    <w:rsid w:val="498A1088"/>
    <w:rsid w:val="498A244F"/>
    <w:rsid w:val="498C5611"/>
    <w:rsid w:val="4990E643"/>
    <w:rsid w:val="4994BB99"/>
    <w:rsid w:val="49A7AE81"/>
    <w:rsid w:val="49AF9611"/>
    <w:rsid w:val="49B4F2E2"/>
    <w:rsid w:val="49B5A610"/>
    <w:rsid w:val="49BABC80"/>
    <w:rsid w:val="49BB7CD9"/>
    <w:rsid w:val="49BD2D37"/>
    <w:rsid w:val="49C03268"/>
    <w:rsid w:val="49C11B6B"/>
    <w:rsid w:val="49C2D1D5"/>
    <w:rsid w:val="49C73204"/>
    <w:rsid w:val="49D06FF7"/>
    <w:rsid w:val="49D417CB"/>
    <w:rsid w:val="49D59D6C"/>
    <w:rsid w:val="49DE275D"/>
    <w:rsid w:val="49E6B561"/>
    <w:rsid w:val="49EA4F04"/>
    <w:rsid w:val="49F3B65D"/>
    <w:rsid w:val="49F3E5F5"/>
    <w:rsid w:val="4A04E39F"/>
    <w:rsid w:val="4A0798FD"/>
    <w:rsid w:val="4A114C37"/>
    <w:rsid w:val="4A200E42"/>
    <w:rsid w:val="4A28CF30"/>
    <w:rsid w:val="4A2C9300"/>
    <w:rsid w:val="4A2D95F6"/>
    <w:rsid w:val="4A316913"/>
    <w:rsid w:val="4A3BB0B9"/>
    <w:rsid w:val="4A3F6D2B"/>
    <w:rsid w:val="4A473CCD"/>
    <w:rsid w:val="4A49423C"/>
    <w:rsid w:val="4A4D6F54"/>
    <w:rsid w:val="4A510FD9"/>
    <w:rsid w:val="4A51B6CA"/>
    <w:rsid w:val="4A55630D"/>
    <w:rsid w:val="4A5AE5CE"/>
    <w:rsid w:val="4A69A7C0"/>
    <w:rsid w:val="4A69E4E0"/>
    <w:rsid w:val="4A6C383B"/>
    <w:rsid w:val="4A780CE2"/>
    <w:rsid w:val="4A7AC560"/>
    <w:rsid w:val="4A7C33C8"/>
    <w:rsid w:val="4A8360D1"/>
    <w:rsid w:val="4A93AE0E"/>
    <w:rsid w:val="4AA19926"/>
    <w:rsid w:val="4AA49894"/>
    <w:rsid w:val="4AB2BD9A"/>
    <w:rsid w:val="4ABC2EB5"/>
    <w:rsid w:val="4AD01DEC"/>
    <w:rsid w:val="4ADB2F93"/>
    <w:rsid w:val="4AE1C553"/>
    <w:rsid w:val="4AE38861"/>
    <w:rsid w:val="4AE423CC"/>
    <w:rsid w:val="4AEA47B2"/>
    <w:rsid w:val="4AEF4452"/>
    <w:rsid w:val="4AF1BCD2"/>
    <w:rsid w:val="4AF279F4"/>
    <w:rsid w:val="4AF4710D"/>
    <w:rsid w:val="4AF4BE1A"/>
    <w:rsid w:val="4B02C1BD"/>
    <w:rsid w:val="4B04184D"/>
    <w:rsid w:val="4B058DD3"/>
    <w:rsid w:val="4B067896"/>
    <w:rsid w:val="4B07DDFA"/>
    <w:rsid w:val="4B0A2014"/>
    <w:rsid w:val="4B0A8806"/>
    <w:rsid w:val="4B0ADE9E"/>
    <w:rsid w:val="4B10C4F5"/>
    <w:rsid w:val="4B129428"/>
    <w:rsid w:val="4B177977"/>
    <w:rsid w:val="4B183E2E"/>
    <w:rsid w:val="4B1BBBA0"/>
    <w:rsid w:val="4B1D4C20"/>
    <w:rsid w:val="4B1FAF3E"/>
    <w:rsid w:val="4B20334F"/>
    <w:rsid w:val="4B22BD26"/>
    <w:rsid w:val="4B233FE8"/>
    <w:rsid w:val="4B23EFAC"/>
    <w:rsid w:val="4B2ACA4F"/>
    <w:rsid w:val="4B2C4CAA"/>
    <w:rsid w:val="4B2D0508"/>
    <w:rsid w:val="4B32D223"/>
    <w:rsid w:val="4B35F447"/>
    <w:rsid w:val="4B39E6D4"/>
    <w:rsid w:val="4B40A72E"/>
    <w:rsid w:val="4B41722A"/>
    <w:rsid w:val="4B43ECE9"/>
    <w:rsid w:val="4B47B36A"/>
    <w:rsid w:val="4B4CA912"/>
    <w:rsid w:val="4B5C7F86"/>
    <w:rsid w:val="4B6065A3"/>
    <w:rsid w:val="4B661C4F"/>
    <w:rsid w:val="4B6D1D41"/>
    <w:rsid w:val="4B6F8B32"/>
    <w:rsid w:val="4B715548"/>
    <w:rsid w:val="4B7885E9"/>
    <w:rsid w:val="4B7BD05E"/>
    <w:rsid w:val="4B801518"/>
    <w:rsid w:val="4B8669C3"/>
    <w:rsid w:val="4B8A323F"/>
    <w:rsid w:val="4B8A3901"/>
    <w:rsid w:val="4B9178C6"/>
    <w:rsid w:val="4B92184A"/>
    <w:rsid w:val="4B92951E"/>
    <w:rsid w:val="4BA00D4D"/>
    <w:rsid w:val="4BA9B058"/>
    <w:rsid w:val="4BB333D9"/>
    <w:rsid w:val="4BB63A76"/>
    <w:rsid w:val="4BBB36C9"/>
    <w:rsid w:val="4BC2E8B5"/>
    <w:rsid w:val="4BC36C59"/>
    <w:rsid w:val="4BC83065"/>
    <w:rsid w:val="4BCA7B81"/>
    <w:rsid w:val="4BCFC9A5"/>
    <w:rsid w:val="4BD0EC70"/>
    <w:rsid w:val="4BD1CBF1"/>
    <w:rsid w:val="4BE9B317"/>
    <w:rsid w:val="4BEF571E"/>
    <w:rsid w:val="4BF62BD0"/>
    <w:rsid w:val="4BF75643"/>
    <w:rsid w:val="4BF883F5"/>
    <w:rsid w:val="4C04E501"/>
    <w:rsid w:val="4C068C6F"/>
    <w:rsid w:val="4C0A6D82"/>
    <w:rsid w:val="4C0AD65A"/>
    <w:rsid w:val="4C1826F5"/>
    <w:rsid w:val="4C198C0E"/>
    <w:rsid w:val="4C1D96C1"/>
    <w:rsid w:val="4C1EF079"/>
    <w:rsid w:val="4C2018C1"/>
    <w:rsid w:val="4C20A9F1"/>
    <w:rsid w:val="4C22CDF4"/>
    <w:rsid w:val="4C2DD210"/>
    <w:rsid w:val="4C3027A2"/>
    <w:rsid w:val="4C369A57"/>
    <w:rsid w:val="4C3A0FD0"/>
    <w:rsid w:val="4C3DC77A"/>
    <w:rsid w:val="4C3E54DC"/>
    <w:rsid w:val="4C3FC7AA"/>
    <w:rsid w:val="4C41C098"/>
    <w:rsid w:val="4C453C6E"/>
    <w:rsid w:val="4C454242"/>
    <w:rsid w:val="4C470BC3"/>
    <w:rsid w:val="4C4809C7"/>
    <w:rsid w:val="4C4FBD05"/>
    <w:rsid w:val="4C57675C"/>
    <w:rsid w:val="4C57E8C1"/>
    <w:rsid w:val="4C5E00E0"/>
    <w:rsid w:val="4C82310E"/>
    <w:rsid w:val="4C82FCDA"/>
    <w:rsid w:val="4C85E933"/>
    <w:rsid w:val="4C86D9F8"/>
    <w:rsid w:val="4C8D28E1"/>
    <w:rsid w:val="4C91F1D9"/>
    <w:rsid w:val="4C921D1F"/>
    <w:rsid w:val="4C92D46C"/>
    <w:rsid w:val="4C95CAB2"/>
    <w:rsid w:val="4C983BCA"/>
    <w:rsid w:val="4C9A873B"/>
    <w:rsid w:val="4C9AB59F"/>
    <w:rsid w:val="4CA136A9"/>
    <w:rsid w:val="4CA7CD93"/>
    <w:rsid w:val="4CA893F8"/>
    <w:rsid w:val="4CA937C7"/>
    <w:rsid w:val="4CAC1F04"/>
    <w:rsid w:val="4CB57339"/>
    <w:rsid w:val="4CB9D0D6"/>
    <w:rsid w:val="4CCD4447"/>
    <w:rsid w:val="4CD438F2"/>
    <w:rsid w:val="4CD4DAD4"/>
    <w:rsid w:val="4CD6A33A"/>
    <w:rsid w:val="4CDB278D"/>
    <w:rsid w:val="4CDC1FFF"/>
    <w:rsid w:val="4CDC7687"/>
    <w:rsid w:val="4CE216CD"/>
    <w:rsid w:val="4CEEC017"/>
    <w:rsid w:val="4CEFC1EA"/>
    <w:rsid w:val="4CF99C69"/>
    <w:rsid w:val="4CFB4B1F"/>
    <w:rsid w:val="4CFBAB94"/>
    <w:rsid w:val="4D09E440"/>
    <w:rsid w:val="4D11D8D7"/>
    <w:rsid w:val="4D142886"/>
    <w:rsid w:val="4D1D87A9"/>
    <w:rsid w:val="4D1FA494"/>
    <w:rsid w:val="4D205614"/>
    <w:rsid w:val="4D208A98"/>
    <w:rsid w:val="4D227FED"/>
    <w:rsid w:val="4D23DC4A"/>
    <w:rsid w:val="4D25291D"/>
    <w:rsid w:val="4D25555E"/>
    <w:rsid w:val="4D2A9C83"/>
    <w:rsid w:val="4D2CBC7F"/>
    <w:rsid w:val="4D34ACEA"/>
    <w:rsid w:val="4D374A43"/>
    <w:rsid w:val="4D3BEB80"/>
    <w:rsid w:val="4D43EDD4"/>
    <w:rsid w:val="4D49AA00"/>
    <w:rsid w:val="4D4B4D12"/>
    <w:rsid w:val="4D4D592E"/>
    <w:rsid w:val="4D580135"/>
    <w:rsid w:val="4D597985"/>
    <w:rsid w:val="4D5F885E"/>
    <w:rsid w:val="4D636463"/>
    <w:rsid w:val="4D675D98"/>
    <w:rsid w:val="4D69016B"/>
    <w:rsid w:val="4D6EC328"/>
    <w:rsid w:val="4D7533E7"/>
    <w:rsid w:val="4D78E2A8"/>
    <w:rsid w:val="4D83C0B6"/>
    <w:rsid w:val="4D8FE5B4"/>
    <w:rsid w:val="4D9784B5"/>
    <w:rsid w:val="4D9C378A"/>
    <w:rsid w:val="4DA4800B"/>
    <w:rsid w:val="4DA8FE9A"/>
    <w:rsid w:val="4DB224C5"/>
    <w:rsid w:val="4DB2C2F3"/>
    <w:rsid w:val="4DB974B4"/>
    <w:rsid w:val="4DBF1481"/>
    <w:rsid w:val="4DC0EA15"/>
    <w:rsid w:val="4DC1CE54"/>
    <w:rsid w:val="4DC2D10E"/>
    <w:rsid w:val="4DC8323D"/>
    <w:rsid w:val="4DC88B76"/>
    <w:rsid w:val="4DC9329F"/>
    <w:rsid w:val="4DD44C3D"/>
    <w:rsid w:val="4DD4923A"/>
    <w:rsid w:val="4DD6A419"/>
    <w:rsid w:val="4DDCA59A"/>
    <w:rsid w:val="4DE03122"/>
    <w:rsid w:val="4DE771AF"/>
    <w:rsid w:val="4DE8DC9A"/>
    <w:rsid w:val="4DEB13D7"/>
    <w:rsid w:val="4DF6C23A"/>
    <w:rsid w:val="4E15CDF2"/>
    <w:rsid w:val="4E234587"/>
    <w:rsid w:val="4E26D1C2"/>
    <w:rsid w:val="4E27DCC2"/>
    <w:rsid w:val="4E2B9201"/>
    <w:rsid w:val="4E3E955B"/>
    <w:rsid w:val="4E40B229"/>
    <w:rsid w:val="4E410892"/>
    <w:rsid w:val="4E4E81DD"/>
    <w:rsid w:val="4E4ED12F"/>
    <w:rsid w:val="4E555122"/>
    <w:rsid w:val="4E57B5C2"/>
    <w:rsid w:val="4E5C1AC6"/>
    <w:rsid w:val="4E63DABD"/>
    <w:rsid w:val="4E6A6C96"/>
    <w:rsid w:val="4E7ADFC3"/>
    <w:rsid w:val="4E7CFF4E"/>
    <w:rsid w:val="4E817AD8"/>
    <w:rsid w:val="4E87FC0B"/>
    <w:rsid w:val="4E8A64A6"/>
    <w:rsid w:val="4E9262DF"/>
    <w:rsid w:val="4E941C02"/>
    <w:rsid w:val="4E96F94C"/>
    <w:rsid w:val="4E9DC7DC"/>
    <w:rsid w:val="4E9F91F0"/>
    <w:rsid w:val="4EA5F0FD"/>
    <w:rsid w:val="4EB28990"/>
    <w:rsid w:val="4EB8FA6C"/>
    <w:rsid w:val="4EBCCFCA"/>
    <w:rsid w:val="4EC18E44"/>
    <w:rsid w:val="4EC37629"/>
    <w:rsid w:val="4EC4FE22"/>
    <w:rsid w:val="4EC908C3"/>
    <w:rsid w:val="4ECC6896"/>
    <w:rsid w:val="4ED90EBB"/>
    <w:rsid w:val="4EE572C5"/>
    <w:rsid w:val="4EEE2A69"/>
    <w:rsid w:val="4EEEFFA5"/>
    <w:rsid w:val="4EF3F3DA"/>
    <w:rsid w:val="4EF6E3E8"/>
    <w:rsid w:val="4EF826B5"/>
    <w:rsid w:val="4F019F2B"/>
    <w:rsid w:val="4F03D4CA"/>
    <w:rsid w:val="4F0E794E"/>
    <w:rsid w:val="4F1008B5"/>
    <w:rsid w:val="4F174A86"/>
    <w:rsid w:val="4F18DE15"/>
    <w:rsid w:val="4F1B9C7A"/>
    <w:rsid w:val="4F1CF050"/>
    <w:rsid w:val="4F1E31A2"/>
    <w:rsid w:val="4F21FAB8"/>
    <w:rsid w:val="4F2984D3"/>
    <w:rsid w:val="4F316BCB"/>
    <w:rsid w:val="4F33963F"/>
    <w:rsid w:val="4F39BB11"/>
    <w:rsid w:val="4F41A974"/>
    <w:rsid w:val="4F49F137"/>
    <w:rsid w:val="4F4D60F2"/>
    <w:rsid w:val="4F5BAB68"/>
    <w:rsid w:val="4F5C16A6"/>
    <w:rsid w:val="4F61202F"/>
    <w:rsid w:val="4F67BC03"/>
    <w:rsid w:val="4F691B9E"/>
    <w:rsid w:val="4F71E2BD"/>
    <w:rsid w:val="4F776E72"/>
    <w:rsid w:val="4F77D666"/>
    <w:rsid w:val="4F78E5AA"/>
    <w:rsid w:val="4F7AC875"/>
    <w:rsid w:val="4F7DD6B1"/>
    <w:rsid w:val="4F7E19F2"/>
    <w:rsid w:val="4F9132D1"/>
    <w:rsid w:val="4F954D23"/>
    <w:rsid w:val="4F9CF0BD"/>
    <w:rsid w:val="4F9D2045"/>
    <w:rsid w:val="4F9D26F8"/>
    <w:rsid w:val="4FA2E15B"/>
    <w:rsid w:val="4FA6E740"/>
    <w:rsid w:val="4FB1390D"/>
    <w:rsid w:val="4FB16CA5"/>
    <w:rsid w:val="4FB88FE6"/>
    <w:rsid w:val="4FC71080"/>
    <w:rsid w:val="4FDF0D25"/>
    <w:rsid w:val="4FDFD22C"/>
    <w:rsid w:val="4FE3534D"/>
    <w:rsid w:val="4FE56F0C"/>
    <w:rsid w:val="4FEB8BD7"/>
    <w:rsid w:val="4FEF4C7C"/>
    <w:rsid w:val="4FF55008"/>
    <w:rsid w:val="4FF701AF"/>
    <w:rsid w:val="4FF92B1D"/>
    <w:rsid w:val="4FF93A9B"/>
    <w:rsid w:val="500FF037"/>
    <w:rsid w:val="5015C280"/>
    <w:rsid w:val="50164F59"/>
    <w:rsid w:val="501ADCB0"/>
    <w:rsid w:val="5027A98B"/>
    <w:rsid w:val="5028FBD7"/>
    <w:rsid w:val="50292730"/>
    <w:rsid w:val="502C2376"/>
    <w:rsid w:val="5032A4F1"/>
    <w:rsid w:val="503E8004"/>
    <w:rsid w:val="503F154C"/>
    <w:rsid w:val="5047449E"/>
    <w:rsid w:val="504A3A8B"/>
    <w:rsid w:val="505428C6"/>
    <w:rsid w:val="5059B19B"/>
    <w:rsid w:val="505E4A55"/>
    <w:rsid w:val="5061408E"/>
    <w:rsid w:val="50623264"/>
    <w:rsid w:val="50695E20"/>
    <w:rsid w:val="506CB263"/>
    <w:rsid w:val="50760D28"/>
    <w:rsid w:val="50798547"/>
    <w:rsid w:val="507DCDC0"/>
    <w:rsid w:val="508903D9"/>
    <w:rsid w:val="509585D4"/>
    <w:rsid w:val="5099DC84"/>
    <w:rsid w:val="509AAC6A"/>
    <w:rsid w:val="509DBA33"/>
    <w:rsid w:val="50A6823E"/>
    <w:rsid w:val="50B0CAC1"/>
    <w:rsid w:val="50B17397"/>
    <w:rsid w:val="50B20919"/>
    <w:rsid w:val="50B4F117"/>
    <w:rsid w:val="50B5AEE9"/>
    <w:rsid w:val="50BB9AFF"/>
    <w:rsid w:val="50C6D0C6"/>
    <w:rsid w:val="50CFC43E"/>
    <w:rsid w:val="50D41026"/>
    <w:rsid w:val="50D75C11"/>
    <w:rsid w:val="50DAA64B"/>
    <w:rsid w:val="50DC7761"/>
    <w:rsid w:val="50DF2BAF"/>
    <w:rsid w:val="50DF55BD"/>
    <w:rsid w:val="50E322CE"/>
    <w:rsid w:val="50E373F5"/>
    <w:rsid w:val="50E432BF"/>
    <w:rsid w:val="50E70753"/>
    <w:rsid w:val="50EAEEEB"/>
    <w:rsid w:val="50F17606"/>
    <w:rsid w:val="50F2F330"/>
    <w:rsid w:val="5109AA1B"/>
    <w:rsid w:val="510C6B99"/>
    <w:rsid w:val="510E01E6"/>
    <w:rsid w:val="5112A0A8"/>
    <w:rsid w:val="5113556F"/>
    <w:rsid w:val="51144973"/>
    <w:rsid w:val="511F5879"/>
    <w:rsid w:val="512004C8"/>
    <w:rsid w:val="51283CDF"/>
    <w:rsid w:val="512CCC9E"/>
    <w:rsid w:val="512EF515"/>
    <w:rsid w:val="513502E9"/>
    <w:rsid w:val="51396A0D"/>
    <w:rsid w:val="513FFE7E"/>
    <w:rsid w:val="51454C8A"/>
    <w:rsid w:val="514BEF02"/>
    <w:rsid w:val="514E8783"/>
    <w:rsid w:val="515919D1"/>
    <w:rsid w:val="515FDB1F"/>
    <w:rsid w:val="51643635"/>
    <w:rsid w:val="516C77DA"/>
    <w:rsid w:val="516F3B2D"/>
    <w:rsid w:val="517B659E"/>
    <w:rsid w:val="517D19FF"/>
    <w:rsid w:val="517F6105"/>
    <w:rsid w:val="518124AD"/>
    <w:rsid w:val="5183854C"/>
    <w:rsid w:val="5186EA98"/>
    <w:rsid w:val="518F1E51"/>
    <w:rsid w:val="518FD9D7"/>
    <w:rsid w:val="51932357"/>
    <w:rsid w:val="5198186E"/>
    <w:rsid w:val="519B2956"/>
    <w:rsid w:val="51A30296"/>
    <w:rsid w:val="51A31943"/>
    <w:rsid w:val="51AEFCDD"/>
    <w:rsid w:val="51B2936E"/>
    <w:rsid w:val="51C2533E"/>
    <w:rsid w:val="51C46251"/>
    <w:rsid w:val="51C4CD21"/>
    <w:rsid w:val="51CD7329"/>
    <w:rsid w:val="51CECB72"/>
    <w:rsid w:val="51D4F3DC"/>
    <w:rsid w:val="51D7C2F1"/>
    <w:rsid w:val="51D9FBA4"/>
    <w:rsid w:val="51E74EFA"/>
    <w:rsid w:val="51ECBE32"/>
    <w:rsid w:val="51F0BFAF"/>
    <w:rsid w:val="51F81100"/>
    <w:rsid w:val="51FB6D5C"/>
    <w:rsid w:val="51FF715E"/>
    <w:rsid w:val="5202CADB"/>
    <w:rsid w:val="52080982"/>
    <w:rsid w:val="5211C1F9"/>
    <w:rsid w:val="52217D65"/>
    <w:rsid w:val="5241CDAE"/>
    <w:rsid w:val="5253E379"/>
    <w:rsid w:val="52543A90"/>
    <w:rsid w:val="525B067B"/>
    <w:rsid w:val="525CFCD0"/>
    <w:rsid w:val="5269F921"/>
    <w:rsid w:val="527CE2B1"/>
    <w:rsid w:val="527D1691"/>
    <w:rsid w:val="527D8DA9"/>
    <w:rsid w:val="5289F6A9"/>
    <w:rsid w:val="528B8D95"/>
    <w:rsid w:val="528FC741"/>
    <w:rsid w:val="529075B5"/>
    <w:rsid w:val="52912B54"/>
    <w:rsid w:val="5291F365"/>
    <w:rsid w:val="52989164"/>
    <w:rsid w:val="529C37DB"/>
    <w:rsid w:val="529FD2D9"/>
    <w:rsid w:val="52A02D40"/>
    <w:rsid w:val="52A8F401"/>
    <w:rsid w:val="52AAC834"/>
    <w:rsid w:val="52AC4B85"/>
    <w:rsid w:val="52B1A073"/>
    <w:rsid w:val="52B679CD"/>
    <w:rsid w:val="52C0B105"/>
    <w:rsid w:val="52C2E382"/>
    <w:rsid w:val="52C61DFA"/>
    <w:rsid w:val="52CE6543"/>
    <w:rsid w:val="52D46ED2"/>
    <w:rsid w:val="52D49A9F"/>
    <w:rsid w:val="52D5C4D0"/>
    <w:rsid w:val="52DCADB1"/>
    <w:rsid w:val="52E8889D"/>
    <w:rsid w:val="52F04DD4"/>
    <w:rsid w:val="52F58C12"/>
    <w:rsid w:val="52F80100"/>
    <w:rsid w:val="52FA5FD6"/>
    <w:rsid w:val="53077D25"/>
    <w:rsid w:val="530E07EE"/>
    <w:rsid w:val="531530A9"/>
    <w:rsid w:val="531C56CD"/>
    <w:rsid w:val="531FE775"/>
    <w:rsid w:val="5320C16A"/>
    <w:rsid w:val="5327774B"/>
    <w:rsid w:val="5331E630"/>
    <w:rsid w:val="533B6811"/>
    <w:rsid w:val="534336A7"/>
    <w:rsid w:val="534B89ED"/>
    <w:rsid w:val="5355CDE9"/>
    <w:rsid w:val="5360486F"/>
    <w:rsid w:val="536AFD7D"/>
    <w:rsid w:val="5372EE36"/>
    <w:rsid w:val="53804530"/>
    <w:rsid w:val="5383AE31"/>
    <w:rsid w:val="5387FCB9"/>
    <w:rsid w:val="539339FB"/>
    <w:rsid w:val="539B480D"/>
    <w:rsid w:val="53AE9C61"/>
    <w:rsid w:val="53C0972E"/>
    <w:rsid w:val="53C33DE5"/>
    <w:rsid w:val="53CC063A"/>
    <w:rsid w:val="53CD3CB0"/>
    <w:rsid w:val="53D9A116"/>
    <w:rsid w:val="53DA1018"/>
    <w:rsid w:val="53FBA911"/>
    <w:rsid w:val="53FC1075"/>
    <w:rsid w:val="540F3458"/>
    <w:rsid w:val="5412FAD8"/>
    <w:rsid w:val="54148FF2"/>
    <w:rsid w:val="5414DA35"/>
    <w:rsid w:val="541A6CBF"/>
    <w:rsid w:val="54222A14"/>
    <w:rsid w:val="5422D405"/>
    <w:rsid w:val="542333BA"/>
    <w:rsid w:val="54258D45"/>
    <w:rsid w:val="5427A003"/>
    <w:rsid w:val="542A85AA"/>
    <w:rsid w:val="542B4C4A"/>
    <w:rsid w:val="54366D16"/>
    <w:rsid w:val="5444B8D4"/>
    <w:rsid w:val="5449F352"/>
    <w:rsid w:val="545CA1AE"/>
    <w:rsid w:val="546105A6"/>
    <w:rsid w:val="5461B1F7"/>
    <w:rsid w:val="54643AFB"/>
    <w:rsid w:val="54671D02"/>
    <w:rsid w:val="5471C1E0"/>
    <w:rsid w:val="547232D2"/>
    <w:rsid w:val="547600D5"/>
    <w:rsid w:val="5476BA3A"/>
    <w:rsid w:val="5481E3CA"/>
    <w:rsid w:val="54888A61"/>
    <w:rsid w:val="54910414"/>
    <w:rsid w:val="549ADEFC"/>
    <w:rsid w:val="549E7A68"/>
    <w:rsid w:val="54A39958"/>
    <w:rsid w:val="54A599E8"/>
    <w:rsid w:val="54B98E65"/>
    <w:rsid w:val="54C296B0"/>
    <w:rsid w:val="54CE7291"/>
    <w:rsid w:val="54D4A4D0"/>
    <w:rsid w:val="54D59ACA"/>
    <w:rsid w:val="54D7D76D"/>
    <w:rsid w:val="54D8D10C"/>
    <w:rsid w:val="54D9BF53"/>
    <w:rsid w:val="54E3C667"/>
    <w:rsid w:val="54E50ABC"/>
    <w:rsid w:val="54E80CD7"/>
    <w:rsid w:val="54E93F0C"/>
    <w:rsid w:val="54F15827"/>
    <w:rsid w:val="54F2AB95"/>
    <w:rsid w:val="54F33F2C"/>
    <w:rsid w:val="5501FC71"/>
    <w:rsid w:val="55079E68"/>
    <w:rsid w:val="5515CB6C"/>
    <w:rsid w:val="55179C86"/>
    <w:rsid w:val="5523B150"/>
    <w:rsid w:val="552F9813"/>
    <w:rsid w:val="5534CF9E"/>
    <w:rsid w:val="553B91F2"/>
    <w:rsid w:val="553D0D46"/>
    <w:rsid w:val="55446077"/>
    <w:rsid w:val="5546DD22"/>
    <w:rsid w:val="554B6864"/>
    <w:rsid w:val="555AF530"/>
    <w:rsid w:val="555BC2D3"/>
    <w:rsid w:val="555C4913"/>
    <w:rsid w:val="5569C335"/>
    <w:rsid w:val="556F00AE"/>
    <w:rsid w:val="5571D7DA"/>
    <w:rsid w:val="5585B09A"/>
    <w:rsid w:val="5588D9E7"/>
    <w:rsid w:val="558A7AC2"/>
    <w:rsid w:val="5591AFF6"/>
    <w:rsid w:val="55951CC4"/>
    <w:rsid w:val="55A41719"/>
    <w:rsid w:val="55A5DDC5"/>
    <w:rsid w:val="55A77FF7"/>
    <w:rsid w:val="55A82567"/>
    <w:rsid w:val="55A8C04F"/>
    <w:rsid w:val="55B115D7"/>
    <w:rsid w:val="55B4F281"/>
    <w:rsid w:val="55BD1BCA"/>
    <w:rsid w:val="55BE1550"/>
    <w:rsid w:val="55C71B1A"/>
    <w:rsid w:val="55CC864D"/>
    <w:rsid w:val="55CF9B7D"/>
    <w:rsid w:val="55D16BB0"/>
    <w:rsid w:val="55D3217F"/>
    <w:rsid w:val="55D88E6A"/>
    <w:rsid w:val="55D8C5E4"/>
    <w:rsid w:val="55E4F31C"/>
    <w:rsid w:val="55E6FC50"/>
    <w:rsid w:val="55EC2057"/>
    <w:rsid w:val="55F50502"/>
    <w:rsid w:val="55F6DE95"/>
    <w:rsid w:val="55F935C4"/>
    <w:rsid w:val="5607F9F5"/>
    <w:rsid w:val="560B5E36"/>
    <w:rsid w:val="560EA9A9"/>
    <w:rsid w:val="56299DA1"/>
    <w:rsid w:val="562BD32A"/>
    <w:rsid w:val="562EE9CB"/>
    <w:rsid w:val="5635E350"/>
    <w:rsid w:val="56364C89"/>
    <w:rsid w:val="563B1583"/>
    <w:rsid w:val="56426910"/>
    <w:rsid w:val="564946AA"/>
    <w:rsid w:val="564D7093"/>
    <w:rsid w:val="565D3FC4"/>
    <w:rsid w:val="566891D2"/>
    <w:rsid w:val="566DA17C"/>
    <w:rsid w:val="566E169B"/>
    <w:rsid w:val="5678122F"/>
    <w:rsid w:val="567AD67E"/>
    <w:rsid w:val="568433E4"/>
    <w:rsid w:val="5684C2FE"/>
    <w:rsid w:val="568B48EB"/>
    <w:rsid w:val="568DC02B"/>
    <w:rsid w:val="5693DEF4"/>
    <w:rsid w:val="5694B05E"/>
    <w:rsid w:val="5694E664"/>
    <w:rsid w:val="569C2E54"/>
    <w:rsid w:val="569C9369"/>
    <w:rsid w:val="569E8635"/>
    <w:rsid w:val="56A6B3AA"/>
    <w:rsid w:val="56A709F6"/>
    <w:rsid w:val="56A9F7FA"/>
    <w:rsid w:val="56B13584"/>
    <w:rsid w:val="56B7E935"/>
    <w:rsid w:val="56BC97B2"/>
    <w:rsid w:val="56BE18B2"/>
    <w:rsid w:val="56C31C62"/>
    <w:rsid w:val="56C6EC75"/>
    <w:rsid w:val="56C74BC3"/>
    <w:rsid w:val="56C914C0"/>
    <w:rsid w:val="56D5DB85"/>
    <w:rsid w:val="56DC9BFE"/>
    <w:rsid w:val="56E0BF05"/>
    <w:rsid w:val="56E4BFFB"/>
    <w:rsid w:val="56EB5746"/>
    <w:rsid w:val="56F0E2CA"/>
    <w:rsid w:val="56F457FF"/>
    <w:rsid w:val="56F4CF8B"/>
    <w:rsid w:val="56F524C3"/>
    <w:rsid w:val="56FDDEF9"/>
    <w:rsid w:val="57078521"/>
    <w:rsid w:val="570CD8A2"/>
    <w:rsid w:val="5711AC2B"/>
    <w:rsid w:val="57139EB1"/>
    <w:rsid w:val="5716A6BE"/>
    <w:rsid w:val="57184DB7"/>
    <w:rsid w:val="571A6034"/>
    <w:rsid w:val="571DFFAE"/>
    <w:rsid w:val="57231DE7"/>
    <w:rsid w:val="5726493F"/>
    <w:rsid w:val="57277CED"/>
    <w:rsid w:val="5727CF0A"/>
    <w:rsid w:val="572D350B"/>
    <w:rsid w:val="573885AE"/>
    <w:rsid w:val="57466934"/>
    <w:rsid w:val="57485504"/>
    <w:rsid w:val="574A652E"/>
    <w:rsid w:val="5751D794"/>
    <w:rsid w:val="575569F9"/>
    <w:rsid w:val="5758173C"/>
    <w:rsid w:val="575B1538"/>
    <w:rsid w:val="575E662C"/>
    <w:rsid w:val="57640908"/>
    <w:rsid w:val="576410EE"/>
    <w:rsid w:val="57666163"/>
    <w:rsid w:val="576E083E"/>
    <w:rsid w:val="576FA7A2"/>
    <w:rsid w:val="57810A05"/>
    <w:rsid w:val="57816949"/>
    <w:rsid w:val="57820EEA"/>
    <w:rsid w:val="5784B01B"/>
    <w:rsid w:val="578DEB11"/>
    <w:rsid w:val="578E8DA9"/>
    <w:rsid w:val="578F1026"/>
    <w:rsid w:val="5793E0A6"/>
    <w:rsid w:val="57A15D2A"/>
    <w:rsid w:val="57A2372C"/>
    <w:rsid w:val="57A255D6"/>
    <w:rsid w:val="57A34881"/>
    <w:rsid w:val="57A544CF"/>
    <w:rsid w:val="57A69EE9"/>
    <w:rsid w:val="57A7277B"/>
    <w:rsid w:val="57B06155"/>
    <w:rsid w:val="57B9CE25"/>
    <w:rsid w:val="57C0AACE"/>
    <w:rsid w:val="57C37D80"/>
    <w:rsid w:val="57C54C4C"/>
    <w:rsid w:val="57C6F7B3"/>
    <w:rsid w:val="57C985A3"/>
    <w:rsid w:val="57DB1F84"/>
    <w:rsid w:val="57DD5B60"/>
    <w:rsid w:val="57E1646B"/>
    <w:rsid w:val="57E33782"/>
    <w:rsid w:val="57EBC35F"/>
    <w:rsid w:val="57F21FC2"/>
    <w:rsid w:val="57F2B1A5"/>
    <w:rsid w:val="57F5F709"/>
    <w:rsid w:val="57F6325D"/>
    <w:rsid w:val="57F81839"/>
    <w:rsid w:val="57FB447A"/>
    <w:rsid w:val="57FCC1F9"/>
    <w:rsid w:val="57FDB266"/>
    <w:rsid w:val="58078C9D"/>
    <w:rsid w:val="580C195A"/>
    <w:rsid w:val="580D1655"/>
    <w:rsid w:val="5816BD10"/>
    <w:rsid w:val="581AE52F"/>
    <w:rsid w:val="581F7E01"/>
    <w:rsid w:val="582031CF"/>
    <w:rsid w:val="582CCFAC"/>
    <w:rsid w:val="583CDA79"/>
    <w:rsid w:val="583E7E51"/>
    <w:rsid w:val="584902DE"/>
    <w:rsid w:val="5857CD20"/>
    <w:rsid w:val="5858803D"/>
    <w:rsid w:val="58599221"/>
    <w:rsid w:val="5861A32E"/>
    <w:rsid w:val="5863EE54"/>
    <w:rsid w:val="58715554"/>
    <w:rsid w:val="5879E309"/>
    <w:rsid w:val="58820F11"/>
    <w:rsid w:val="588D59EC"/>
    <w:rsid w:val="5896E94F"/>
    <w:rsid w:val="5898B908"/>
    <w:rsid w:val="589A0AD3"/>
    <w:rsid w:val="589CA71C"/>
    <w:rsid w:val="58A1B7D1"/>
    <w:rsid w:val="58A5C0AE"/>
    <w:rsid w:val="58B99A8C"/>
    <w:rsid w:val="58BC1CB9"/>
    <w:rsid w:val="58C6E916"/>
    <w:rsid w:val="58CA50F0"/>
    <w:rsid w:val="58D08CE9"/>
    <w:rsid w:val="58D754D2"/>
    <w:rsid w:val="58D96EDB"/>
    <w:rsid w:val="58D9C173"/>
    <w:rsid w:val="58DB1478"/>
    <w:rsid w:val="58DB3436"/>
    <w:rsid w:val="58DDB171"/>
    <w:rsid w:val="58DF3B90"/>
    <w:rsid w:val="58DFA093"/>
    <w:rsid w:val="58E115FF"/>
    <w:rsid w:val="58E80A9D"/>
    <w:rsid w:val="58F4D85A"/>
    <w:rsid w:val="58F4F23F"/>
    <w:rsid w:val="590624D4"/>
    <w:rsid w:val="5906296B"/>
    <w:rsid w:val="590A8C43"/>
    <w:rsid w:val="590E9ED7"/>
    <w:rsid w:val="591469D0"/>
    <w:rsid w:val="59170B9D"/>
    <w:rsid w:val="591ABAEC"/>
    <w:rsid w:val="591C104E"/>
    <w:rsid w:val="592052BC"/>
    <w:rsid w:val="592A1556"/>
    <w:rsid w:val="592EE6DF"/>
    <w:rsid w:val="5934222E"/>
    <w:rsid w:val="5936175D"/>
    <w:rsid w:val="593A21B7"/>
    <w:rsid w:val="593EC2B7"/>
    <w:rsid w:val="59462F42"/>
    <w:rsid w:val="5948DD2E"/>
    <w:rsid w:val="595AFE56"/>
    <w:rsid w:val="59621CC8"/>
    <w:rsid w:val="59652B6A"/>
    <w:rsid w:val="596DF5E4"/>
    <w:rsid w:val="5971C533"/>
    <w:rsid w:val="59728543"/>
    <w:rsid w:val="5979A7E1"/>
    <w:rsid w:val="597BBFCF"/>
    <w:rsid w:val="597FC037"/>
    <w:rsid w:val="5981050F"/>
    <w:rsid w:val="598A8499"/>
    <w:rsid w:val="598ED32C"/>
    <w:rsid w:val="599072E3"/>
    <w:rsid w:val="59975D1E"/>
    <w:rsid w:val="59A03EC0"/>
    <w:rsid w:val="59A26970"/>
    <w:rsid w:val="59AAEEE4"/>
    <w:rsid w:val="59ACEA7C"/>
    <w:rsid w:val="59AEA123"/>
    <w:rsid w:val="59AF62D8"/>
    <w:rsid w:val="59B39062"/>
    <w:rsid w:val="59B484DC"/>
    <w:rsid w:val="59B57EEF"/>
    <w:rsid w:val="59B5F62F"/>
    <w:rsid w:val="59BBC086"/>
    <w:rsid w:val="59C3CAE1"/>
    <w:rsid w:val="59C4704F"/>
    <w:rsid w:val="59CA5E08"/>
    <w:rsid w:val="59CC6C06"/>
    <w:rsid w:val="59D0434A"/>
    <w:rsid w:val="59D1726E"/>
    <w:rsid w:val="59D28240"/>
    <w:rsid w:val="59D3E35D"/>
    <w:rsid w:val="59D7620E"/>
    <w:rsid w:val="59DB0F4B"/>
    <w:rsid w:val="59E365D2"/>
    <w:rsid w:val="59E9EB4C"/>
    <w:rsid w:val="59EB615F"/>
    <w:rsid w:val="59EC6C26"/>
    <w:rsid w:val="59F5F14C"/>
    <w:rsid w:val="59FA16E2"/>
    <w:rsid w:val="5A01E73B"/>
    <w:rsid w:val="5A0E9FDE"/>
    <w:rsid w:val="5A199A09"/>
    <w:rsid w:val="5A281440"/>
    <w:rsid w:val="5A2F1987"/>
    <w:rsid w:val="5A37E1F4"/>
    <w:rsid w:val="5A3D65BE"/>
    <w:rsid w:val="5A3ECD9D"/>
    <w:rsid w:val="5A3EF56D"/>
    <w:rsid w:val="5A479BAE"/>
    <w:rsid w:val="5A4B004C"/>
    <w:rsid w:val="5A525947"/>
    <w:rsid w:val="5A591A77"/>
    <w:rsid w:val="5A622F0A"/>
    <w:rsid w:val="5A64C9FC"/>
    <w:rsid w:val="5A659058"/>
    <w:rsid w:val="5A65AB70"/>
    <w:rsid w:val="5A6C23B1"/>
    <w:rsid w:val="5A795AF9"/>
    <w:rsid w:val="5A81BAFF"/>
    <w:rsid w:val="5A81E093"/>
    <w:rsid w:val="5A94814E"/>
    <w:rsid w:val="5AA3371E"/>
    <w:rsid w:val="5AAC5CA7"/>
    <w:rsid w:val="5AB2E2F7"/>
    <w:rsid w:val="5AB440E5"/>
    <w:rsid w:val="5ABD1B68"/>
    <w:rsid w:val="5AC94EFE"/>
    <w:rsid w:val="5ACA7F3C"/>
    <w:rsid w:val="5AD3C888"/>
    <w:rsid w:val="5AD92AB8"/>
    <w:rsid w:val="5ADC2FFC"/>
    <w:rsid w:val="5ADCFB3F"/>
    <w:rsid w:val="5ADE85FE"/>
    <w:rsid w:val="5AE0AE72"/>
    <w:rsid w:val="5AE7DD84"/>
    <w:rsid w:val="5AE83140"/>
    <w:rsid w:val="5AE8F2E5"/>
    <w:rsid w:val="5AED16E7"/>
    <w:rsid w:val="5AEDB939"/>
    <w:rsid w:val="5AEF3D1B"/>
    <w:rsid w:val="5AF01E4D"/>
    <w:rsid w:val="5AF96083"/>
    <w:rsid w:val="5AFA4BAD"/>
    <w:rsid w:val="5AFD13CF"/>
    <w:rsid w:val="5AFDD5ED"/>
    <w:rsid w:val="5B025341"/>
    <w:rsid w:val="5B118C24"/>
    <w:rsid w:val="5B1A4E42"/>
    <w:rsid w:val="5B1DD9B2"/>
    <w:rsid w:val="5B1EED92"/>
    <w:rsid w:val="5B25E42E"/>
    <w:rsid w:val="5B37679C"/>
    <w:rsid w:val="5B37BCD4"/>
    <w:rsid w:val="5B3A4C6F"/>
    <w:rsid w:val="5B4AC63B"/>
    <w:rsid w:val="5B4D146A"/>
    <w:rsid w:val="5B4ECB33"/>
    <w:rsid w:val="5B547668"/>
    <w:rsid w:val="5B55DBEE"/>
    <w:rsid w:val="5B5B9E35"/>
    <w:rsid w:val="5B5BE29C"/>
    <w:rsid w:val="5B65C989"/>
    <w:rsid w:val="5B68D831"/>
    <w:rsid w:val="5B805F3F"/>
    <w:rsid w:val="5B8D4E5D"/>
    <w:rsid w:val="5B944862"/>
    <w:rsid w:val="5B98D016"/>
    <w:rsid w:val="5B993D85"/>
    <w:rsid w:val="5B997179"/>
    <w:rsid w:val="5B9C6EFD"/>
    <w:rsid w:val="5BA04E50"/>
    <w:rsid w:val="5BA3183D"/>
    <w:rsid w:val="5BA3CE2D"/>
    <w:rsid w:val="5BBA5F5E"/>
    <w:rsid w:val="5BBB6CF4"/>
    <w:rsid w:val="5BBE3DC1"/>
    <w:rsid w:val="5BC4EDA8"/>
    <w:rsid w:val="5BD18FA1"/>
    <w:rsid w:val="5BD27983"/>
    <w:rsid w:val="5BD40EC3"/>
    <w:rsid w:val="5BD5F510"/>
    <w:rsid w:val="5BD675BF"/>
    <w:rsid w:val="5BDDE4C3"/>
    <w:rsid w:val="5BE7012F"/>
    <w:rsid w:val="5BED21C4"/>
    <w:rsid w:val="5BF6BD8E"/>
    <w:rsid w:val="5BF75D3B"/>
    <w:rsid w:val="5BFAC9C4"/>
    <w:rsid w:val="5BFC6796"/>
    <w:rsid w:val="5C00ECC9"/>
    <w:rsid w:val="5C09C0A8"/>
    <w:rsid w:val="5C145F52"/>
    <w:rsid w:val="5C167479"/>
    <w:rsid w:val="5C24DBEF"/>
    <w:rsid w:val="5C28C6CD"/>
    <w:rsid w:val="5C2D43AF"/>
    <w:rsid w:val="5C324470"/>
    <w:rsid w:val="5C39C330"/>
    <w:rsid w:val="5C3E47EC"/>
    <w:rsid w:val="5C3F792D"/>
    <w:rsid w:val="5C411E04"/>
    <w:rsid w:val="5C47B8E8"/>
    <w:rsid w:val="5C5E83E4"/>
    <w:rsid w:val="5C680D8C"/>
    <w:rsid w:val="5C6BF113"/>
    <w:rsid w:val="5C751B96"/>
    <w:rsid w:val="5C756C4F"/>
    <w:rsid w:val="5C7B1ACC"/>
    <w:rsid w:val="5C87C4AE"/>
    <w:rsid w:val="5C87D8A1"/>
    <w:rsid w:val="5C8986E2"/>
    <w:rsid w:val="5C8EDC0A"/>
    <w:rsid w:val="5C902326"/>
    <w:rsid w:val="5C933A68"/>
    <w:rsid w:val="5C968A4B"/>
    <w:rsid w:val="5C9A1481"/>
    <w:rsid w:val="5C9CC1B5"/>
    <w:rsid w:val="5C9CF320"/>
    <w:rsid w:val="5CA58D5E"/>
    <w:rsid w:val="5CADF5D0"/>
    <w:rsid w:val="5CB1595E"/>
    <w:rsid w:val="5CB3EAB6"/>
    <w:rsid w:val="5CC0E322"/>
    <w:rsid w:val="5CC67E69"/>
    <w:rsid w:val="5CC738FB"/>
    <w:rsid w:val="5CC7B5F6"/>
    <w:rsid w:val="5CCBEA13"/>
    <w:rsid w:val="5CCE3B45"/>
    <w:rsid w:val="5CD5130E"/>
    <w:rsid w:val="5CDA4D5D"/>
    <w:rsid w:val="5CE27364"/>
    <w:rsid w:val="5CF72F56"/>
    <w:rsid w:val="5D016C48"/>
    <w:rsid w:val="5D02203D"/>
    <w:rsid w:val="5D03A926"/>
    <w:rsid w:val="5D058BD7"/>
    <w:rsid w:val="5D096300"/>
    <w:rsid w:val="5D11A1B0"/>
    <w:rsid w:val="5D150ED1"/>
    <w:rsid w:val="5D2508E4"/>
    <w:rsid w:val="5D26BB0A"/>
    <w:rsid w:val="5D313123"/>
    <w:rsid w:val="5D429EB4"/>
    <w:rsid w:val="5D4E0075"/>
    <w:rsid w:val="5D50CB9C"/>
    <w:rsid w:val="5D516E14"/>
    <w:rsid w:val="5D53F232"/>
    <w:rsid w:val="5D5CC7A1"/>
    <w:rsid w:val="5D607794"/>
    <w:rsid w:val="5D634C8C"/>
    <w:rsid w:val="5D7110E6"/>
    <w:rsid w:val="5D74DC58"/>
    <w:rsid w:val="5D76E675"/>
    <w:rsid w:val="5D7BA046"/>
    <w:rsid w:val="5D8C0D3F"/>
    <w:rsid w:val="5D990F47"/>
    <w:rsid w:val="5D9CFA79"/>
    <w:rsid w:val="5DB08776"/>
    <w:rsid w:val="5DB1C54C"/>
    <w:rsid w:val="5DC18D75"/>
    <w:rsid w:val="5DCA56A0"/>
    <w:rsid w:val="5DD57BFB"/>
    <w:rsid w:val="5DD587C4"/>
    <w:rsid w:val="5DD746AE"/>
    <w:rsid w:val="5DDAF5B4"/>
    <w:rsid w:val="5DE19ADE"/>
    <w:rsid w:val="5DE19FFB"/>
    <w:rsid w:val="5DE62075"/>
    <w:rsid w:val="5DE65147"/>
    <w:rsid w:val="5DE96AB5"/>
    <w:rsid w:val="5DE9AA76"/>
    <w:rsid w:val="5DEB2F13"/>
    <w:rsid w:val="5DEBAB00"/>
    <w:rsid w:val="5DECF5A0"/>
    <w:rsid w:val="5DF916C2"/>
    <w:rsid w:val="5DFE9D6A"/>
    <w:rsid w:val="5E081DB8"/>
    <w:rsid w:val="5E0B987B"/>
    <w:rsid w:val="5E1011C7"/>
    <w:rsid w:val="5E110EA2"/>
    <w:rsid w:val="5E23E968"/>
    <w:rsid w:val="5E260BED"/>
    <w:rsid w:val="5E26F62C"/>
    <w:rsid w:val="5E2C7451"/>
    <w:rsid w:val="5E2D72A6"/>
    <w:rsid w:val="5E305510"/>
    <w:rsid w:val="5E305ACE"/>
    <w:rsid w:val="5E35D982"/>
    <w:rsid w:val="5E3627F9"/>
    <w:rsid w:val="5E362B82"/>
    <w:rsid w:val="5E41559B"/>
    <w:rsid w:val="5E43D4C3"/>
    <w:rsid w:val="5E45B4F5"/>
    <w:rsid w:val="5E50C8C3"/>
    <w:rsid w:val="5E5B4CA7"/>
    <w:rsid w:val="5E5F8F37"/>
    <w:rsid w:val="5E607C48"/>
    <w:rsid w:val="5E60DBD7"/>
    <w:rsid w:val="5E6235FF"/>
    <w:rsid w:val="5E6DDC3F"/>
    <w:rsid w:val="5E6F3C48"/>
    <w:rsid w:val="5E740289"/>
    <w:rsid w:val="5E75D13E"/>
    <w:rsid w:val="5E82C43D"/>
    <w:rsid w:val="5E82D708"/>
    <w:rsid w:val="5E86443C"/>
    <w:rsid w:val="5E87BF87"/>
    <w:rsid w:val="5E8C0490"/>
    <w:rsid w:val="5E9212A8"/>
    <w:rsid w:val="5E926713"/>
    <w:rsid w:val="5E978C2C"/>
    <w:rsid w:val="5E97B71C"/>
    <w:rsid w:val="5EA067FD"/>
    <w:rsid w:val="5EA8D39A"/>
    <w:rsid w:val="5EB3A1EC"/>
    <w:rsid w:val="5EBF8106"/>
    <w:rsid w:val="5EC02E6B"/>
    <w:rsid w:val="5EC2D383"/>
    <w:rsid w:val="5EC55293"/>
    <w:rsid w:val="5EC7F0A0"/>
    <w:rsid w:val="5ECFD0D4"/>
    <w:rsid w:val="5EE1DBA7"/>
    <w:rsid w:val="5EE678EF"/>
    <w:rsid w:val="5EED1AE1"/>
    <w:rsid w:val="5EEDDF58"/>
    <w:rsid w:val="5EF3F3B4"/>
    <w:rsid w:val="5EFEADBA"/>
    <w:rsid w:val="5EFEBBC4"/>
    <w:rsid w:val="5F047E49"/>
    <w:rsid w:val="5F08294A"/>
    <w:rsid w:val="5F1040E6"/>
    <w:rsid w:val="5F137D4E"/>
    <w:rsid w:val="5F17B22F"/>
    <w:rsid w:val="5F194561"/>
    <w:rsid w:val="5F1B0487"/>
    <w:rsid w:val="5F1BBFA1"/>
    <w:rsid w:val="5F1BDC4A"/>
    <w:rsid w:val="5F1C8F02"/>
    <w:rsid w:val="5F252361"/>
    <w:rsid w:val="5F2D3022"/>
    <w:rsid w:val="5F340A3C"/>
    <w:rsid w:val="5F3A449E"/>
    <w:rsid w:val="5F3BED15"/>
    <w:rsid w:val="5F3CB638"/>
    <w:rsid w:val="5F445D79"/>
    <w:rsid w:val="5F545278"/>
    <w:rsid w:val="5F5A5DCB"/>
    <w:rsid w:val="5F5C5EF7"/>
    <w:rsid w:val="5F61EF66"/>
    <w:rsid w:val="5F67EB3C"/>
    <w:rsid w:val="5F73B564"/>
    <w:rsid w:val="5F76A48B"/>
    <w:rsid w:val="5F785B73"/>
    <w:rsid w:val="5F8386B2"/>
    <w:rsid w:val="5F89C659"/>
    <w:rsid w:val="5F8AA2B5"/>
    <w:rsid w:val="5F8ED802"/>
    <w:rsid w:val="5F900168"/>
    <w:rsid w:val="5F902657"/>
    <w:rsid w:val="5F96723F"/>
    <w:rsid w:val="5F9AA80A"/>
    <w:rsid w:val="5FAEFD80"/>
    <w:rsid w:val="5FB4CBC0"/>
    <w:rsid w:val="5FC148BB"/>
    <w:rsid w:val="5FC3E4E0"/>
    <w:rsid w:val="5FCCA3E2"/>
    <w:rsid w:val="5FD55865"/>
    <w:rsid w:val="5FDD6701"/>
    <w:rsid w:val="5FDE1159"/>
    <w:rsid w:val="5FEAD9B1"/>
    <w:rsid w:val="5FF44DE7"/>
    <w:rsid w:val="5FF4A557"/>
    <w:rsid w:val="5FFC79F8"/>
    <w:rsid w:val="60002976"/>
    <w:rsid w:val="600133C1"/>
    <w:rsid w:val="600B4A1E"/>
    <w:rsid w:val="60139673"/>
    <w:rsid w:val="60184F98"/>
    <w:rsid w:val="601C90AA"/>
    <w:rsid w:val="602EE2E6"/>
    <w:rsid w:val="602F267A"/>
    <w:rsid w:val="6031CF5D"/>
    <w:rsid w:val="603733FE"/>
    <w:rsid w:val="603B379F"/>
    <w:rsid w:val="60451169"/>
    <w:rsid w:val="60588D0C"/>
    <w:rsid w:val="605991E2"/>
    <w:rsid w:val="606AC1DC"/>
    <w:rsid w:val="6076844C"/>
    <w:rsid w:val="60809B91"/>
    <w:rsid w:val="608A0B4A"/>
    <w:rsid w:val="608C546D"/>
    <w:rsid w:val="609B164E"/>
    <w:rsid w:val="60A7CD60"/>
    <w:rsid w:val="60B24F8D"/>
    <w:rsid w:val="60B4930E"/>
    <w:rsid w:val="60BA7714"/>
    <w:rsid w:val="60BD0427"/>
    <w:rsid w:val="60D71D22"/>
    <w:rsid w:val="60D9FD0E"/>
    <w:rsid w:val="60E2F84C"/>
    <w:rsid w:val="60E4C02E"/>
    <w:rsid w:val="60ECABFE"/>
    <w:rsid w:val="60EEC6EB"/>
    <w:rsid w:val="60F1AF38"/>
    <w:rsid w:val="60F6335C"/>
    <w:rsid w:val="60F9715E"/>
    <w:rsid w:val="60FD3D05"/>
    <w:rsid w:val="60FFB273"/>
    <w:rsid w:val="6103D064"/>
    <w:rsid w:val="610BCFB4"/>
    <w:rsid w:val="610C6430"/>
    <w:rsid w:val="611EC6C6"/>
    <w:rsid w:val="611F1DC9"/>
    <w:rsid w:val="6123A588"/>
    <w:rsid w:val="612C5DE8"/>
    <w:rsid w:val="61356A20"/>
    <w:rsid w:val="61365D23"/>
    <w:rsid w:val="61367BD8"/>
    <w:rsid w:val="614019CF"/>
    <w:rsid w:val="6142865D"/>
    <w:rsid w:val="614F7598"/>
    <w:rsid w:val="6169B27A"/>
    <w:rsid w:val="616E7E9E"/>
    <w:rsid w:val="61742919"/>
    <w:rsid w:val="6174F857"/>
    <w:rsid w:val="61766D48"/>
    <w:rsid w:val="61948BB4"/>
    <w:rsid w:val="61962E11"/>
    <w:rsid w:val="619C0A22"/>
    <w:rsid w:val="619F4118"/>
    <w:rsid w:val="61A9E8BE"/>
    <w:rsid w:val="61AC4AD0"/>
    <w:rsid w:val="61BA7E4E"/>
    <w:rsid w:val="61BB84C2"/>
    <w:rsid w:val="61C06702"/>
    <w:rsid w:val="61C0E1F6"/>
    <w:rsid w:val="61C2867B"/>
    <w:rsid w:val="61C7E0B1"/>
    <w:rsid w:val="61CD6638"/>
    <w:rsid w:val="61D7EB63"/>
    <w:rsid w:val="61D94E58"/>
    <w:rsid w:val="61D9EE34"/>
    <w:rsid w:val="61E1A09E"/>
    <w:rsid w:val="61E4F545"/>
    <w:rsid w:val="61F57BEC"/>
    <w:rsid w:val="61F88F4F"/>
    <w:rsid w:val="61FB0030"/>
    <w:rsid w:val="61FC68C5"/>
    <w:rsid w:val="620102CB"/>
    <w:rsid w:val="620B3CEA"/>
    <w:rsid w:val="6210D7A6"/>
    <w:rsid w:val="62134F4A"/>
    <w:rsid w:val="622102DE"/>
    <w:rsid w:val="62265A8D"/>
    <w:rsid w:val="622C0BE3"/>
    <w:rsid w:val="622E5748"/>
    <w:rsid w:val="62312152"/>
    <w:rsid w:val="62342F81"/>
    <w:rsid w:val="62349203"/>
    <w:rsid w:val="623B1540"/>
    <w:rsid w:val="6241ED6A"/>
    <w:rsid w:val="624A09B9"/>
    <w:rsid w:val="625EA530"/>
    <w:rsid w:val="6265C0D6"/>
    <w:rsid w:val="627F0D7B"/>
    <w:rsid w:val="627F4170"/>
    <w:rsid w:val="62838708"/>
    <w:rsid w:val="628AFFB5"/>
    <w:rsid w:val="628BD296"/>
    <w:rsid w:val="628D8075"/>
    <w:rsid w:val="6296509B"/>
    <w:rsid w:val="62992929"/>
    <w:rsid w:val="629E774F"/>
    <w:rsid w:val="62A19377"/>
    <w:rsid w:val="62B0E83F"/>
    <w:rsid w:val="62B7D1B9"/>
    <w:rsid w:val="62B9931B"/>
    <w:rsid w:val="62BF37BF"/>
    <w:rsid w:val="62C5CBB3"/>
    <w:rsid w:val="62C8D2DA"/>
    <w:rsid w:val="62CFFC42"/>
    <w:rsid w:val="62D7680F"/>
    <w:rsid w:val="62DDD87E"/>
    <w:rsid w:val="62E35E91"/>
    <w:rsid w:val="62ECDC6F"/>
    <w:rsid w:val="62F537A5"/>
    <w:rsid w:val="62FB60A1"/>
    <w:rsid w:val="63027C8B"/>
    <w:rsid w:val="6302EFC6"/>
    <w:rsid w:val="63030DA6"/>
    <w:rsid w:val="63122D4E"/>
    <w:rsid w:val="631440CD"/>
    <w:rsid w:val="631FC6AE"/>
    <w:rsid w:val="63206FFE"/>
    <w:rsid w:val="632A9FE3"/>
    <w:rsid w:val="632C237E"/>
    <w:rsid w:val="632CD466"/>
    <w:rsid w:val="63348804"/>
    <w:rsid w:val="63370F51"/>
    <w:rsid w:val="63373A8E"/>
    <w:rsid w:val="633A8FA7"/>
    <w:rsid w:val="633B0CA8"/>
    <w:rsid w:val="633B3912"/>
    <w:rsid w:val="633D2A3F"/>
    <w:rsid w:val="634057FD"/>
    <w:rsid w:val="6346A463"/>
    <w:rsid w:val="6346D1C4"/>
    <w:rsid w:val="63489B2E"/>
    <w:rsid w:val="634F3AFE"/>
    <w:rsid w:val="6351EF66"/>
    <w:rsid w:val="63550EBA"/>
    <w:rsid w:val="635D7256"/>
    <w:rsid w:val="635DDE99"/>
    <w:rsid w:val="6370B31F"/>
    <w:rsid w:val="6373CB5D"/>
    <w:rsid w:val="63756586"/>
    <w:rsid w:val="6377886A"/>
    <w:rsid w:val="637C95EE"/>
    <w:rsid w:val="6381C1B2"/>
    <w:rsid w:val="6383F784"/>
    <w:rsid w:val="63869137"/>
    <w:rsid w:val="638A30DB"/>
    <w:rsid w:val="638B5693"/>
    <w:rsid w:val="639059F5"/>
    <w:rsid w:val="639066CC"/>
    <w:rsid w:val="63989CEA"/>
    <w:rsid w:val="63A032D2"/>
    <w:rsid w:val="63AD434C"/>
    <w:rsid w:val="63AF9E73"/>
    <w:rsid w:val="63C92783"/>
    <w:rsid w:val="63CEF4FF"/>
    <w:rsid w:val="63CF6C1F"/>
    <w:rsid w:val="63D03CC9"/>
    <w:rsid w:val="63D07795"/>
    <w:rsid w:val="63D84425"/>
    <w:rsid w:val="63DD3A42"/>
    <w:rsid w:val="63DE3987"/>
    <w:rsid w:val="63E22B8B"/>
    <w:rsid w:val="63E235C1"/>
    <w:rsid w:val="63E35097"/>
    <w:rsid w:val="63E9086C"/>
    <w:rsid w:val="63EB9E3B"/>
    <w:rsid w:val="63EC0F2B"/>
    <w:rsid w:val="63F50AA6"/>
    <w:rsid w:val="63FE53A5"/>
    <w:rsid w:val="64046E08"/>
    <w:rsid w:val="640F7E92"/>
    <w:rsid w:val="6410CBA5"/>
    <w:rsid w:val="64140775"/>
    <w:rsid w:val="641C33B2"/>
    <w:rsid w:val="641C6F81"/>
    <w:rsid w:val="642018E7"/>
    <w:rsid w:val="64247507"/>
    <w:rsid w:val="64251925"/>
    <w:rsid w:val="642B60F8"/>
    <w:rsid w:val="64329FFF"/>
    <w:rsid w:val="6438212E"/>
    <w:rsid w:val="6438E165"/>
    <w:rsid w:val="643E610D"/>
    <w:rsid w:val="643EAA6C"/>
    <w:rsid w:val="643FD86C"/>
    <w:rsid w:val="6443E8AA"/>
    <w:rsid w:val="64459198"/>
    <w:rsid w:val="64482A9D"/>
    <w:rsid w:val="64493D50"/>
    <w:rsid w:val="64499E7E"/>
    <w:rsid w:val="644B5C0C"/>
    <w:rsid w:val="6453E876"/>
    <w:rsid w:val="64609E20"/>
    <w:rsid w:val="6466A4C2"/>
    <w:rsid w:val="6467AF67"/>
    <w:rsid w:val="647F002C"/>
    <w:rsid w:val="6493A56A"/>
    <w:rsid w:val="64959F10"/>
    <w:rsid w:val="64992D73"/>
    <w:rsid w:val="649DD1A9"/>
    <w:rsid w:val="64A1D843"/>
    <w:rsid w:val="64A45894"/>
    <w:rsid w:val="64AC56E9"/>
    <w:rsid w:val="64BDB717"/>
    <w:rsid w:val="64CC2519"/>
    <w:rsid w:val="64CDBADD"/>
    <w:rsid w:val="64D0CF80"/>
    <w:rsid w:val="64D40919"/>
    <w:rsid w:val="64DEC222"/>
    <w:rsid w:val="64E38A78"/>
    <w:rsid w:val="64E9096F"/>
    <w:rsid w:val="64EA4B48"/>
    <w:rsid w:val="64FBF1C3"/>
    <w:rsid w:val="64FCB49B"/>
    <w:rsid w:val="64FF830E"/>
    <w:rsid w:val="65011D0D"/>
    <w:rsid w:val="65202BA4"/>
    <w:rsid w:val="652ABF97"/>
    <w:rsid w:val="652E4295"/>
    <w:rsid w:val="653AD787"/>
    <w:rsid w:val="6547EB80"/>
    <w:rsid w:val="654A9CC1"/>
    <w:rsid w:val="654C25CD"/>
    <w:rsid w:val="6558653A"/>
    <w:rsid w:val="65609666"/>
    <w:rsid w:val="6562AFEA"/>
    <w:rsid w:val="6562C85F"/>
    <w:rsid w:val="6573D346"/>
    <w:rsid w:val="65832B34"/>
    <w:rsid w:val="65912322"/>
    <w:rsid w:val="65928DAC"/>
    <w:rsid w:val="65A33819"/>
    <w:rsid w:val="65A760C6"/>
    <w:rsid w:val="65ABE8D6"/>
    <w:rsid w:val="65AEB612"/>
    <w:rsid w:val="65B6FD14"/>
    <w:rsid w:val="65BB5753"/>
    <w:rsid w:val="65C787E1"/>
    <w:rsid w:val="65D58231"/>
    <w:rsid w:val="65D99B3E"/>
    <w:rsid w:val="65DA40DF"/>
    <w:rsid w:val="65DB0636"/>
    <w:rsid w:val="65F4019D"/>
    <w:rsid w:val="65F83A17"/>
    <w:rsid w:val="660008B9"/>
    <w:rsid w:val="6605A17C"/>
    <w:rsid w:val="660B7DE8"/>
    <w:rsid w:val="660C40B4"/>
    <w:rsid w:val="6613B917"/>
    <w:rsid w:val="661841E6"/>
    <w:rsid w:val="661A6C26"/>
    <w:rsid w:val="66202385"/>
    <w:rsid w:val="662848F2"/>
    <w:rsid w:val="662D2F04"/>
    <w:rsid w:val="663386E1"/>
    <w:rsid w:val="663A6842"/>
    <w:rsid w:val="663D4BB4"/>
    <w:rsid w:val="66404324"/>
    <w:rsid w:val="664E4274"/>
    <w:rsid w:val="66501AA4"/>
    <w:rsid w:val="6664A4C0"/>
    <w:rsid w:val="6670482C"/>
    <w:rsid w:val="6676F346"/>
    <w:rsid w:val="667B644B"/>
    <w:rsid w:val="668AF0EB"/>
    <w:rsid w:val="669A50D0"/>
    <w:rsid w:val="66A65050"/>
    <w:rsid w:val="66A87583"/>
    <w:rsid w:val="66AE4BEF"/>
    <w:rsid w:val="66B61951"/>
    <w:rsid w:val="66B7D871"/>
    <w:rsid w:val="66BAEC01"/>
    <w:rsid w:val="66BCC8A9"/>
    <w:rsid w:val="66CC75A7"/>
    <w:rsid w:val="66D19181"/>
    <w:rsid w:val="66D210E2"/>
    <w:rsid w:val="66E0352E"/>
    <w:rsid w:val="66E3ED45"/>
    <w:rsid w:val="66E99727"/>
    <w:rsid w:val="66FC7924"/>
    <w:rsid w:val="67024DC6"/>
    <w:rsid w:val="6703755B"/>
    <w:rsid w:val="670A4A99"/>
    <w:rsid w:val="670E977D"/>
    <w:rsid w:val="67114CB6"/>
    <w:rsid w:val="6715E456"/>
    <w:rsid w:val="671FC6CC"/>
    <w:rsid w:val="6720D43A"/>
    <w:rsid w:val="672946A1"/>
    <w:rsid w:val="672BD28F"/>
    <w:rsid w:val="6739B17F"/>
    <w:rsid w:val="673BFABC"/>
    <w:rsid w:val="673F2070"/>
    <w:rsid w:val="6743144D"/>
    <w:rsid w:val="67520D63"/>
    <w:rsid w:val="67637215"/>
    <w:rsid w:val="676E89E5"/>
    <w:rsid w:val="6770E995"/>
    <w:rsid w:val="677BF4EA"/>
    <w:rsid w:val="678416AB"/>
    <w:rsid w:val="6785D9CE"/>
    <w:rsid w:val="67868100"/>
    <w:rsid w:val="6788CFB1"/>
    <w:rsid w:val="67908359"/>
    <w:rsid w:val="679108A5"/>
    <w:rsid w:val="6791459F"/>
    <w:rsid w:val="67A5D98B"/>
    <w:rsid w:val="67AAD0EA"/>
    <w:rsid w:val="67B86CB8"/>
    <w:rsid w:val="67BC3BCD"/>
    <w:rsid w:val="67BFA592"/>
    <w:rsid w:val="67CF1E74"/>
    <w:rsid w:val="67D25B03"/>
    <w:rsid w:val="67D38C9E"/>
    <w:rsid w:val="67D745D2"/>
    <w:rsid w:val="67E79CEC"/>
    <w:rsid w:val="67EE4292"/>
    <w:rsid w:val="67F38ACA"/>
    <w:rsid w:val="68000DBB"/>
    <w:rsid w:val="68033808"/>
    <w:rsid w:val="680551E1"/>
    <w:rsid w:val="680B7093"/>
    <w:rsid w:val="680CF82E"/>
    <w:rsid w:val="681A79EE"/>
    <w:rsid w:val="681DA8EB"/>
    <w:rsid w:val="681E6125"/>
    <w:rsid w:val="6829F03F"/>
    <w:rsid w:val="682A38BD"/>
    <w:rsid w:val="682DAF7F"/>
    <w:rsid w:val="682F5226"/>
    <w:rsid w:val="6835F8F0"/>
    <w:rsid w:val="6836720F"/>
    <w:rsid w:val="6839199C"/>
    <w:rsid w:val="683E861F"/>
    <w:rsid w:val="68434CE4"/>
    <w:rsid w:val="684AA0BE"/>
    <w:rsid w:val="684B6C14"/>
    <w:rsid w:val="6852E6D0"/>
    <w:rsid w:val="685480C4"/>
    <w:rsid w:val="685809F3"/>
    <w:rsid w:val="685FAE2F"/>
    <w:rsid w:val="68676A4C"/>
    <w:rsid w:val="686C04EE"/>
    <w:rsid w:val="686CF552"/>
    <w:rsid w:val="687955E3"/>
    <w:rsid w:val="68806FC7"/>
    <w:rsid w:val="68839498"/>
    <w:rsid w:val="6886CC17"/>
    <w:rsid w:val="6886F9EA"/>
    <w:rsid w:val="68898AFD"/>
    <w:rsid w:val="688E34BD"/>
    <w:rsid w:val="68927DA9"/>
    <w:rsid w:val="6893C8A8"/>
    <w:rsid w:val="6899BD52"/>
    <w:rsid w:val="689BAAAA"/>
    <w:rsid w:val="689F212A"/>
    <w:rsid w:val="68A8D5CD"/>
    <w:rsid w:val="68AA0B97"/>
    <w:rsid w:val="68AF7889"/>
    <w:rsid w:val="68BEFF6B"/>
    <w:rsid w:val="68BF61D4"/>
    <w:rsid w:val="68CD7C0F"/>
    <w:rsid w:val="68D336BF"/>
    <w:rsid w:val="68D539A7"/>
    <w:rsid w:val="68E04ABD"/>
    <w:rsid w:val="68E8238E"/>
    <w:rsid w:val="68E99C7D"/>
    <w:rsid w:val="68EE632D"/>
    <w:rsid w:val="68FCC124"/>
    <w:rsid w:val="68FF36BA"/>
    <w:rsid w:val="69002ED9"/>
    <w:rsid w:val="69032E6A"/>
    <w:rsid w:val="690540D2"/>
    <w:rsid w:val="6905FE37"/>
    <w:rsid w:val="6909A9B9"/>
    <w:rsid w:val="6917770C"/>
    <w:rsid w:val="691DF194"/>
    <w:rsid w:val="69247BAB"/>
    <w:rsid w:val="69311F3C"/>
    <w:rsid w:val="69383452"/>
    <w:rsid w:val="693C0F6F"/>
    <w:rsid w:val="69421F15"/>
    <w:rsid w:val="6947B8D7"/>
    <w:rsid w:val="694AB47D"/>
    <w:rsid w:val="6954D026"/>
    <w:rsid w:val="695D37EB"/>
    <w:rsid w:val="6965E858"/>
    <w:rsid w:val="6968AB1A"/>
    <w:rsid w:val="696AD06D"/>
    <w:rsid w:val="69750454"/>
    <w:rsid w:val="697F3695"/>
    <w:rsid w:val="6984BA36"/>
    <w:rsid w:val="698DAFED"/>
    <w:rsid w:val="699603F8"/>
    <w:rsid w:val="699AD060"/>
    <w:rsid w:val="699E155C"/>
    <w:rsid w:val="69A0C081"/>
    <w:rsid w:val="69A2A329"/>
    <w:rsid w:val="69AA2393"/>
    <w:rsid w:val="69B1E23D"/>
    <w:rsid w:val="69B8B052"/>
    <w:rsid w:val="69B9FD2C"/>
    <w:rsid w:val="69BD10A4"/>
    <w:rsid w:val="69BD191F"/>
    <w:rsid w:val="69BD4A90"/>
    <w:rsid w:val="69C41915"/>
    <w:rsid w:val="69C7CD4D"/>
    <w:rsid w:val="69D5FEB9"/>
    <w:rsid w:val="69E0253E"/>
    <w:rsid w:val="69E1B6B3"/>
    <w:rsid w:val="69E94872"/>
    <w:rsid w:val="69FC9582"/>
    <w:rsid w:val="69FE4889"/>
    <w:rsid w:val="69FF987D"/>
    <w:rsid w:val="6A0957AF"/>
    <w:rsid w:val="6A16B1C7"/>
    <w:rsid w:val="6A17E110"/>
    <w:rsid w:val="6A199394"/>
    <w:rsid w:val="6A1DE09E"/>
    <w:rsid w:val="6A281539"/>
    <w:rsid w:val="6A2B2227"/>
    <w:rsid w:val="6A2B8535"/>
    <w:rsid w:val="6A2F5506"/>
    <w:rsid w:val="6A33FBFE"/>
    <w:rsid w:val="6A403BED"/>
    <w:rsid w:val="6A4570FA"/>
    <w:rsid w:val="6A52BF06"/>
    <w:rsid w:val="6A539815"/>
    <w:rsid w:val="6A544011"/>
    <w:rsid w:val="6A6D7D19"/>
    <w:rsid w:val="6A7793C5"/>
    <w:rsid w:val="6A831384"/>
    <w:rsid w:val="6A8427C3"/>
    <w:rsid w:val="6A845AB2"/>
    <w:rsid w:val="6A8970E1"/>
    <w:rsid w:val="6A8C7C95"/>
    <w:rsid w:val="6A8E6BC5"/>
    <w:rsid w:val="6A96B0DF"/>
    <w:rsid w:val="6A98EA0F"/>
    <w:rsid w:val="6A9E2B89"/>
    <w:rsid w:val="6AA9E1B9"/>
    <w:rsid w:val="6AAA6322"/>
    <w:rsid w:val="6AB5BCF7"/>
    <w:rsid w:val="6AB5F16F"/>
    <w:rsid w:val="6AC2AD8A"/>
    <w:rsid w:val="6AC37F9C"/>
    <w:rsid w:val="6AD37BA0"/>
    <w:rsid w:val="6ADB9F70"/>
    <w:rsid w:val="6AFCDADB"/>
    <w:rsid w:val="6AFD6893"/>
    <w:rsid w:val="6B0AEDB3"/>
    <w:rsid w:val="6B101DBB"/>
    <w:rsid w:val="6B1947B0"/>
    <w:rsid w:val="6B1A8A1A"/>
    <w:rsid w:val="6B1E5A70"/>
    <w:rsid w:val="6B210FAA"/>
    <w:rsid w:val="6B260D0A"/>
    <w:rsid w:val="6B2FFB75"/>
    <w:rsid w:val="6B3287EE"/>
    <w:rsid w:val="6B34FCD7"/>
    <w:rsid w:val="6B420B6A"/>
    <w:rsid w:val="6B46B6B7"/>
    <w:rsid w:val="6B4F5004"/>
    <w:rsid w:val="6B5341A4"/>
    <w:rsid w:val="6B542EBB"/>
    <w:rsid w:val="6B5D1822"/>
    <w:rsid w:val="6B5D84CE"/>
    <w:rsid w:val="6B5DEE94"/>
    <w:rsid w:val="6B6065FE"/>
    <w:rsid w:val="6B60C47E"/>
    <w:rsid w:val="6B625BB8"/>
    <w:rsid w:val="6B660A6B"/>
    <w:rsid w:val="6B673439"/>
    <w:rsid w:val="6B72A6E5"/>
    <w:rsid w:val="6B731412"/>
    <w:rsid w:val="6B7D333F"/>
    <w:rsid w:val="6B873AE2"/>
    <w:rsid w:val="6B8FBE52"/>
    <w:rsid w:val="6B92AE24"/>
    <w:rsid w:val="6B93157E"/>
    <w:rsid w:val="6B95E3D2"/>
    <w:rsid w:val="6B9827C6"/>
    <w:rsid w:val="6B989510"/>
    <w:rsid w:val="6B98C57F"/>
    <w:rsid w:val="6B9C44DE"/>
    <w:rsid w:val="6BA944E4"/>
    <w:rsid w:val="6BADF8A6"/>
    <w:rsid w:val="6BAEB313"/>
    <w:rsid w:val="6BB0CA35"/>
    <w:rsid w:val="6BB7086F"/>
    <w:rsid w:val="6BB717C1"/>
    <w:rsid w:val="6BB92A31"/>
    <w:rsid w:val="6BBC5B4D"/>
    <w:rsid w:val="6BBCDFAB"/>
    <w:rsid w:val="6BC22305"/>
    <w:rsid w:val="6BC4444F"/>
    <w:rsid w:val="6BC87FAC"/>
    <w:rsid w:val="6BD06625"/>
    <w:rsid w:val="6BD68BF4"/>
    <w:rsid w:val="6BDA23F8"/>
    <w:rsid w:val="6BDC6921"/>
    <w:rsid w:val="6BF73E29"/>
    <w:rsid w:val="6C02621F"/>
    <w:rsid w:val="6C0BC18B"/>
    <w:rsid w:val="6C0F838B"/>
    <w:rsid w:val="6C111E2B"/>
    <w:rsid w:val="6C1298CE"/>
    <w:rsid w:val="6C136C94"/>
    <w:rsid w:val="6C15DE10"/>
    <w:rsid w:val="6C1D8BFA"/>
    <w:rsid w:val="6C226197"/>
    <w:rsid w:val="6C2FE4DC"/>
    <w:rsid w:val="6C30DCE2"/>
    <w:rsid w:val="6C346EB9"/>
    <w:rsid w:val="6C4ABDCE"/>
    <w:rsid w:val="6C56E81F"/>
    <w:rsid w:val="6C58B295"/>
    <w:rsid w:val="6C5A7CD7"/>
    <w:rsid w:val="6C5B2DF6"/>
    <w:rsid w:val="6C5B41D7"/>
    <w:rsid w:val="6C5D0551"/>
    <w:rsid w:val="6C5D894B"/>
    <w:rsid w:val="6C5F75FA"/>
    <w:rsid w:val="6C67CADE"/>
    <w:rsid w:val="6C6CDE9E"/>
    <w:rsid w:val="6C747584"/>
    <w:rsid w:val="6C75B6DF"/>
    <w:rsid w:val="6C773732"/>
    <w:rsid w:val="6C869058"/>
    <w:rsid w:val="6C8760E5"/>
    <w:rsid w:val="6C8E146F"/>
    <w:rsid w:val="6CA61AF7"/>
    <w:rsid w:val="6CA7694D"/>
    <w:rsid w:val="6CB1942E"/>
    <w:rsid w:val="6CB27EAB"/>
    <w:rsid w:val="6CB507E3"/>
    <w:rsid w:val="6CB50D22"/>
    <w:rsid w:val="6CB562C3"/>
    <w:rsid w:val="6CB97966"/>
    <w:rsid w:val="6CC3DA35"/>
    <w:rsid w:val="6CD07A9C"/>
    <w:rsid w:val="6CD5B2AA"/>
    <w:rsid w:val="6CD84ED3"/>
    <w:rsid w:val="6CDE89B4"/>
    <w:rsid w:val="6CE47C0B"/>
    <w:rsid w:val="6CF2ACCD"/>
    <w:rsid w:val="6CF80420"/>
    <w:rsid w:val="6D104CBB"/>
    <w:rsid w:val="6D27C666"/>
    <w:rsid w:val="6D33069E"/>
    <w:rsid w:val="6D3A115D"/>
    <w:rsid w:val="6D43CF9D"/>
    <w:rsid w:val="6D44B723"/>
    <w:rsid w:val="6D4B414E"/>
    <w:rsid w:val="6D4BE44A"/>
    <w:rsid w:val="6D4D66E7"/>
    <w:rsid w:val="6D4E2298"/>
    <w:rsid w:val="6D55063C"/>
    <w:rsid w:val="6D5A2D17"/>
    <w:rsid w:val="6D5C809A"/>
    <w:rsid w:val="6D66764C"/>
    <w:rsid w:val="6D686EE3"/>
    <w:rsid w:val="6D6B1372"/>
    <w:rsid w:val="6D6BCC20"/>
    <w:rsid w:val="6D70E8B4"/>
    <w:rsid w:val="6D7F80AE"/>
    <w:rsid w:val="6D80FDC2"/>
    <w:rsid w:val="6D86DBB1"/>
    <w:rsid w:val="6D97F563"/>
    <w:rsid w:val="6D99366B"/>
    <w:rsid w:val="6D9AC9AE"/>
    <w:rsid w:val="6D9E6AD3"/>
    <w:rsid w:val="6DA5027B"/>
    <w:rsid w:val="6DA5F118"/>
    <w:rsid w:val="6DA61E72"/>
    <w:rsid w:val="6DB7803B"/>
    <w:rsid w:val="6DBBA366"/>
    <w:rsid w:val="6DC51775"/>
    <w:rsid w:val="6DC70913"/>
    <w:rsid w:val="6DC70AE7"/>
    <w:rsid w:val="6DCFA799"/>
    <w:rsid w:val="6DD17A5F"/>
    <w:rsid w:val="6DD50B82"/>
    <w:rsid w:val="6DD6BD52"/>
    <w:rsid w:val="6DDCB41C"/>
    <w:rsid w:val="6DE6DD9B"/>
    <w:rsid w:val="6DEC746F"/>
    <w:rsid w:val="6DEDE7E1"/>
    <w:rsid w:val="6DF210A2"/>
    <w:rsid w:val="6DF25FBE"/>
    <w:rsid w:val="6DFBDC33"/>
    <w:rsid w:val="6DFD3311"/>
    <w:rsid w:val="6E0095F8"/>
    <w:rsid w:val="6E032AE7"/>
    <w:rsid w:val="6E1025D1"/>
    <w:rsid w:val="6E1B27F1"/>
    <w:rsid w:val="6E204287"/>
    <w:rsid w:val="6E22A6C0"/>
    <w:rsid w:val="6E2738A0"/>
    <w:rsid w:val="6E273C6B"/>
    <w:rsid w:val="6E377D55"/>
    <w:rsid w:val="6E38EB78"/>
    <w:rsid w:val="6E3CFA5F"/>
    <w:rsid w:val="6E5957A1"/>
    <w:rsid w:val="6E5F0A94"/>
    <w:rsid w:val="6E5F7226"/>
    <w:rsid w:val="6E653399"/>
    <w:rsid w:val="6E68E1E8"/>
    <w:rsid w:val="6E6B61DF"/>
    <w:rsid w:val="6E6F0DB8"/>
    <w:rsid w:val="6E6FAAE7"/>
    <w:rsid w:val="6E7A5653"/>
    <w:rsid w:val="6E7BFB5D"/>
    <w:rsid w:val="6E80D205"/>
    <w:rsid w:val="6E823DDC"/>
    <w:rsid w:val="6E83A11F"/>
    <w:rsid w:val="6E8CD851"/>
    <w:rsid w:val="6E935BBE"/>
    <w:rsid w:val="6E96D161"/>
    <w:rsid w:val="6E98FD1D"/>
    <w:rsid w:val="6EA217CE"/>
    <w:rsid w:val="6EAB2F2D"/>
    <w:rsid w:val="6EB177F7"/>
    <w:rsid w:val="6EB8A270"/>
    <w:rsid w:val="6ED1C945"/>
    <w:rsid w:val="6ED45B09"/>
    <w:rsid w:val="6ED4730C"/>
    <w:rsid w:val="6ED53CBB"/>
    <w:rsid w:val="6ED5C106"/>
    <w:rsid w:val="6EDF81CE"/>
    <w:rsid w:val="6EE00B74"/>
    <w:rsid w:val="6EE0C908"/>
    <w:rsid w:val="6EFB16CC"/>
    <w:rsid w:val="6F0108BC"/>
    <w:rsid w:val="6F02B5EA"/>
    <w:rsid w:val="6F039EA3"/>
    <w:rsid w:val="6F06AC2D"/>
    <w:rsid w:val="6F0ACA9C"/>
    <w:rsid w:val="6F1483C3"/>
    <w:rsid w:val="6F3F85D6"/>
    <w:rsid w:val="6F3F8E00"/>
    <w:rsid w:val="6F45BBFE"/>
    <w:rsid w:val="6F5298B4"/>
    <w:rsid w:val="6F552965"/>
    <w:rsid w:val="6F57E09F"/>
    <w:rsid w:val="6F5AE6B1"/>
    <w:rsid w:val="6F5E469E"/>
    <w:rsid w:val="6F603EE5"/>
    <w:rsid w:val="6F60B6D1"/>
    <w:rsid w:val="6F643A92"/>
    <w:rsid w:val="6F653CF9"/>
    <w:rsid w:val="6F71B22C"/>
    <w:rsid w:val="6F72B71D"/>
    <w:rsid w:val="6F7CABE1"/>
    <w:rsid w:val="6F83F146"/>
    <w:rsid w:val="6F873D52"/>
    <w:rsid w:val="6F92AD81"/>
    <w:rsid w:val="6F97F927"/>
    <w:rsid w:val="6FA00EDF"/>
    <w:rsid w:val="6FA28D32"/>
    <w:rsid w:val="6FA42B40"/>
    <w:rsid w:val="6FAB5E8B"/>
    <w:rsid w:val="6FC108DE"/>
    <w:rsid w:val="6FC9DD9A"/>
    <w:rsid w:val="6FCCBA51"/>
    <w:rsid w:val="6FCE56E9"/>
    <w:rsid w:val="6FD3284F"/>
    <w:rsid w:val="6FDD2BA3"/>
    <w:rsid w:val="6FDD3BC6"/>
    <w:rsid w:val="6FDDE5F4"/>
    <w:rsid w:val="6FE78154"/>
    <w:rsid w:val="6FF19DB0"/>
    <w:rsid w:val="70057964"/>
    <w:rsid w:val="7009804B"/>
    <w:rsid w:val="7010DECB"/>
    <w:rsid w:val="701B44D4"/>
    <w:rsid w:val="702BB059"/>
    <w:rsid w:val="7039464C"/>
    <w:rsid w:val="704245D0"/>
    <w:rsid w:val="70484C51"/>
    <w:rsid w:val="704B6918"/>
    <w:rsid w:val="7059BB2C"/>
    <w:rsid w:val="705ADD3B"/>
    <w:rsid w:val="705E29C7"/>
    <w:rsid w:val="706CC92E"/>
    <w:rsid w:val="706DE206"/>
    <w:rsid w:val="707294AF"/>
    <w:rsid w:val="70731C4C"/>
    <w:rsid w:val="707DAF8B"/>
    <w:rsid w:val="70822440"/>
    <w:rsid w:val="70885FBA"/>
    <w:rsid w:val="70899E13"/>
    <w:rsid w:val="708AFC8E"/>
    <w:rsid w:val="708FF929"/>
    <w:rsid w:val="7091F623"/>
    <w:rsid w:val="7092C08D"/>
    <w:rsid w:val="70951371"/>
    <w:rsid w:val="70987AE5"/>
    <w:rsid w:val="70A8F1C4"/>
    <w:rsid w:val="70A8F95E"/>
    <w:rsid w:val="70A911F4"/>
    <w:rsid w:val="70B0532A"/>
    <w:rsid w:val="70B5EB4B"/>
    <w:rsid w:val="70B83944"/>
    <w:rsid w:val="70C0BAEC"/>
    <w:rsid w:val="70C1642E"/>
    <w:rsid w:val="70C55B42"/>
    <w:rsid w:val="70C72CAA"/>
    <w:rsid w:val="70C7A8F0"/>
    <w:rsid w:val="70D041ED"/>
    <w:rsid w:val="70D70CD1"/>
    <w:rsid w:val="70DD1560"/>
    <w:rsid w:val="70DD5D2E"/>
    <w:rsid w:val="70EA5122"/>
    <w:rsid w:val="70EBDB0C"/>
    <w:rsid w:val="70EC1808"/>
    <w:rsid w:val="70F226C8"/>
    <w:rsid w:val="70F38755"/>
    <w:rsid w:val="70F995DE"/>
    <w:rsid w:val="70FC7BBB"/>
    <w:rsid w:val="710CD8B8"/>
    <w:rsid w:val="710F3C9F"/>
    <w:rsid w:val="71176BEC"/>
    <w:rsid w:val="711A3D05"/>
    <w:rsid w:val="711C1E63"/>
    <w:rsid w:val="711C6423"/>
    <w:rsid w:val="712506B3"/>
    <w:rsid w:val="7127FE29"/>
    <w:rsid w:val="7129A978"/>
    <w:rsid w:val="713679CD"/>
    <w:rsid w:val="71390847"/>
    <w:rsid w:val="713E25DB"/>
    <w:rsid w:val="713EC487"/>
    <w:rsid w:val="713F8709"/>
    <w:rsid w:val="714A981D"/>
    <w:rsid w:val="714FCCE4"/>
    <w:rsid w:val="715DD8AA"/>
    <w:rsid w:val="7167AE41"/>
    <w:rsid w:val="717F0D07"/>
    <w:rsid w:val="7185713A"/>
    <w:rsid w:val="718A34AB"/>
    <w:rsid w:val="718ADDD4"/>
    <w:rsid w:val="719DFAB1"/>
    <w:rsid w:val="71B1EA10"/>
    <w:rsid w:val="71BA6881"/>
    <w:rsid w:val="71BB7B00"/>
    <w:rsid w:val="71BBEE86"/>
    <w:rsid w:val="71C4BE4E"/>
    <w:rsid w:val="71C6D028"/>
    <w:rsid w:val="71D71D1A"/>
    <w:rsid w:val="71DF58AD"/>
    <w:rsid w:val="71E5D5AC"/>
    <w:rsid w:val="71E669AA"/>
    <w:rsid w:val="71E94A65"/>
    <w:rsid w:val="71ED1556"/>
    <w:rsid w:val="71F6665E"/>
    <w:rsid w:val="71F69EBB"/>
    <w:rsid w:val="7202E7D1"/>
    <w:rsid w:val="720CC1CC"/>
    <w:rsid w:val="720F9259"/>
    <w:rsid w:val="721102FE"/>
    <w:rsid w:val="72125A15"/>
    <w:rsid w:val="72230140"/>
    <w:rsid w:val="7234DB2E"/>
    <w:rsid w:val="723E3EBC"/>
    <w:rsid w:val="723E4051"/>
    <w:rsid w:val="723F2991"/>
    <w:rsid w:val="723F4D9F"/>
    <w:rsid w:val="72436852"/>
    <w:rsid w:val="72511D1B"/>
    <w:rsid w:val="7258B8E5"/>
    <w:rsid w:val="7259018D"/>
    <w:rsid w:val="725C2FD6"/>
    <w:rsid w:val="725C99E7"/>
    <w:rsid w:val="7261F196"/>
    <w:rsid w:val="72672975"/>
    <w:rsid w:val="72696CAB"/>
    <w:rsid w:val="7275170C"/>
    <w:rsid w:val="7284E8EA"/>
    <w:rsid w:val="72850701"/>
    <w:rsid w:val="728905C5"/>
    <w:rsid w:val="72894671"/>
    <w:rsid w:val="728C2BC8"/>
    <w:rsid w:val="7292054B"/>
    <w:rsid w:val="729A8379"/>
    <w:rsid w:val="729CC669"/>
    <w:rsid w:val="729F7477"/>
    <w:rsid w:val="72A4B581"/>
    <w:rsid w:val="72A9CB41"/>
    <w:rsid w:val="72C63055"/>
    <w:rsid w:val="72C7B46A"/>
    <w:rsid w:val="72CE055A"/>
    <w:rsid w:val="72D2D658"/>
    <w:rsid w:val="72D3ADC9"/>
    <w:rsid w:val="72DF3ED0"/>
    <w:rsid w:val="72E7596F"/>
    <w:rsid w:val="72F18ED2"/>
    <w:rsid w:val="72FC1869"/>
    <w:rsid w:val="72FE0DE2"/>
    <w:rsid w:val="73016E15"/>
    <w:rsid w:val="7302BDFB"/>
    <w:rsid w:val="7306FDAE"/>
    <w:rsid w:val="7313BD3E"/>
    <w:rsid w:val="73188709"/>
    <w:rsid w:val="731E5110"/>
    <w:rsid w:val="732B2E88"/>
    <w:rsid w:val="732D7616"/>
    <w:rsid w:val="7333AD0A"/>
    <w:rsid w:val="73346B4C"/>
    <w:rsid w:val="7334E751"/>
    <w:rsid w:val="733840A9"/>
    <w:rsid w:val="73385F22"/>
    <w:rsid w:val="7341916D"/>
    <w:rsid w:val="73506AA6"/>
    <w:rsid w:val="7359CD40"/>
    <w:rsid w:val="735EAA23"/>
    <w:rsid w:val="7360AB75"/>
    <w:rsid w:val="7362BB52"/>
    <w:rsid w:val="73673404"/>
    <w:rsid w:val="7368D502"/>
    <w:rsid w:val="736BAE75"/>
    <w:rsid w:val="737162BE"/>
    <w:rsid w:val="7373257F"/>
    <w:rsid w:val="73746312"/>
    <w:rsid w:val="7378DE8B"/>
    <w:rsid w:val="73795085"/>
    <w:rsid w:val="737E1441"/>
    <w:rsid w:val="7391BE3D"/>
    <w:rsid w:val="7395781B"/>
    <w:rsid w:val="7397546F"/>
    <w:rsid w:val="7398898E"/>
    <w:rsid w:val="739DE7A6"/>
    <w:rsid w:val="739E3313"/>
    <w:rsid w:val="739EEF9D"/>
    <w:rsid w:val="73ABC7BD"/>
    <w:rsid w:val="73ACD1A9"/>
    <w:rsid w:val="73B5C868"/>
    <w:rsid w:val="73BB7677"/>
    <w:rsid w:val="73CC33EA"/>
    <w:rsid w:val="73CC46C5"/>
    <w:rsid w:val="73CEB3A6"/>
    <w:rsid w:val="73D1AFC9"/>
    <w:rsid w:val="73D5B6E6"/>
    <w:rsid w:val="73D649FD"/>
    <w:rsid w:val="73D6EB27"/>
    <w:rsid w:val="73DCE158"/>
    <w:rsid w:val="73E0780E"/>
    <w:rsid w:val="73E2AA0A"/>
    <w:rsid w:val="73E486B2"/>
    <w:rsid w:val="73EBF554"/>
    <w:rsid w:val="73EC6BDE"/>
    <w:rsid w:val="73EEF227"/>
    <w:rsid w:val="740277CF"/>
    <w:rsid w:val="740EFB20"/>
    <w:rsid w:val="7412A13B"/>
    <w:rsid w:val="741E2F8E"/>
    <w:rsid w:val="74260386"/>
    <w:rsid w:val="742B8284"/>
    <w:rsid w:val="7435D815"/>
    <w:rsid w:val="7438AADD"/>
    <w:rsid w:val="74490A37"/>
    <w:rsid w:val="744F4C01"/>
    <w:rsid w:val="7451C8A3"/>
    <w:rsid w:val="745A5940"/>
    <w:rsid w:val="745D0D04"/>
    <w:rsid w:val="746F8DE9"/>
    <w:rsid w:val="747263C7"/>
    <w:rsid w:val="74750815"/>
    <w:rsid w:val="747A1333"/>
    <w:rsid w:val="747AC366"/>
    <w:rsid w:val="747C668D"/>
    <w:rsid w:val="74845A2D"/>
    <w:rsid w:val="74855DC0"/>
    <w:rsid w:val="748D7976"/>
    <w:rsid w:val="74956497"/>
    <w:rsid w:val="749852C7"/>
    <w:rsid w:val="749E3F90"/>
    <w:rsid w:val="74A547EC"/>
    <w:rsid w:val="74A726AB"/>
    <w:rsid w:val="74A900F9"/>
    <w:rsid w:val="74ACA199"/>
    <w:rsid w:val="74B374CF"/>
    <w:rsid w:val="74C0BEED"/>
    <w:rsid w:val="74C7CB36"/>
    <w:rsid w:val="74CDE62C"/>
    <w:rsid w:val="74CED000"/>
    <w:rsid w:val="74D53D96"/>
    <w:rsid w:val="74D59430"/>
    <w:rsid w:val="74D8EE71"/>
    <w:rsid w:val="74DB0779"/>
    <w:rsid w:val="74DC52DB"/>
    <w:rsid w:val="74DE8547"/>
    <w:rsid w:val="74DEBD75"/>
    <w:rsid w:val="74E00C0B"/>
    <w:rsid w:val="74ED3562"/>
    <w:rsid w:val="74F4D15B"/>
    <w:rsid w:val="74FA1705"/>
    <w:rsid w:val="74FE2BE9"/>
    <w:rsid w:val="7502A49E"/>
    <w:rsid w:val="75040FCD"/>
    <w:rsid w:val="75052A47"/>
    <w:rsid w:val="75073A8A"/>
    <w:rsid w:val="752204B0"/>
    <w:rsid w:val="7523644F"/>
    <w:rsid w:val="75253F82"/>
    <w:rsid w:val="752EE26E"/>
    <w:rsid w:val="75303BD0"/>
    <w:rsid w:val="753CCA1D"/>
    <w:rsid w:val="753EC9B5"/>
    <w:rsid w:val="7540E474"/>
    <w:rsid w:val="7544387B"/>
    <w:rsid w:val="75541D0A"/>
    <w:rsid w:val="7558AE45"/>
    <w:rsid w:val="7559874D"/>
    <w:rsid w:val="755B0A46"/>
    <w:rsid w:val="75672965"/>
    <w:rsid w:val="756F562A"/>
    <w:rsid w:val="7570870C"/>
    <w:rsid w:val="7575CA35"/>
    <w:rsid w:val="7578FF98"/>
    <w:rsid w:val="758C9A93"/>
    <w:rsid w:val="759880FE"/>
    <w:rsid w:val="75A20AD2"/>
    <w:rsid w:val="75A2544F"/>
    <w:rsid w:val="75A3515C"/>
    <w:rsid w:val="75A459FB"/>
    <w:rsid w:val="75A75ECD"/>
    <w:rsid w:val="75B0D91E"/>
    <w:rsid w:val="75BB777C"/>
    <w:rsid w:val="75BEDC24"/>
    <w:rsid w:val="75BF834F"/>
    <w:rsid w:val="75C60E59"/>
    <w:rsid w:val="75C76BEF"/>
    <w:rsid w:val="75CB77E8"/>
    <w:rsid w:val="75CD544A"/>
    <w:rsid w:val="75D0CEEA"/>
    <w:rsid w:val="75D56864"/>
    <w:rsid w:val="75D75547"/>
    <w:rsid w:val="75DB5267"/>
    <w:rsid w:val="75E3B1EC"/>
    <w:rsid w:val="75EB5F8E"/>
    <w:rsid w:val="75F3F9A3"/>
    <w:rsid w:val="75F64740"/>
    <w:rsid w:val="75FBAC9C"/>
    <w:rsid w:val="75FC81BF"/>
    <w:rsid w:val="761557D1"/>
    <w:rsid w:val="7618E3E1"/>
    <w:rsid w:val="7625C5B3"/>
    <w:rsid w:val="762F2079"/>
    <w:rsid w:val="76326AB2"/>
    <w:rsid w:val="7633744C"/>
    <w:rsid w:val="76345722"/>
    <w:rsid w:val="7635B48B"/>
    <w:rsid w:val="763E6A42"/>
    <w:rsid w:val="7645AB32"/>
    <w:rsid w:val="764C805F"/>
    <w:rsid w:val="764F6EC9"/>
    <w:rsid w:val="76542B70"/>
    <w:rsid w:val="765C8D64"/>
    <w:rsid w:val="765E1D3E"/>
    <w:rsid w:val="765F331B"/>
    <w:rsid w:val="7663B6F5"/>
    <w:rsid w:val="766BDFD4"/>
    <w:rsid w:val="7676BF69"/>
    <w:rsid w:val="768FE1C6"/>
    <w:rsid w:val="76918E97"/>
    <w:rsid w:val="76965355"/>
    <w:rsid w:val="769C28A0"/>
    <w:rsid w:val="769D0330"/>
    <w:rsid w:val="769EB874"/>
    <w:rsid w:val="76ABD5C3"/>
    <w:rsid w:val="76BD0E0E"/>
    <w:rsid w:val="76C75CDC"/>
    <w:rsid w:val="76CA34D5"/>
    <w:rsid w:val="76CD0070"/>
    <w:rsid w:val="76D45AC6"/>
    <w:rsid w:val="76D46DEB"/>
    <w:rsid w:val="76D87B25"/>
    <w:rsid w:val="76DB4E5A"/>
    <w:rsid w:val="76DEA8B1"/>
    <w:rsid w:val="76E06454"/>
    <w:rsid w:val="76E9444B"/>
    <w:rsid w:val="76ECD99D"/>
    <w:rsid w:val="76F3C68A"/>
    <w:rsid w:val="76FEE3A5"/>
    <w:rsid w:val="77050CBE"/>
    <w:rsid w:val="7706ACFF"/>
    <w:rsid w:val="770E1EE8"/>
    <w:rsid w:val="7714207E"/>
    <w:rsid w:val="77187380"/>
    <w:rsid w:val="771B45C9"/>
    <w:rsid w:val="771CBD22"/>
    <w:rsid w:val="771DDEF6"/>
    <w:rsid w:val="771E19B8"/>
    <w:rsid w:val="7720A3E1"/>
    <w:rsid w:val="77232363"/>
    <w:rsid w:val="77317DC6"/>
    <w:rsid w:val="773B8AB0"/>
    <w:rsid w:val="773BD107"/>
    <w:rsid w:val="773E712D"/>
    <w:rsid w:val="774240B9"/>
    <w:rsid w:val="77427FFC"/>
    <w:rsid w:val="77449C26"/>
    <w:rsid w:val="7765B562"/>
    <w:rsid w:val="7767F913"/>
    <w:rsid w:val="776AABBA"/>
    <w:rsid w:val="776D67FD"/>
    <w:rsid w:val="776FA058"/>
    <w:rsid w:val="7775DD10"/>
    <w:rsid w:val="777A8A72"/>
    <w:rsid w:val="777C1D22"/>
    <w:rsid w:val="777EE9EF"/>
    <w:rsid w:val="778766E6"/>
    <w:rsid w:val="778C4CDA"/>
    <w:rsid w:val="778CE7C8"/>
    <w:rsid w:val="77912FFC"/>
    <w:rsid w:val="7799EDAF"/>
    <w:rsid w:val="77A27C3A"/>
    <w:rsid w:val="77AF4C90"/>
    <w:rsid w:val="77B370A2"/>
    <w:rsid w:val="77B52457"/>
    <w:rsid w:val="77B524BE"/>
    <w:rsid w:val="77C366F7"/>
    <w:rsid w:val="77D26CCA"/>
    <w:rsid w:val="77D61697"/>
    <w:rsid w:val="77D91AFD"/>
    <w:rsid w:val="77DFED31"/>
    <w:rsid w:val="77E6C946"/>
    <w:rsid w:val="77F20EF1"/>
    <w:rsid w:val="77F2ED90"/>
    <w:rsid w:val="77FBCD93"/>
    <w:rsid w:val="78026025"/>
    <w:rsid w:val="780EC35B"/>
    <w:rsid w:val="781E016C"/>
    <w:rsid w:val="782139EF"/>
    <w:rsid w:val="78219B2A"/>
    <w:rsid w:val="782A822D"/>
    <w:rsid w:val="7833383D"/>
    <w:rsid w:val="783FCEF6"/>
    <w:rsid w:val="78400950"/>
    <w:rsid w:val="7841484D"/>
    <w:rsid w:val="784AB438"/>
    <w:rsid w:val="784C3542"/>
    <w:rsid w:val="785D5451"/>
    <w:rsid w:val="78650D7A"/>
    <w:rsid w:val="78705887"/>
    <w:rsid w:val="7877CC56"/>
    <w:rsid w:val="7878A66E"/>
    <w:rsid w:val="78824263"/>
    <w:rsid w:val="788D8A00"/>
    <w:rsid w:val="78956491"/>
    <w:rsid w:val="789F890E"/>
    <w:rsid w:val="78A0B530"/>
    <w:rsid w:val="78B238EA"/>
    <w:rsid w:val="78B538A5"/>
    <w:rsid w:val="78C02E5E"/>
    <w:rsid w:val="78C48DA6"/>
    <w:rsid w:val="78C80E6C"/>
    <w:rsid w:val="78CB8974"/>
    <w:rsid w:val="78D34816"/>
    <w:rsid w:val="78D76196"/>
    <w:rsid w:val="78F20381"/>
    <w:rsid w:val="78F58EF3"/>
    <w:rsid w:val="78FB4736"/>
    <w:rsid w:val="78FBD1F1"/>
    <w:rsid w:val="78FC5FE2"/>
    <w:rsid w:val="790030A2"/>
    <w:rsid w:val="790655FE"/>
    <w:rsid w:val="7906E6DA"/>
    <w:rsid w:val="790FA06F"/>
    <w:rsid w:val="791343CB"/>
    <w:rsid w:val="791E5EBE"/>
    <w:rsid w:val="79201473"/>
    <w:rsid w:val="792A975C"/>
    <w:rsid w:val="793BD795"/>
    <w:rsid w:val="7944860B"/>
    <w:rsid w:val="79460DC0"/>
    <w:rsid w:val="79499FFB"/>
    <w:rsid w:val="794D1D55"/>
    <w:rsid w:val="794D4DB8"/>
    <w:rsid w:val="794EE460"/>
    <w:rsid w:val="79574DFE"/>
    <w:rsid w:val="795CAE1A"/>
    <w:rsid w:val="79623344"/>
    <w:rsid w:val="796CD936"/>
    <w:rsid w:val="79726DC8"/>
    <w:rsid w:val="79738F4A"/>
    <w:rsid w:val="7977873E"/>
    <w:rsid w:val="7977ADA7"/>
    <w:rsid w:val="79892220"/>
    <w:rsid w:val="799F78FF"/>
    <w:rsid w:val="79A24988"/>
    <w:rsid w:val="79A8A8AA"/>
    <w:rsid w:val="79AA5CB9"/>
    <w:rsid w:val="79B838B3"/>
    <w:rsid w:val="79C26D6B"/>
    <w:rsid w:val="79CB11F9"/>
    <w:rsid w:val="79D86B8A"/>
    <w:rsid w:val="79E3940E"/>
    <w:rsid w:val="79E5473E"/>
    <w:rsid w:val="79E9021E"/>
    <w:rsid w:val="79EA5A6F"/>
    <w:rsid w:val="79ED9039"/>
    <w:rsid w:val="79F7856D"/>
    <w:rsid w:val="7A01740B"/>
    <w:rsid w:val="7A083804"/>
    <w:rsid w:val="7A0D61B6"/>
    <w:rsid w:val="7A0E5A47"/>
    <w:rsid w:val="7A0F588D"/>
    <w:rsid w:val="7A1BA7E9"/>
    <w:rsid w:val="7A25BFFA"/>
    <w:rsid w:val="7A263DBB"/>
    <w:rsid w:val="7A289BF0"/>
    <w:rsid w:val="7A2F3F5A"/>
    <w:rsid w:val="7A37C552"/>
    <w:rsid w:val="7A3A6A24"/>
    <w:rsid w:val="7A3D2940"/>
    <w:rsid w:val="7A40B9CE"/>
    <w:rsid w:val="7A431CFE"/>
    <w:rsid w:val="7A453E31"/>
    <w:rsid w:val="7A47BF39"/>
    <w:rsid w:val="7A49FBE2"/>
    <w:rsid w:val="7A5AF709"/>
    <w:rsid w:val="7A5CC0A3"/>
    <w:rsid w:val="7A5D0076"/>
    <w:rsid w:val="7A624A85"/>
    <w:rsid w:val="7A68390E"/>
    <w:rsid w:val="7A6F3402"/>
    <w:rsid w:val="7A737177"/>
    <w:rsid w:val="7A856241"/>
    <w:rsid w:val="7A87C0C1"/>
    <w:rsid w:val="7A8931A9"/>
    <w:rsid w:val="7A8C9108"/>
    <w:rsid w:val="7A8D93C1"/>
    <w:rsid w:val="7A8FA3C8"/>
    <w:rsid w:val="7A903CD7"/>
    <w:rsid w:val="7A9C314B"/>
    <w:rsid w:val="7AA1B0DE"/>
    <w:rsid w:val="7AA705D4"/>
    <w:rsid w:val="7AA873D2"/>
    <w:rsid w:val="7AB60189"/>
    <w:rsid w:val="7ABA4B9E"/>
    <w:rsid w:val="7AC42ED2"/>
    <w:rsid w:val="7ACA5A84"/>
    <w:rsid w:val="7AE4DB66"/>
    <w:rsid w:val="7AE7B9EC"/>
    <w:rsid w:val="7AEA0F94"/>
    <w:rsid w:val="7AEB6D28"/>
    <w:rsid w:val="7AED5400"/>
    <w:rsid w:val="7AEE97E8"/>
    <w:rsid w:val="7AF7F32F"/>
    <w:rsid w:val="7AF9C699"/>
    <w:rsid w:val="7B05CED8"/>
    <w:rsid w:val="7B06EA92"/>
    <w:rsid w:val="7B085586"/>
    <w:rsid w:val="7B12AD2E"/>
    <w:rsid w:val="7B187115"/>
    <w:rsid w:val="7B2A9DA1"/>
    <w:rsid w:val="7B32D1A6"/>
    <w:rsid w:val="7B332812"/>
    <w:rsid w:val="7B349A3C"/>
    <w:rsid w:val="7B38334F"/>
    <w:rsid w:val="7B3CB485"/>
    <w:rsid w:val="7B473629"/>
    <w:rsid w:val="7B4B8D00"/>
    <w:rsid w:val="7B507744"/>
    <w:rsid w:val="7B50F295"/>
    <w:rsid w:val="7B5D980C"/>
    <w:rsid w:val="7B60441E"/>
    <w:rsid w:val="7B60B77B"/>
    <w:rsid w:val="7B6994A2"/>
    <w:rsid w:val="7B6ACDB8"/>
    <w:rsid w:val="7B6D318F"/>
    <w:rsid w:val="7B79078D"/>
    <w:rsid w:val="7B7F5447"/>
    <w:rsid w:val="7B81BD44"/>
    <w:rsid w:val="7B83426A"/>
    <w:rsid w:val="7B842EBD"/>
    <w:rsid w:val="7B8ED4FF"/>
    <w:rsid w:val="7B92DF5D"/>
    <w:rsid w:val="7B92E665"/>
    <w:rsid w:val="7B9758B5"/>
    <w:rsid w:val="7B97B83F"/>
    <w:rsid w:val="7BA96A4B"/>
    <w:rsid w:val="7BB4133C"/>
    <w:rsid w:val="7BB68687"/>
    <w:rsid w:val="7BBE6B21"/>
    <w:rsid w:val="7BBF7592"/>
    <w:rsid w:val="7BC1BE98"/>
    <w:rsid w:val="7BC34856"/>
    <w:rsid w:val="7BC386F6"/>
    <w:rsid w:val="7BE135B4"/>
    <w:rsid w:val="7BE8F4E8"/>
    <w:rsid w:val="7BEA9064"/>
    <w:rsid w:val="7BEEB52F"/>
    <w:rsid w:val="7BF4F0ED"/>
    <w:rsid w:val="7BF98818"/>
    <w:rsid w:val="7BFDD489"/>
    <w:rsid w:val="7BFF04B0"/>
    <w:rsid w:val="7C00104E"/>
    <w:rsid w:val="7C0CB775"/>
    <w:rsid w:val="7C0DBE30"/>
    <w:rsid w:val="7C0EC118"/>
    <w:rsid w:val="7C111B5B"/>
    <w:rsid w:val="7C1585D6"/>
    <w:rsid w:val="7C1D40ED"/>
    <w:rsid w:val="7C26F3F2"/>
    <w:rsid w:val="7C2B42F3"/>
    <w:rsid w:val="7C2D3024"/>
    <w:rsid w:val="7C352EF6"/>
    <w:rsid w:val="7C358334"/>
    <w:rsid w:val="7C36C173"/>
    <w:rsid w:val="7C3729AD"/>
    <w:rsid w:val="7C37698E"/>
    <w:rsid w:val="7C3BC109"/>
    <w:rsid w:val="7C3D9374"/>
    <w:rsid w:val="7C446D21"/>
    <w:rsid w:val="7C51AC53"/>
    <w:rsid w:val="7C536D45"/>
    <w:rsid w:val="7C618D6A"/>
    <w:rsid w:val="7C6724FA"/>
    <w:rsid w:val="7C68053F"/>
    <w:rsid w:val="7C6B9615"/>
    <w:rsid w:val="7C735980"/>
    <w:rsid w:val="7C7ABF61"/>
    <w:rsid w:val="7C822321"/>
    <w:rsid w:val="7C88F99A"/>
    <w:rsid w:val="7C893517"/>
    <w:rsid w:val="7C9AA8C5"/>
    <w:rsid w:val="7CA476DB"/>
    <w:rsid w:val="7CAB13A8"/>
    <w:rsid w:val="7CB01B2C"/>
    <w:rsid w:val="7CB04BAD"/>
    <w:rsid w:val="7CB5DF97"/>
    <w:rsid w:val="7CB5F2AD"/>
    <w:rsid w:val="7CC44A76"/>
    <w:rsid w:val="7CCC5872"/>
    <w:rsid w:val="7CCCF343"/>
    <w:rsid w:val="7CD0F446"/>
    <w:rsid w:val="7CD12C9B"/>
    <w:rsid w:val="7CDA0D3C"/>
    <w:rsid w:val="7D015A55"/>
    <w:rsid w:val="7D05FE35"/>
    <w:rsid w:val="7D14B536"/>
    <w:rsid w:val="7D1EB3AF"/>
    <w:rsid w:val="7D212CB7"/>
    <w:rsid w:val="7D220A7F"/>
    <w:rsid w:val="7D2841B3"/>
    <w:rsid w:val="7D287C9B"/>
    <w:rsid w:val="7D2C9086"/>
    <w:rsid w:val="7D334CEC"/>
    <w:rsid w:val="7D3BE80E"/>
    <w:rsid w:val="7D4326F3"/>
    <w:rsid w:val="7D441CC6"/>
    <w:rsid w:val="7D46D392"/>
    <w:rsid w:val="7D4A74CD"/>
    <w:rsid w:val="7D6AFEE6"/>
    <w:rsid w:val="7D759C97"/>
    <w:rsid w:val="7D77A1BC"/>
    <w:rsid w:val="7D87B378"/>
    <w:rsid w:val="7D8CEC68"/>
    <w:rsid w:val="7D8D375F"/>
    <w:rsid w:val="7D947B9C"/>
    <w:rsid w:val="7D947CFF"/>
    <w:rsid w:val="7D96E767"/>
    <w:rsid w:val="7D99303C"/>
    <w:rsid w:val="7DABD9C6"/>
    <w:rsid w:val="7DB2194B"/>
    <w:rsid w:val="7DBA609D"/>
    <w:rsid w:val="7DBB9926"/>
    <w:rsid w:val="7DC191AF"/>
    <w:rsid w:val="7DC21600"/>
    <w:rsid w:val="7DC4303F"/>
    <w:rsid w:val="7DD26E0A"/>
    <w:rsid w:val="7DDD3385"/>
    <w:rsid w:val="7DDEDFA4"/>
    <w:rsid w:val="7DE44B9E"/>
    <w:rsid w:val="7DE47891"/>
    <w:rsid w:val="7DE8BFAC"/>
    <w:rsid w:val="7DE9227E"/>
    <w:rsid w:val="7DEC150E"/>
    <w:rsid w:val="7DF370F5"/>
    <w:rsid w:val="7DF4702B"/>
    <w:rsid w:val="7E11C4BD"/>
    <w:rsid w:val="7E1423B2"/>
    <w:rsid w:val="7E161D2A"/>
    <w:rsid w:val="7E1AD622"/>
    <w:rsid w:val="7E1FFA50"/>
    <w:rsid w:val="7E22462F"/>
    <w:rsid w:val="7E2688E3"/>
    <w:rsid w:val="7E2C1864"/>
    <w:rsid w:val="7E2C5465"/>
    <w:rsid w:val="7E36F0A7"/>
    <w:rsid w:val="7E3B2F34"/>
    <w:rsid w:val="7E51878A"/>
    <w:rsid w:val="7E544042"/>
    <w:rsid w:val="7E552306"/>
    <w:rsid w:val="7E56E65E"/>
    <w:rsid w:val="7E67BC46"/>
    <w:rsid w:val="7E6A48C9"/>
    <w:rsid w:val="7E6C3C48"/>
    <w:rsid w:val="7E715495"/>
    <w:rsid w:val="7E729B04"/>
    <w:rsid w:val="7E73456E"/>
    <w:rsid w:val="7E76C26D"/>
    <w:rsid w:val="7E83E362"/>
    <w:rsid w:val="7E85C500"/>
    <w:rsid w:val="7EA1F452"/>
    <w:rsid w:val="7EA340C0"/>
    <w:rsid w:val="7EA60C23"/>
    <w:rsid w:val="7EB60299"/>
    <w:rsid w:val="7EB7527E"/>
    <w:rsid w:val="7EBB3E4D"/>
    <w:rsid w:val="7EBED3C6"/>
    <w:rsid w:val="7EC3B054"/>
    <w:rsid w:val="7ECB4BCF"/>
    <w:rsid w:val="7ECC0E38"/>
    <w:rsid w:val="7ED1FDB3"/>
    <w:rsid w:val="7ED88B2E"/>
    <w:rsid w:val="7EECEFB2"/>
    <w:rsid w:val="7EF391AC"/>
    <w:rsid w:val="7EFE99B0"/>
    <w:rsid w:val="7F08AB30"/>
    <w:rsid w:val="7F08C1D5"/>
    <w:rsid w:val="7F0ACC61"/>
    <w:rsid w:val="7F18F874"/>
    <w:rsid w:val="7F19C2DA"/>
    <w:rsid w:val="7F1BE0BE"/>
    <w:rsid w:val="7F2315F0"/>
    <w:rsid w:val="7F248D14"/>
    <w:rsid w:val="7F26B389"/>
    <w:rsid w:val="7F270921"/>
    <w:rsid w:val="7F27C9AD"/>
    <w:rsid w:val="7F2A13A5"/>
    <w:rsid w:val="7F2D46D5"/>
    <w:rsid w:val="7F36AFA9"/>
    <w:rsid w:val="7F3A0CF4"/>
    <w:rsid w:val="7F3B14AA"/>
    <w:rsid w:val="7F3C4155"/>
    <w:rsid w:val="7F49B882"/>
    <w:rsid w:val="7F57816A"/>
    <w:rsid w:val="7F5C06E4"/>
    <w:rsid w:val="7F6842AF"/>
    <w:rsid w:val="7F798DD4"/>
    <w:rsid w:val="7F8F2856"/>
    <w:rsid w:val="7F9E9104"/>
    <w:rsid w:val="7FA3C729"/>
    <w:rsid w:val="7FADE21E"/>
    <w:rsid w:val="7FAF4213"/>
    <w:rsid w:val="7FB22DF6"/>
    <w:rsid w:val="7FB2D0AF"/>
    <w:rsid w:val="7FBE495F"/>
    <w:rsid w:val="7FCA75FE"/>
    <w:rsid w:val="7FCAD61F"/>
    <w:rsid w:val="7FCD24E2"/>
    <w:rsid w:val="7FD80B27"/>
    <w:rsid w:val="7FDA90F6"/>
    <w:rsid w:val="7FDF664F"/>
    <w:rsid w:val="7FE8D92B"/>
    <w:rsid w:val="7FE97430"/>
    <w:rsid w:val="7FEA8694"/>
    <w:rsid w:val="7FEDCC27"/>
    <w:rsid w:val="7FF49497"/>
    <w:rsid w:val="7FFA1AEA"/>
    <w:rsid w:val="7FFB2B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4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IP"/>
    <w:qFormat/>
    <w:rsid w:val="00496DCD"/>
    <w:pPr>
      <w:keepLines/>
      <w:widowControl w:val="0"/>
      <w:spacing w:before="120" w:after="120"/>
    </w:pPr>
    <w:rPr>
      <w:rFonts w:ascii="Helvetica" w:eastAsia="Helvetica Neue" w:hAnsi="Helvetica"/>
      <w:color w:val="404040" w:themeColor="text1" w:themeTint="BF"/>
      <w:sz w:val="20"/>
      <w:szCs w:val="20"/>
    </w:rPr>
  </w:style>
  <w:style w:type="paragraph" w:styleId="Heading1">
    <w:name w:val="heading 1"/>
    <w:basedOn w:val="Normal"/>
    <w:next w:val="Normal"/>
    <w:link w:val="Heading1Char"/>
    <w:uiPriority w:val="9"/>
    <w:qFormat/>
    <w:rsid w:val="00896DC9"/>
    <w:pPr>
      <w:outlineLvl w:val="0"/>
    </w:pPr>
    <w:rPr>
      <w:b/>
      <w:color w:val="008080"/>
      <w:sz w:val="32"/>
      <w:szCs w:val="28"/>
    </w:rPr>
  </w:style>
  <w:style w:type="paragraph" w:styleId="Heading2">
    <w:name w:val="heading 2"/>
    <w:basedOn w:val="Normal"/>
    <w:next w:val="Normal"/>
    <w:link w:val="Heading2Char"/>
    <w:uiPriority w:val="9"/>
    <w:unhideWhenUsed/>
    <w:qFormat/>
    <w:rsid w:val="00896DC9"/>
    <w:pPr>
      <w:outlineLvl w:val="1"/>
    </w:pPr>
    <w:rPr>
      <w:b/>
      <w:bCs/>
      <w:color w:val="008080"/>
      <w:sz w:val="28"/>
      <w:szCs w:val="28"/>
    </w:rPr>
  </w:style>
  <w:style w:type="paragraph" w:styleId="Heading3">
    <w:name w:val="heading 3"/>
    <w:basedOn w:val="paragraph"/>
    <w:next w:val="Normal"/>
    <w:link w:val="Heading3Char"/>
    <w:uiPriority w:val="9"/>
    <w:unhideWhenUsed/>
    <w:qFormat/>
    <w:rsid w:val="00896DC9"/>
    <w:pPr>
      <w:autoSpaceDE/>
      <w:autoSpaceDN/>
      <w:adjustRightInd/>
      <w:spacing w:before="120" w:beforeAutospacing="0" w:after="120" w:afterAutospacing="0"/>
      <w:textAlignment w:val="baseline"/>
      <w:outlineLvl w:val="2"/>
    </w:pPr>
    <w:rPr>
      <w:rFonts w:eastAsiaTheme="minorHAnsi" w:cs="Segoe UI"/>
      <w:b/>
      <w:color w:val="008080"/>
      <w:sz w:val="24"/>
      <w:lang w:val="en-AU" w:eastAsia="en-GB"/>
    </w:rPr>
  </w:style>
  <w:style w:type="paragraph" w:styleId="Heading4">
    <w:name w:val="heading 4"/>
    <w:basedOn w:val="Normal"/>
    <w:next w:val="Normal"/>
    <w:link w:val="Heading4Char"/>
    <w:uiPriority w:val="9"/>
    <w:unhideWhenUsed/>
    <w:qFormat/>
    <w:rsid w:val="00896DC9"/>
    <w:pPr>
      <w:outlineLvl w:val="3"/>
    </w:pPr>
    <w:rPr>
      <w:i/>
      <w:color w:val="008080"/>
    </w:rPr>
  </w:style>
  <w:style w:type="paragraph" w:styleId="Heading5">
    <w:name w:val="heading 5"/>
    <w:basedOn w:val="Heading3"/>
    <w:next w:val="Normal"/>
    <w:link w:val="Heading5Char"/>
    <w:uiPriority w:val="9"/>
    <w:unhideWhenUsed/>
    <w:qFormat/>
    <w:rsid w:val="005C460A"/>
    <w:pPr>
      <w:outlineLvl w:val="4"/>
    </w:pPr>
    <w:rPr>
      <w:b w:val="0"/>
      <w:bCs/>
    </w:rPr>
  </w:style>
  <w:style w:type="paragraph" w:styleId="Heading6">
    <w:name w:val="heading 6"/>
    <w:aliases w:val="IP Figure label"/>
    <w:basedOn w:val="Heading5"/>
    <w:next w:val="Normal"/>
    <w:link w:val="Heading6Char"/>
    <w:uiPriority w:val="9"/>
    <w:unhideWhenUsed/>
    <w:qFormat/>
    <w:rsid w:val="00896DC9"/>
    <w:pPr>
      <w:outlineLvl w:val="5"/>
    </w:pPr>
    <w:rPr>
      <w:sz w:val="20"/>
    </w:rPr>
  </w:style>
  <w:style w:type="paragraph" w:styleId="Heading7">
    <w:name w:val="heading 7"/>
    <w:basedOn w:val="Normal"/>
    <w:next w:val="Normal"/>
    <w:link w:val="Heading7Char"/>
    <w:uiPriority w:val="9"/>
    <w:semiHidden/>
    <w:unhideWhenUsed/>
    <w:qFormat/>
    <w:rsid w:val="00E147FE"/>
    <w:pPr>
      <w:keepNext/>
      <w:spacing w:before="40" w:after="0"/>
      <w:outlineLvl w:val="6"/>
    </w:pPr>
    <w:rPr>
      <w:rFonts w:asciiTheme="majorHAnsi" w:eastAsiaTheme="majorEastAsia" w:hAnsiTheme="majorHAnsi" w:cstheme="majorBidi"/>
      <w:i/>
      <w:iCs/>
      <w:color w:val="224E76" w:themeColor="accent1" w:themeShade="7F"/>
    </w:rPr>
  </w:style>
  <w:style w:type="paragraph" w:styleId="Heading8">
    <w:name w:val="heading 8"/>
    <w:basedOn w:val="Normal"/>
    <w:next w:val="Normal"/>
    <w:link w:val="Heading8Char"/>
    <w:uiPriority w:val="9"/>
    <w:semiHidden/>
    <w:unhideWhenUsed/>
    <w:qFormat/>
    <w:rsid w:val="00E147FE"/>
    <w:pPr>
      <w:keepNext/>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47FE"/>
    <w:pPr>
      <w:keepNext/>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2F7C17"/>
    <w:pPr>
      <w:spacing w:before="0" w:after="0" w:line="192" w:lineRule="auto"/>
    </w:pPr>
    <w:rPr>
      <w:rFonts w:eastAsiaTheme="majorEastAsia" w:cs="Times New Roman (Headings CS)"/>
      <w:b/>
      <w:bCs/>
      <w:color w:val="FFFFFF" w:themeColor="background1"/>
      <w:spacing w:val="-10"/>
      <w:kern w:val="28"/>
      <w:sz w:val="56"/>
      <w:szCs w:val="62"/>
    </w:rPr>
  </w:style>
  <w:style w:type="paragraph" w:styleId="NormalWeb">
    <w:name w:val="Normal (Web)"/>
    <w:aliases w:val=" webb"/>
    <w:basedOn w:val="Normal"/>
    <w:uiPriority w:val="99"/>
    <w:unhideWhenUsed/>
    <w:rsid w:val="00BE7722"/>
    <w:pPr>
      <w:spacing w:before="100" w:beforeAutospacing="1" w:after="100" w:afterAutospacing="1"/>
    </w:pPr>
  </w:style>
  <w:style w:type="paragraph" w:styleId="Header">
    <w:name w:val="header"/>
    <w:basedOn w:val="Normal"/>
    <w:link w:val="HeaderChar"/>
    <w:uiPriority w:val="99"/>
    <w:unhideWhenUsed/>
    <w:qFormat/>
    <w:rsid w:val="00650B02"/>
    <w:pPr>
      <w:tabs>
        <w:tab w:val="center" w:pos="4680"/>
        <w:tab w:val="right" w:pos="9360"/>
      </w:tabs>
    </w:pPr>
  </w:style>
  <w:style w:type="character" w:customStyle="1" w:styleId="HeaderChar">
    <w:name w:val="Header Char"/>
    <w:basedOn w:val="DefaultParagraphFont"/>
    <w:link w:val="Header"/>
    <w:uiPriority w:val="99"/>
    <w:qFormat/>
    <w:rsid w:val="00650B02"/>
    <w:rPr>
      <w:rFonts w:ascii="Helvetica" w:hAnsi="Helvetica"/>
      <w:color w:val="404040" w:themeColor="text1" w:themeTint="BF"/>
      <w:sz w:val="22"/>
    </w:rPr>
  </w:style>
  <w:style w:type="paragraph" w:styleId="Footer">
    <w:name w:val="footer"/>
    <w:basedOn w:val="Normal"/>
    <w:link w:val="FooterChar"/>
    <w:uiPriority w:val="99"/>
    <w:unhideWhenUsed/>
    <w:qFormat/>
    <w:rsid w:val="00650B02"/>
    <w:pPr>
      <w:tabs>
        <w:tab w:val="center" w:pos="4680"/>
        <w:tab w:val="right" w:pos="9360"/>
      </w:tabs>
    </w:pPr>
  </w:style>
  <w:style w:type="character" w:customStyle="1" w:styleId="FooterChar">
    <w:name w:val="Footer Char"/>
    <w:basedOn w:val="DefaultParagraphFont"/>
    <w:link w:val="Footer"/>
    <w:uiPriority w:val="99"/>
    <w:qFormat/>
    <w:rsid w:val="00650B02"/>
    <w:rPr>
      <w:rFonts w:ascii="Helvetica" w:hAnsi="Helvetica"/>
      <w:color w:val="404040" w:themeColor="text1" w:themeTint="BF"/>
      <w:sz w:val="22"/>
    </w:rPr>
  </w:style>
  <w:style w:type="character" w:customStyle="1" w:styleId="Heading1Char">
    <w:name w:val="Heading 1 Char"/>
    <w:basedOn w:val="DefaultParagraphFont"/>
    <w:link w:val="Heading1"/>
    <w:uiPriority w:val="9"/>
    <w:rsid w:val="00896DC9"/>
    <w:rPr>
      <w:rFonts w:ascii="Helvetica" w:eastAsia="Helvetica Neue" w:hAnsi="Helvetica"/>
      <w:b/>
      <w:color w:val="008080"/>
      <w:sz w:val="32"/>
      <w:szCs w:val="28"/>
    </w:rPr>
  </w:style>
  <w:style w:type="character" w:customStyle="1" w:styleId="Heading2Char">
    <w:name w:val="Heading 2 Char"/>
    <w:basedOn w:val="DefaultParagraphFont"/>
    <w:link w:val="Heading2"/>
    <w:uiPriority w:val="9"/>
    <w:rsid w:val="00896DC9"/>
    <w:rPr>
      <w:rFonts w:ascii="Helvetica" w:eastAsia="Helvetica Neue" w:hAnsi="Helvetica"/>
      <w:b/>
      <w:bCs/>
      <w:color w:val="008080"/>
      <w:sz w:val="28"/>
      <w:szCs w:val="28"/>
    </w:rPr>
  </w:style>
  <w:style w:type="character" w:customStyle="1" w:styleId="TitleChar">
    <w:name w:val="Title Char"/>
    <w:basedOn w:val="DefaultParagraphFont"/>
    <w:link w:val="Title"/>
    <w:uiPriority w:val="10"/>
    <w:rsid w:val="002F7C17"/>
    <w:rPr>
      <w:rFonts w:ascii="Helvetica" w:eastAsiaTheme="majorEastAsia" w:hAnsi="Helvetica" w:cs="Times New Roman (Headings CS)"/>
      <w:b/>
      <w:bCs/>
      <w:color w:val="FFFFFF" w:themeColor="background1"/>
      <w:spacing w:val="-10"/>
      <w:kern w:val="28"/>
      <w:sz w:val="56"/>
      <w:szCs w:val="62"/>
    </w:rPr>
  </w:style>
  <w:style w:type="paragraph" w:styleId="NoSpacing">
    <w:name w:val="No Spacing"/>
    <w:aliases w:val="Front Page"/>
    <w:basedOn w:val="paragraph"/>
    <w:uiPriority w:val="1"/>
    <w:qFormat/>
    <w:rsid w:val="005C460A"/>
    <w:pPr>
      <w:autoSpaceDE/>
      <w:autoSpaceDN/>
      <w:adjustRightInd/>
      <w:spacing w:before="0" w:beforeAutospacing="0" w:after="0" w:afterAutospacing="0"/>
      <w:textAlignment w:val="baseline"/>
    </w:pPr>
    <w:rPr>
      <w:rFonts w:eastAsiaTheme="minorHAnsi" w:cs="Segoe UI"/>
      <w:color w:val="404040"/>
      <w:lang w:val="en-AU" w:eastAsia="en-GB"/>
    </w:rPr>
  </w:style>
  <w:style w:type="paragraph" w:styleId="ListParagraph">
    <w:name w:val="List Paragraph"/>
    <w:basedOn w:val="IPText"/>
    <w:link w:val="ListParagraphChar"/>
    <w:autoRedefine/>
    <w:uiPriority w:val="34"/>
    <w:qFormat/>
    <w:rsid w:val="003343AE"/>
    <w:pPr>
      <w:numPr>
        <w:numId w:val="57"/>
      </w:numPr>
      <w:contextualSpacing/>
    </w:pPr>
    <w:rPr>
      <w:rFonts w:eastAsia="Helvetica" w:cs="Times New Roman (Body CS)"/>
    </w:rPr>
  </w:style>
  <w:style w:type="paragraph" w:styleId="TOC1">
    <w:name w:val="toc 1"/>
    <w:basedOn w:val="Normal"/>
    <w:next w:val="Normal"/>
    <w:autoRedefine/>
    <w:uiPriority w:val="39"/>
    <w:unhideWhenUsed/>
    <w:qFormat/>
    <w:rsid w:val="00D549EE"/>
    <w:pPr>
      <w:tabs>
        <w:tab w:val="right" w:leader="dot" w:pos="9740"/>
      </w:tabs>
      <w:spacing w:after="100"/>
    </w:pPr>
    <w:rPr>
      <w:b/>
      <w:color w:val="595959" w:themeColor="text1" w:themeTint="A6"/>
    </w:rPr>
  </w:style>
  <w:style w:type="paragraph" w:styleId="TOC2">
    <w:name w:val="toc 2"/>
    <w:basedOn w:val="Normal"/>
    <w:next w:val="Normal"/>
    <w:autoRedefine/>
    <w:uiPriority w:val="39"/>
    <w:unhideWhenUsed/>
    <w:qFormat/>
    <w:rsid w:val="005655D9"/>
    <w:pPr>
      <w:spacing w:after="100"/>
      <w:ind w:left="220"/>
    </w:pPr>
  </w:style>
  <w:style w:type="character" w:styleId="PageNumber">
    <w:name w:val="page number"/>
    <w:basedOn w:val="DefaultParagraphFont"/>
    <w:uiPriority w:val="99"/>
    <w:semiHidden/>
    <w:unhideWhenUsed/>
    <w:rsid w:val="00641E6E"/>
  </w:style>
  <w:style w:type="table" w:styleId="TableGrid">
    <w:name w:val="Table Grid"/>
    <w:aliases w:val="Smart Text Table,DPS Table Grid,Table"/>
    <w:basedOn w:val="TableNormal"/>
    <w:uiPriority w:val="39"/>
    <w:rsid w:val="0028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Body"/>
    <w:basedOn w:val="Normal"/>
    <w:link w:val="FootnoteTextChar"/>
    <w:uiPriority w:val="99"/>
    <w:unhideWhenUsed/>
    <w:qFormat/>
    <w:rsid w:val="00134F5C"/>
    <w:rPr>
      <w:sz w:val="16"/>
    </w:rPr>
  </w:style>
  <w:style w:type="character" w:customStyle="1" w:styleId="FootnoteTextChar">
    <w:name w:val="Footnote Text Char"/>
    <w:aliases w:val="Footnote Body Char"/>
    <w:basedOn w:val="DefaultParagraphFont"/>
    <w:link w:val="FootnoteText"/>
    <w:uiPriority w:val="99"/>
    <w:qFormat/>
    <w:rsid w:val="00134F5C"/>
    <w:rPr>
      <w:rFonts w:ascii="Helvetica" w:eastAsia="Helvetica Neue" w:hAnsi="Helvetica"/>
      <w:color w:val="404040" w:themeColor="text1" w:themeTint="BF"/>
      <w:sz w:val="16"/>
      <w:szCs w:val="20"/>
    </w:rPr>
  </w:style>
  <w:style w:type="character" w:styleId="FootnoteReference">
    <w:name w:val="footnote reference"/>
    <w:basedOn w:val="DefaultParagraphFont"/>
    <w:uiPriority w:val="99"/>
    <w:unhideWhenUsed/>
    <w:qFormat/>
    <w:rsid w:val="00DC5D42"/>
    <w:rPr>
      <w:vertAlign w:val="superscript"/>
    </w:rPr>
  </w:style>
  <w:style w:type="paragraph" w:styleId="Subtitle">
    <w:name w:val="Subtitle"/>
    <w:basedOn w:val="Normal"/>
    <w:next w:val="Normal"/>
    <w:link w:val="SubtitleChar"/>
    <w:uiPriority w:val="11"/>
    <w:qFormat/>
    <w:rsid w:val="005C460A"/>
    <w:pPr>
      <w:numPr>
        <w:ilvl w:val="1"/>
      </w:numPr>
      <w:spacing w:after="160"/>
    </w:pPr>
    <w:rPr>
      <w:rFonts w:ascii="American Typewriter" w:eastAsiaTheme="minorEastAsia" w:hAnsi="American Typewriter" w:cs="Times New Roman (Body CS)"/>
      <w:color w:val="242852" w:themeColor="text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Hyperlink">
    <w:name w:val="Hyperlink"/>
    <w:aliases w:val="TOC format"/>
    <w:basedOn w:val="DefaultParagraphFont"/>
    <w:uiPriority w:val="99"/>
    <w:unhideWhenUsed/>
    <w:rsid w:val="00EC5738"/>
    <w:rPr>
      <w:color w:val="9454C3" w:themeColor="hyperlink"/>
      <w:u w:val="single"/>
    </w:rPr>
  </w:style>
  <w:style w:type="paragraph" w:customStyle="1" w:styleId="InsideBullets">
    <w:name w:val="Inside Bullets"/>
    <w:basedOn w:val="ListParagraph"/>
    <w:uiPriority w:val="1"/>
    <w:rsid w:val="5EED1AE1"/>
    <w:rPr>
      <w:rFonts w:eastAsiaTheme="minorEastAsia"/>
      <w:sz w:val="21"/>
      <w:szCs w:val="21"/>
    </w:rPr>
  </w:style>
  <w:style w:type="paragraph" w:customStyle="1" w:styleId="InsideBody">
    <w:name w:val="Inside Body"/>
    <w:basedOn w:val="Normal"/>
    <w:rsid w:val="00A654AC"/>
    <w:rPr>
      <w:lang w:eastAsia="en-US"/>
    </w:rPr>
  </w:style>
  <w:style w:type="paragraph" w:customStyle="1" w:styleId="CCS-Heading3">
    <w:name w:val="CCS-Heading 3"/>
    <w:basedOn w:val="Normal"/>
    <w:link w:val="CCS-Heading3Char"/>
    <w:rsid w:val="00A654AC"/>
    <w:pPr>
      <w:tabs>
        <w:tab w:val="left" w:pos="1134"/>
      </w:tabs>
      <w:spacing w:before="240"/>
    </w:pPr>
    <w:rPr>
      <w:rFonts w:ascii="Arial" w:eastAsiaTheme="minorHAnsi" w:hAnsi="Arial" w:cs="Arial"/>
      <w:b/>
      <w:sz w:val="28"/>
      <w:szCs w:val="28"/>
      <w:lang w:eastAsia="en-US"/>
    </w:rPr>
  </w:style>
  <w:style w:type="character" w:customStyle="1" w:styleId="CCS-Heading3Char">
    <w:name w:val="CCS-Heading 3 Char"/>
    <w:basedOn w:val="DefaultParagraphFont"/>
    <w:link w:val="CCS-Heading3"/>
    <w:locked/>
    <w:rsid w:val="00A654AC"/>
    <w:rPr>
      <w:rFonts w:ascii="Arial" w:eastAsiaTheme="minorHAnsi" w:hAnsi="Arial" w:cs="Arial"/>
      <w:b/>
      <w:color w:val="auto"/>
      <w:sz w:val="28"/>
      <w:szCs w:val="28"/>
      <w:lang w:eastAsia="en-US"/>
    </w:rPr>
  </w:style>
  <w:style w:type="paragraph" w:customStyle="1" w:styleId="TableNormal1">
    <w:name w:val="Table Normal1"/>
    <w:basedOn w:val="Normal"/>
    <w:link w:val="NormalTableChar"/>
    <w:rsid w:val="00C93B9A"/>
    <w:rPr>
      <w:rFonts w:ascii="Arial" w:hAnsi="Arial"/>
      <w:lang w:eastAsia="en-US"/>
    </w:rPr>
  </w:style>
  <w:style w:type="character" w:customStyle="1" w:styleId="NormalTableChar">
    <w:name w:val="Normal Table Char"/>
    <w:link w:val="TableNormal1"/>
    <w:rsid w:val="00C93B9A"/>
    <w:rPr>
      <w:rFonts w:ascii="Arial" w:eastAsia="Helvetica Neue" w:hAnsi="Arial"/>
      <w:color w:val="404040" w:themeColor="text1" w:themeTint="BF"/>
      <w:sz w:val="20"/>
      <w:szCs w:val="20"/>
      <w:lang w:eastAsia="en-US"/>
    </w:rPr>
  </w:style>
  <w:style w:type="paragraph" w:customStyle="1" w:styleId="subclausebullet">
    <w:name w:val="subclause bullet"/>
    <w:basedOn w:val="Normal"/>
    <w:rsid w:val="00C93B9A"/>
    <w:pPr>
      <w:numPr>
        <w:numId w:val="1"/>
      </w:numPr>
    </w:pPr>
    <w:rPr>
      <w:rFonts w:ascii="Arial" w:hAnsi="Arial"/>
      <w:lang w:eastAsia="en-US"/>
    </w:rPr>
  </w:style>
  <w:style w:type="character" w:styleId="PlaceholderText">
    <w:name w:val="Placeholder Text"/>
    <w:basedOn w:val="DefaultParagraphFont"/>
    <w:uiPriority w:val="99"/>
    <w:semiHidden/>
    <w:rsid w:val="00C93B9A"/>
    <w:rPr>
      <w:color w:val="808080"/>
    </w:rPr>
  </w:style>
  <w:style w:type="paragraph" w:customStyle="1" w:styleId="Default">
    <w:name w:val="Default"/>
    <w:rsid w:val="00C93B9A"/>
    <w:pPr>
      <w:autoSpaceDE w:val="0"/>
      <w:autoSpaceDN w:val="0"/>
      <w:adjustRightInd w:val="0"/>
    </w:pPr>
    <w:rPr>
      <w:rFonts w:ascii="Arial" w:eastAsia="Times New Roman" w:hAnsi="Arial" w:cs="Arial"/>
      <w:color w:val="000000"/>
      <w:lang w:eastAsia="en-AU"/>
    </w:rPr>
  </w:style>
  <w:style w:type="character" w:styleId="UnresolvedMention">
    <w:name w:val="Unresolved Mention"/>
    <w:basedOn w:val="DefaultParagraphFont"/>
    <w:uiPriority w:val="99"/>
    <w:unhideWhenUsed/>
    <w:rsid w:val="00EB042B"/>
    <w:rPr>
      <w:color w:val="605E5C"/>
      <w:shd w:val="clear" w:color="auto" w:fill="E1DFDD"/>
    </w:rPr>
  </w:style>
  <w:style w:type="paragraph" w:customStyle="1" w:styleId="CCS-Heading4">
    <w:name w:val="CCS-Heading 4"/>
    <w:basedOn w:val="Normal"/>
    <w:link w:val="CCS-Heading4Char"/>
    <w:rsid w:val="00EB042B"/>
    <w:pPr>
      <w:tabs>
        <w:tab w:val="left" w:pos="1134"/>
      </w:tabs>
      <w:spacing w:before="240"/>
    </w:pPr>
    <w:rPr>
      <w:rFonts w:ascii="Arial" w:eastAsiaTheme="minorHAnsi" w:hAnsi="Arial" w:cs="Arial"/>
      <w:b/>
      <w:lang w:eastAsia="en-US"/>
    </w:rPr>
  </w:style>
  <w:style w:type="paragraph" w:customStyle="1" w:styleId="CCSNormalText">
    <w:name w:val="CCS Normal Text"/>
    <w:basedOn w:val="Normal"/>
    <w:link w:val="CCSNormalTextChar"/>
    <w:rsid w:val="00EB042B"/>
    <w:rPr>
      <w:rFonts w:ascii="Arial" w:eastAsiaTheme="minorHAnsi" w:hAnsi="Arial" w:cs="Arial"/>
      <w:lang w:eastAsia="zh-CN" w:bidi="th-TH"/>
    </w:rPr>
  </w:style>
  <w:style w:type="paragraph" w:customStyle="1" w:styleId="CCS-Heading1">
    <w:name w:val="CCS-Heading 1"/>
    <w:basedOn w:val="Normal"/>
    <w:link w:val="CCS-Heading1Char"/>
    <w:rsid w:val="00EB042B"/>
    <w:pPr>
      <w:jc w:val="center"/>
    </w:pPr>
    <w:rPr>
      <w:rFonts w:ascii="Arial" w:eastAsiaTheme="minorHAnsi" w:hAnsi="Arial" w:cs="Arial"/>
      <w:b/>
      <w:sz w:val="34"/>
      <w:szCs w:val="34"/>
      <w:lang w:eastAsia="en-US"/>
    </w:rPr>
  </w:style>
  <w:style w:type="paragraph" w:customStyle="1" w:styleId="CCS-Heading2">
    <w:name w:val="CCS-Heading 2"/>
    <w:basedOn w:val="Normal"/>
    <w:rsid w:val="00EB042B"/>
    <w:pPr>
      <w:spacing w:before="240" w:after="240"/>
      <w:jc w:val="center"/>
    </w:pPr>
    <w:rPr>
      <w:rFonts w:ascii="Arial" w:eastAsiaTheme="minorHAnsi" w:hAnsi="Arial" w:cs="Arial"/>
      <w:b/>
      <w:sz w:val="32"/>
      <w:szCs w:val="32"/>
      <w:lang w:eastAsia="en-US"/>
    </w:rPr>
  </w:style>
  <w:style w:type="paragraph" w:customStyle="1" w:styleId="CCS-TableHeading">
    <w:name w:val="CCS-Table Heading"/>
    <w:basedOn w:val="CCS-Heading4"/>
    <w:link w:val="CCS-TableHeadingChar"/>
    <w:rsid w:val="00EB042B"/>
    <w:pPr>
      <w:spacing w:before="60"/>
    </w:pPr>
  </w:style>
  <w:style w:type="paragraph" w:customStyle="1" w:styleId="CCS-TableText">
    <w:name w:val="CCS-Table Text"/>
    <w:basedOn w:val="Normal"/>
    <w:rsid w:val="00EB042B"/>
    <w:rPr>
      <w:rFonts w:ascii="Arial" w:eastAsiaTheme="minorHAnsi" w:hAnsi="Arial" w:cs="Arial"/>
      <w:lang w:eastAsia="en-US"/>
    </w:rPr>
  </w:style>
  <w:style w:type="paragraph" w:customStyle="1" w:styleId="CCS-Heading5">
    <w:name w:val="CCS-Heading5"/>
    <w:basedOn w:val="CCSNormalText"/>
    <w:rsid w:val="00EB042B"/>
    <w:pPr>
      <w:spacing w:before="240"/>
    </w:pPr>
    <w:rPr>
      <w:b/>
    </w:rPr>
  </w:style>
  <w:style w:type="paragraph" w:customStyle="1" w:styleId="CCS-TableHeading2">
    <w:name w:val="CCS-Table Heading 2"/>
    <w:basedOn w:val="CCS-TableHeading"/>
    <w:link w:val="CCS-TableHeading2Char"/>
    <w:rsid w:val="00EB042B"/>
    <w:pPr>
      <w:jc w:val="center"/>
    </w:pPr>
    <w:rPr>
      <w:sz w:val="21"/>
      <w:szCs w:val="21"/>
    </w:rPr>
  </w:style>
  <w:style w:type="character" w:customStyle="1" w:styleId="CCS-Heading4Char">
    <w:name w:val="CCS-Heading 4 Char"/>
    <w:basedOn w:val="DefaultParagraphFont"/>
    <w:link w:val="CCS-Heading4"/>
    <w:rsid w:val="00EB042B"/>
    <w:rPr>
      <w:rFonts w:ascii="Arial" w:eastAsiaTheme="minorHAnsi" w:hAnsi="Arial" w:cs="Arial"/>
      <w:b/>
      <w:color w:val="auto"/>
      <w:sz w:val="24"/>
      <w:szCs w:val="24"/>
      <w:lang w:eastAsia="en-US"/>
    </w:rPr>
  </w:style>
  <w:style w:type="character" w:customStyle="1" w:styleId="CCS-TableHeadingChar">
    <w:name w:val="CCS-Table Heading Char"/>
    <w:basedOn w:val="CCS-Heading4Char"/>
    <w:link w:val="CCS-TableHeading"/>
    <w:rsid w:val="00EB042B"/>
    <w:rPr>
      <w:rFonts w:ascii="Arial" w:eastAsiaTheme="minorHAnsi" w:hAnsi="Arial" w:cs="Arial"/>
      <w:b/>
      <w:color w:val="auto"/>
      <w:sz w:val="24"/>
      <w:szCs w:val="24"/>
      <w:lang w:eastAsia="en-US"/>
    </w:rPr>
  </w:style>
  <w:style w:type="character" w:customStyle="1" w:styleId="CCS-TableHeading2Char">
    <w:name w:val="CCS-Table Heading 2 Char"/>
    <w:basedOn w:val="CCS-TableHeadingChar"/>
    <w:link w:val="CCS-TableHeading2"/>
    <w:rsid w:val="00EB042B"/>
    <w:rPr>
      <w:rFonts w:ascii="Arial" w:eastAsiaTheme="minorHAnsi" w:hAnsi="Arial" w:cs="Arial"/>
      <w:b/>
      <w:color w:val="auto"/>
      <w:sz w:val="21"/>
      <w:szCs w:val="21"/>
      <w:lang w:eastAsia="en-US"/>
    </w:rPr>
  </w:style>
  <w:style w:type="character" w:customStyle="1" w:styleId="CCSNormalTextChar">
    <w:name w:val="CCS Normal Text Char"/>
    <w:basedOn w:val="DefaultParagraphFont"/>
    <w:link w:val="CCSNormalText"/>
    <w:locked/>
    <w:rsid w:val="00EB042B"/>
    <w:rPr>
      <w:rFonts w:ascii="Arial" w:eastAsiaTheme="minorHAnsi" w:hAnsi="Arial" w:cs="Arial"/>
      <w:color w:val="auto"/>
      <w:lang w:eastAsia="zh-CN" w:bidi="th-TH"/>
    </w:rPr>
  </w:style>
  <w:style w:type="paragraph" w:customStyle="1" w:styleId="CCS-NormalText">
    <w:name w:val="CCS - Normal Text"/>
    <w:basedOn w:val="Normal"/>
    <w:link w:val="CCS-NormalTextChar"/>
    <w:rsid w:val="00EB042B"/>
    <w:rPr>
      <w:rFonts w:ascii="Arial" w:eastAsiaTheme="minorHAnsi" w:hAnsi="Arial" w:cs="Arial"/>
      <w:lang w:eastAsia="zh-CN" w:bidi="th-TH"/>
    </w:rPr>
  </w:style>
  <w:style w:type="character" w:customStyle="1" w:styleId="CCS-NormalTextChar">
    <w:name w:val="CCS - Normal Text Char"/>
    <w:basedOn w:val="DefaultParagraphFont"/>
    <w:link w:val="CCS-NormalText"/>
    <w:locked/>
    <w:rsid w:val="00EB042B"/>
    <w:rPr>
      <w:rFonts w:ascii="Arial" w:eastAsiaTheme="minorHAnsi" w:hAnsi="Arial" w:cs="Arial"/>
      <w:color w:val="auto"/>
      <w:lang w:eastAsia="zh-CN" w:bidi="th-TH"/>
    </w:rPr>
  </w:style>
  <w:style w:type="character" w:styleId="CommentReference">
    <w:name w:val="annotation reference"/>
    <w:basedOn w:val="DefaultParagraphFont"/>
    <w:uiPriority w:val="99"/>
    <w:semiHidden/>
    <w:unhideWhenUsed/>
    <w:rsid w:val="00D64E36"/>
    <w:rPr>
      <w:sz w:val="16"/>
      <w:szCs w:val="16"/>
    </w:rPr>
  </w:style>
  <w:style w:type="paragraph" w:styleId="CommentText">
    <w:name w:val="annotation text"/>
    <w:basedOn w:val="Normal"/>
    <w:link w:val="CommentTextChar"/>
    <w:uiPriority w:val="99"/>
    <w:unhideWhenUsed/>
    <w:rsid w:val="00D64E36"/>
    <w:rPr>
      <w:rFonts w:eastAsiaTheme="minorEastAsia" w:cs="Times New Roman (Body CS)"/>
      <w:lang w:eastAsia="zh-CN"/>
    </w:rPr>
  </w:style>
  <w:style w:type="character" w:customStyle="1" w:styleId="CommentTextChar">
    <w:name w:val="Comment Text Char"/>
    <w:basedOn w:val="DefaultParagraphFont"/>
    <w:link w:val="CommentText"/>
    <w:uiPriority w:val="99"/>
    <w:rsid w:val="00D64E36"/>
    <w:rPr>
      <w:rFonts w:ascii="Helvetica" w:eastAsiaTheme="minorEastAsia" w:hAnsi="Helvetica" w:cs="Times New Roman (Body CS)"/>
      <w:color w:val="404040" w:themeColor="text1" w:themeTint="BF"/>
      <w:sz w:val="20"/>
      <w:szCs w:val="20"/>
      <w:lang w:eastAsia="zh-CN"/>
    </w:rPr>
  </w:style>
  <w:style w:type="character" w:customStyle="1" w:styleId="ListParagraphChar">
    <w:name w:val="List Paragraph Char"/>
    <w:basedOn w:val="DefaultParagraphFont"/>
    <w:link w:val="ListParagraph"/>
    <w:uiPriority w:val="34"/>
    <w:rsid w:val="003343AE"/>
    <w:rPr>
      <w:rFonts w:ascii="Helvetica" w:eastAsia="Helvetica" w:hAnsi="Helvetica" w:cs="Times New Roman (Body CS)"/>
      <w:color w:val="404040" w:themeColor="text1" w:themeTint="BF"/>
      <w:sz w:val="20"/>
      <w:szCs w:val="20"/>
      <w:lang w:eastAsia="en-US"/>
    </w:rPr>
  </w:style>
  <w:style w:type="character" w:customStyle="1" w:styleId="apple-converted-space">
    <w:name w:val="apple-converted-space"/>
    <w:basedOn w:val="DefaultParagraphFont"/>
    <w:rsid w:val="00D64E36"/>
  </w:style>
  <w:style w:type="character" w:customStyle="1" w:styleId="normaltextrun">
    <w:name w:val="normaltextrun"/>
    <w:basedOn w:val="DefaultParagraphFont"/>
    <w:rsid w:val="002611B5"/>
  </w:style>
  <w:style w:type="character" w:customStyle="1" w:styleId="eop">
    <w:name w:val="eop"/>
    <w:basedOn w:val="DefaultParagraphFont"/>
    <w:rsid w:val="002611B5"/>
  </w:style>
  <w:style w:type="paragraph" w:customStyle="1" w:styleId="paragraph">
    <w:name w:val="paragraph"/>
    <w:basedOn w:val="Normal"/>
    <w:rsid w:val="002611B5"/>
    <w:pPr>
      <w:autoSpaceDE w:val="0"/>
      <w:autoSpaceDN w:val="0"/>
      <w:adjustRightInd w:val="0"/>
      <w:spacing w:before="100" w:beforeAutospacing="1" w:after="100" w:afterAutospacing="1"/>
    </w:pPr>
    <w:rPr>
      <w:rFonts w:eastAsiaTheme="minorEastAsia"/>
      <w:lang w:val="en-GB" w:eastAsia="en-AU"/>
    </w:rPr>
  </w:style>
  <w:style w:type="paragraph" w:customStyle="1" w:styleId="CV-Heading">
    <w:name w:val="CV - Heading"/>
    <w:basedOn w:val="Normal"/>
    <w:uiPriority w:val="7"/>
    <w:rsid w:val="007F515F"/>
    <w:pPr>
      <w:spacing w:before="240" w:line="240" w:lineRule="atLeast"/>
      <w:contextualSpacing/>
    </w:pPr>
    <w:rPr>
      <w:rFonts w:ascii="Verdana" w:eastAsiaTheme="minorHAnsi" w:hAnsi="Verdana"/>
      <w:b/>
      <w:sz w:val="18"/>
      <w:szCs w:val="18"/>
      <w:lang w:val="en-GB" w:eastAsia="en-US"/>
    </w:rPr>
  </w:style>
  <w:style w:type="paragraph" w:customStyle="1" w:styleId="ListBullet1">
    <w:name w:val="List Bullet1"/>
    <w:basedOn w:val="Normal"/>
    <w:link w:val="ListbulletChar"/>
    <w:rsid w:val="007F515F"/>
    <w:pPr>
      <w:numPr>
        <w:numId w:val="2"/>
      </w:numPr>
      <w:tabs>
        <w:tab w:val="num" w:pos="1134"/>
      </w:tabs>
      <w:spacing w:before="80" w:after="80" w:line="260" w:lineRule="atLeast"/>
      <w:ind w:left="1134" w:hanging="567"/>
    </w:pPr>
    <w:rPr>
      <w:rFonts w:asciiTheme="majorHAnsi" w:eastAsia="Tahoma" w:hAnsiTheme="majorHAnsi" w:cs="Tahoma"/>
      <w:lang w:eastAsia="en-AU"/>
    </w:rPr>
  </w:style>
  <w:style w:type="character" w:customStyle="1" w:styleId="ListbulletChar">
    <w:name w:val="List bullet Char"/>
    <w:basedOn w:val="DefaultParagraphFont"/>
    <w:link w:val="ListBullet1"/>
    <w:rsid w:val="007F515F"/>
    <w:rPr>
      <w:rFonts w:asciiTheme="majorHAnsi" w:eastAsia="Tahoma" w:hAnsiTheme="majorHAnsi" w:cs="Tahoma"/>
      <w:color w:val="404040" w:themeColor="text1" w:themeTint="BF"/>
      <w:sz w:val="20"/>
      <w:szCs w:val="20"/>
      <w:lang w:eastAsia="en-AU"/>
    </w:rPr>
  </w:style>
  <w:style w:type="character" w:customStyle="1" w:styleId="BodyChar">
    <w:name w:val="Body Char"/>
    <w:link w:val="Body"/>
    <w:locked/>
    <w:rsid w:val="007F515F"/>
    <w:rPr>
      <w:rFonts w:ascii="Calibri" w:eastAsia="Arial Unicode MS" w:hAnsi="Calibri" w:cs="Calibri"/>
      <w:bCs/>
      <w:u w:color="000000"/>
      <w:bdr w:val="none" w:sz="0" w:space="0" w:color="auto" w:frame="1"/>
    </w:rPr>
  </w:style>
  <w:style w:type="paragraph" w:customStyle="1" w:styleId="Body">
    <w:name w:val="Body"/>
    <w:link w:val="BodyChar"/>
    <w:rsid w:val="007F515F"/>
    <w:pPr>
      <w:spacing w:before="120" w:after="120" w:line="260" w:lineRule="atLeast"/>
    </w:pPr>
    <w:rPr>
      <w:rFonts w:ascii="Calibri" w:eastAsia="Arial Unicode MS" w:hAnsi="Calibri" w:cs="Calibri"/>
      <w:bCs/>
      <w:u w:color="000000"/>
      <w:bdr w:val="none" w:sz="0" w:space="0" w:color="auto" w:frame="1"/>
    </w:rPr>
  </w:style>
  <w:style w:type="paragraph" w:styleId="CommentSubject">
    <w:name w:val="annotation subject"/>
    <w:basedOn w:val="CommentText"/>
    <w:next w:val="CommentText"/>
    <w:link w:val="CommentSubjectChar"/>
    <w:uiPriority w:val="99"/>
    <w:semiHidden/>
    <w:unhideWhenUsed/>
    <w:rsid w:val="000E1B6A"/>
    <w:rPr>
      <w:rFonts w:ascii="Helvetica Neue" w:eastAsia="Helvetica Neue" w:hAnsi="Helvetica Neue" w:cs="Helvetica Neue"/>
      <w:b/>
      <w:bCs/>
      <w:lang w:eastAsia="en-GB"/>
    </w:rPr>
  </w:style>
  <w:style w:type="character" w:customStyle="1" w:styleId="CommentSubjectChar">
    <w:name w:val="Comment Subject Char"/>
    <w:basedOn w:val="CommentTextChar"/>
    <w:link w:val="CommentSubject"/>
    <w:uiPriority w:val="99"/>
    <w:semiHidden/>
    <w:rsid w:val="000E1B6A"/>
    <w:rPr>
      <w:rFonts w:ascii="Helvetica" w:eastAsiaTheme="minorEastAsia" w:hAnsi="Helvetica" w:cs="Times New Roman (Body CS)"/>
      <w:b/>
      <w:bCs/>
      <w:color w:val="404040" w:themeColor="text1" w:themeTint="BF"/>
      <w:sz w:val="20"/>
      <w:szCs w:val="20"/>
      <w:lang w:eastAsia="zh-CN"/>
    </w:rPr>
  </w:style>
  <w:style w:type="paragraph" w:customStyle="1" w:styleId="CCS-Bullet">
    <w:name w:val="CCS-Bullet"/>
    <w:basedOn w:val="Normal"/>
    <w:rsid w:val="005D418F"/>
    <w:pPr>
      <w:numPr>
        <w:numId w:val="3"/>
      </w:numPr>
      <w:ind w:left="927"/>
    </w:pPr>
    <w:rPr>
      <w:rFonts w:ascii="Arial" w:eastAsiaTheme="minorHAnsi" w:hAnsi="Arial" w:cs="Arial"/>
      <w:lang w:eastAsia="zh-CN" w:bidi="th-TH"/>
    </w:rPr>
  </w:style>
  <w:style w:type="paragraph" w:customStyle="1" w:styleId="CCS-NumericNumberedList">
    <w:name w:val="CCS-Numeric Numbered List"/>
    <w:basedOn w:val="Normal"/>
    <w:rsid w:val="005D418F"/>
    <w:pPr>
      <w:numPr>
        <w:numId w:val="4"/>
      </w:numPr>
    </w:pPr>
    <w:rPr>
      <w:rFonts w:ascii="Arial" w:eastAsiaTheme="minorHAnsi" w:hAnsi="Arial" w:cs="Arial"/>
      <w:lang w:eastAsia="zh-CN" w:bidi="th-TH"/>
    </w:rPr>
  </w:style>
  <w:style w:type="paragraph" w:customStyle="1" w:styleId="LegalScheduleLevel1">
    <w:name w:val="Legal Schedule Level 1"/>
    <w:basedOn w:val="Normal"/>
    <w:rsid w:val="00083873"/>
    <w:pPr>
      <w:numPr>
        <w:numId w:val="5"/>
      </w:numPr>
      <w:spacing w:before="240" w:after="240"/>
    </w:pPr>
    <w:rPr>
      <w:rFonts w:ascii="Arial" w:eastAsia="Calibri" w:hAnsi="Arial" w:cs="Arial"/>
      <w:b/>
      <w:sz w:val="32"/>
      <w:szCs w:val="32"/>
      <w:lang w:eastAsia="en-US"/>
    </w:rPr>
  </w:style>
  <w:style w:type="paragraph" w:customStyle="1" w:styleId="LegalScheduleLevel2">
    <w:name w:val="Legal Schedule Level 2"/>
    <w:basedOn w:val="Normal"/>
    <w:rsid w:val="00083873"/>
    <w:pPr>
      <w:keepNext/>
      <w:numPr>
        <w:ilvl w:val="1"/>
        <w:numId w:val="5"/>
      </w:numPr>
      <w:tabs>
        <w:tab w:val="num" w:pos="1440"/>
      </w:tabs>
      <w:spacing w:line="280" w:lineRule="exact"/>
      <w:outlineLvl w:val="2"/>
    </w:pPr>
    <w:rPr>
      <w:rFonts w:ascii="Arial" w:hAnsi="Arial" w:cs="Arial"/>
      <w:b/>
      <w:bCs/>
      <w:w w:val="95"/>
      <w:lang w:eastAsia="zh-CN" w:bidi="th-TH"/>
    </w:rPr>
  </w:style>
  <w:style w:type="paragraph" w:customStyle="1" w:styleId="LegalScheduleLevel3">
    <w:name w:val="Legal Schedule Level 3"/>
    <w:basedOn w:val="Normal"/>
    <w:rsid w:val="00083873"/>
    <w:pPr>
      <w:numPr>
        <w:ilvl w:val="2"/>
        <w:numId w:val="5"/>
      </w:numPr>
      <w:tabs>
        <w:tab w:val="num" w:pos="2160"/>
      </w:tabs>
      <w:spacing w:after="140" w:line="280" w:lineRule="atLeast"/>
      <w:outlineLvl w:val="3"/>
    </w:pPr>
    <w:rPr>
      <w:rFonts w:ascii="Arial" w:hAnsi="Arial" w:cs="Arial"/>
      <w:lang w:eastAsia="zh-CN" w:bidi="th-TH"/>
    </w:rPr>
  </w:style>
  <w:style w:type="paragraph" w:customStyle="1" w:styleId="LegalScheduleLevel4">
    <w:name w:val="Legal Schedule Level 4"/>
    <w:basedOn w:val="Normal"/>
    <w:rsid w:val="00083873"/>
    <w:pPr>
      <w:numPr>
        <w:ilvl w:val="3"/>
        <w:numId w:val="5"/>
      </w:numPr>
      <w:tabs>
        <w:tab w:val="num" w:pos="2880"/>
      </w:tabs>
      <w:spacing w:after="140" w:line="280" w:lineRule="atLeast"/>
      <w:outlineLvl w:val="3"/>
    </w:pPr>
    <w:rPr>
      <w:rFonts w:ascii="Arial" w:hAnsi="Arial" w:cs="Arial"/>
      <w:lang w:eastAsia="zh-CN" w:bidi="th-TH"/>
    </w:rPr>
  </w:style>
  <w:style w:type="paragraph" w:customStyle="1" w:styleId="LegalScheduleLevel5">
    <w:name w:val="Legal Schedule Level 5"/>
    <w:basedOn w:val="Normal"/>
    <w:rsid w:val="00083873"/>
    <w:pPr>
      <w:numPr>
        <w:ilvl w:val="4"/>
        <w:numId w:val="5"/>
      </w:numPr>
      <w:tabs>
        <w:tab w:val="num" w:pos="3600"/>
      </w:tabs>
      <w:spacing w:after="140" w:line="280" w:lineRule="atLeast"/>
      <w:outlineLvl w:val="4"/>
    </w:pPr>
    <w:rPr>
      <w:rFonts w:ascii="Arial" w:hAnsi="Arial" w:cs="Arial"/>
      <w:lang w:eastAsia="zh-CN" w:bidi="th-TH"/>
    </w:rPr>
  </w:style>
  <w:style w:type="character" w:customStyle="1" w:styleId="Indent2Char">
    <w:name w:val="Indent 2 Char"/>
    <w:basedOn w:val="DefaultParagraphFont"/>
    <w:link w:val="Indent2"/>
    <w:locked/>
    <w:rsid w:val="004A6592"/>
  </w:style>
  <w:style w:type="paragraph" w:customStyle="1" w:styleId="Indent2">
    <w:name w:val="Indent 2"/>
    <w:basedOn w:val="Normal"/>
    <w:link w:val="Indent2Char"/>
    <w:rsid w:val="004A6592"/>
    <w:pPr>
      <w:spacing w:after="240"/>
      <w:ind w:left="737"/>
    </w:pPr>
    <w:rPr>
      <w:color w:val="404040"/>
    </w:rPr>
  </w:style>
  <w:style w:type="paragraph" w:customStyle="1" w:styleId="m7148123070902536589msolistparagraph">
    <w:name w:val="m_7148123070902536589msolistparagraph"/>
    <w:basedOn w:val="Normal"/>
    <w:rsid w:val="004A7517"/>
    <w:pPr>
      <w:spacing w:before="100" w:beforeAutospacing="1" w:after="100" w:afterAutospacing="1"/>
    </w:pPr>
  </w:style>
  <w:style w:type="paragraph" w:customStyle="1" w:styleId="IPText">
    <w:name w:val="IP Text"/>
    <w:basedOn w:val="Normal"/>
    <w:rsid w:val="00741B73"/>
    <w:rPr>
      <w:lang w:eastAsia="en-US"/>
    </w:rPr>
  </w:style>
  <w:style w:type="paragraph" w:customStyle="1" w:styleId="Bullet1">
    <w:name w:val="Bullet 1"/>
    <w:basedOn w:val="Normal"/>
    <w:next w:val="Normal"/>
    <w:rsid w:val="00C2786C"/>
    <w:pPr>
      <w:numPr>
        <w:numId w:val="6"/>
      </w:numPr>
      <w:tabs>
        <w:tab w:val="num" w:pos="720"/>
      </w:tabs>
    </w:pPr>
    <w:rPr>
      <w:rFonts w:asciiTheme="minorHAnsi" w:eastAsiaTheme="minorHAnsi" w:hAnsiTheme="minorHAnsi"/>
      <w:sz w:val="21"/>
      <w:lang w:val="en-GB" w:eastAsia="en-US"/>
    </w:rPr>
  </w:style>
  <w:style w:type="paragraph" w:customStyle="1" w:styleId="Bullet2">
    <w:name w:val="Bullet 2"/>
    <w:basedOn w:val="Normal"/>
    <w:next w:val="Normal"/>
    <w:rsid w:val="00C2786C"/>
    <w:pPr>
      <w:numPr>
        <w:ilvl w:val="1"/>
        <w:numId w:val="6"/>
      </w:numPr>
      <w:tabs>
        <w:tab w:val="num" w:pos="1440"/>
      </w:tabs>
      <w:ind w:left="1440" w:hanging="357"/>
    </w:pPr>
    <w:rPr>
      <w:rFonts w:asciiTheme="minorHAnsi" w:eastAsiaTheme="minorHAnsi" w:hAnsiTheme="minorHAnsi"/>
      <w:sz w:val="21"/>
      <w:lang w:val="en-GB" w:eastAsia="en-US"/>
    </w:rPr>
  </w:style>
  <w:style w:type="paragraph" w:customStyle="1" w:styleId="Bullet3">
    <w:name w:val="Bullet 3"/>
    <w:basedOn w:val="Bullet2"/>
    <w:next w:val="Normal"/>
    <w:rsid w:val="00C2786C"/>
    <w:pPr>
      <w:numPr>
        <w:ilvl w:val="2"/>
      </w:numPr>
      <w:tabs>
        <w:tab w:val="num" w:pos="1440"/>
        <w:tab w:val="num" w:pos="2160"/>
      </w:tabs>
      <w:ind w:left="1071" w:hanging="357"/>
    </w:pPr>
  </w:style>
  <w:style w:type="paragraph" w:styleId="ListBullet2">
    <w:name w:val="List Bullet 2"/>
    <w:basedOn w:val="Normal"/>
    <w:uiPriority w:val="99"/>
    <w:semiHidden/>
    <w:unhideWhenUsed/>
    <w:rsid w:val="00C2786C"/>
    <w:pPr>
      <w:numPr>
        <w:numId w:val="7"/>
      </w:numPr>
      <w:tabs>
        <w:tab w:val="num" w:pos="720"/>
      </w:tabs>
      <w:contextualSpacing/>
    </w:pPr>
  </w:style>
  <w:style w:type="paragraph" w:styleId="ListBullet3">
    <w:name w:val="List Bullet 3"/>
    <w:basedOn w:val="Normal"/>
    <w:uiPriority w:val="99"/>
    <w:semiHidden/>
    <w:rsid w:val="00C2786C"/>
    <w:pPr>
      <w:numPr>
        <w:numId w:val="8"/>
      </w:numPr>
      <w:tabs>
        <w:tab w:val="num" w:pos="643"/>
      </w:tabs>
      <w:ind w:left="1071" w:hanging="357"/>
    </w:pPr>
    <w:rPr>
      <w:rFonts w:asciiTheme="minorHAnsi" w:eastAsiaTheme="minorHAnsi" w:hAnsiTheme="minorHAnsi"/>
      <w:sz w:val="21"/>
      <w:lang w:val="en-GB" w:eastAsia="en-US"/>
    </w:rPr>
  </w:style>
  <w:style w:type="paragraph" w:styleId="Revision">
    <w:name w:val="Revision"/>
    <w:hidden/>
    <w:uiPriority w:val="99"/>
    <w:semiHidden/>
    <w:rsid w:val="00294A71"/>
    <w:rPr>
      <w:rFonts w:ascii="Times New Roman" w:eastAsia="Times New Roman" w:hAnsi="Times New Roman" w:cs="Times New Roman"/>
    </w:rPr>
  </w:style>
  <w:style w:type="numbering" w:customStyle="1" w:styleId="CurrentList1">
    <w:name w:val="Current List1"/>
    <w:uiPriority w:val="99"/>
    <w:rsid w:val="00810073"/>
    <w:pPr>
      <w:numPr>
        <w:numId w:val="23"/>
      </w:numPr>
    </w:pPr>
  </w:style>
  <w:style w:type="numbering" w:customStyle="1" w:styleId="CurrentList2">
    <w:name w:val="Current List2"/>
    <w:uiPriority w:val="99"/>
    <w:rsid w:val="00810073"/>
  </w:style>
  <w:style w:type="paragraph" w:customStyle="1" w:styleId="DHHSbullet1">
    <w:name w:val="DHHS bullet 1"/>
    <w:basedOn w:val="Normal"/>
    <w:rsid w:val="0055739C"/>
    <w:pPr>
      <w:numPr>
        <w:numId w:val="9"/>
      </w:numPr>
      <w:spacing w:after="40" w:line="270" w:lineRule="atLeast"/>
    </w:pPr>
    <w:rPr>
      <w:rFonts w:ascii="Arial" w:eastAsia="Times" w:hAnsi="Arial"/>
      <w:lang w:eastAsia="en-US"/>
    </w:rPr>
  </w:style>
  <w:style w:type="paragraph" w:customStyle="1" w:styleId="DHHSbullet2">
    <w:name w:val="DHHS bullet 2"/>
    <w:basedOn w:val="Normal"/>
    <w:uiPriority w:val="2"/>
    <w:rsid w:val="0055739C"/>
    <w:pPr>
      <w:numPr>
        <w:ilvl w:val="2"/>
        <w:numId w:val="9"/>
      </w:numPr>
      <w:spacing w:after="40" w:line="270" w:lineRule="atLeast"/>
    </w:pPr>
    <w:rPr>
      <w:rFonts w:ascii="Arial" w:eastAsia="Times" w:hAnsi="Arial"/>
      <w:lang w:eastAsia="en-US"/>
    </w:rPr>
  </w:style>
  <w:style w:type="paragraph" w:customStyle="1" w:styleId="DHHSbullet1lastline">
    <w:name w:val="DHHS bullet 1 last line"/>
    <w:basedOn w:val="DHHSbullet1"/>
    <w:rsid w:val="0055739C"/>
    <w:pPr>
      <w:numPr>
        <w:ilvl w:val="1"/>
      </w:numPr>
      <w:spacing w:after="120"/>
      <w:ind w:hanging="358"/>
    </w:pPr>
  </w:style>
  <w:style w:type="paragraph" w:customStyle="1" w:styleId="DHHSbullet2lastline">
    <w:name w:val="DHHS bullet 2 last line"/>
    <w:basedOn w:val="DHHSbullet2"/>
    <w:uiPriority w:val="2"/>
    <w:rsid w:val="0055739C"/>
    <w:pPr>
      <w:numPr>
        <w:ilvl w:val="3"/>
      </w:numPr>
      <w:spacing w:after="120"/>
    </w:pPr>
  </w:style>
  <w:style w:type="paragraph" w:customStyle="1" w:styleId="DHHStablebullet">
    <w:name w:val="DHHS table bullet"/>
    <w:basedOn w:val="Normal"/>
    <w:uiPriority w:val="3"/>
    <w:rsid w:val="0055739C"/>
    <w:pPr>
      <w:numPr>
        <w:ilvl w:val="6"/>
        <w:numId w:val="9"/>
      </w:numPr>
      <w:spacing w:before="80"/>
    </w:pPr>
    <w:rPr>
      <w:rFonts w:ascii="Arial" w:hAnsi="Arial"/>
      <w:lang w:eastAsia="en-US"/>
    </w:rPr>
  </w:style>
  <w:style w:type="numbering" w:customStyle="1" w:styleId="ZZBullets">
    <w:name w:val="ZZ Bullets"/>
    <w:rsid w:val="0055739C"/>
    <w:pPr>
      <w:numPr>
        <w:numId w:val="12"/>
      </w:numPr>
    </w:pPr>
  </w:style>
  <w:style w:type="paragraph" w:customStyle="1" w:styleId="DHHSbulletindent">
    <w:name w:val="DHHS bullet indent"/>
    <w:basedOn w:val="Normal"/>
    <w:rsid w:val="0055739C"/>
    <w:pPr>
      <w:numPr>
        <w:ilvl w:val="4"/>
        <w:numId w:val="9"/>
      </w:numPr>
      <w:spacing w:after="40" w:line="270" w:lineRule="atLeast"/>
    </w:pPr>
    <w:rPr>
      <w:rFonts w:ascii="Arial" w:eastAsia="Times" w:hAnsi="Arial"/>
      <w:lang w:eastAsia="en-US"/>
    </w:rPr>
  </w:style>
  <w:style w:type="paragraph" w:customStyle="1" w:styleId="DHHSbulletindentlastline">
    <w:name w:val="DHHS bullet indent last line"/>
    <w:basedOn w:val="Normal"/>
    <w:rsid w:val="0055739C"/>
    <w:pPr>
      <w:numPr>
        <w:ilvl w:val="5"/>
        <w:numId w:val="9"/>
      </w:numPr>
      <w:spacing w:line="270" w:lineRule="atLeast"/>
    </w:pPr>
    <w:rPr>
      <w:rFonts w:ascii="Arial" w:eastAsia="Times" w:hAnsi="Arial"/>
      <w:lang w:eastAsia="en-US"/>
    </w:rPr>
  </w:style>
  <w:style w:type="paragraph" w:customStyle="1" w:styleId="DHHSbody">
    <w:name w:val="DHHS body"/>
    <w:link w:val="DHHSbodyChar"/>
    <w:rsid w:val="00817D03"/>
    <w:pPr>
      <w:spacing w:after="120" w:line="270" w:lineRule="atLeast"/>
    </w:pPr>
    <w:rPr>
      <w:rFonts w:ascii="Arial" w:eastAsia="Times" w:hAnsi="Arial" w:cs="Times New Roman"/>
      <w:sz w:val="20"/>
      <w:szCs w:val="20"/>
      <w:lang w:eastAsia="en-US"/>
    </w:rPr>
  </w:style>
  <w:style w:type="character" w:customStyle="1" w:styleId="DHHSbodyChar">
    <w:name w:val="DHHS body Char"/>
    <w:link w:val="DHHSbody"/>
    <w:rsid w:val="00817D03"/>
    <w:rPr>
      <w:rFonts w:ascii="Arial" w:eastAsia="Times" w:hAnsi="Arial" w:cs="Times New Roman"/>
      <w:color w:val="auto"/>
      <w:sz w:val="20"/>
      <w:szCs w:val="20"/>
      <w:lang w:eastAsia="en-US"/>
    </w:rPr>
  </w:style>
  <w:style w:type="table" w:customStyle="1" w:styleId="TableGrid3">
    <w:name w:val="Table Grid3"/>
    <w:basedOn w:val="TableNormal"/>
    <w:next w:val="TableGrid"/>
    <w:uiPriority w:val="59"/>
    <w:rsid w:val="004C53F2"/>
    <w:rPr>
      <w:rFonts w:ascii="Times New Roman" w:eastAsia="Times New Roman" w:hAnsi="Times New Roman"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FF171E"/>
    <w:rPr>
      <w:color w:val="9454C3" w:themeColor="hyperlink"/>
      <w:u w:val="single"/>
    </w:rPr>
  </w:style>
  <w:style w:type="character" w:customStyle="1" w:styleId="FootnoteCharacters">
    <w:name w:val="Footnote Characters"/>
    <w:basedOn w:val="DefaultParagraphFont"/>
    <w:uiPriority w:val="99"/>
    <w:unhideWhenUsed/>
    <w:rsid w:val="00FF171E"/>
    <w:rPr>
      <w:vertAlign w:val="superscript"/>
    </w:rPr>
  </w:style>
  <w:style w:type="character" w:customStyle="1" w:styleId="FootnoteAnchor">
    <w:name w:val="Footnote Anchor"/>
    <w:rsid w:val="00FF171E"/>
    <w:rPr>
      <w:vertAlign w:val="superscript"/>
    </w:rPr>
  </w:style>
  <w:style w:type="character" w:customStyle="1" w:styleId="BodytextChar">
    <w:name w:val="Body text Char"/>
    <w:basedOn w:val="DefaultParagraphFont"/>
    <w:link w:val="BodyText1"/>
    <w:qFormat/>
    <w:rsid w:val="0090369A"/>
    <w:rPr>
      <w:rFonts w:ascii="Helvetica" w:eastAsia="Helvetica Neue" w:hAnsi="Helvetica" w:cs="Segoe UI"/>
      <w:color w:val="404040" w:themeColor="text1" w:themeTint="BF"/>
      <w:sz w:val="18"/>
      <w:szCs w:val="18"/>
    </w:rPr>
  </w:style>
  <w:style w:type="paragraph" w:customStyle="1" w:styleId="BodyText1">
    <w:name w:val="Body Text1"/>
    <w:basedOn w:val="Normal"/>
    <w:link w:val="BodytextChar"/>
    <w:qFormat/>
    <w:rsid w:val="0090369A"/>
    <w:pPr>
      <w:textAlignment w:val="baseline"/>
    </w:pPr>
    <w:rPr>
      <w:rFonts w:cs="Segoe UI"/>
      <w:sz w:val="18"/>
      <w:szCs w:val="18"/>
    </w:rPr>
  </w:style>
  <w:style w:type="character" w:customStyle="1" w:styleId="ListLabel88">
    <w:name w:val="ListLabel 88"/>
    <w:rsid w:val="00F53D12"/>
  </w:style>
  <w:style w:type="table" w:customStyle="1" w:styleId="DPSTableGrid1">
    <w:name w:val="DPS Table Grid1"/>
    <w:basedOn w:val="TableNormal"/>
    <w:next w:val="TableGrid"/>
    <w:uiPriority w:val="59"/>
    <w:rsid w:val="00856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A22E6"/>
    <w:rPr>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tpoints">
    <w:name w:val="Dot points"/>
    <w:basedOn w:val="Normal"/>
    <w:rsid w:val="00752518"/>
    <w:pPr>
      <w:ind w:left="720" w:hanging="360"/>
    </w:pPr>
    <w:rPr>
      <w:rFonts w:cs="Arial"/>
      <w:color w:val="404040"/>
      <w:lang w:val="en-US" w:eastAsia="en-US"/>
    </w:rPr>
  </w:style>
  <w:style w:type="character" w:styleId="FollowedHyperlink">
    <w:name w:val="FollowedHyperlink"/>
    <w:basedOn w:val="DefaultParagraphFont"/>
    <w:uiPriority w:val="99"/>
    <w:semiHidden/>
    <w:unhideWhenUsed/>
    <w:rsid w:val="00023AD8"/>
    <w:rPr>
      <w:color w:val="3EBBF0" w:themeColor="followedHyperlink"/>
      <w:u w:val="single"/>
    </w:rPr>
  </w:style>
  <w:style w:type="table" w:customStyle="1" w:styleId="PlainTable21">
    <w:name w:val="Plain Table 21"/>
    <w:basedOn w:val="TableNormal"/>
    <w:next w:val="PlainTable2"/>
    <w:uiPriority w:val="42"/>
    <w:rsid w:val="003422C3"/>
    <w:rPr>
      <w:rFonts w:ascii="Calibri" w:eastAsia="Calibri" w:hAnsi="Calibri" w:cs="Times New Roman"/>
      <w:lang w:eastAsia="en-US"/>
    </w:rPr>
    <w:tblPr>
      <w:tblStyleRowBandSize w:val="1"/>
      <w:tblStyleColBandSize w:val="1"/>
      <w:tblBorders>
        <w:top w:val="single" w:sz="4" w:space="0" w:color="9F9D9D"/>
        <w:bottom w:val="single" w:sz="4" w:space="0" w:color="9F9D9D"/>
      </w:tblBorders>
    </w:tblPr>
    <w:tblStylePr w:type="firstRow">
      <w:rPr>
        <w:b/>
        <w:bCs/>
      </w:rPr>
      <w:tblPr/>
      <w:tcPr>
        <w:tcBorders>
          <w:bottom w:val="single" w:sz="4" w:space="0" w:color="9F9D9D"/>
        </w:tcBorders>
      </w:tcPr>
    </w:tblStylePr>
    <w:tblStylePr w:type="lastRow">
      <w:rPr>
        <w:b/>
        <w:bCs/>
      </w:rPr>
      <w:tblPr/>
      <w:tcPr>
        <w:tcBorders>
          <w:top w:val="single" w:sz="4" w:space="0" w:color="9F9D9D"/>
        </w:tcBorders>
      </w:tcPr>
    </w:tblStylePr>
    <w:tblStylePr w:type="firstCol">
      <w:rPr>
        <w:b/>
        <w:bCs/>
      </w:rPr>
    </w:tblStylePr>
    <w:tblStylePr w:type="lastCol">
      <w:rPr>
        <w:b/>
        <w:bCs/>
      </w:rPr>
    </w:tblStylePr>
    <w:tblStylePr w:type="band1Vert">
      <w:tblPr/>
      <w:tcPr>
        <w:tcBorders>
          <w:left w:val="single" w:sz="4" w:space="0" w:color="9F9D9D"/>
          <w:right w:val="single" w:sz="4" w:space="0" w:color="9F9D9D"/>
        </w:tcBorders>
      </w:tcPr>
    </w:tblStylePr>
    <w:tblStylePr w:type="band2Vert">
      <w:tblPr/>
      <w:tcPr>
        <w:tcBorders>
          <w:left w:val="single" w:sz="4" w:space="0" w:color="9F9D9D"/>
          <w:right w:val="single" w:sz="4" w:space="0" w:color="9F9D9D"/>
        </w:tcBorders>
      </w:tcPr>
    </w:tblStylePr>
    <w:tblStylePr w:type="band1Horz">
      <w:tblPr/>
      <w:tcPr>
        <w:tcBorders>
          <w:top w:val="single" w:sz="4" w:space="0" w:color="9F9D9D"/>
          <w:bottom w:val="single" w:sz="4" w:space="0" w:color="9F9D9D"/>
        </w:tcBorders>
      </w:tcPr>
    </w:tblStylePr>
  </w:style>
  <w:style w:type="table" w:styleId="PlainTable2">
    <w:name w:val="Plain Table 2"/>
    <w:basedOn w:val="TableNormal"/>
    <w:uiPriority w:val="42"/>
    <w:rsid w:val="003422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3422C3"/>
    <w:rPr>
      <w:rFonts w:ascii="Calibri" w:eastAsia="Calibri" w:hAnsi="Calibri" w:cs="Times New Roman"/>
      <w:lang w:eastAsia="en-US"/>
    </w:rPr>
    <w:tblPr>
      <w:tblStyleRowBandSize w:val="1"/>
      <w:tblStyleColBandSize w:val="1"/>
      <w:tblBorders>
        <w:top w:val="single" w:sz="4" w:space="0" w:color="9F9D9D"/>
        <w:bottom w:val="single" w:sz="4" w:space="0" w:color="9F9D9D"/>
      </w:tblBorders>
    </w:tblPr>
    <w:tblStylePr w:type="firstRow">
      <w:rPr>
        <w:b/>
        <w:bCs/>
      </w:rPr>
      <w:tblPr/>
      <w:tcPr>
        <w:tcBorders>
          <w:bottom w:val="single" w:sz="4" w:space="0" w:color="9F9D9D"/>
        </w:tcBorders>
      </w:tcPr>
    </w:tblStylePr>
    <w:tblStylePr w:type="lastRow">
      <w:rPr>
        <w:b/>
        <w:bCs/>
      </w:rPr>
      <w:tblPr/>
      <w:tcPr>
        <w:tcBorders>
          <w:top w:val="single" w:sz="4" w:space="0" w:color="9F9D9D"/>
        </w:tcBorders>
      </w:tcPr>
    </w:tblStylePr>
    <w:tblStylePr w:type="firstCol">
      <w:rPr>
        <w:b/>
        <w:bCs/>
      </w:rPr>
    </w:tblStylePr>
    <w:tblStylePr w:type="lastCol">
      <w:rPr>
        <w:b/>
        <w:bCs/>
      </w:rPr>
    </w:tblStylePr>
    <w:tblStylePr w:type="band1Vert">
      <w:tblPr/>
      <w:tcPr>
        <w:tcBorders>
          <w:left w:val="single" w:sz="4" w:space="0" w:color="9F9D9D"/>
          <w:right w:val="single" w:sz="4" w:space="0" w:color="9F9D9D"/>
        </w:tcBorders>
      </w:tcPr>
    </w:tblStylePr>
    <w:tblStylePr w:type="band2Vert">
      <w:tblPr/>
      <w:tcPr>
        <w:tcBorders>
          <w:left w:val="single" w:sz="4" w:space="0" w:color="9F9D9D"/>
          <w:right w:val="single" w:sz="4" w:space="0" w:color="9F9D9D"/>
        </w:tcBorders>
      </w:tcPr>
    </w:tblStylePr>
    <w:tblStylePr w:type="band1Horz">
      <w:tblPr/>
      <w:tcPr>
        <w:tcBorders>
          <w:top w:val="single" w:sz="4" w:space="0" w:color="9F9D9D"/>
          <w:bottom w:val="single" w:sz="4" w:space="0" w:color="9F9D9D"/>
        </w:tcBorders>
      </w:tcPr>
    </w:tblStylePr>
  </w:style>
  <w:style w:type="character" w:customStyle="1" w:styleId="Heading7Char">
    <w:name w:val="Heading 7 Char"/>
    <w:basedOn w:val="DefaultParagraphFont"/>
    <w:link w:val="Heading7"/>
    <w:uiPriority w:val="9"/>
    <w:semiHidden/>
    <w:rsid w:val="00E147FE"/>
    <w:rPr>
      <w:rFonts w:asciiTheme="majorHAnsi" w:eastAsiaTheme="majorEastAsia" w:hAnsiTheme="majorHAnsi" w:cstheme="majorBidi"/>
      <w:i/>
      <w:iCs/>
      <w:color w:val="224E76" w:themeColor="accent1" w:themeShade="7F"/>
      <w:sz w:val="22"/>
      <w:szCs w:val="22"/>
    </w:rPr>
  </w:style>
  <w:style w:type="character" w:customStyle="1" w:styleId="Heading8Char">
    <w:name w:val="Heading 8 Char"/>
    <w:basedOn w:val="DefaultParagraphFont"/>
    <w:link w:val="Heading8"/>
    <w:uiPriority w:val="9"/>
    <w:semiHidden/>
    <w:rsid w:val="00E147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47FE"/>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E147FE"/>
  </w:style>
  <w:style w:type="character" w:styleId="Mention">
    <w:name w:val="Mention"/>
    <w:basedOn w:val="DefaultParagraphFont"/>
    <w:uiPriority w:val="99"/>
    <w:unhideWhenUsed/>
    <w:rsid w:val="00E147FE"/>
    <w:rPr>
      <w:color w:val="2B579A"/>
      <w:shd w:val="clear" w:color="auto" w:fill="E1DFDD"/>
    </w:rPr>
  </w:style>
  <w:style w:type="paragraph" w:styleId="Quote">
    <w:name w:val="Quote"/>
    <w:basedOn w:val="Normal"/>
    <w:next w:val="Normal"/>
    <w:link w:val="QuoteChar"/>
    <w:uiPriority w:val="29"/>
    <w:qFormat/>
    <w:rsid w:val="001C7B78"/>
    <w:pPr>
      <w:spacing w:before="200" w:after="160"/>
      <w:ind w:left="864" w:right="864"/>
      <w:jc w:val="both"/>
    </w:pPr>
    <w:rPr>
      <w:i/>
      <w:iCs/>
    </w:rPr>
  </w:style>
  <w:style w:type="character" w:customStyle="1" w:styleId="QuoteChar">
    <w:name w:val="Quote Char"/>
    <w:basedOn w:val="DefaultParagraphFont"/>
    <w:link w:val="Quote"/>
    <w:uiPriority w:val="29"/>
    <w:rsid w:val="001C7B78"/>
    <w:rPr>
      <w:rFonts w:ascii="Helvetica" w:eastAsia="Helvetica Neue" w:hAnsi="Helvetica"/>
      <w:i/>
      <w:iCs/>
      <w:color w:val="404040" w:themeColor="text1" w:themeTint="BF"/>
      <w:sz w:val="20"/>
      <w:szCs w:val="20"/>
    </w:rPr>
  </w:style>
  <w:style w:type="paragraph" w:styleId="Caption">
    <w:name w:val="caption"/>
    <w:basedOn w:val="Normal"/>
    <w:next w:val="Normal"/>
    <w:link w:val="CaptionChar"/>
    <w:uiPriority w:val="35"/>
    <w:unhideWhenUsed/>
    <w:qFormat/>
    <w:rsid w:val="00E147FE"/>
    <w:pPr>
      <w:spacing w:before="0" w:after="200"/>
    </w:pPr>
    <w:rPr>
      <w:i/>
      <w:iCs/>
      <w:color w:val="242852" w:themeColor="text2"/>
      <w:sz w:val="18"/>
      <w:szCs w:val="18"/>
    </w:rPr>
  </w:style>
  <w:style w:type="character" w:customStyle="1" w:styleId="CaptionChar">
    <w:name w:val="Caption Char"/>
    <w:link w:val="Caption"/>
    <w:uiPriority w:val="35"/>
    <w:rsid w:val="00E147FE"/>
    <w:rPr>
      <w:rFonts w:ascii="Helvetica" w:eastAsia="Helvetica Neue" w:hAnsi="Helvetica"/>
      <w:i/>
      <w:iCs/>
      <w:color w:val="242852" w:themeColor="text2"/>
      <w:sz w:val="18"/>
      <w:szCs w:val="18"/>
    </w:rPr>
  </w:style>
  <w:style w:type="table" w:customStyle="1" w:styleId="PlainTable23">
    <w:name w:val="Plain Table 23"/>
    <w:basedOn w:val="TableNormal"/>
    <w:next w:val="PlainTable2"/>
    <w:uiPriority w:val="42"/>
    <w:rsid w:val="00E147F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CurrentList11">
    <w:name w:val="Current List11"/>
    <w:uiPriority w:val="99"/>
    <w:rsid w:val="00E147FE"/>
    <w:pPr>
      <w:numPr>
        <w:numId w:val="24"/>
      </w:numPr>
    </w:pPr>
  </w:style>
  <w:style w:type="character" w:customStyle="1" w:styleId="superscript">
    <w:name w:val="superscript"/>
    <w:basedOn w:val="DefaultParagraphFont"/>
    <w:rsid w:val="00E147FE"/>
  </w:style>
  <w:style w:type="character" w:customStyle="1" w:styleId="scxw243845053">
    <w:name w:val="scxw243845053"/>
    <w:basedOn w:val="DefaultParagraphFont"/>
    <w:rsid w:val="00E147FE"/>
  </w:style>
  <w:style w:type="character" w:customStyle="1" w:styleId="Heading3Char">
    <w:name w:val="Heading 3 Char"/>
    <w:basedOn w:val="DefaultParagraphFont"/>
    <w:link w:val="Heading3"/>
    <w:uiPriority w:val="9"/>
    <w:rsid w:val="00896DC9"/>
    <w:rPr>
      <w:rFonts w:ascii="Helvetica" w:hAnsi="Helvetica" w:cs="Segoe UI"/>
      <w:b/>
      <w:color w:val="008080"/>
      <w:szCs w:val="20"/>
    </w:rPr>
  </w:style>
  <w:style w:type="character" w:customStyle="1" w:styleId="Heading4Char">
    <w:name w:val="Heading 4 Char"/>
    <w:basedOn w:val="DefaultParagraphFont"/>
    <w:link w:val="Heading4"/>
    <w:uiPriority w:val="9"/>
    <w:rsid w:val="00896DC9"/>
    <w:rPr>
      <w:rFonts w:ascii="Helvetica" w:eastAsia="Helvetica Neue" w:hAnsi="Helvetica"/>
      <w:i/>
      <w:color w:val="008080"/>
      <w:sz w:val="20"/>
      <w:szCs w:val="20"/>
    </w:rPr>
  </w:style>
  <w:style w:type="character" w:customStyle="1" w:styleId="Heading5Char">
    <w:name w:val="Heading 5 Char"/>
    <w:basedOn w:val="DefaultParagraphFont"/>
    <w:link w:val="Heading5"/>
    <w:uiPriority w:val="9"/>
    <w:rsid w:val="005C460A"/>
    <w:rPr>
      <w:rFonts w:ascii="Helvetica" w:hAnsi="Helvetica" w:cs="Segoe UI"/>
      <w:b/>
      <w:bCs/>
      <w:color w:val="009999"/>
      <w:sz w:val="22"/>
      <w:szCs w:val="20"/>
    </w:rPr>
  </w:style>
  <w:style w:type="character" w:customStyle="1" w:styleId="Heading6Char">
    <w:name w:val="Heading 6 Char"/>
    <w:aliases w:val="IP Figure label Char"/>
    <w:basedOn w:val="DefaultParagraphFont"/>
    <w:link w:val="Heading6"/>
    <w:uiPriority w:val="9"/>
    <w:rsid w:val="00896DC9"/>
    <w:rPr>
      <w:rFonts w:ascii="Helvetica" w:hAnsi="Helvetica" w:cs="Segoe UI"/>
      <w:bCs/>
      <w:color w:val="008080"/>
      <w:sz w:val="20"/>
      <w:szCs w:val="20"/>
    </w:rPr>
  </w:style>
  <w:style w:type="character" w:customStyle="1" w:styleId="SubtitleChar">
    <w:name w:val="Subtitle Char"/>
    <w:basedOn w:val="DefaultParagraphFont"/>
    <w:link w:val="Subtitle"/>
    <w:uiPriority w:val="11"/>
    <w:rsid w:val="005C460A"/>
    <w:rPr>
      <w:rFonts w:ascii="American Typewriter" w:eastAsiaTheme="minorEastAsia" w:hAnsi="American Typewriter" w:cs="Times New Roman (Body CS)"/>
      <w:color w:val="242852" w:themeColor="text2"/>
      <w:sz w:val="22"/>
      <w:szCs w:val="22"/>
    </w:rPr>
  </w:style>
  <w:style w:type="character" w:styleId="IntenseEmphasis">
    <w:name w:val="Intense Emphasis"/>
    <w:basedOn w:val="DefaultParagraphFont"/>
    <w:uiPriority w:val="21"/>
    <w:qFormat/>
    <w:rsid w:val="00E147FE"/>
    <w:rPr>
      <w:i/>
      <w:iCs/>
      <w:color w:val="629DD1" w:themeColor="accent1"/>
    </w:rPr>
  </w:style>
  <w:style w:type="character" w:customStyle="1" w:styleId="IntenseQuoteChar">
    <w:name w:val="Intense Quote Char"/>
    <w:basedOn w:val="DefaultParagraphFont"/>
    <w:link w:val="IntenseQuote"/>
    <w:uiPriority w:val="30"/>
    <w:rsid w:val="00E147FE"/>
    <w:rPr>
      <w:rFonts w:ascii="Helvetica" w:hAnsi="Helvetica"/>
      <w:i/>
      <w:iCs/>
      <w:color w:val="629DD1" w:themeColor="accent1"/>
      <w:sz w:val="22"/>
      <w:szCs w:val="22"/>
    </w:rPr>
  </w:style>
  <w:style w:type="paragraph" w:styleId="IntenseQuote">
    <w:name w:val="Intense Quote"/>
    <w:basedOn w:val="Normal"/>
    <w:next w:val="Normal"/>
    <w:link w:val="IntenseQuoteChar"/>
    <w:uiPriority w:val="30"/>
    <w:qFormat/>
    <w:rsid w:val="00E147FE"/>
    <w:pPr>
      <w:pBdr>
        <w:top w:val="single" w:sz="4" w:space="10" w:color="629DD1" w:themeColor="accent1"/>
        <w:bottom w:val="single" w:sz="4" w:space="10" w:color="629DD1" w:themeColor="accent1"/>
      </w:pBdr>
      <w:spacing w:before="360" w:after="360"/>
      <w:ind w:left="864" w:right="864"/>
      <w:jc w:val="center"/>
    </w:pPr>
    <w:rPr>
      <w:i/>
      <w:iCs/>
      <w:color w:val="629DD1" w:themeColor="accent1"/>
    </w:rPr>
  </w:style>
  <w:style w:type="character" w:customStyle="1" w:styleId="IntenseQuoteChar1">
    <w:name w:val="Intense Quote Char1"/>
    <w:basedOn w:val="DefaultParagraphFont"/>
    <w:uiPriority w:val="30"/>
    <w:rsid w:val="00E147FE"/>
    <w:rPr>
      <w:rFonts w:ascii="Times New Roman" w:eastAsia="Times New Roman" w:hAnsi="Times New Roman" w:cs="Times New Roman"/>
      <w:i/>
      <w:iCs/>
      <w:color w:val="629DD1" w:themeColor="accent1"/>
      <w:sz w:val="24"/>
      <w:szCs w:val="24"/>
    </w:rPr>
  </w:style>
  <w:style w:type="character" w:styleId="IntenseReference">
    <w:name w:val="Intense Reference"/>
    <w:basedOn w:val="DefaultParagraphFont"/>
    <w:uiPriority w:val="32"/>
    <w:qFormat/>
    <w:rsid w:val="00E147FE"/>
    <w:rPr>
      <w:b/>
      <w:bCs/>
      <w:smallCaps/>
      <w:color w:val="629DD1" w:themeColor="accent1"/>
      <w:spacing w:val="5"/>
    </w:rPr>
  </w:style>
  <w:style w:type="table" w:customStyle="1" w:styleId="TableGrid1">
    <w:name w:val="Table Grid1"/>
    <w:basedOn w:val="TableNormal"/>
    <w:next w:val="TableGrid"/>
    <w:uiPriority w:val="39"/>
    <w:rsid w:val="00E147FE"/>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cript-snippetcontentbodyword">
    <w:name w:val="transcript-snippet__content__body__word"/>
    <w:basedOn w:val="DefaultParagraphFont"/>
    <w:rsid w:val="00E147FE"/>
  </w:style>
  <w:style w:type="character" w:styleId="Strong">
    <w:name w:val="Strong"/>
    <w:basedOn w:val="DefaultParagraphFont"/>
    <w:uiPriority w:val="22"/>
    <w:qFormat/>
    <w:rsid w:val="00E147FE"/>
    <w:rPr>
      <w:b/>
      <w:bCs/>
    </w:rPr>
  </w:style>
  <w:style w:type="character" w:customStyle="1" w:styleId="overflow-hidden">
    <w:name w:val="overflow-hidden"/>
    <w:basedOn w:val="DefaultParagraphFont"/>
    <w:rsid w:val="00E147FE"/>
  </w:style>
  <w:style w:type="paragraph" w:styleId="TOC3">
    <w:name w:val="toc 3"/>
    <w:basedOn w:val="Normal"/>
    <w:next w:val="Normal"/>
    <w:autoRedefine/>
    <w:uiPriority w:val="39"/>
    <w:unhideWhenUsed/>
    <w:qFormat/>
    <w:rsid w:val="005655D9"/>
    <w:pPr>
      <w:spacing w:after="100" w:line="278" w:lineRule="auto"/>
      <w:ind w:left="480"/>
    </w:pPr>
    <w:rPr>
      <w:rFonts w:asciiTheme="minorHAnsi" w:eastAsiaTheme="minorEastAsia" w:hAnsiTheme="minorHAnsi"/>
      <w:kern w:val="2"/>
      <w14:ligatures w14:val="standardContextual"/>
    </w:rPr>
  </w:style>
  <w:style w:type="paragraph" w:styleId="TOC4">
    <w:name w:val="toc 4"/>
    <w:basedOn w:val="Normal"/>
    <w:next w:val="Normal"/>
    <w:autoRedefine/>
    <w:uiPriority w:val="39"/>
    <w:unhideWhenUsed/>
    <w:rsid w:val="005655D9"/>
    <w:pPr>
      <w:spacing w:after="100" w:line="278" w:lineRule="auto"/>
      <w:ind w:left="720"/>
    </w:pPr>
    <w:rPr>
      <w:rFonts w:asciiTheme="minorHAnsi" w:eastAsiaTheme="minorEastAsia" w:hAnsiTheme="minorHAnsi"/>
      <w:kern w:val="2"/>
      <w14:ligatures w14:val="standardContextual"/>
    </w:rPr>
  </w:style>
  <w:style w:type="paragraph" w:styleId="TOC5">
    <w:name w:val="toc 5"/>
    <w:basedOn w:val="Normal"/>
    <w:next w:val="Normal"/>
    <w:autoRedefine/>
    <w:uiPriority w:val="39"/>
    <w:unhideWhenUsed/>
    <w:rsid w:val="005655D9"/>
    <w:pPr>
      <w:spacing w:after="100" w:line="278" w:lineRule="auto"/>
      <w:ind w:left="960"/>
    </w:pPr>
    <w:rPr>
      <w:rFonts w:asciiTheme="minorHAnsi" w:eastAsiaTheme="minorEastAsia" w:hAnsiTheme="minorHAnsi"/>
      <w:kern w:val="2"/>
      <w14:ligatures w14:val="standardContextual"/>
    </w:rPr>
  </w:style>
  <w:style w:type="paragraph" w:styleId="TOC6">
    <w:name w:val="toc 6"/>
    <w:basedOn w:val="Normal"/>
    <w:next w:val="Normal"/>
    <w:autoRedefine/>
    <w:uiPriority w:val="39"/>
    <w:unhideWhenUsed/>
    <w:rsid w:val="005655D9"/>
    <w:pPr>
      <w:spacing w:after="100" w:line="278" w:lineRule="auto"/>
      <w:ind w:left="1200"/>
    </w:pPr>
    <w:rPr>
      <w:rFonts w:asciiTheme="minorHAnsi" w:eastAsiaTheme="minorEastAsia" w:hAnsiTheme="minorHAnsi"/>
      <w:kern w:val="2"/>
      <w14:ligatures w14:val="standardContextual"/>
    </w:rPr>
  </w:style>
  <w:style w:type="paragraph" w:styleId="TOC7">
    <w:name w:val="toc 7"/>
    <w:basedOn w:val="Normal"/>
    <w:next w:val="Normal"/>
    <w:autoRedefine/>
    <w:uiPriority w:val="39"/>
    <w:unhideWhenUsed/>
    <w:rsid w:val="005655D9"/>
    <w:pPr>
      <w:spacing w:after="100" w:line="278" w:lineRule="auto"/>
      <w:ind w:left="1440"/>
    </w:pPr>
    <w:rPr>
      <w:rFonts w:asciiTheme="minorHAnsi" w:eastAsiaTheme="minorEastAsia" w:hAnsiTheme="minorHAnsi"/>
      <w:kern w:val="2"/>
      <w14:ligatures w14:val="standardContextual"/>
    </w:rPr>
  </w:style>
  <w:style w:type="paragraph" w:styleId="TOC8">
    <w:name w:val="toc 8"/>
    <w:basedOn w:val="Normal"/>
    <w:next w:val="Normal"/>
    <w:autoRedefine/>
    <w:uiPriority w:val="39"/>
    <w:unhideWhenUsed/>
    <w:rsid w:val="005655D9"/>
    <w:pPr>
      <w:spacing w:after="100" w:line="278" w:lineRule="auto"/>
      <w:ind w:left="1680"/>
    </w:pPr>
    <w:rPr>
      <w:rFonts w:asciiTheme="minorHAnsi" w:eastAsiaTheme="minorEastAsia" w:hAnsiTheme="minorHAnsi"/>
      <w:kern w:val="2"/>
      <w14:ligatures w14:val="standardContextual"/>
    </w:rPr>
  </w:style>
  <w:style w:type="paragraph" w:styleId="TOC9">
    <w:name w:val="toc 9"/>
    <w:basedOn w:val="Normal"/>
    <w:next w:val="Normal"/>
    <w:autoRedefine/>
    <w:uiPriority w:val="39"/>
    <w:unhideWhenUsed/>
    <w:rsid w:val="005655D9"/>
    <w:pPr>
      <w:spacing w:after="100" w:line="278" w:lineRule="auto"/>
      <w:ind w:left="1920"/>
    </w:pPr>
    <w:rPr>
      <w:rFonts w:asciiTheme="minorHAnsi" w:eastAsiaTheme="minorEastAsia" w:hAnsiTheme="minorHAnsi"/>
      <w:kern w:val="2"/>
      <w14:ligatures w14:val="standardContextual"/>
    </w:rPr>
  </w:style>
  <w:style w:type="paragraph" w:styleId="BodyText">
    <w:name w:val="Body Text"/>
    <w:basedOn w:val="Normal"/>
    <w:link w:val="BodyTextChar0"/>
    <w:uiPriority w:val="1"/>
    <w:qFormat/>
    <w:rsid w:val="00370EB6"/>
    <w:pPr>
      <w:keepLines w:val="0"/>
      <w:autoSpaceDE w:val="0"/>
      <w:autoSpaceDN w:val="0"/>
      <w:spacing w:before="0" w:after="0"/>
    </w:pPr>
    <w:rPr>
      <w:rFonts w:ascii="Roboto" w:eastAsia="Roboto" w:hAnsi="Roboto" w:cs="Roboto"/>
      <w:color w:val="auto"/>
      <w:sz w:val="24"/>
      <w:szCs w:val="24"/>
      <w:lang w:val="en-US" w:eastAsia="en-US"/>
    </w:rPr>
  </w:style>
  <w:style w:type="character" w:customStyle="1" w:styleId="BodyTextChar0">
    <w:name w:val="Body Text Char"/>
    <w:basedOn w:val="DefaultParagraphFont"/>
    <w:link w:val="BodyText"/>
    <w:uiPriority w:val="1"/>
    <w:rsid w:val="00370EB6"/>
    <w:rPr>
      <w:rFonts w:ascii="Roboto" w:eastAsia="Roboto" w:hAnsi="Roboto" w:cs="Roboto"/>
      <w:lang w:val="en-US" w:eastAsia="en-US"/>
    </w:rPr>
  </w:style>
  <w:style w:type="paragraph" w:customStyle="1" w:styleId="TableParagraph">
    <w:name w:val="Table Paragraph"/>
    <w:basedOn w:val="Normal"/>
    <w:uiPriority w:val="1"/>
    <w:qFormat/>
    <w:rsid w:val="001D2ACD"/>
    <w:pPr>
      <w:keepLines w:val="0"/>
      <w:autoSpaceDE w:val="0"/>
      <w:autoSpaceDN w:val="0"/>
      <w:spacing w:before="37" w:after="0"/>
      <w:ind w:left="160"/>
    </w:pPr>
    <w:rPr>
      <w:rFonts w:eastAsia="Roboto" w:cs="Roboto"/>
      <w:lang w:val="en-US" w:eastAsia="en-US"/>
    </w:rPr>
  </w:style>
  <w:style w:type="character" w:customStyle="1" w:styleId="CCS-Heading1Char">
    <w:name w:val="CCS-Heading 1 Char"/>
    <w:basedOn w:val="DefaultParagraphFont"/>
    <w:link w:val="CCS-Heading1"/>
    <w:rsid w:val="00410FCE"/>
    <w:rPr>
      <w:rFonts w:ascii="Arial" w:hAnsi="Arial" w:cs="Arial"/>
      <w:b/>
      <w:color w:val="404040" w:themeColor="text1" w:themeTint="BF"/>
      <w:sz w:val="34"/>
      <w:szCs w:val="34"/>
      <w:lang w:eastAsia="en-US"/>
    </w:rPr>
  </w:style>
  <w:style w:type="character" w:customStyle="1" w:styleId="TOCformat1">
    <w:name w:val="TOC format1"/>
    <w:basedOn w:val="DefaultParagraphFont"/>
    <w:uiPriority w:val="99"/>
    <w:unhideWhenUsed/>
    <w:rsid w:val="000D1E42"/>
    <w:rPr>
      <w:color w:val="9454C3"/>
      <w:u w:val="single"/>
    </w:rPr>
  </w:style>
  <w:style w:type="character" w:customStyle="1" w:styleId="uv3um">
    <w:name w:val="uv3um"/>
    <w:basedOn w:val="DefaultParagraphFont"/>
    <w:rsid w:val="00AD3DB2"/>
  </w:style>
  <w:style w:type="character" w:customStyle="1" w:styleId="ng-star-inserted">
    <w:name w:val="ng-star-inserted"/>
    <w:basedOn w:val="DefaultParagraphFont"/>
    <w:rsid w:val="005835E2"/>
  </w:style>
  <w:style w:type="character" w:styleId="Emphasis">
    <w:name w:val="Emphasis"/>
    <w:basedOn w:val="DefaultParagraphFont"/>
    <w:uiPriority w:val="20"/>
    <w:qFormat/>
    <w:rsid w:val="003A77FF"/>
    <w:rPr>
      <w:i/>
      <w:iCs/>
    </w:rPr>
  </w:style>
  <w:style w:type="character" w:customStyle="1" w:styleId="bold">
    <w:name w:val="bold"/>
    <w:basedOn w:val="DefaultParagraphFont"/>
    <w:rsid w:val="003A77FF"/>
  </w:style>
  <w:style w:type="character" w:customStyle="1" w:styleId="relative">
    <w:name w:val="relative"/>
    <w:basedOn w:val="DefaultParagraphFont"/>
    <w:rsid w:val="003A77FF"/>
  </w:style>
  <w:style w:type="character" w:customStyle="1" w:styleId="ms-1">
    <w:name w:val="ms-1"/>
    <w:basedOn w:val="DefaultParagraphFont"/>
    <w:rsid w:val="003A77FF"/>
  </w:style>
  <w:style w:type="character" w:customStyle="1" w:styleId="max-w-full">
    <w:name w:val="max-w-full"/>
    <w:basedOn w:val="DefaultParagraphFont"/>
    <w:rsid w:val="003A77FF"/>
  </w:style>
  <w:style w:type="character" w:customStyle="1" w:styleId="-me-1">
    <w:name w:val="-me-1"/>
    <w:basedOn w:val="DefaultParagraphFont"/>
    <w:rsid w:val="003A77FF"/>
  </w:style>
  <w:style w:type="table" w:customStyle="1" w:styleId="6">
    <w:name w:val="6"/>
    <w:basedOn w:val="TableNormal"/>
    <w:rsid w:val="00B21261"/>
    <w:tblPr>
      <w:tblStyleRowBandSize w:val="1"/>
      <w:tblStyleColBandSize w:val="1"/>
    </w:tblPr>
  </w:style>
  <w:style w:type="table" w:customStyle="1" w:styleId="5">
    <w:name w:val="5"/>
    <w:basedOn w:val="TableNormal"/>
    <w:rsid w:val="00B21261"/>
    <w:tblPr>
      <w:tblStyleRowBandSize w:val="1"/>
      <w:tblStyleColBandSize w:val="1"/>
    </w:tblPr>
  </w:style>
  <w:style w:type="table" w:customStyle="1" w:styleId="4">
    <w:name w:val="4"/>
    <w:basedOn w:val="TableNormal"/>
    <w:rsid w:val="00B21261"/>
    <w:tblPr>
      <w:tblStyleRowBandSize w:val="1"/>
      <w:tblStyleColBandSize w:val="1"/>
    </w:tblPr>
  </w:style>
  <w:style w:type="table" w:customStyle="1" w:styleId="3">
    <w:name w:val="3"/>
    <w:basedOn w:val="TableNormal"/>
    <w:rsid w:val="00B21261"/>
    <w:tblPr>
      <w:tblStyleRowBandSize w:val="1"/>
      <w:tblStyleColBandSize w:val="1"/>
    </w:tblPr>
  </w:style>
  <w:style w:type="table" w:customStyle="1" w:styleId="2">
    <w:name w:val="2"/>
    <w:basedOn w:val="TableNormal"/>
    <w:rsid w:val="00B21261"/>
    <w:tblPr>
      <w:tblStyleRowBandSize w:val="1"/>
      <w:tblStyleColBandSize w:val="1"/>
    </w:tblPr>
  </w:style>
  <w:style w:type="table" w:customStyle="1" w:styleId="1">
    <w:name w:val="1"/>
    <w:basedOn w:val="TableNormal"/>
    <w:rsid w:val="00B21261"/>
    <w:tblPr>
      <w:tblStyleRowBandSize w:val="1"/>
      <w:tblStyleColBandSize w:val="1"/>
    </w:tblPr>
  </w:style>
  <w:style w:type="numbering" w:customStyle="1" w:styleId="CurrentList3">
    <w:name w:val="Current List3"/>
    <w:uiPriority w:val="99"/>
    <w:rsid w:val="008015D6"/>
    <w:pPr>
      <w:numPr>
        <w:numId w:val="22"/>
      </w:numPr>
    </w:pPr>
  </w:style>
  <w:style w:type="table" w:styleId="ListTable1Light-Accent5">
    <w:name w:val="List Table 1 Light Accent 5"/>
    <w:basedOn w:val="TableNormal"/>
    <w:uiPriority w:val="46"/>
    <w:rsid w:val="002448FB"/>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148">
      <w:bodyDiv w:val="1"/>
      <w:marLeft w:val="0"/>
      <w:marRight w:val="0"/>
      <w:marTop w:val="0"/>
      <w:marBottom w:val="0"/>
      <w:divBdr>
        <w:top w:val="none" w:sz="0" w:space="0" w:color="auto"/>
        <w:left w:val="none" w:sz="0" w:space="0" w:color="auto"/>
        <w:bottom w:val="none" w:sz="0" w:space="0" w:color="auto"/>
        <w:right w:val="none" w:sz="0" w:space="0" w:color="auto"/>
      </w:divBdr>
      <w:divsChild>
        <w:div w:id="94831488">
          <w:marLeft w:val="0"/>
          <w:marRight w:val="0"/>
          <w:marTop w:val="0"/>
          <w:marBottom w:val="0"/>
          <w:divBdr>
            <w:top w:val="none" w:sz="0" w:space="0" w:color="auto"/>
            <w:left w:val="none" w:sz="0" w:space="0" w:color="auto"/>
            <w:bottom w:val="none" w:sz="0" w:space="0" w:color="auto"/>
            <w:right w:val="none" w:sz="0" w:space="0" w:color="auto"/>
          </w:divBdr>
        </w:div>
        <w:div w:id="123037805">
          <w:marLeft w:val="0"/>
          <w:marRight w:val="0"/>
          <w:marTop w:val="0"/>
          <w:marBottom w:val="0"/>
          <w:divBdr>
            <w:top w:val="none" w:sz="0" w:space="0" w:color="auto"/>
            <w:left w:val="none" w:sz="0" w:space="0" w:color="auto"/>
            <w:bottom w:val="none" w:sz="0" w:space="0" w:color="auto"/>
            <w:right w:val="none" w:sz="0" w:space="0" w:color="auto"/>
          </w:divBdr>
        </w:div>
        <w:div w:id="188840935">
          <w:marLeft w:val="0"/>
          <w:marRight w:val="0"/>
          <w:marTop w:val="0"/>
          <w:marBottom w:val="0"/>
          <w:divBdr>
            <w:top w:val="none" w:sz="0" w:space="0" w:color="auto"/>
            <w:left w:val="none" w:sz="0" w:space="0" w:color="auto"/>
            <w:bottom w:val="none" w:sz="0" w:space="0" w:color="auto"/>
            <w:right w:val="none" w:sz="0" w:space="0" w:color="auto"/>
          </w:divBdr>
        </w:div>
        <w:div w:id="286205815">
          <w:marLeft w:val="0"/>
          <w:marRight w:val="0"/>
          <w:marTop w:val="0"/>
          <w:marBottom w:val="0"/>
          <w:divBdr>
            <w:top w:val="none" w:sz="0" w:space="0" w:color="auto"/>
            <w:left w:val="none" w:sz="0" w:space="0" w:color="auto"/>
            <w:bottom w:val="none" w:sz="0" w:space="0" w:color="auto"/>
            <w:right w:val="none" w:sz="0" w:space="0" w:color="auto"/>
          </w:divBdr>
        </w:div>
        <w:div w:id="628627324">
          <w:marLeft w:val="0"/>
          <w:marRight w:val="0"/>
          <w:marTop w:val="0"/>
          <w:marBottom w:val="0"/>
          <w:divBdr>
            <w:top w:val="none" w:sz="0" w:space="0" w:color="auto"/>
            <w:left w:val="none" w:sz="0" w:space="0" w:color="auto"/>
            <w:bottom w:val="none" w:sz="0" w:space="0" w:color="auto"/>
            <w:right w:val="none" w:sz="0" w:space="0" w:color="auto"/>
          </w:divBdr>
        </w:div>
        <w:div w:id="1066420645">
          <w:marLeft w:val="0"/>
          <w:marRight w:val="0"/>
          <w:marTop w:val="0"/>
          <w:marBottom w:val="0"/>
          <w:divBdr>
            <w:top w:val="none" w:sz="0" w:space="0" w:color="auto"/>
            <w:left w:val="none" w:sz="0" w:space="0" w:color="auto"/>
            <w:bottom w:val="none" w:sz="0" w:space="0" w:color="auto"/>
            <w:right w:val="none" w:sz="0" w:space="0" w:color="auto"/>
          </w:divBdr>
        </w:div>
        <w:div w:id="1121873596">
          <w:marLeft w:val="0"/>
          <w:marRight w:val="0"/>
          <w:marTop w:val="0"/>
          <w:marBottom w:val="0"/>
          <w:divBdr>
            <w:top w:val="none" w:sz="0" w:space="0" w:color="auto"/>
            <w:left w:val="none" w:sz="0" w:space="0" w:color="auto"/>
            <w:bottom w:val="none" w:sz="0" w:space="0" w:color="auto"/>
            <w:right w:val="none" w:sz="0" w:space="0" w:color="auto"/>
          </w:divBdr>
        </w:div>
        <w:div w:id="1364134259">
          <w:marLeft w:val="0"/>
          <w:marRight w:val="0"/>
          <w:marTop w:val="0"/>
          <w:marBottom w:val="0"/>
          <w:divBdr>
            <w:top w:val="none" w:sz="0" w:space="0" w:color="auto"/>
            <w:left w:val="none" w:sz="0" w:space="0" w:color="auto"/>
            <w:bottom w:val="none" w:sz="0" w:space="0" w:color="auto"/>
            <w:right w:val="none" w:sz="0" w:space="0" w:color="auto"/>
          </w:divBdr>
        </w:div>
        <w:div w:id="1465153382">
          <w:marLeft w:val="0"/>
          <w:marRight w:val="0"/>
          <w:marTop w:val="0"/>
          <w:marBottom w:val="0"/>
          <w:divBdr>
            <w:top w:val="none" w:sz="0" w:space="0" w:color="auto"/>
            <w:left w:val="none" w:sz="0" w:space="0" w:color="auto"/>
            <w:bottom w:val="none" w:sz="0" w:space="0" w:color="auto"/>
            <w:right w:val="none" w:sz="0" w:space="0" w:color="auto"/>
          </w:divBdr>
        </w:div>
        <w:div w:id="1469349814">
          <w:marLeft w:val="0"/>
          <w:marRight w:val="0"/>
          <w:marTop w:val="0"/>
          <w:marBottom w:val="0"/>
          <w:divBdr>
            <w:top w:val="none" w:sz="0" w:space="0" w:color="auto"/>
            <w:left w:val="none" w:sz="0" w:space="0" w:color="auto"/>
            <w:bottom w:val="none" w:sz="0" w:space="0" w:color="auto"/>
            <w:right w:val="none" w:sz="0" w:space="0" w:color="auto"/>
          </w:divBdr>
        </w:div>
        <w:div w:id="1604610348">
          <w:marLeft w:val="0"/>
          <w:marRight w:val="0"/>
          <w:marTop w:val="0"/>
          <w:marBottom w:val="0"/>
          <w:divBdr>
            <w:top w:val="none" w:sz="0" w:space="0" w:color="auto"/>
            <w:left w:val="none" w:sz="0" w:space="0" w:color="auto"/>
            <w:bottom w:val="none" w:sz="0" w:space="0" w:color="auto"/>
            <w:right w:val="none" w:sz="0" w:space="0" w:color="auto"/>
          </w:divBdr>
        </w:div>
        <w:div w:id="1679382304">
          <w:marLeft w:val="0"/>
          <w:marRight w:val="0"/>
          <w:marTop w:val="0"/>
          <w:marBottom w:val="0"/>
          <w:divBdr>
            <w:top w:val="none" w:sz="0" w:space="0" w:color="auto"/>
            <w:left w:val="none" w:sz="0" w:space="0" w:color="auto"/>
            <w:bottom w:val="none" w:sz="0" w:space="0" w:color="auto"/>
            <w:right w:val="none" w:sz="0" w:space="0" w:color="auto"/>
          </w:divBdr>
        </w:div>
        <w:div w:id="1685128542">
          <w:marLeft w:val="0"/>
          <w:marRight w:val="0"/>
          <w:marTop w:val="0"/>
          <w:marBottom w:val="0"/>
          <w:divBdr>
            <w:top w:val="none" w:sz="0" w:space="0" w:color="auto"/>
            <w:left w:val="none" w:sz="0" w:space="0" w:color="auto"/>
            <w:bottom w:val="none" w:sz="0" w:space="0" w:color="auto"/>
            <w:right w:val="none" w:sz="0" w:space="0" w:color="auto"/>
          </w:divBdr>
        </w:div>
        <w:div w:id="1744445901">
          <w:marLeft w:val="0"/>
          <w:marRight w:val="0"/>
          <w:marTop w:val="0"/>
          <w:marBottom w:val="0"/>
          <w:divBdr>
            <w:top w:val="none" w:sz="0" w:space="0" w:color="auto"/>
            <w:left w:val="none" w:sz="0" w:space="0" w:color="auto"/>
            <w:bottom w:val="none" w:sz="0" w:space="0" w:color="auto"/>
            <w:right w:val="none" w:sz="0" w:space="0" w:color="auto"/>
          </w:divBdr>
        </w:div>
        <w:div w:id="1941644239">
          <w:marLeft w:val="0"/>
          <w:marRight w:val="0"/>
          <w:marTop w:val="0"/>
          <w:marBottom w:val="0"/>
          <w:divBdr>
            <w:top w:val="none" w:sz="0" w:space="0" w:color="auto"/>
            <w:left w:val="none" w:sz="0" w:space="0" w:color="auto"/>
            <w:bottom w:val="none" w:sz="0" w:space="0" w:color="auto"/>
            <w:right w:val="none" w:sz="0" w:space="0" w:color="auto"/>
          </w:divBdr>
        </w:div>
        <w:div w:id="1986157544">
          <w:marLeft w:val="0"/>
          <w:marRight w:val="0"/>
          <w:marTop w:val="0"/>
          <w:marBottom w:val="0"/>
          <w:divBdr>
            <w:top w:val="none" w:sz="0" w:space="0" w:color="auto"/>
            <w:left w:val="none" w:sz="0" w:space="0" w:color="auto"/>
            <w:bottom w:val="none" w:sz="0" w:space="0" w:color="auto"/>
            <w:right w:val="none" w:sz="0" w:space="0" w:color="auto"/>
          </w:divBdr>
        </w:div>
        <w:div w:id="2038845915">
          <w:marLeft w:val="0"/>
          <w:marRight w:val="0"/>
          <w:marTop w:val="0"/>
          <w:marBottom w:val="0"/>
          <w:divBdr>
            <w:top w:val="none" w:sz="0" w:space="0" w:color="auto"/>
            <w:left w:val="none" w:sz="0" w:space="0" w:color="auto"/>
            <w:bottom w:val="none" w:sz="0" w:space="0" w:color="auto"/>
            <w:right w:val="none" w:sz="0" w:space="0" w:color="auto"/>
          </w:divBdr>
        </w:div>
      </w:divsChild>
    </w:div>
    <w:div w:id="26756997">
      <w:bodyDiv w:val="1"/>
      <w:marLeft w:val="0"/>
      <w:marRight w:val="0"/>
      <w:marTop w:val="0"/>
      <w:marBottom w:val="0"/>
      <w:divBdr>
        <w:top w:val="none" w:sz="0" w:space="0" w:color="auto"/>
        <w:left w:val="none" w:sz="0" w:space="0" w:color="auto"/>
        <w:bottom w:val="none" w:sz="0" w:space="0" w:color="auto"/>
        <w:right w:val="none" w:sz="0" w:space="0" w:color="auto"/>
      </w:divBdr>
      <w:divsChild>
        <w:div w:id="118652785">
          <w:marLeft w:val="1080"/>
          <w:marRight w:val="0"/>
          <w:marTop w:val="0"/>
          <w:marBottom w:val="0"/>
          <w:divBdr>
            <w:top w:val="none" w:sz="0" w:space="0" w:color="auto"/>
            <w:left w:val="none" w:sz="0" w:space="0" w:color="auto"/>
            <w:bottom w:val="none" w:sz="0" w:space="0" w:color="auto"/>
            <w:right w:val="none" w:sz="0" w:space="0" w:color="auto"/>
          </w:divBdr>
        </w:div>
        <w:div w:id="174803223">
          <w:marLeft w:val="1080"/>
          <w:marRight w:val="0"/>
          <w:marTop w:val="0"/>
          <w:marBottom w:val="0"/>
          <w:divBdr>
            <w:top w:val="none" w:sz="0" w:space="0" w:color="auto"/>
            <w:left w:val="none" w:sz="0" w:space="0" w:color="auto"/>
            <w:bottom w:val="none" w:sz="0" w:space="0" w:color="auto"/>
            <w:right w:val="none" w:sz="0" w:space="0" w:color="auto"/>
          </w:divBdr>
        </w:div>
        <w:div w:id="263344871">
          <w:marLeft w:val="1080"/>
          <w:marRight w:val="0"/>
          <w:marTop w:val="0"/>
          <w:marBottom w:val="0"/>
          <w:divBdr>
            <w:top w:val="none" w:sz="0" w:space="0" w:color="auto"/>
            <w:left w:val="none" w:sz="0" w:space="0" w:color="auto"/>
            <w:bottom w:val="none" w:sz="0" w:space="0" w:color="auto"/>
            <w:right w:val="none" w:sz="0" w:space="0" w:color="auto"/>
          </w:divBdr>
        </w:div>
        <w:div w:id="286275913">
          <w:marLeft w:val="1080"/>
          <w:marRight w:val="0"/>
          <w:marTop w:val="0"/>
          <w:marBottom w:val="0"/>
          <w:divBdr>
            <w:top w:val="none" w:sz="0" w:space="0" w:color="auto"/>
            <w:left w:val="none" w:sz="0" w:space="0" w:color="auto"/>
            <w:bottom w:val="none" w:sz="0" w:space="0" w:color="auto"/>
            <w:right w:val="none" w:sz="0" w:space="0" w:color="auto"/>
          </w:divBdr>
        </w:div>
        <w:div w:id="297148801">
          <w:marLeft w:val="360"/>
          <w:marRight w:val="0"/>
          <w:marTop w:val="0"/>
          <w:marBottom w:val="0"/>
          <w:divBdr>
            <w:top w:val="none" w:sz="0" w:space="0" w:color="auto"/>
            <w:left w:val="none" w:sz="0" w:space="0" w:color="auto"/>
            <w:bottom w:val="none" w:sz="0" w:space="0" w:color="auto"/>
            <w:right w:val="none" w:sz="0" w:space="0" w:color="auto"/>
          </w:divBdr>
        </w:div>
        <w:div w:id="426200064">
          <w:marLeft w:val="360"/>
          <w:marRight w:val="0"/>
          <w:marTop w:val="0"/>
          <w:marBottom w:val="0"/>
          <w:divBdr>
            <w:top w:val="none" w:sz="0" w:space="0" w:color="auto"/>
            <w:left w:val="none" w:sz="0" w:space="0" w:color="auto"/>
            <w:bottom w:val="none" w:sz="0" w:space="0" w:color="auto"/>
            <w:right w:val="none" w:sz="0" w:space="0" w:color="auto"/>
          </w:divBdr>
        </w:div>
        <w:div w:id="462508529">
          <w:marLeft w:val="360"/>
          <w:marRight w:val="0"/>
          <w:marTop w:val="0"/>
          <w:marBottom w:val="0"/>
          <w:divBdr>
            <w:top w:val="none" w:sz="0" w:space="0" w:color="auto"/>
            <w:left w:val="none" w:sz="0" w:space="0" w:color="auto"/>
            <w:bottom w:val="none" w:sz="0" w:space="0" w:color="auto"/>
            <w:right w:val="none" w:sz="0" w:space="0" w:color="auto"/>
          </w:divBdr>
        </w:div>
        <w:div w:id="725302146">
          <w:marLeft w:val="360"/>
          <w:marRight w:val="0"/>
          <w:marTop w:val="0"/>
          <w:marBottom w:val="0"/>
          <w:divBdr>
            <w:top w:val="none" w:sz="0" w:space="0" w:color="auto"/>
            <w:left w:val="none" w:sz="0" w:space="0" w:color="auto"/>
            <w:bottom w:val="none" w:sz="0" w:space="0" w:color="auto"/>
            <w:right w:val="none" w:sz="0" w:space="0" w:color="auto"/>
          </w:divBdr>
        </w:div>
        <w:div w:id="844327561">
          <w:marLeft w:val="360"/>
          <w:marRight w:val="0"/>
          <w:marTop w:val="0"/>
          <w:marBottom w:val="0"/>
          <w:divBdr>
            <w:top w:val="none" w:sz="0" w:space="0" w:color="auto"/>
            <w:left w:val="none" w:sz="0" w:space="0" w:color="auto"/>
            <w:bottom w:val="none" w:sz="0" w:space="0" w:color="auto"/>
            <w:right w:val="none" w:sz="0" w:space="0" w:color="auto"/>
          </w:divBdr>
        </w:div>
        <w:div w:id="883175699">
          <w:marLeft w:val="360"/>
          <w:marRight w:val="0"/>
          <w:marTop w:val="0"/>
          <w:marBottom w:val="0"/>
          <w:divBdr>
            <w:top w:val="none" w:sz="0" w:space="0" w:color="auto"/>
            <w:left w:val="none" w:sz="0" w:space="0" w:color="auto"/>
            <w:bottom w:val="none" w:sz="0" w:space="0" w:color="auto"/>
            <w:right w:val="none" w:sz="0" w:space="0" w:color="auto"/>
          </w:divBdr>
        </w:div>
        <w:div w:id="1129054847">
          <w:marLeft w:val="360"/>
          <w:marRight w:val="0"/>
          <w:marTop w:val="0"/>
          <w:marBottom w:val="0"/>
          <w:divBdr>
            <w:top w:val="none" w:sz="0" w:space="0" w:color="auto"/>
            <w:left w:val="none" w:sz="0" w:space="0" w:color="auto"/>
            <w:bottom w:val="none" w:sz="0" w:space="0" w:color="auto"/>
            <w:right w:val="none" w:sz="0" w:space="0" w:color="auto"/>
          </w:divBdr>
        </w:div>
        <w:div w:id="1201210798">
          <w:marLeft w:val="1080"/>
          <w:marRight w:val="0"/>
          <w:marTop w:val="0"/>
          <w:marBottom w:val="0"/>
          <w:divBdr>
            <w:top w:val="none" w:sz="0" w:space="0" w:color="auto"/>
            <w:left w:val="none" w:sz="0" w:space="0" w:color="auto"/>
            <w:bottom w:val="none" w:sz="0" w:space="0" w:color="auto"/>
            <w:right w:val="none" w:sz="0" w:space="0" w:color="auto"/>
          </w:divBdr>
        </w:div>
        <w:div w:id="1728332871">
          <w:marLeft w:val="360"/>
          <w:marRight w:val="0"/>
          <w:marTop w:val="0"/>
          <w:marBottom w:val="0"/>
          <w:divBdr>
            <w:top w:val="none" w:sz="0" w:space="0" w:color="auto"/>
            <w:left w:val="none" w:sz="0" w:space="0" w:color="auto"/>
            <w:bottom w:val="none" w:sz="0" w:space="0" w:color="auto"/>
            <w:right w:val="none" w:sz="0" w:space="0" w:color="auto"/>
          </w:divBdr>
        </w:div>
        <w:div w:id="1796367155">
          <w:marLeft w:val="1080"/>
          <w:marRight w:val="0"/>
          <w:marTop w:val="0"/>
          <w:marBottom w:val="0"/>
          <w:divBdr>
            <w:top w:val="none" w:sz="0" w:space="0" w:color="auto"/>
            <w:left w:val="none" w:sz="0" w:space="0" w:color="auto"/>
            <w:bottom w:val="none" w:sz="0" w:space="0" w:color="auto"/>
            <w:right w:val="none" w:sz="0" w:space="0" w:color="auto"/>
          </w:divBdr>
        </w:div>
        <w:div w:id="1970282128">
          <w:marLeft w:val="360"/>
          <w:marRight w:val="0"/>
          <w:marTop w:val="0"/>
          <w:marBottom w:val="0"/>
          <w:divBdr>
            <w:top w:val="none" w:sz="0" w:space="0" w:color="auto"/>
            <w:left w:val="none" w:sz="0" w:space="0" w:color="auto"/>
            <w:bottom w:val="none" w:sz="0" w:space="0" w:color="auto"/>
            <w:right w:val="none" w:sz="0" w:space="0" w:color="auto"/>
          </w:divBdr>
        </w:div>
      </w:divsChild>
    </w:div>
    <w:div w:id="31686477">
      <w:bodyDiv w:val="1"/>
      <w:marLeft w:val="0"/>
      <w:marRight w:val="0"/>
      <w:marTop w:val="0"/>
      <w:marBottom w:val="0"/>
      <w:divBdr>
        <w:top w:val="none" w:sz="0" w:space="0" w:color="auto"/>
        <w:left w:val="none" w:sz="0" w:space="0" w:color="auto"/>
        <w:bottom w:val="none" w:sz="0" w:space="0" w:color="auto"/>
        <w:right w:val="none" w:sz="0" w:space="0" w:color="auto"/>
      </w:divBdr>
    </w:div>
    <w:div w:id="54353319">
      <w:bodyDiv w:val="1"/>
      <w:marLeft w:val="0"/>
      <w:marRight w:val="0"/>
      <w:marTop w:val="0"/>
      <w:marBottom w:val="0"/>
      <w:divBdr>
        <w:top w:val="none" w:sz="0" w:space="0" w:color="auto"/>
        <w:left w:val="none" w:sz="0" w:space="0" w:color="auto"/>
        <w:bottom w:val="none" w:sz="0" w:space="0" w:color="auto"/>
        <w:right w:val="none" w:sz="0" w:space="0" w:color="auto"/>
      </w:divBdr>
      <w:divsChild>
        <w:div w:id="198982288">
          <w:marLeft w:val="0"/>
          <w:marRight w:val="0"/>
          <w:marTop w:val="0"/>
          <w:marBottom w:val="0"/>
          <w:divBdr>
            <w:top w:val="none" w:sz="0" w:space="0" w:color="auto"/>
            <w:left w:val="none" w:sz="0" w:space="0" w:color="auto"/>
            <w:bottom w:val="none" w:sz="0" w:space="0" w:color="auto"/>
            <w:right w:val="none" w:sz="0" w:space="0" w:color="auto"/>
          </w:divBdr>
          <w:divsChild>
            <w:div w:id="18094708">
              <w:marLeft w:val="0"/>
              <w:marRight w:val="0"/>
              <w:marTop w:val="0"/>
              <w:marBottom w:val="0"/>
              <w:divBdr>
                <w:top w:val="none" w:sz="0" w:space="0" w:color="auto"/>
                <w:left w:val="none" w:sz="0" w:space="0" w:color="auto"/>
                <w:bottom w:val="none" w:sz="0" w:space="0" w:color="auto"/>
                <w:right w:val="none" w:sz="0" w:space="0" w:color="auto"/>
              </w:divBdr>
            </w:div>
            <w:div w:id="72315543">
              <w:marLeft w:val="0"/>
              <w:marRight w:val="0"/>
              <w:marTop w:val="0"/>
              <w:marBottom w:val="0"/>
              <w:divBdr>
                <w:top w:val="none" w:sz="0" w:space="0" w:color="auto"/>
                <w:left w:val="none" w:sz="0" w:space="0" w:color="auto"/>
                <w:bottom w:val="none" w:sz="0" w:space="0" w:color="auto"/>
                <w:right w:val="none" w:sz="0" w:space="0" w:color="auto"/>
              </w:divBdr>
            </w:div>
            <w:div w:id="110559487">
              <w:marLeft w:val="0"/>
              <w:marRight w:val="0"/>
              <w:marTop w:val="0"/>
              <w:marBottom w:val="0"/>
              <w:divBdr>
                <w:top w:val="none" w:sz="0" w:space="0" w:color="auto"/>
                <w:left w:val="none" w:sz="0" w:space="0" w:color="auto"/>
                <w:bottom w:val="none" w:sz="0" w:space="0" w:color="auto"/>
                <w:right w:val="none" w:sz="0" w:space="0" w:color="auto"/>
              </w:divBdr>
            </w:div>
            <w:div w:id="368068028">
              <w:marLeft w:val="0"/>
              <w:marRight w:val="0"/>
              <w:marTop w:val="0"/>
              <w:marBottom w:val="0"/>
              <w:divBdr>
                <w:top w:val="none" w:sz="0" w:space="0" w:color="auto"/>
                <w:left w:val="none" w:sz="0" w:space="0" w:color="auto"/>
                <w:bottom w:val="none" w:sz="0" w:space="0" w:color="auto"/>
                <w:right w:val="none" w:sz="0" w:space="0" w:color="auto"/>
              </w:divBdr>
            </w:div>
            <w:div w:id="554467072">
              <w:marLeft w:val="0"/>
              <w:marRight w:val="0"/>
              <w:marTop w:val="0"/>
              <w:marBottom w:val="0"/>
              <w:divBdr>
                <w:top w:val="none" w:sz="0" w:space="0" w:color="auto"/>
                <w:left w:val="none" w:sz="0" w:space="0" w:color="auto"/>
                <w:bottom w:val="none" w:sz="0" w:space="0" w:color="auto"/>
                <w:right w:val="none" w:sz="0" w:space="0" w:color="auto"/>
              </w:divBdr>
            </w:div>
            <w:div w:id="641694554">
              <w:marLeft w:val="0"/>
              <w:marRight w:val="0"/>
              <w:marTop w:val="0"/>
              <w:marBottom w:val="0"/>
              <w:divBdr>
                <w:top w:val="none" w:sz="0" w:space="0" w:color="auto"/>
                <w:left w:val="none" w:sz="0" w:space="0" w:color="auto"/>
                <w:bottom w:val="none" w:sz="0" w:space="0" w:color="auto"/>
                <w:right w:val="none" w:sz="0" w:space="0" w:color="auto"/>
              </w:divBdr>
            </w:div>
            <w:div w:id="828982235">
              <w:marLeft w:val="0"/>
              <w:marRight w:val="0"/>
              <w:marTop w:val="0"/>
              <w:marBottom w:val="0"/>
              <w:divBdr>
                <w:top w:val="none" w:sz="0" w:space="0" w:color="auto"/>
                <w:left w:val="none" w:sz="0" w:space="0" w:color="auto"/>
                <w:bottom w:val="none" w:sz="0" w:space="0" w:color="auto"/>
                <w:right w:val="none" w:sz="0" w:space="0" w:color="auto"/>
              </w:divBdr>
            </w:div>
            <w:div w:id="1055620829">
              <w:marLeft w:val="0"/>
              <w:marRight w:val="0"/>
              <w:marTop w:val="0"/>
              <w:marBottom w:val="0"/>
              <w:divBdr>
                <w:top w:val="none" w:sz="0" w:space="0" w:color="auto"/>
                <w:left w:val="none" w:sz="0" w:space="0" w:color="auto"/>
                <w:bottom w:val="none" w:sz="0" w:space="0" w:color="auto"/>
                <w:right w:val="none" w:sz="0" w:space="0" w:color="auto"/>
              </w:divBdr>
            </w:div>
            <w:div w:id="1191650963">
              <w:marLeft w:val="0"/>
              <w:marRight w:val="0"/>
              <w:marTop w:val="0"/>
              <w:marBottom w:val="0"/>
              <w:divBdr>
                <w:top w:val="none" w:sz="0" w:space="0" w:color="auto"/>
                <w:left w:val="none" w:sz="0" w:space="0" w:color="auto"/>
                <w:bottom w:val="none" w:sz="0" w:space="0" w:color="auto"/>
                <w:right w:val="none" w:sz="0" w:space="0" w:color="auto"/>
              </w:divBdr>
            </w:div>
            <w:div w:id="1259872729">
              <w:marLeft w:val="0"/>
              <w:marRight w:val="0"/>
              <w:marTop w:val="0"/>
              <w:marBottom w:val="0"/>
              <w:divBdr>
                <w:top w:val="none" w:sz="0" w:space="0" w:color="auto"/>
                <w:left w:val="none" w:sz="0" w:space="0" w:color="auto"/>
                <w:bottom w:val="none" w:sz="0" w:space="0" w:color="auto"/>
                <w:right w:val="none" w:sz="0" w:space="0" w:color="auto"/>
              </w:divBdr>
            </w:div>
            <w:div w:id="1419985812">
              <w:marLeft w:val="0"/>
              <w:marRight w:val="0"/>
              <w:marTop w:val="0"/>
              <w:marBottom w:val="0"/>
              <w:divBdr>
                <w:top w:val="none" w:sz="0" w:space="0" w:color="auto"/>
                <w:left w:val="none" w:sz="0" w:space="0" w:color="auto"/>
                <w:bottom w:val="none" w:sz="0" w:space="0" w:color="auto"/>
                <w:right w:val="none" w:sz="0" w:space="0" w:color="auto"/>
              </w:divBdr>
            </w:div>
            <w:div w:id="1426880167">
              <w:marLeft w:val="0"/>
              <w:marRight w:val="0"/>
              <w:marTop w:val="0"/>
              <w:marBottom w:val="0"/>
              <w:divBdr>
                <w:top w:val="none" w:sz="0" w:space="0" w:color="auto"/>
                <w:left w:val="none" w:sz="0" w:space="0" w:color="auto"/>
                <w:bottom w:val="none" w:sz="0" w:space="0" w:color="auto"/>
                <w:right w:val="none" w:sz="0" w:space="0" w:color="auto"/>
              </w:divBdr>
            </w:div>
            <w:div w:id="1654673819">
              <w:marLeft w:val="0"/>
              <w:marRight w:val="0"/>
              <w:marTop w:val="0"/>
              <w:marBottom w:val="0"/>
              <w:divBdr>
                <w:top w:val="none" w:sz="0" w:space="0" w:color="auto"/>
                <w:left w:val="none" w:sz="0" w:space="0" w:color="auto"/>
                <w:bottom w:val="none" w:sz="0" w:space="0" w:color="auto"/>
                <w:right w:val="none" w:sz="0" w:space="0" w:color="auto"/>
              </w:divBdr>
            </w:div>
            <w:div w:id="1714498929">
              <w:marLeft w:val="0"/>
              <w:marRight w:val="0"/>
              <w:marTop w:val="0"/>
              <w:marBottom w:val="0"/>
              <w:divBdr>
                <w:top w:val="none" w:sz="0" w:space="0" w:color="auto"/>
                <w:left w:val="none" w:sz="0" w:space="0" w:color="auto"/>
                <w:bottom w:val="none" w:sz="0" w:space="0" w:color="auto"/>
                <w:right w:val="none" w:sz="0" w:space="0" w:color="auto"/>
              </w:divBdr>
            </w:div>
            <w:div w:id="1761026937">
              <w:marLeft w:val="0"/>
              <w:marRight w:val="0"/>
              <w:marTop w:val="0"/>
              <w:marBottom w:val="0"/>
              <w:divBdr>
                <w:top w:val="none" w:sz="0" w:space="0" w:color="auto"/>
                <w:left w:val="none" w:sz="0" w:space="0" w:color="auto"/>
                <w:bottom w:val="none" w:sz="0" w:space="0" w:color="auto"/>
                <w:right w:val="none" w:sz="0" w:space="0" w:color="auto"/>
              </w:divBdr>
            </w:div>
            <w:div w:id="1785880911">
              <w:marLeft w:val="0"/>
              <w:marRight w:val="0"/>
              <w:marTop w:val="0"/>
              <w:marBottom w:val="0"/>
              <w:divBdr>
                <w:top w:val="none" w:sz="0" w:space="0" w:color="auto"/>
                <w:left w:val="none" w:sz="0" w:space="0" w:color="auto"/>
                <w:bottom w:val="none" w:sz="0" w:space="0" w:color="auto"/>
                <w:right w:val="none" w:sz="0" w:space="0" w:color="auto"/>
              </w:divBdr>
            </w:div>
            <w:div w:id="1961760445">
              <w:marLeft w:val="0"/>
              <w:marRight w:val="0"/>
              <w:marTop w:val="0"/>
              <w:marBottom w:val="0"/>
              <w:divBdr>
                <w:top w:val="none" w:sz="0" w:space="0" w:color="auto"/>
                <w:left w:val="none" w:sz="0" w:space="0" w:color="auto"/>
                <w:bottom w:val="none" w:sz="0" w:space="0" w:color="auto"/>
                <w:right w:val="none" w:sz="0" w:space="0" w:color="auto"/>
              </w:divBdr>
            </w:div>
            <w:div w:id="1969622732">
              <w:marLeft w:val="0"/>
              <w:marRight w:val="0"/>
              <w:marTop w:val="0"/>
              <w:marBottom w:val="0"/>
              <w:divBdr>
                <w:top w:val="none" w:sz="0" w:space="0" w:color="auto"/>
                <w:left w:val="none" w:sz="0" w:space="0" w:color="auto"/>
                <w:bottom w:val="none" w:sz="0" w:space="0" w:color="auto"/>
                <w:right w:val="none" w:sz="0" w:space="0" w:color="auto"/>
              </w:divBdr>
            </w:div>
            <w:div w:id="2070377488">
              <w:marLeft w:val="0"/>
              <w:marRight w:val="0"/>
              <w:marTop w:val="0"/>
              <w:marBottom w:val="0"/>
              <w:divBdr>
                <w:top w:val="none" w:sz="0" w:space="0" w:color="auto"/>
                <w:left w:val="none" w:sz="0" w:space="0" w:color="auto"/>
                <w:bottom w:val="none" w:sz="0" w:space="0" w:color="auto"/>
                <w:right w:val="none" w:sz="0" w:space="0" w:color="auto"/>
              </w:divBdr>
            </w:div>
            <w:div w:id="2132049832">
              <w:marLeft w:val="0"/>
              <w:marRight w:val="0"/>
              <w:marTop w:val="0"/>
              <w:marBottom w:val="0"/>
              <w:divBdr>
                <w:top w:val="none" w:sz="0" w:space="0" w:color="auto"/>
                <w:left w:val="none" w:sz="0" w:space="0" w:color="auto"/>
                <w:bottom w:val="none" w:sz="0" w:space="0" w:color="auto"/>
                <w:right w:val="none" w:sz="0" w:space="0" w:color="auto"/>
              </w:divBdr>
            </w:div>
          </w:divsChild>
        </w:div>
        <w:div w:id="1381173455">
          <w:marLeft w:val="0"/>
          <w:marRight w:val="0"/>
          <w:marTop w:val="0"/>
          <w:marBottom w:val="0"/>
          <w:divBdr>
            <w:top w:val="none" w:sz="0" w:space="0" w:color="auto"/>
            <w:left w:val="none" w:sz="0" w:space="0" w:color="auto"/>
            <w:bottom w:val="none" w:sz="0" w:space="0" w:color="auto"/>
            <w:right w:val="none" w:sz="0" w:space="0" w:color="auto"/>
          </w:divBdr>
          <w:divsChild>
            <w:div w:id="257101647">
              <w:marLeft w:val="0"/>
              <w:marRight w:val="0"/>
              <w:marTop w:val="0"/>
              <w:marBottom w:val="0"/>
              <w:divBdr>
                <w:top w:val="none" w:sz="0" w:space="0" w:color="auto"/>
                <w:left w:val="none" w:sz="0" w:space="0" w:color="auto"/>
                <w:bottom w:val="none" w:sz="0" w:space="0" w:color="auto"/>
                <w:right w:val="none" w:sz="0" w:space="0" w:color="auto"/>
              </w:divBdr>
            </w:div>
            <w:div w:id="377826969">
              <w:marLeft w:val="0"/>
              <w:marRight w:val="0"/>
              <w:marTop w:val="0"/>
              <w:marBottom w:val="0"/>
              <w:divBdr>
                <w:top w:val="none" w:sz="0" w:space="0" w:color="auto"/>
                <w:left w:val="none" w:sz="0" w:space="0" w:color="auto"/>
                <w:bottom w:val="none" w:sz="0" w:space="0" w:color="auto"/>
                <w:right w:val="none" w:sz="0" w:space="0" w:color="auto"/>
              </w:divBdr>
            </w:div>
            <w:div w:id="425544410">
              <w:marLeft w:val="0"/>
              <w:marRight w:val="0"/>
              <w:marTop w:val="0"/>
              <w:marBottom w:val="0"/>
              <w:divBdr>
                <w:top w:val="none" w:sz="0" w:space="0" w:color="auto"/>
                <w:left w:val="none" w:sz="0" w:space="0" w:color="auto"/>
                <w:bottom w:val="none" w:sz="0" w:space="0" w:color="auto"/>
                <w:right w:val="none" w:sz="0" w:space="0" w:color="auto"/>
              </w:divBdr>
            </w:div>
            <w:div w:id="687409582">
              <w:marLeft w:val="0"/>
              <w:marRight w:val="0"/>
              <w:marTop w:val="0"/>
              <w:marBottom w:val="0"/>
              <w:divBdr>
                <w:top w:val="none" w:sz="0" w:space="0" w:color="auto"/>
                <w:left w:val="none" w:sz="0" w:space="0" w:color="auto"/>
                <w:bottom w:val="none" w:sz="0" w:space="0" w:color="auto"/>
                <w:right w:val="none" w:sz="0" w:space="0" w:color="auto"/>
              </w:divBdr>
            </w:div>
            <w:div w:id="782578057">
              <w:marLeft w:val="0"/>
              <w:marRight w:val="0"/>
              <w:marTop w:val="0"/>
              <w:marBottom w:val="0"/>
              <w:divBdr>
                <w:top w:val="none" w:sz="0" w:space="0" w:color="auto"/>
                <w:left w:val="none" w:sz="0" w:space="0" w:color="auto"/>
                <w:bottom w:val="none" w:sz="0" w:space="0" w:color="auto"/>
                <w:right w:val="none" w:sz="0" w:space="0" w:color="auto"/>
              </w:divBdr>
            </w:div>
            <w:div w:id="855273298">
              <w:marLeft w:val="0"/>
              <w:marRight w:val="0"/>
              <w:marTop w:val="0"/>
              <w:marBottom w:val="0"/>
              <w:divBdr>
                <w:top w:val="none" w:sz="0" w:space="0" w:color="auto"/>
                <w:left w:val="none" w:sz="0" w:space="0" w:color="auto"/>
                <w:bottom w:val="none" w:sz="0" w:space="0" w:color="auto"/>
                <w:right w:val="none" w:sz="0" w:space="0" w:color="auto"/>
              </w:divBdr>
            </w:div>
            <w:div w:id="1022051834">
              <w:marLeft w:val="0"/>
              <w:marRight w:val="0"/>
              <w:marTop w:val="0"/>
              <w:marBottom w:val="0"/>
              <w:divBdr>
                <w:top w:val="none" w:sz="0" w:space="0" w:color="auto"/>
                <w:left w:val="none" w:sz="0" w:space="0" w:color="auto"/>
                <w:bottom w:val="none" w:sz="0" w:space="0" w:color="auto"/>
                <w:right w:val="none" w:sz="0" w:space="0" w:color="auto"/>
              </w:divBdr>
            </w:div>
            <w:div w:id="1044989408">
              <w:marLeft w:val="0"/>
              <w:marRight w:val="0"/>
              <w:marTop w:val="0"/>
              <w:marBottom w:val="0"/>
              <w:divBdr>
                <w:top w:val="none" w:sz="0" w:space="0" w:color="auto"/>
                <w:left w:val="none" w:sz="0" w:space="0" w:color="auto"/>
                <w:bottom w:val="none" w:sz="0" w:space="0" w:color="auto"/>
                <w:right w:val="none" w:sz="0" w:space="0" w:color="auto"/>
              </w:divBdr>
            </w:div>
            <w:div w:id="1132137194">
              <w:marLeft w:val="0"/>
              <w:marRight w:val="0"/>
              <w:marTop w:val="0"/>
              <w:marBottom w:val="0"/>
              <w:divBdr>
                <w:top w:val="none" w:sz="0" w:space="0" w:color="auto"/>
                <w:left w:val="none" w:sz="0" w:space="0" w:color="auto"/>
                <w:bottom w:val="none" w:sz="0" w:space="0" w:color="auto"/>
                <w:right w:val="none" w:sz="0" w:space="0" w:color="auto"/>
              </w:divBdr>
            </w:div>
            <w:div w:id="1223249409">
              <w:marLeft w:val="0"/>
              <w:marRight w:val="0"/>
              <w:marTop w:val="0"/>
              <w:marBottom w:val="0"/>
              <w:divBdr>
                <w:top w:val="none" w:sz="0" w:space="0" w:color="auto"/>
                <w:left w:val="none" w:sz="0" w:space="0" w:color="auto"/>
                <w:bottom w:val="none" w:sz="0" w:space="0" w:color="auto"/>
                <w:right w:val="none" w:sz="0" w:space="0" w:color="auto"/>
              </w:divBdr>
            </w:div>
            <w:div w:id="1236553962">
              <w:marLeft w:val="0"/>
              <w:marRight w:val="0"/>
              <w:marTop w:val="0"/>
              <w:marBottom w:val="0"/>
              <w:divBdr>
                <w:top w:val="none" w:sz="0" w:space="0" w:color="auto"/>
                <w:left w:val="none" w:sz="0" w:space="0" w:color="auto"/>
                <w:bottom w:val="none" w:sz="0" w:space="0" w:color="auto"/>
                <w:right w:val="none" w:sz="0" w:space="0" w:color="auto"/>
              </w:divBdr>
            </w:div>
            <w:div w:id="1294336226">
              <w:marLeft w:val="0"/>
              <w:marRight w:val="0"/>
              <w:marTop w:val="0"/>
              <w:marBottom w:val="0"/>
              <w:divBdr>
                <w:top w:val="none" w:sz="0" w:space="0" w:color="auto"/>
                <w:left w:val="none" w:sz="0" w:space="0" w:color="auto"/>
                <w:bottom w:val="none" w:sz="0" w:space="0" w:color="auto"/>
                <w:right w:val="none" w:sz="0" w:space="0" w:color="auto"/>
              </w:divBdr>
            </w:div>
            <w:div w:id="1472794585">
              <w:marLeft w:val="0"/>
              <w:marRight w:val="0"/>
              <w:marTop w:val="0"/>
              <w:marBottom w:val="0"/>
              <w:divBdr>
                <w:top w:val="none" w:sz="0" w:space="0" w:color="auto"/>
                <w:left w:val="none" w:sz="0" w:space="0" w:color="auto"/>
                <w:bottom w:val="none" w:sz="0" w:space="0" w:color="auto"/>
                <w:right w:val="none" w:sz="0" w:space="0" w:color="auto"/>
              </w:divBdr>
            </w:div>
            <w:div w:id="1513838663">
              <w:marLeft w:val="0"/>
              <w:marRight w:val="0"/>
              <w:marTop w:val="0"/>
              <w:marBottom w:val="0"/>
              <w:divBdr>
                <w:top w:val="none" w:sz="0" w:space="0" w:color="auto"/>
                <w:left w:val="none" w:sz="0" w:space="0" w:color="auto"/>
                <w:bottom w:val="none" w:sz="0" w:space="0" w:color="auto"/>
                <w:right w:val="none" w:sz="0" w:space="0" w:color="auto"/>
              </w:divBdr>
            </w:div>
            <w:div w:id="1585994619">
              <w:marLeft w:val="0"/>
              <w:marRight w:val="0"/>
              <w:marTop w:val="0"/>
              <w:marBottom w:val="0"/>
              <w:divBdr>
                <w:top w:val="none" w:sz="0" w:space="0" w:color="auto"/>
                <w:left w:val="none" w:sz="0" w:space="0" w:color="auto"/>
                <w:bottom w:val="none" w:sz="0" w:space="0" w:color="auto"/>
                <w:right w:val="none" w:sz="0" w:space="0" w:color="auto"/>
              </w:divBdr>
            </w:div>
            <w:div w:id="1652713852">
              <w:marLeft w:val="0"/>
              <w:marRight w:val="0"/>
              <w:marTop w:val="0"/>
              <w:marBottom w:val="0"/>
              <w:divBdr>
                <w:top w:val="none" w:sz="0" w:space="0" w:color="auto"/>
                <w:left w:val="none" w:sz="0" w:space="0" w:color="auto"/>
                <w:bottom w:val="none" w:sz="0" w:space="0" w:color="auto"/>
                <w:right w:val="none" w:sz="0" w:space="0" w:color="auto"/>
              </w:divBdr>
            </w:div>
            <w:div w:id="1782842243">
              <w:marLeft w:val="0"/>
              <w:marRight w:val="0"/>
              <w:marTop w:val="0"/>
              <w:marBottom w:val="0"/>
              <w:divBdr>
                <w:top w:val="none" w:sz="0" w:space="0" w:color="auto"/>
                <w:left w:val="none" w:sz="0" w:space="0" w:color="auto"/>
                <w:bottom w:val="none" w:sz="0" w:space="0" w:color="auto"/>
                <w:right w:val="none" w:sz="0" w:space="0" w:color="auto"/>
              </w:divBdr>
            </w:div>
            <w:div w:id="1910730568">
              <w:marLeft w:val="0"/>
              <w:marRight w:val="0"/>
              <w:marTop w:val="0"/>
              <w:marBottom w:val="0"/>
              <w:divBdr>
                <w:top w:val="none" w:sz="0" w:space="0" w:color="auto"/>
                <w:left w:val="none" w:sz="0" w:space="0" w:color="auto"/>
                <w:bottom w:val="none" w:sz="0" w:space="0" w:color="auto"/>
                <w:right w:val="none" w:sz="0" w:space="0" w:color="auto"/>
              </w:divBdr>
            </w:div>
            <w:div w:id="2003386494">
              <w:marLeft w:val="0"/>
              <w:marRight w:val="0"/>
              <w:marTop w:val="0"/>
              <w:marBottom w:val="0"/>
              <w:divBdr>
                <w:top w:val="none" w:sz="0" w:space="0" w:color="auto"/>
                <w:left w:val="none" w:sz="0" w:space="0" w:color="auto"/>
                <w:bottom w:val="none" w:sz="0" w:space="0" w:color="auto"/>
                <w:right w:val="none" w:sz="0" w:space="0" w:color="auto"/>
              </w:divBdr>
            </w:div>
            <w:div w:id="2082214989">
              <w:marLeft w:val="0"/>
              <w:marRight w:val="0"/>
              <w:marTop w:val="0"/>
              <w:marBottom w:val="0"/>
              <w:divBdr>
                <w:top w:val="none" w:sz="0" w:space="0" w:color="auto"/>
                <w:left w:val="none" w:sz="0" w:space="0" w:color="auto"/>
                <w:bottom w:val="none" w:sz="0" w:space="0" w:color="auto"/>
                <w:right w:val="none" w:sz="0" w:space="0" w:color="auto"/>
              </w:divBdr>
            </w:div>
          </w:divsChild>
        </w:div>
        <w:div w:id="2034917276">
          <w:marLeft w:val="0"/>
          <w:marRight w:val="0"/>
          <w:marTop w:val="0"/>
          <w:marBottom w:val="0"/>
          <w:divBdr>
            <w:top w:val="none" w:sz="0" w:space="0" w:color="auto"/>
            <w:left w:val="none" w:sz="0" w:space="0" w:color="auto"/>
            <w:bottom w:val="none" w:sz="0" w:space="0" w:color="auto"/>
            <w:right w:val="none" w:sz="0" w:space="0" w:color="auto"/>
          </w:divBdr>
          <w:divsChild>
            <w:div w:id="412165543">
              <w:marLeft w:val="0"/>
              <w:marRight w:val="0"/>
              <w:marTop w:val="0"/>
              <w:marBottom w:val="0"/>
              <w:divBdr>
                <w:top w:val="none" w:sz="0" w:space="0" w:color="auto"/>
                <w:left w:val="none" w:sz="0" w:space="0" w:color="auto"/>
                <w:bottom w:val="none" w:sz="0" w:space="0" w:color="auto"/>
                <w:right w:val="none" w:sz="0" w:space="0" w:color="auto"/>
              </w:divBdr>
            </w:div>
            <w:div w:id="469136766">
              <w:marLeft w:val="0"/>
              <w:marRight w:val="0"/>
              <w:marTop w:val="0"/>
              <w:marBottom w:val="0"/>
              <w:divBdr>
                <w:top w:val="none" w:sz="0" w:space="0" w:color="auto"/>
                <w:left w:val="none" w:sz="0" w:space="0" w:color="auto"/>
                <w:bottom w:val="none" w:sz="0" w:space="0" w:color="auto"/>
                <w:right w:val="none" w:sz="0" w:space="0" w:color="auto"/>
              </w:divBdr>
            </w:div>
            <w:div w:id="570970976">
              <w:marLeft w:val="0"/>
              <w:marRight w:val="0"/>
              <w:marTop w:val="0"/>
              <w:marBottom w:val="0"/>
              <w:divBdr>
                <w:top w:val="none" w:sz="0" w:space="0" w:color="auto"/>
                <w:left w:val="none" w:sz="0" w:space="0" w:color="auto"/>
                <w:bottom w:val="none" w:sz="0" w:space="0" w:color="auto"/>
                <w:right w:val="none" w:sz="0" w:space="0" w:color="auto"/>
              </w:divBdr>
            </w:div>
            <w:div w:id="615260939">
              <w:marLeft w:val="0"/>
              <w:marRight w:val="0"/>
              <w:marTop w:val="0"/>
              <w:marBottom w:val="0"/>
              <w:divBdr>
                <w:top w:val="none" w:sz="0" w:space="0" w:color="auto"/>
                <w:left w:val="none" w:sz="0" w:space="0" w:color="auto"/>
                <w:bottom w:val="none" w:sz="0" w:space="0" w:color="auto"/>
                <w:right w:val="none" w:sz="0" w:space="0" w:color="auto"/>
              </w:divBdr>
            </w:div>
            <w:div w:id="619727421">
              <w:marLeft w:val="0"/>
              <w:marRight w:val="0"/>
              <w:marTop w:val="0"/>
              <w:marBottom w:val="0"/>
              <w:divBdr>
                <w:top w:val="none" w:sz="0" w:space="0" w:color="auto"/>
                <w:left w:val="none" w:sz="0" w:space="0" w:color="auto"/>
                <w:bottom w:val="none" w:sz="0" w:space="0" w:color="auto"/>
                <w:right w:val="none" w:sz="0" w:space="0" w:color="auto"/>
              </w:divBdr>
            </w:div>
            <w:div w:id="760878118">
              <w:marLeft w:val="0"/>
              <w:marRight w:val="0"/>
              <w:marTop w:val="0"/>
              <w:marBottom w:val="0"/>
              <w:divBdr>
                <w:top w:val="none" w:sz="0" w:space="0" w:color="auto"/>
                <w:left w:val="none" w:sz="0" w:space="0" w:color="auto"/>
                <w:bottom w:val="none" w:sz="0" w:space="0" w:color="auto"/>
                <w:right w:val="none" w:sz="0" w:space="0" w:color="auto"/>
              </w:divBdr>
            </w:div>
            <w:div w:id="787897596">
              <w:marLeft w:val="0"/>
              <w:marRight w:val="0"/>
              <w:marTop w:val="0"/>
              <w:marBottom w:val="0"/>
              <w:divBdr>
                <w:top w:val="none" w:sz="0" w:space="0" w:color="auto"/>
                <w:left w:val="none" w:sz="0" w:space="0" w:color="auto"/>
                <w:bottom w:val="none" w:sz="0" w:space="0" w:color="auto"/>
                <w:right w:val="none" w:sz="0" w:space="0" w:color="auto"/>
              </w:divBdr>
            </w:div>
            <w:div w:id="867990130">
              <w:marLeft w:val="0"/>
              <w:marRight w:val="0"/>
              <w:marTop w:val="0"/>
              <w:marBottom w:val="0"/>
              <w:divBdr>
                <w:top w:val="none" w:sz="0" w:space="0" w:color="auto"/>
                <w:left w:val="none" w:sz="0" w:space="0" w:color="auto"/>
                <w:bottom w:val="none" w:sz="0" w:space="0" w:color="auto"/>
                <w:right w:val="none" w:sz="0" w:space="0" w:color="auto"/>
              </w:divBdr>
            </w:div>
            <w:div w:id="1161896609">
              <w:marLeft w:val="0"/>
              <w:marRight w:val="0"/>
              <w:marTop w:val="0"/>
              <w:marBottom w:val="0"/>
              <w:divBdr>
                <w:top w:val="none" w:sz="0" w:space="0" w:color="auto"/>
                <w:left w:val="none" w:sz="0" w:space="0" w:color="auto"/>
                <w:bottom w:val="none" w:sz="0" w:space="0" w:color="auto"/>
                <w:right w:val="none" w:sz="0" w:space="0" w:color="auto"/>
              </w:divBdr>
            </w:div>
            <w:div w:id="1233926161">
              <w:marLeft w:val="0"/>
              <w:marRight w:val="0"/>
              <w:marTop w:val="0"/>
              <w:marBottom w:val="0"/>
              <w:divBdr>
                <w:top w:val="none" w:sz="0" w:space="0" w:color="auto"/>
                <w:left w:val="none" w:sz="0" w:space="0" w:color="auto"/>
                <w:bottom w:val="none" w:sz="0" w:space="0" w:color="auto"/>
                <w:right w:val="none" w:sz="0" w:space="0" w:color="auto"/>
              </w:divBdr>
            </w:div>
            <w:div w:id="1380282884">
              <w:marLeft w:val="0"/>
              <w:marRight w:val="0"/>
              <w:marTop w:val="0"/>
              <w:marBottom w:val="0"/>
              <w:divBdr>
                <w:top w:val="none" w:sz="0" w:space="0" w:color="auto"/>
                <w:left w:val="none" w:sz="0" w:space="0" w:color="auto"/>
                <w:bottom w:val="none" w:sz="0" w:space="0" w:color="auto"/>
                <w:right w:val="none" w:sz="0" w:space="0" w:color="auto"/>
              </w:divBdr>
            </w:div>
            <w:div w:id="1554660365">
              <w:marLeft w:val="0"/>
              <w:marRight w:val="0"/>
              <w:marTop w:val="0"/>
              <w:marBottom w:val="0"/>
              <w:divBdr>
                <w:top w:val="none" w:sz="0" w:space="0" w:color="auto"/>
                <w:left w:val="none" w:sz="0" w:space="0" w:color="auto"/>
                <w:bottom w:val="none" w:sz="0" w:space="0" w:color="auto"/>
                <w:right w:val="none" w:sz="0" w:space="0" w:color="auto"/>
              </w:divBdr>
            </w:div>
            <w:div w:id="182789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2718">
      <w:bodyDiv w:val="1"/>
      <w:marLeft w:val="0"/>
      <w:marRight w:val="0"/>
      <w:marTop w:val="0"/>
      <w:marBottom w:val="0"/>
      <w:divBdr>
        <w:top w:val="none" w:sz="0" w:space="0" w:color="auto"/>
        <w:left w:val="none" w:sz="0" w:space="0" w:color="auto"/>
        <w:bottom w:val="none" w:sz="0" w:space="0" w:color="auto"/>
        <w:right w:val="none" w:sz="0" w:space="0" w:color="auto"/>
      </w:divBdr>
    </w:div>
    <w:div w:id="70197334">
      <w:bodyDiv w:val="1"/>
      <w:marLeft w:val="0"/>
      <w:marRight w:val="0"/>
      <w:marTop w:val="0"/>
      <w:marBottom w:val="0"/>
      <w:divBdr>
        <w:top w:val="none" w:sz="0" w:space="0" w:color="auto"/>
        <w:left w:val="none" w:sz="0" w:space="0" w:color="auto"/>
        <w:bottom w:val="none" w:sz="0" w:space="0" w:color="auto"/>
        <w:right w:val="none" w:sz="0" w:space="0" w:color="auto"/>
      </w:divBdr>
    </w:div>
    <w:div w:id="72120737">
      <w:bodyDiv w:val="1"/>
      <w:marLeft w:val="0"/>
      <w:marRight w:val="0"/>
      <w:marTop w:val="0"/>
      <w:marBottom w:val="0"/>
      <w:divBdr>
        <w:top w:val="none" w:sz="0" w:space="0" w:color="auto"/>
        <w:left w:val="none" w:sz="0" w:space="0" w:color="auto"/>
        <w:bottom w:val="none" w:sz="0" w:space="0" w:color="auto"/>
        <w:right w:val="none" w:sz="0" w:space="0" w:color="auto"/>
      </w:divBdr>
      <w:divsChild>
        <w:div w:id="1027177674">
          <w:marLeft w:val="0"/>
          <w:marRight w:val="0"/>
          <w:marTop w:val="0"/>
          <w:marBottom w:val="0"/>
          <w:divBdr>
            <w:top w:val="none" w:sz="0" w:space="0" w:color="auto"/>
            <w:left w:val="none" w:sz="0" w:space="0" w:color="auto"/>
            <w:bottom w:val="none" w:sz="0" w:space="0" w:color="auto"/>
            <w:right w:val="none" w:sz="0" w:space="0" w:color="auto"/>
          </w:divBdr>
        </w:div>
        <w:div w:id="1844589331">
          <w:marLeft w:val="0"/>
          <w:marRight w:val="0"/>
          <w:marTop w:val="0"/>
          <w:marBottom w:val="0"/>
          <w:divBdr>
            <w:top w:val="none" w:sz="0" w:space="0" w:color="auto"/>
            <w:left w:val="none" w:sz="0" w:space="0" w:color="auto"/>
            <w:bottom w:val="none" w:sz="0" w:space="0" w:color="auto"/>
            <w:right w:val="none" w:sz="0" w:space="0" w:color="auto"/>
          </w:divBdr>
        </w:div>
      </w:divsChild>
    </w:div>
    <w:div w:id="75784954">
      <w:bodyDiv w:val="1"/>
      <w:marLeft w:val="0"/>
      <w:marRight w:val="0"/>
      <w:marTop w:val="0"/>
      <w:marBottom w:val="0"/>
      <w:divBdr>
        <w:top w:val="none" w:sz="0" w:space="0" w:color="auto"/>
        <w:left w:val="none" w:sz="0" w:space="0" w:color="auto"/>
        <w:bottom w:val="none" w:sz="0" w:space="0" w:color="auto"/>
        <w:right w:val="none" w:sz="0" w:space="0" w:color="auto"/>
      </w:divBdr>
      <w:divsChild>
        <w:div w:id="774832515">
          <w:marLeft w:val="547"/>
          <w:marRight w:val="0"/>
          <w:marTop w:val="80"/>
          <w:marBottom w:val="80"/>
          <w:divBdr>
            <w:top w:val="none" w:sz="0" w:space="0" w:color="auto"/>
            <w:left w:val="none" w:sz="0" w:space="0" w:color="auto"/>
            <w:bottom w:val="none" w:sz="0" w:space="0" w:color="auto"/>
            <w:right w:val="none" w:sz="0" w:space="0" w:color="auto"/>
          </w:divBdr>
        </w:div>
        <w:div w:id="1293057520">
          <w:marLeft w:val="547"/>
          <w:marRight w:val="0"/>
          <w:marTop w:val="80"/>
          <w:marBottom w:val="80"/>
          <w:divBdr>
            <w:top w:val="none" w:sz="0" w:space="0" w:color="auto"/>
            <w:left w:val="none" w:sz="0" w:space="0" w:color="auto"/>
            <w:bottom w:val="none" w:sz="0" w:space="0" w:color="auto"/>
            <w:right w:val="none" w:sz="0" w:space="0" w:color="auto"/>
          </w:divBdr>
        </w:div>
        <w:div w:id="1577282899">
          <w:marLeft w:val="547"/>
          <w:marRight w:val="0"/>
          <w:marTop w:val="80"/>
          <w:marBottom w:val="80"/>
          <w:divBdr>
            <w:top w:val="none" w:sz="0" w:space="0" w:color="auto"/>
            <w:left w:val="none" w:sz="0" w:space="0" w:color="auto"/>
            <w:bottom w:val="none" w:sz="0" w:space="0" w:color="auto"/>
            <w:right w:val="none" w:sz="0" w:space="0" w:color="auto"/>
          </w:divBdr>
        </w:div>
        <w:div w:id="1870995768">
          <w:marLeft w:val="547"/>
          <w:marRight w:val="0"/>
          <w:marTop w:val="80"/>
          <w:marBottom w:val="80"/>
          <w:divBdr>
            <w:top w:val="none" w:sz="0" w:space="0" w:color="auto"/>
            <w:left w:val="none" w:sz="0" w:space="0" w:color="auto"/>
            <w:bottom w:val="none" w:sz="0" w:space="0" w:color="auto"/>
            <w:right w:val="none" w:sz="0" w:space="0" w:color="auto"/>
          </w:divBdr>
        </w:div>
      </w:divsChild>
    </w:div>
    <w:div w:id="84884060">
      <w:bodyDiv w:val="1"/>
      <w:marLeft w:val="0"/>
      <w:marRight w:val="0"/>
      <w:marTop w:val="0"/>
      <w:marBottom w:val="0"/>
      <w:divBdr>
        <w:top w:val="none" w:sz="0" w:space="0" w:color="auto"/>
        <w:left w:val="none" w:sz="0" w:space="0" w:color="auto"/>
        <w:bottom w:val="none" w:sz="0" w:space="0" w:color="auto"/>
        <w:right w:val="none" w:sz="0" w:space="0" w:color="auto"/>
      </w:divBdr>
      <w:divsChild>
        <w:div w:id="267854262">
          <w:marLeft w:val="0"/>
          <w:marRight w:val="0"/>
          <w:marTop w:val="0"/>
          <w:marBottom w:val="0"/>
          <w:divBdr>
            <w:top w:val="none" w:sz="0" w:space="0" w:color="auto"/>
            <w:left w:val="none" w:sz="0" w:space="0" w:color="auto"/>
            <w:bottom w:val="none" w:sz="0" w:space="0" w:color="auto"/>
            <w:right w:val="none" w:sz="0" w:space="0" w:color="auto"/>
          </w:divBdr>
        </w:div>
        <w:div w:id="364331271">
          <w:marLeft w:val="0"/>
          <w:marRight w:val="0"/>
          <w:marTop w:val="0"/>
          <w:marBottom w:val="0"/>
          <w:divBdr>
            <w:top w:val="none" w:sz="0" w:space="0" w:color="auto"/>
            <w:left w:val="none" w:sz="0" w:space="0" w:color="auto"/>
            <w:bottom w:val="none" w:sz="0" w:space="0" w:color="auto"/>
            <w:right w:val="none" w:sz="0" w:space="0" w:color="auto"/>
          </w:divBdr>
        </w:div>
        <w:div w:id="533688349">
          <w:marLeft w:val="0"/>
          <w:marRight w:val="0"/>
          <w:marTop w:val="0"/>
          <w:marBottom w:val="0"/>
          <w:divBdr>
            <w:top w:val="none" w:sz="0" w:space="0" w:color="auto"/>
            <w:left w:val="none" w:sz="0" w:space="0" w:color="auto"/>
            <w:bottom w:val="none" w:sz="0" w:space="0" w:color="auto"/>
            <w:right w:val="none" w:sz="0" w:space="0" w:color="auto"/>
          </w:divBdr>
        </w:div>
        <w:div w:id="537357932">
          <w:marLeft w:val="0"/>
          <w:marRight w:val="0"/>
          <w:marTop w:val="0"/>
          <w:marBottom w:val="0"/>
          <w:divBdr>
            <w:top w:val="none" w:sz="0" w:space="0" w:color="auto"/>
            <w:left w:val="none" w:sz="0" w:space="0" w:color="auto"/>
            <w:bottom w:val="none" w:sz="0" w:space="0" w:color="auto"/>
            <w:right w:val="none" w:sz="0" w:space="0" w:color="auto"/>
          </w:divBdr>
        </w:div>
        <w:div w:id="560213171">
          <w:marLeft w:val="0"/>
          <w:marRight w:val="0"/>
          <w:marTop w:val="0"/>
          <w:marBottom w:val="0"/>
          <w:divBdr>
            <w:top w:val="none" w:sz="0" w:space="0" w:color="auto"/>
            <w:left w:val="none" w:sz="0" w:space="0" w:color="auto"/>
            <w:bottom w:val="none" w:sz="0" w:space="0" w:color="auto"/>
            <w:right w:val="none" w:sz="0" w:space="0" w:color="auto"/>
          </w:divBdr>
        </w:div>
        <w:div w:id="742685471">
          <w:marLeft w:val="0"/>
          <w:marRight w:val="0"/>
          <w:marTop w:val="0"/>
          <w:marBottom w:val="0"/>
          <w:divBdr>
            <w:top w:val="none" w:sz="0" w:space="0" w:color="auto"/>
            <w:left w:val="none" w:sz="0" w:space="0" w:color="auto"/>
            <w:bottom w:val="none" w:sz="0" w:space="0" w:color="auto"/>
            <w:right w:val="none" w:sz="0" w:space="0" w:color="auto"/>
          </w:divBdr>
        </w:div>
        <w:div w:id="807354251">
          <w:marLeft w:val="0"/>
          <w:marRight w:val="0"/>
          <w:marTop w:val="0"/>
          <w:marBottom w:val="0"/>
          <w:divBdr>
            <w:top w:val="none" w:sz="0" w:space="0" w:color="auto"/>
            <w:left w:val="none" w:sz="0" w:space="0" w:color="auto"/>
            <w:bottom w:val="none" w:sz="0" w:space="0" w:color="auto"/>
            <w:right w:val="none" w:sz="0" w:space="0" w:color="auto"/>
          </w:divBdr>
        </w:div>
        <w:div w:id="850727528">
          <w:marLeft w:val="0"/>
          <w:marRight w:val="0"/>
          <w:marTop w:val="0"/>
          <w:marBottom w:val="0"/>
          <w:divBdr>
            <w:top w:val="none" w:sz="0" w:space="0" w:color="auto"/>
            <w:left w:val="none" w:sz="0" w:space="0" w:color="auto"/>
            <w:bottom w:val="none" w:sz="0" w:space="0" w:color="auto"/>
            <w:right w:val="none" w:sz="0" w:space="0" w:color="auto"/>
          </w:divBdr>
        </w:div>
        <w:div w:id="879780787">
          <w:marLeft w:val="0"/>
          <w:marRight w:val="0"/>
          <w:marTop w:val="0"/>
          <w:marBottom w:val="0"/>
          <w:divBdr>
            <w:top w:val="none" w:sz="0" w:space="0" w:color="auto"/>
            <w:left w:val="none" w:sz="0" w:space="0" w:color="auto"/>
            <w:bottom w:val="none" w:sz="0" w:space="0" w:color="auto"/>
            <w:right w:val="none" w:sz="0" w:space="0" w:color="auto"/>
          </w:divBdr>
        </w:div>
        <w:div w:id="897010740">
          <w:marLeft w:val="0"/>
          <w:marRight w:val="0"/>
          <w:marTop w:val="0"/>
          <w:marBottom w:val="0"/>
          <w:divBdr>
            <w:top w:val="none" w:sz="0" w:space="0" w:color="auto"/>
            <w:left w:val="none" w:sz="0" w:space="0" w:color="auto"/>
            <w:bottom w:val="none" w:sz="0" w:space="0" w:color="auto"/>
            <w:right w:val="none" w:sz="0" w:space="0" w:color="auto"/>
          </w:divBdr>
        </w:div>
        <w:div w:id="1052584196">
          <w:marLeft w:val="0"/>
          <w:marRight w:val="0"/>
          <w:marTop w:val="0"/>
          <w:marBottom w:val="0"/>
          <w:divBdr>
            <w:top w:val="none" w:sz="0" w:space="0" w:color="auto"/>
            <w:left w:val="none" w:sz="0" w:space="0" w:color="auto"/>
            <w:bottom w:val="none" w:sz="0" w:space="0" w:color="auto"/>
            <w:right w:val="none" w:sz="0" w:space="0" w:color="auto"/>
          </w:divBdr>
        </w:div>
        <w:div w:id="1122649540">
          <w:marLeft w:val="0"/>
          <w:marRight w:val="0"/>
          <w:marTop w:val="0"/>
          <w:marBottom w:val="0"/>
          <w:divBdr>
            <w:top w:val="none" w:sz="0" w:space="0" w:color="auto"/>
            <w:left w:val="none" w:sz="0" w:space="0" w:color="auto"/>
            <w:bottom w:val="none" w:sz="0" w:space="0" w:color="auto"/>
            <w:right w:val="none" w:sz="0" w:space="0" w:color="auto"/>
          </w:divBdr>
        </w:div>
        <w:div w:id="1152065568">
          <w:marLeft w:val="0"/>
          <w:marRight w:val="0"/>
          <w:marTop w:val="0"/>
          <w:marBottom w:val="0"/>
          <w:divBdr>
            <w:top w:val="none" w:sz="0" w:space="0" w:color="auto"/>
            <w:left w:val="none" w:sz="0" w:space="0" w:color="auto"/>
            <w:bottom w:val="none" w:sz="0" w:space="0" w:color="auto"/>
            <w:right w:val="none" w:sz="0" w:space="0" w:color="auto"/>
          </w:divBdr>
        </w:div>
        <w:div w:id="1236404175">
          <w:marLeft w:val="0"/>
          <w:marRight w:val="0"/>
          <w:marTop w:val="0"/>
          <w:marBottom w:val="0"/>
          <w:divBdr>
            <w:top w:val="none" w:sz="0" w:space="0" w:color="auto"/>
            <w:left w:val="none" w:sz="0" w:space="0" w:color="auto"/>
            <w:bottom w:val="none" w:sz="0" w:space="0" w:color="auto"/>
            <w:right w:val="none" w:sz="0" w:space="0" w:color="auto"/>
          </w:divBdr>
        </w:div>
        <w:div w:id="1790775419">
          <w:marLeft w:val="0"/>
          <w:marRight w:val="0"/>
          <w:marTop w:val="0"/>
          <w:marBottom w:val="0"/>
          <w:divBdr>
            <w:top w:val="none" w:sz="0" w:space="0" w:color="auto"/>
            <w:left w:val="none" w:sz="0" w:space="0" w:color="auto"/>
            <w:bottom w:val="none" w:sz="0" w:space="0" w:color="auto"/>
            <w:right w:val="none" w:sz="0" w:space="0" w:color="auto"/>
          </w:divBdr>
        </w:div>
        <w:div w:id="1958754315">
          <w:marLeft w:val="0"/>
          <w:marRight w:val="0"/>
          <w:marTop w:val="0"/>
          <w:marBottom w:val="0"/>
          <w:divBdr>
            <w:top w:val="none" w:sz="0" w:space="0" w:color="auto"/>
            <w:left w:val="none" w:sz="0" w:space="0" w:color="auto"/>
            <w:bottom w:val="none" w:sz="0" w:space="0" w:color="auto"/>
            <w:right w:val="none" w:sz="0" w:space="0" w:color="auto"/>
          </w:divBdr>
        </w:div>
        <w:div w:id="2069259518">
          <w:marLeft w:val="0"/>
          <w:marRight w:val="0"/>
          <w:marTop w:val="0"/>
          <w:marBottom w:val="0"/>
          <w:divBdr>
            <w:top w:val="none" w:sz="0" w:space="0" w:color="auto"/>
            <w:left w:val="none" w:sz="0" w:space="0" w:color="auto"/>
            <w:bottom w:val="none" w:sz="0" w:space="0" w:color="auto"/>
            <w:right w:val="none" w:sz="0" w:space="0" w:color="auto"/>
          </w:divBdr>
        </w:div>
      </w:divsChild>
    </w:div>
    <w:div w:id="97987308">
      <w:bodyDiv w:val="1"/>
      <w:marLeft w:val="0"/>
      <w:marRight w:val="0"/>
      <w:marTop w:val="0"/>
      <w:marBottom w:val="0"/>
      <w:divBdr>
        <w:top w:val="none" w:sz="0" w:space="0" w:color="auto"/>
        <w:left w:val="none" w:sz="0" w:space="0" w:color="auto"/>
        <w:bottom w:val="none" w:sz="0" w:space="0" w:color="auto"/>
        <w:right w:val="none" w:sz="0" w:space="0" w:color="auto"/>
      </w:divBdr>
      <w:divsChild>
        <w:div w:id="174810114">
          <w:marLeft w:val="0"/>
          <w:marRight w:val="0"/>
          <w:marTop w:val="0"/>
          <w:marBottom w:val="0"/>
          <w:divBdr>
            <w:top w:val="none" w:sz="0" w:space="0" w:color="auto"/>
            <w:left w:val="none" w:sz="0" w:space="0" w:color="auto"/>
            <w:bottom w:val="none" w:sz="0" w:space="0" w:color="auto"/>
            <w:right w:val="none" w:sz="0" w:space="0" w:color="auto"/>
          </w:divBdr>
        </w:div>
        <w:div w:id="250162132">
          <w:marLeft w:val="0"/>
          <w:marRight w:val="0"/>
          <w:marTop w:val="0"/>
          <w:marBottom w:val="0"/>
          <w:divBdr>
            <w:top w:val="none" w:sz="0" w:space="0" w:color="auto"/>
            <w:left w:val="none" w:sz="0" w:space="0" w:color="auto"/>
            <w:bottom w:val="none" w:sz="0" w:space="0" w:color="auto"/>
            <w:right w:val="none" w:sz="0" w:space="0" w:color="auto"/>
          </w:divBdr>
        </w:div>
        <w:div w:id="279189505">
          <w:marLeft w:val="0"/>
          <w:marRight w:val="0"/>
          <w:marTop w:val="0"/>
          <w:marBottom w:val="0"/>
          <w:divBdr>
            <w:top w:val="none" w:sz="0" w:space="0" w:color="auto"/>
            <w:left w:val="none" w:sz="0" w:space="0" w:color="auto"/>
            <w:bottom w:val="none" w:sz="0" w:space="0" w:color="auto"/>
            <w:right w:val="none" w:sz="0" w:space="0" w:color="auto"/>
          </w:divBdr>
        </w:div>
        <w:div w:id="315961800">
          <w:marLeft w:val="0"/>
          <w:marRight w:val="0"/>
          <w:marTop w:val="0"/>
          <w:marBottom w:val="0"/>
          <w:divBdr>
            <w:top w:val="none" w:sz="0" w:space="0" w:color="auto"/>
            <w:left w:val="none" w:sz="0" w:space="0" w:color="auto"/>
            <w:bottom w:val="none" w:sz="0" w:space="0" w:color="auto"/>
            <w:right w:val="none" w:sz="0" w:space="0" w:color="auto"/>
          </w:divBdr>
        </w:div>
        <w:div w:id="415322025">
          <w:marLeft w:val="0"/>
          <w:marRight w:val="0"/>
          <w:marTop w:val="0"/>
          <w:marBottom w:val="0"/>
          <w:divBdr>
            <w:top w:val="none" w:sz="0" w:space="0" w:color="auto"/>
            <w:left w:val="none" w:sz="0" w:space="0" w:color="auto"/>
            <w:bottom w:val="none" w:sz="0" w:space="0" w:color="auto"/>
            <w:right w:val="none" w:sz="0" w:space="0" w:color="auto"/>
          </w:divBdr>
        </w:div>
        <w:div w:id="451243044">
          <w:marLeft w:val="0"/>
          <w:marRight w:val="0"/>
          <w:marTop w:val="0"/>
          <w:marBottom w:val="0"/>
          <w:divBdr>
            <w:top w:val="none" w:sz="0" w:space="0" w:color="auto"/>
            <w:left w:val="none" w:sz="0" w:space="0" w:color="auto"/>
            <w:bottom w:val="none" w:sz="0" w:space="0" w:color="auto"/>
            <w:right w:val="none" w:sz="0" w:space="0" w:color="auto"/>
          </w:divBdr>
        </w:div>
        <w:div w:id="544416917">
          <w:marLeft w:val="0"/>
          <w:marRight w:val="0"/>
          <w:marTop w:val="0"/>
          <w:marBottom w:val="0"/>
          <w:divBdr>
            <w:top w:val="none" w:sz="0" w:space="0" w:color="auto"/>
            <w:left w:val="none" w:sz="0" w:space="0" w:color="auto"/>
            <w:bottom w:val="none" w:sz="0" w:space="0" w:color="auto"/>
            <w:right w:val="none" w:sz="0" w:space="0" w:color="auto"/>
          </w:divBdr>
        </w:div>
        <w:div w:id="557087761">
          <w:marLeft w:val="0"/>
          <w:marRight w:val="0"/>
          <w:marTop w:val="0"/>
          <w:marBottom w:val="0"/>
          <w:divBdr>
            <w:top w:val="none" w:sz="0" w:space="0" w:color="auto"/>
            <w:left w:val="none" w:sz="0" w:space="0" w:color="auto"/>
            <w:bottom w:val="none" w:sz="0" w:space="0" w:color="auto"/>
            <w:right w:val="none" w:sz="0" w:space="0" w:color="auto"/>
          </w:divBdr>
        </w:div>
        <w:div w:id="603805371">
          <w:marLeft w:val="0"/>
          <w:marRight w:val="0"/>
          <w:marTop w:val="0"/>
          <w:marBottom w:val="0"/>
          <w:divBdr>
            <w:top w:val="none" w:sz="0" w:space="0" w:color="auto"/>
            <w:left w:val="none" w:sz="0" w:space="0" w:color="auto"/>
            <w:bottom w:val="none" w:sz="0" w:space="0" w:color="auto"/>
            <w:right w:val="none" w:sz="0" w:space="0" w:color="auto"/>
          </w:divBdr>
        </w:div>
        <w:div w:id="627518642">
          <w:marLeft w:val="0"/>
          <w:marRight w:val="0"/>
          <w:marTop w:val="0"/>
          <w:marBottom w:val="0"/>
          <w:divBdr>
            <w:top w:val="none" w:sz="0" w:space="0" w:color="auto"/>
            <w:left w:val="none" w:sz="0" w:space="0" w:color="auto"/>
            <w:bottom w:val="none" w:sz="0" w:space="0" w:color="auto"/>
            <w:right w:val="none" w:sz="0" w:space="0" w:color="auto"/>
          </w:divBdr>
        </w:div>
        <w:div w:id="632759516">
          <w:marLeft w:val="0"/>
          <w:marRight w:val="0"/>
          <w:marTop w:val="0"/>
          <w:marBottom w:val="0"/>
          <w:divBdr>
            <w:top w:val="none" w:sz="0" w:space="0" w:color="auto"/>
            <w:left w:val="none" w:sz="0" w:space="0" w:color="auto"/>
            <w:bottom w:val="none" w:sz="0" w:space="0" w:color="auto"/>
            <w:right w:val="none" w:sz="0" w:space="0" w:color="auto"/>
          </w:divBdr>
        </w:div>
        <w:div w:id="691347403">
          <w:marLeft w:val="0"/>
          <w:marRight w:val="0"/>
          <w:marTop w:val="0"/>
          <w:marBottom w:val="0"/>
          <w:divBdr>
            <w:top w:val="none" w:sz="0" w:space="0" w:color="auto"/>
            <w:left w:val="none" w:sz="0" w:space="0" w:color="auto"/>
            <w:bottom w:val="none" w:sz="0" w:space="0" w:color="auto"/>
            <w:right w:val="none" w:sz="0" w:space="0" w:color="auto"/>
          </w:divBdr>
        </w:div>
        <w:div w:id="726953948">
          <w:marLeft w:val="0"/>
          <w:marRight w:val="0"/>
          <w:marTop w:val="0"/>
          <w:marBottom w:val="0"/>
          <w:divBdr>
            <w:top w:val="none" w:sz="0" w:space="0" w:color="auto"/>
            <w:left w:val="none" w:sz="0" w:space="0" w:color="auto"/>
            <w:bottom w:val="none" w:sz="0" w:space="0" w:color="auto"/>
            <w:right w:val="none" w:sz="0" w:space="0" w:color="auto"/>
          </w:divBdr>
        </w:div>
        <w:div w:id="761142061">
          <w:marLeft w:val="0"/>
          <w:marRight w:val="0"/>
          <w:marTop w:val="0"/>
          <w:marBottom w:val="0"/>
          <w:divBdr>
            <w:top w:val="none" w:sz="0" w:space="0" w:color="auto"/>
            <w:left w:val="none" w:sz="0" w:space="0" w:color="auto"/>
            <w:bottom w:val="none" w:sz="0" w:space="0" w:color="auto"/>
            <w:right w:val="none" w:sz="0" w:space="0" w:color="auto"/>
          </w:divBdr>
        </w:div>
        <w:div w:id="775373435">
          <w:marLeft w:val="0"/>
          <w:marRight w:val="0"/>
          <w:marTop w:val="0"/>
          <w:marBottom w:val="0"/>
          <w:divBdr>
            <w:top w:val="none" w:sz="0" w:space="0" w:color="auto"/>
            <w:left w:val="none" w:sz="0" w:space="0" w:color="auto"/>
            <w:bottom w:val="none" w:sz="0" w:space="0" w:color="auto"/>
            <w:right w:val="none" w:sz="0" w:space="0" w:color="auto"/>
          </w:divBdr>
        </w:div>
        <w:div w:id="813912095">
          <w:marLeft w:val="0"/>
          <w:marRight w:val="0"/>
          <w:marTop w:val="0"/>
          <w:marBottom w:val="0"/>
          <w:divBdr>
            <w:top w:val="none" w:sz="0" w:space="0" w:color="auto"/>
            <w:left w:val="none" w:sz="0" w:space="0" w:color="auto"/>
            <w:bottom w:val="none" w:sz="0" w:space="0" w:color="auto"/>
            <w:right w:val="none" w:sz="0" w:space="0" w:color="auto"/>
          </w:divBdr>
        </w:div>
        <w:div w:id="856194856">
          <w:marLeft w:val="0"/>
          <w:marRight w:val="0"/>
          <w:marTop w:val="0"/>
          <w:marBottom w:val="0"/>
          <w:divBdr>
            <w:top w:val="none" w:sz="0" w:space="0" w:color="auto"/>
            <w:left w:val="none" w:sz="0" w:space="0" w:color="auto"/>
            <w:bottom w:val="none" w:sz="0" w:space="0" w:color="auto"/>
            <w:right w:val="none" w:sz="0" w:space="0" w:color="auto"/>
          </w:divBdr>
        </w:div>
        <w:div w:id="960265747">
          <w:marLeft w:val="0"/>
          <w:marRight w:val="0"/>
          <w:marTop w:val="0"/>
          <w:marBottom w:val="0"/>
          <w:divBdr>
            <w:top w:val="none" w:sz="0" w:space="0" w:color="auto"/>
            <w:left w:val="none" w:sz="0" w:space="0" w:color="auto"/>
            <w:bottom w:val="none" w:sz="0" w:space="0" w:color="auto"/>
            <w:right w:val="none" w:sz="0" w:space="0" w:color="auto"/>
          </w:divBdr>
        </w:div>
        <w:div w:id="966669309">
          <w:marLeft w:val="0"/>
          <w:marRight w:val="0"/>
          <w:marTop w:val="0"/>
          <w:marBottom w:val="0"/>
          <w:divBdr>
            <w:top w:val="none" w:sz="0" w:space="0" w:color="auto"/>
            <w:left w:val="none" w:sz="0" w:space="0" w:color="auto"/>
            <w:bottom w:val="none" w:sz="0" w:space="0" w:color="auto"/>
            <w:right w:val="none" w:sz="0" w:space="0" w:color="auto"/>
          </w:divBdr>
        </w:div>
        <w:div w:id="989211433">
          <w:marLeft w:val="0"/>
          <w:marRight w:val="0"/>
          <w:marTop w:val="0"/>
          <w:marBottom w:val="0"/>
          <w:divBdr>
            <w:top w:val="none" w:sz="0" w:space="0" w:color="auto"/>
            <w:left w:val="none" w:sz="0" w:space="0" w:color="auto"/>
            <w:bottom w:val="none" w:sz="0" w:space="0" w:color="auto"/>
            <w:right w:val="none" w:sz="0" w:space="0" w:color="auto"/>
          </w:divBdr>
        </w:div>
        <w:div w:id="1032999796">
          <w:marLeft w:val="0"/>
          <w:marRight w:val="0"/>
          <w:marTop w:val="0"/>
          <w:marBottom w:val="0"/>
          <w:divBdr>
            <w:top w:val="none" w:sz="0" w:space="0" w:color="auto"/>
            <w:left w:val="none" w:sz="0" w:space="0" w:color="auto"/>
            <w:bottom w:val="none" w:sz="0" w:space="0" w:color="auto"/>
            <w:right w:val="none" w:sz="0" w:space="0" w:color="auto"/>
          </w:divBdr>
        </w:div>
        <w:div w:id="1091203339">
          <w:marLeft w:val="0"/>
          <w:marRight w:val="0"/>
          <w:marTop w:val="0"/>
          <w:marBottom w:val="0"/>
          <w:divBdr>
            <w:top w:val="none" w:sz="0" w:space="0" w:color="auto"/>
            <w:left w:val="none" w:sz="0" w:space="0" w:color="auto"/>
            <w:bottom w:val="none" w:sz="0" w:space="0" w:color="auto"/>
            <w:right w:val="none" w:sz="0" w:space="0" w:color="auto"/>
          </w:divBdr>
        </w:div>
        <w:div w:id="1119492476">
          <w:marLeft w:val="0"/>
          <w:marRight w:val="0"/>
          <w:marTop w:val="0"/>
          <w:marBottom w:val="0"/>
          <w:divBdr>
            <w:top w:val="none" w:sz="0" w:space="0" w:color="auto"/>
            <w:left w:val="none" w:sz="0" w:space="0" w:color="auto"/>
            <w:bottom w:val="none" w:sz="0" w:space="0" w:color="auto"/>
            <w:right w:val="none" w:sz="0" w:space="0" w:color="auto"/>
          </w:divBdr>
        </w:div>
        <w:div w:id="1166675244">
          <w:marLeft w:val="0"/>
          <w:marRight w:val="0"/>
          <w:marTop w:val="0"/>
          <w:marBottom w:val="0"/>
          <w:divBdr>
            <w:top w:val="none" w:sz="0" w:space="0" w:color="auto"/>
            <w:left w:val="none" w:sz="0" w:space="0" w:color="auto"/>
            <w:bottom w:val="none" w:sz="0" w:space="0" w:color="auto"/>
            <w:right w:val="none" w:sz="0" w:space="0" w:color="auto"/>
          </w:divBdr>
        </w:div>
        <w:div w:id="1198160204">
          <w:marLeft w:val="0"/>
          <w:marRight w:val="0"/>
          <w:marTop w:val="0"/>
          <w:marBottom w:val="0"/>
          <w:divBdr>
            <w:top w:val="none" w:sz="0" w:space="0" w:color="auto"/>
            <w:left w:val="none" w:sz="0" w:space="0" w:color="auto"/>
            <w:bottom w:val="none" w:sz="0" w:space="0" w:color="auto"/>
            <w:right w:val="none" w:sz="0" w:space="0" w:color="auto"/>
          </w:divBdr>
        </w:div>
        <w:div w:id="1199661077">
          <w:marLeft w:val="0"/>
          <w:marRight w:val="0"/>
          <w:marTop w:val="0"/>
          <w:marBottom w:val="0"/>
          <w:divBdr>
            <w:top w:val="none" w:sz="0" w:space="0" w:color="auto"/>
            <w:left w:val="none" w:sz="0" w:space="0" w:color="auto"/>
            <w:bottom w:val="none" w:sz="0" w:space="0" w:color="auto"/>
            <w:right w:val="none" w:sz="0" w:space="0" w:color="auto"/>
          </w:divBdr>
        </w:div>
        <w:div w:id="1217277944">
          <w:marLeft w:val="0"/>
          <w:marRight w:val="0"/>
          <w:marTop w:val="0"/>
          <w:marBottom w:val="0"/>
          <w:divBdr>
            <w:top w:val="none" w:sz="0" w:space="0" w:color="auto"/>
            <w:left w:val="none" w:sz="0" w:space="0" w:color="auto"/>
            <w:bottom w:val="none" w:sz="0" w:space="0" w:color="auto"/>
            <w:right w:val="none" w:sz="0" w:space="0" w:color="auto"/>
          </w:divBdr>
        </w:div>
        <w:div w:id="1284732141">
          <w:marLeft w:val="0"/>
          <w:marRight w:val="0"/>
          <w:marTop w:val="0"/>
          <w:marBottom w:val="0"/>
          <w:divBdr>
            <w:top w:val="none" w:sz="0" w:space="0" w:color="auto"/>
            <w:left w:val="none" w:sz="0" w:space="0" w:color="auto"/>
            <w:bottom w:val="none" w:sz="0" w:space="0" w:color="auto"/>
            <w:right w:val="none" w:sz="0" w:space="0" w:color="auto"/>
          </w:divBdr>
        </w:div>
        <w:div w:id="1289899817">
          <w:marLeft w:val="0"/>
          <w:marRight w:val="0"/>
          <w:marTop w:val="0"/>
          <w:marBottom w:val="0"/>
          <w:divBdr>
            <w:top w:val="none" w:sz="0" w:space="0" w:color="auto"/>
            <w:left w:val="none" w:sz="0" w:space="0" w:color="auto"/>
            <w:bottom w:val="none" w:sz="0" w:space="0" w:color="auto"/>
            <w:right w:val="none" w:sz="0" w:space="0" w:color="auto"/>
          </w:divBdr>
        </w:div>
        <w:div w:id="1314069753">
          <w:marLeft w:val="0"/>
          <w:marRight w:val="0"/>
          <w:marTop w:val="0"/>
          <w:marBottom w:val="0"/>
          <w:divBdr>
            <w:top w:val="none" w:sz="0" w:space="0" w:color="auto"/>
            <w:left w:val="none" w:sz="0" w:space="0" w:color="auto"/>
            <w:bottom w:val="none" w:sz="0" w:space="0" w:color="auto"/>
            <w:right w:val="none" w:sz="0" w:space="0" w:color="auto"/>
          </w:divBdr>
        </w:div>
        <w:div w:id="1328703908">
          <w:marLeft w:val="0"/>
          <w:marRight w:val="0"/>
          <w:marTop w:val="0"/>
          <w:marBottom w:val="0"/>
          <w:divBdr>
            <w:top w:val="none" w:sz="0" w:space="0" w:color="auto"/>
            <w:left w:val="none" w:sz="0" w:space="0" w:color="auto"/>
            <w:bottom w:val="none" w:sz="0" w:space="0" w:color="auto"/>
            <w:right w:val="none" w:sz="0" w:space="0" w:color="auto"/>
          </w:divBdr>
        </w:div>
        <w:div w:id="1368486101">
          <w:marLeft w:val="0"/>
          <w:marRight w:val="0"/>
          <w:marTop w:val="0"/>
          <w:marBottom w:val="0"/>
          <w:divBdr>
            <w:top w:val="none" w:sz="0" w:space="0" w:color="auto"/>
            <w:left w:val="none" w:sz="0" w:space="0" w:color="auto"/>
            <w:bottom w:val="none" w:sz="0" w:space="0" w:color="auto"/>
            <w:right w:val="none" w:sz="0" w:space="0" w:color="auto"/>
          </w:divBdr>
        </w:div>
        <w:div w:id="1369839061">
          <w:marLeft w:val="0"/>
          <w:marRight w:val="0"/>
          <w:marTop w:val="0"/>
          <w:marBottom w:val="0"/>
          <w:divBdr>
            <w:top w:val="none" w:sz="0" w:space="0" w:color="auto"/>
            <w:left w:val="none" w:sz="0" w:space="0" w:color="auto"/>
            <w:bottom w:val="none" w:sz="0" w:space="0" w:color="auto"/>
            <w:right w:val="none" w:sz="0" w:space="0" w:color="auto"/>
          </w:divBdr>
        </w:div>
        <w:div w:id="1493987106">
          <w:marLeft w:val="0"/>
          <w:marRight w:val="0"/>
          <w:marTop w:val="0"/>
          <w:marBottom w:val="0"/>
          <w:divBdr>
            <w:top w:val="none" w:sz="0" w:space="0" w:color="auto"/>
            <w:left w:val="none" w:sz="0" w:space="0" w:color="auto"/>
            <w:bottom w:val="none" w:sz="0" w:space="0" w:color="auto"/>
            <w:right w:val="none" w:sz="0" w:space="0" w:color="auto"/>
          </w:divBdr>
        </w:div>
        <w:div w:id="1510103571">
          <w:marLeft w:val="0"/>
          <w:marRight w:val="0"/>
          <w:marTop w:val="0"/>
          <w:marBottom w:val="0"/>
          <w:divBdr>
            <w:top w:val="none" w:sz="0" w:space="0" w:color="auto"/>
            <w:left w:val="none" w:sz="0" w:space="0" w:color="auto"/>
            <w:bottom w:val="none" w:sz="0" w:space="0" w:color="auto"/>
            <w:right w:val="none" w:sz="0" w:space="0" w:color="auto"/>
          </w:divBdr>
        </w:div>
        <w:div w:id="1541432468">
          <w:marLeft w:val="0"/>
          <w:marRight w:val="0"/>
          <w:marTop w:val="0"/>
          <w:marBottom w:val="0"/>
          <w:divBdr>
            <w:top w:val="none" w:sz="0" w:space="0" w:color="auto"/>
            <w:left w:val="none" w:sz="0" w:space="0" w:color="auto"/>
            <w:bottom w:val="none" w:sz="0" w:space="0" w:color="auto"/>
            <w:right w:val="none" w:sz="0" w:space="0" w:color="auto"/>
          </w:divBdr>
        </w:div>
        <w:div w:id="1629698962">
          <w:marLeft w:val="0"/>
          <w:marRight w:val="0"/>
          <w:marTop w:val="0"/>
          <w:marBottom w:val="0"/>
          <w:divBdr>
            <w:top w:val="none" w:sz="0" w:space="0" w:color="auto"/>
            <w:left w:val="none" w:sz="0" w:space="0" w:color="auto"/>
            <w:bottom w:val="none" w:sz="0" w:space="0" w:color="auto"/>
            <w:right w:val="none" w:sz="0" w:space="0" w:color="auto"/>
          </w:divBdr>
        </w:div>
        <w:div w:id="1634212548">
          <w:marLeft w:val="0"/>
          <w:marRight w:val="0"/>
          <w:marTop w:val="0"/>
          <w:marBottom w:val="0"/>
          <w:divBdr>
            <w:top w:val="none" w:sz="0" w:space="0" w:color="auto"/>
            <w:left w:val="none" w:sz="0" w:space="0" w:color="auto"/>
            <w:bottom w:val="none" w:sz="0" w:space="0" w:color="auto"/>
            <w:right w:val="none" w:sz="0" w:space="0" w:color="auto"/>
          </w:divBdr>
        </w:div>
        <w:div w:id="1640376316">
          <w:marLeft w:val="0"/>
          <w:marRight w:val="0"/>
          <w:marTop w:val="0"/>
          <w:marBottom w:val="0"/>
          <w:divBdr>
            <w:top w:val="none" w:sz="0" w:space="0" w:color="auto"/>
            <w:left w:val="none" w:sz="0" w:space="0" w:color="auto"/>
            <w:bottom w:val="none" w:sz="0" w:space="0" w:color="auto"/>
            <w:right w:val="none" w:sz="0" w:space="0" w:color="auto"/>
          </w:divBdr>
        </w:div>
        <w:div w:id="1650474359">
          <w:marLeft w:val="0"/>
          <w:marRight w:val="0"/>
          <w:marTop w:val="0"/>
          <w:marBottom w:val="0"/>
          <w:divBdr>
            <w:top w:val="none" w:sz="0" w:space="0" w:color="auto"/>
            <w:left w:val="none" w:sz="0" w:space="0" w:color="auto"/>
            <w:bottom w:val="none" w:sz="0" w:space="0" w:color="auto"/>
            <w:right w:val="none" w:sz="0" w:space="0" w:color="auto"/>
          </w:divBdr>
        </w:div>
        <w:div w:id="1667904883">
          <w:marLeft w:val="0"/>
          <w:marRight w:val="0"/>
          <w:marTop w:val="0"/>
          <w:marBottom w:val="0"/>
          <w:divBdr>
            <w:top w:val="none" w:sz="0" w:space="0" w:color="auto"/>
            <w:left w:val="none" w:sz="0" w:space="0" w:color="auto"/>
            <w:bottom w:val="none" w:sz="0" w:space="0" w:color="auto"/>
            <w:right w:val="none" w:sz="0" w:space="0" w:color="auto"/>
          </w:divBdr>
        </w:div>
        <w:div w:id="1713771395">
          <w:marLeft w:val="0"/>
          <w:marRight w:val="0"/>
          <w:marTop w:val="0"/>
          <w:marBottom w:val="0"/>
          <w:divBdr>
            <w:top w:val="none" w:sz="0" w:space="0" w:color="auto"/>
            <w:left w:val="none" w:sz="0" w:space="0" w:color="auto"/>
            <w:bottom w:val="none" w:sz="0" w:space="0" w:color="auto"/>
            <w:right w:val="none" w:sz="0" w:space="0" w:color="auto"/>
          </w:divBdr>
        </w:div>
        <w:div w:id="1772050551">
          <w:marLeft w:val="0"/>
          <w:marRight w:val="0"/>
          <w:marTop w:val="0"/>
          <w:marBottom w:val="0"/>
          <w:divBdr>
            <w:top w:val="none" w:sz="0" w:space="0" w:color="auto"/>
            <w:left w:val="none" w:sz="0" w:space="0" w:color="auto"/>
            <w:bottom w:val="none" w:sz="0" w:space="0" w:color="auto"/>
            <w:right w:val="none" w:sz="0" w:space="0" w:color="auto"/>
          </w:divBdr>
        </w:div>
        <w:div w:id="1909538051">
          <w:marLeft w:val="0"/>
          <w:marRight w:val="0"/>
          <w:marTop w:val="0"/>
          <w:marBottom w:val="0"/>
          <w:divBdr>
            <w:top w:val="none" w:sz="0" w:space="0" w:color="auto"/>
            <w:left w:val="none" w:sz="0" w:space="0" w:color="auto"/>
            <w:bottom w:val="none" w:sz="0" w:space="0" w:color="auto"/>
            <w:right w:val="none" w:sz="0" w:space="0" w:color="auto"/>
          </w:divBdr>
        </w:div>
        <w:div w:id="1926917462">
          <w:marLeft w:val="0"/>
          <w:marRight w:val="0"/>
          <w:marTop w:val="0"/>
          <w:marBottom w:val="0"/>
          <w:divBdr>
            <w:top w:val="none" w:sz="0" w:space="0" w:color="auto"/>
            <w:left w:val="none" w:sz="0" w:space="0" w:color="auto"/>
            <w:bottom w:val="none" w:sz="0" w:space="0" w:color="auto"/>
            <w:right w:val="none" w:sz="0" w:space="0" w:color="auto"/>
          </w:divBdr>
        </w:div>
        <w:div w:id="2073041882">
          <w:marLeft w:val="0"/>
          <w:marRight w:val="0"/>
          <w:marTop w:val="0"/>
          <w:marBottom w:val="0"/>
          <w:divBdr>
            <w:top w:val="none" w:sz="0" w:space="0" w:color="auto"/>
            <w:left w:val="none" w:sz="0" w:space="0" w:color="auto"/>
            <w:bottom w:val="none" w:sz="0" w:space="0" w:color="auto"/>
            <w:right w:val="none" w:sz="0" w:space="0" w:color="auto"/>
          </w:divBdr>
        </w:div>
        <w:div w:id="2076123487">
          <w:marLeft w:val="0"/>
          <w:marRight w:val="0"/>
          <w:marTop w:val="0"/>
          <w:marBottom w:val="0"/>
          <w:divBdr>
            <w:top w:val="none" w:sz="0" w:space="0" w:color="auto"/>
            <w:left w:val="none" w:sz="0" w:space="0" w:color="auto"/>
            <w:bottom w:val="none" w:sz="0" w:space="0" w:color="auto"/>
            <w:right w:val="none" w:sz="0" w:space="0" w:color="auto"/>
          </w:divBdr>
        </w:div>
        <w:div w:id="2081555892">
          <w:marLeft w:val="0"/>
          <w:marRight w:val="0"/>
          <w:marTop w:val="0"/>
          <w:marBottom w:val="0"/>
          <w:divBdr>
            <w:top w:val="none" w:sz="0" w:space="0" w:color="auto"/>
            <w:left w:val="none" w:sz="0" w:space="0" w:color="auto"/>
            <w:bottom w:val="none" w:sz="0" w:space="0" w:color="auto"/>
            <w:right w:val="none" w:sz="0" w:space="0" w:color="auto"/>
          </w:divBdr>
        </w:div>
        <w:div w:id="2117359212">
          <w:marLeft w:val="0"/>
          <w:marRight w:val="0"/>
          <w:marTop w:val="0"/>
          <w:marBottom w:val="0"/>
          <w:divBdr>
            <w:top w:val="none" w:sz="0" w:space="0" w:color="auto"/>
            <w:left w:val="none" w:sz="0" w:space="0" w:color="auto"/>
            <w:bottom w:val="none" w:sz="0" w:space="0" w:color="auto"/>
            <w:right w:val="none" w:sz="0" w:space="0" w:color="auto"/>
          </w:divBdr>
        </w:div>
        <w:div w:id="2123333547">
          <w:marLeft w:val="0"/>
          <w:marRight w:val="0"/>
          <w:marTop w:val="0"/>
          <w:marBottom w:val="0"/>
          <w:divBdr>
            <w:top w:val="none" w:sz="0" w:space="0" w:color="auto"/>
            <w:left w:val="none" w:sz="0" w:space="0" w:color="auto"/>
            <w:bottom w:val="none" w:sz="0" w:space="0" w:color="auto"/>
            <w:right w:val="none" w:sz="0" w:space="0" w:color="auto"/>
          </w:divBdr>
        </w:div>
      </w:divsChild>
    </w:div>
    <w:div w:id="115176193">
      <w:bodyDiv w:val="1"/>
      <w:marLeft w:val="0"/>
      <w:marRight w:val="0"/>
      <w:marTop w:val="0"/>
      <w:marBottom w:val="0"/>
      <w:divBdr>
        <w:top w:val="none" w:sz="0" w:space="0" w:color="auto"/>
        <w:left w:val="none" w:sz="0" w:space="0" w:color="auto"/>
        <w:bottom w:val="none" w:sz="0" w:space="0" w:color="auto"/>
        <w:right w:val="none" w:sz="0" w:space="0" w:color="auto"/>
      </w:divBdr>
    </w:div>
    <w:div w:id="124549657">
      <w:bodyDiv w:val="1"/>
      <w:marLeft w:val="0"/>
      <w:marRight w:val="0"/>
      <w:marTop w:val="0"/>
      <w:marBottom w:val="0"/>
      <w:divBdr>
        <w:top w:val="none" w:sz="0" w:space="0" w:color="auto"/>
        <w:left w:val="none" w:sz="0" w:space="0" w:color="auto"/>
        <w:bottom w:val="none" w:sz="0" w:space="0" w:color="auto"/>
        <w:right w:val="none" w:sz="0" w:space="0" w:color="auto"/>
      </w:divBdr>
    </w:div>
    <w:div w:id="131022806">
      <w:bodyDiv w:val="1"/>
      <w:marLeft w:val="0"/>
      <w:marRight w:val="0"/>
      <w:marTop w:val="0"/>
      <w:marBottom w:val="0"/>
      <w:divBdr>
        <w:top w:val="none" w:sz="0" w:space="0" w:color="auto"/>
        <w:left w:val="none" w:sz="0" w:space="0" w:color="auto"/>
        <w:bottom w:val="none" w:sz="0" w:space="0" w:color="auto"/>
        <w:right w:val="none" w:sz="0" w:space="0" w:color="auto"/>
      </w:divBdr>
      <w:divsChild>
        <w:div w:id="401754563">
          <w:marLeft w:val="274"/>
          <w:marRight w:val="0"/>
          <w:marTop w:val="0"/>
          <w:marBottom w:val="120"/>
          <w:divBdr>
            <w:top w:val="none" w:sz="0" w:space="0" w:color="auto"/>
            <w:left w:val="none" w:sz="0" w:space="0" w:color="auto"/>
            <w:bottom w:val="none" w:sz="0" w:space="0" w:color="auto"/>
            <w:right w:val="none" w:sz="0" w:space="0" w:color="auto"/>
          </w:divBdr>
        </w:div>
        <w:div w:id="1006905658">
          <w:marLeft w:val="274"/>
          <w:marRight w:val="0"/>
          <w:marTop w:val="0"/>
          <w:marBottom w:val="120"/>
          <w:divBdr>
            <w:top w:val="none" w:sz="0" w:space="0" w:color="auto"/>
            <w:left w:val="none" w:sz="0" w:space="0" w:color="auto"/>
            <w:bottom w:val="none" w:sz="0" w:space="0" w:color="auto"/>
            <w:right w:val="none" w:sz="0" w:space="0" w:color="auto"/>
          </w:divBdr>
        </w:div>
        <w:div w:id="1366561383">
          <w:marLeft w:val="274"/>
          <w:marRight w:val="0"/>
          <w:marTop w:val="0"/>
          <w:marBottom w:val="120"/>
          <w:divBdr>
            <w:top w:val="none" w:sz="0" w:space="0" w:color="auto"/>
            <w:left w:val="none" w:sz="0" w:space="0" w:color="auto"/>
            <w:bottom w:val="none" w:sz="0" w:space="0" w:color="auto"/>
            <w:right w:val="none" w:sz="0" w:space="0" w:color="auto"/>
          </w:divBdr>
        </w:div>
      </w:divsChild>
    </w:div>
    <w:div w:id="139268239">
      <w:bodyDiv w:val="1"/>
      <w:marLeft w:val="0"/>
      <w:marRight w:val="0"/>
      <w:marTop w:val="0"/>
      <w:marBottom w:val="0"/>
      <w:divBdr>
        <w:top w:val="none" w:sz="0" w:space="0" w:color="auto"/>
        <w:left w:val="none" w:sz="0" w:space="0" w:color="auto"/>
        <w:bottom w:val="none" w:sz="0" w:space="0" w:color="auto"/>
        <w:right w:val="none" w:sz="0" w:space="0" w:color="auto"/>
      </w:divBdr>
    </w:div>
    <w:div w:id="146365630">
      <w:bodyDiv w:val="1"/>
      <w:marLeft w:val="0"/>
      <w:marRight w:val="0"/>
      <w:marTop w:val="0"/>
      <w:marBottom w:val="0"/>
      <w:divBdr>
        <w:top w:val="none" w:sz="0" w:space="0" w:color="auto"/>
        <w:left w:val="none" w:sz="0" w:space="0" w:color="auto"/>
        <w:bottom w:val="none" w:sz="0" w:space="0" w:color="auto"/>
        <w:right w:val="none" w:sz="0" w:space="0" w:color="auto"/>
      </w:divBdr>
      <w:divsChild>
        <w:div w:id="1138382010">
          <w:marLeft w:val="0"/>
          <w:marRight w:val="0"/>
          <w:marTop w:val="0"/>
          <w:marBottom w:val="0"/>
          <w:divBdr>
            <w:top w:val="none" w:sz="0" w:space="0" w:color="auto"/>
            <w:left w:val="none" w:sz="0" w:space="0" w:color="auto"/>
            <w:bottom w:val="none" w:sz="0" w:space="0" w:color="auto"/>
            <w:right w:val="none" w:sz="0" w:space="0" w:color="auto"/>
          </w:divBdr>
          <w:divsChild>
            <w:div w:id="967203798">
              <w:marLeft w:val="0"/>
              <w:marRight w:val="0"/>
              <w:marTop w:val="0"/>
              <w:marBottom w:val="0"/>
              <w:divBdr>
                <w:top w:val="none" w:sz="0" w:space="0" w:color="auto"/>
                <w:left w:val="none" w:sz="0" w:space="0" w:color="auto"/>
                <w:bottom w:val="none" w:sz="0" w:space="0" w:color="auto"/>
                <w:right w:val="none" w:sz="0" w:space="0" w:color="auto"/>
              </w:divBdr>
              <w:divsChild>
                <w:div w:id="2134668161">
                  <w:marLeft w:val="0"/>
                  <w:marRight w:val="0"/>
                  <w:marTop w:val="0"/>
                  <w:marBottom w:val="0"/>
                  <w:divBdr>
                    <w:top w:val="none" w:sz="0" w:space="0" w:color="auto"/>
                    <w:left w:val="none" w:sz="0" w:space="0" w:color="auto"/>
                    <w:bottom w:val="none" w:sz="0" w:space="0" w:color="auto"/>
                    <w:right w:val="none" w:sz="0" w:space="0" w:color="auto"/>
                  </w:divBdr>
                  <w:divsChild>
                    <w:div w:id="2023042284">
                      <w:marLeft w:val="0"/>
                      <w:marRight w:val="0"/>
                      <w:marTop w:val="0"/>
                      <w:marBottom w:val="0"/>
                      <w:divBdr>
                        <w:top w:val="none" w:sz="0" w:space="0" w:color="auto"/>
                        <w:left w:val="none" w:sz="0" w:space="0" w:color="auto"/>
                        <w:bottom w:val="none" w:sz="0" w:space="0" w:color="auto"/>
                        <w:right w:val="none" w:sz="0" w:space="0" w:color="auto"/>
                      </w:divBdr>
                      <w:divsChild>
                        <w:div w:id="1807967936">
                          <w:marLeft w:val="0"/>
                          <w:marRight w:val="0"/>
                          <w:marTop w:val="0"/>
                          <w:marBottom w:val="0"/>
                          <w:divBdr>
                            <w:top w:val="none" w:sz="0" w:space="0" w:color="auto"/>
                            <w:left w:val="none" w:sz="0" w:space="0" w:color="auto"/>
                            <w:bottom w:val="none" w:sz="0" w:space="0" w:color="auto"/>
                            <w:right w:val="none" w:sz="0" w:space="0" w:color="auto"/>
                          </w:divBdr>
                          <w:divsChild>
                            <w:div w:id="209481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48193">
      <w:bodyDiv w:val="1"/>
      <w:marLeft w:val="0"/>
      <w:marRight w:val="0"/>
      <w:marTop w:val="0"/>
      <w:marBottom w:val="0"/>
      <w:divBdr>
        <w:top w:val="none" w:sz="0" w:space="0" w:color="auto"/>
        <w:left w:val="none" w:sz="0" w:space="0" w:color="auto"/>
        <w:bottom w:val="none" w:sz="0" w:space="0" w:color="auto"/>
        <w:right w:val="none" w:sz="0" w:space="0" w:color="auto"/>
      </w:divBdr>
      <w:divsChild>
        <w:div w:id="188226205">
          <w:marLeft w:val="0"/>
          <w:marRight w:val="0"/>
          <w:marTop w:val="0"/>
          <w:marBottom w:val="0"/>
          <w:divBdr>
            <w:top w:val="none" w:sz="0" w:space="0" w:color="auto"/>
            <w:left w:val="none" w:sz="0" w:space="0" w:color="auto"/>
            <w:bottom w:val="none" w:sz="0" w:space="0" w:color="auto"/>
            <w:right w:val="none" w:sz="0" w:space="0" w:color="auto"/>
          </w:divBdr>
        </w:div>
        <w:div w:id="908425698">
          <w:marLeft w:val="0"/>
          <w:marRight w:val="0"/>
          <w:marTop w:val="0"/>
          <w:marBottom w:val="0"/>
          <w:divBdr>
            <w:top w:val="none" w:sz="0" w:space="0" w:color="auto"/>
            <w:left w:val="none" w:sz="0" w:space="0" w:color="auto"/>
            <w:bottom w:val="none" w:sz="0" w:space="0" w:color="auto"/>
            <w:right w:val="none" w:sz="0" w:space="0" w:color="auto"/>
          </w:divBdr>
          <w:divsChild>
            <w:div w:id="679697749">
              <w:marLeft w:val="-75"/>
              <w:marRight w:val="0"/>
              <w:marTop w:val="30"/>
              <w:marBottom w:val="30"/>
              <w:divBdr>
                <w:top w:val="none" w:sz="0" w:space="0" w:color="auto"/>
                <w:left w:val="none" w:sz="0" w:space="0" w:color="auto"/>
                <w:bottom w:val="none" w:sz="0" w:space="0" w:color="auto"/>
                <w:right w:val="none" w:sz="0" w:space="0" w:color="auto"/>
              </w:divBdr>
              <w:divsChild>
                <w:div w:id="17589853">
                  <w:marLeft w:val="0"/>
                  <w:marRight w:val="0"/>
                  <w:marTop w:val="0"/>
                  <w:marBottom w:val="0"/>
                  <w:divBdr>
                    <w:top w:val="none" w:sz="0" w:space="0" w:color="auto"/>
                    <w:left w:val="none" w:sz="0" w:space="0" w:color="auto"/>
                    <w:bottom w:val="none" w:sz="0" w:space="0" w:color="auto"/>
                    <w:right w:val="none" w:sz="0" w:space="0" w:color="auto"/>
                  </w:divBdr>
                  <w:divsChild>
                    <w:div w:id="950238914">
                      <w:marLeft w:val="0"/>
                      <w:marRight w:val="0"/>
                      <w:marTop w:val="0"/>
                      <w:marBottom w:val="0"/>
                      <w:divBdr>
                        <w:top w:val="none" w:sz="0" w:space="0" w:color="auto"/>
                        <w:left w:val="none" w:sz="0" w:space="0" w:color="auto"/>
                        <w:bottom w:val="none" w:sz="0" w:space="0" w:color="auto"/>
                        <w:right w:val="none" w:sz="0" w:space="0" w:color="auto"/>
                      </w:divBdr>
                    </w:div>
                  </w:divsChild>
                </w:div>
                <w:div w:id="58790217">
                  <w:marLeft w:val="0"/>
                  <w:marRight w:val="0"/>
                  <w:marTop w:val="0"/>
                  <w:marBottom w:val="0"/>
                  <w:divBdr>
                    <w:top w:val="none" w:sz="0" w:space="0" w:color="auto"/>
                    <w:left w:val="none" w:sz="0" w:space="0" w:color="auto"/>
                    <w:bottom w:val="none" w:sz="0" w:space="0" w:color="auto"/>
                    <w:right w:val="none" w:sz="0" w:space="0" w:color="auto"/>
                  </w:divBdr>
                  <w:divsChild>
                    <w:div w:id="574053522">
                      <w:marLeft w:val="0"/>
                      <w:marRight w:val="0"/>
                      <w:marTop w:val="0"/>
                      <w:marBottom w:val="0"/>
                      <w:divBdr>
                        <w:top w:val="none" w:sz="0" w:space="0" w:color="auto"/>
                        <w:left w:val="none" w:sz="0" w:space="0" w:color="auto"/>
                        <w:bottom w:val="none" w:sz="0" w:space="0" w:color="auto"/>
                        <w:right w:val="none" w:sz="0" w:space="0" w:color="auto"/>
                      </w:divBdr>
                    </w:div>
                  </w:divsChild>
                </w:div>
                <w:div w:id="105469557">
                  <w:marLeft w:val="0"/>
                  <w:marRight w:val="0"/>
                  <w:marTop w:val="0"/>
                  <w:marBottom w:val="0"/>
                  <w:divBdr>
                    <w:top w:val="none" w:sz="0" w:space="0" w:color="auto"/>
                    <w:left w:val="none" w:sz="0" w:space="0" w:color="auto"/>
                    <w:bottom w:val="none" w:sz="0" w:space="0" w:color="auto"/>
                    <w:right w:val="none" w:sz="0" w:space="0" w:color="auto"/>
                  </w:divBdr>
                  <w:divsChild>
                    <w:div w:id="2022538602">
                      <w:marLeft w:val="0"/>
                      <w:marRight w:val="0"/>
                      <w:marTop w:val="0"/>
                      <w:marBottom w:val="0"/>
                      <w:divBdr>
                        <w:top w:val="none" w:sz="0" w:space="0" w:color="auto"/>
                        <w:left w:val="none" w:sz="0" w:space="0" w:color="auto"/>
                        <w:bottom w:val="none" w:sz="0" w:space="0" w:color="auto"/>
                        <w:right w:val="none" w:sz="0" w:space="0" w:color="auto"/>
                      </w:divBdr>
                    </w:div>
                  </w:divsChild>
                </w:div>
                <w:div w:id="118961561">
                  <w:marLeft w:val="0"/>
                  <w:marRight w:val="0"/>
                  <w:marTop w:val="0"/>
                  <w:marBottom w:val="0"/>
                  <w:divBdr>
                    <w:top w:val="none" w:sz="0" w:space="0" w:color="auto"/>
                    <w:left w:val="none" w:sz="0" w:space="0" w:color="auto"/>
                    <w:bottom w:val="none" w:sz="0" w:space="0" w:color="auto"/>
                    <w:right w:val="none" w:sz="0" w:space="0" w:color="auto"/>
                  </w:divBdr>
                  <w:divsChild>
                    <w:div w:id="4404231">
                      <w:marLeft w:val="0"/>
                      <w:marRight w:val="0"/>
                      <w:marTop w:val="0"/>
                      <w:marBottom w:val="0"/>
                      <w:divBdr>
                        <w:top w:val="none" w:sz="0" w:space="0" w:color="auto"/>
                        <w:left w:val="none" w:sz="0" w:space="0" w:color="auto"/>
                        <w:bottom w:val="none" w:sz="0" w:space="0" w:color="auto"/>
                        <w:right w:val="none" w:sz="0" w:space="0" w:color="auto"/>
                      </w:divBdr>
                    </w:div>
                  </w:divsChild>
                </w:div>
                <w:div w:id="143744161">
                  <w:marLeft w:val="0"/>
                  <w:marRight w:val="0"/>
                  <w:marTop w:val="0"/>
                  <w:marBottom w:val="0"/>
                  <w:divBdr>
                    <w:top w:val="none" w:sz="0" w:space="0" w:color="auto"/>
                    <w:left w:val="none" w:sz="0" w:space="0" w:color="auto"/>
                    <w:bottom w:val="none" w:sz="0" w:space="0" w:color="auto"/>
                    <w:right w:val="none" w:sz="0" w:space="0" w:color="auto"/>
                  </w:divBdr>
                  <w:divsChild>
                    <w:div w:id="1642618703">
                      <w:marLeft w:val="0"/>
                      <w:marRight w:val="0"/>
                      <w:marTop w:val="0"/>
                      <w:marBottom w:val="0"/>
                      <w:divBdr>
                        <w:top w:val="none" w:sz="0" w:space="0" w:color="auto"/>
                        <w:left w:val="none" w:sz="0" w:space="0" w:color="auto"/>
                        <w:bottom w:val="none" w:sz="0" w:space="0" w:color="auto"/>
                        <w:right w:val="none" w:sz="0" w:space="0" w:color="auto"/>
                      </w:divBdr>
                    </w:div>
                  </w:divsChild>
                </w:div>
                <w:div w:id="176777970">
                  <w:marLeft w:val="0"/>
                  <w:marRight w:val="0"/>
                  <w:marTop w:val="0"/>
                  <w:marBottom w:val="0"/>
                  <w:divBdr>
                    <w:top w:val="none" w:sz="0" w:space="0" w:color="auto"/>
                    <w:left w:val="none" w:sz="0" w:space="0" w:color="auto"/>
                    <w:bottom w:val="none" w:sz="0" w:space="0" w:color="auto"/>
                    <w:right w:val="none" w:sz="0" w:space="0" w:color="auto"/>
                  </w:divBdr>
                  <w:divsChild>
                    <w:div w:id="605307742">
                      <w:marLeft w:val="0"/>
                      <w:marRight w:val="0"/>
                      <w:marTop w:val="0"/>
                      <w:marBottom w:val="0"/>
                      <w:divBdr>
                        <w:top w:val="none" w:sz="0" w:space="0" w:color="auto"/>
                        <w:left w:val="none" w:sz="0" w:space="0" w:color="auto"/>
                        <w:bottom w:val="none" w:sz="0" w:space="0" w:color="auto"/>
                        <w:right w:val="none" w:sz="0" w:space="0" w:color="auto"/>
                      </w:divBdr>
                    </w:div>
                  </w:divsChild>
                </w:div>
                <w:div w:id="201476846">
                  <w:marLeft w:val="0"/>
                  <w:marRight w:val="0"/>
                  <w:marTop w:val="0"/>
                  <w:marBottom w:val="0"/>
                  <w:divBdr>
                    <w:top w:val="none" w:sz="0" w:space="0" w:color="auto"/>
                    <w:left w:val="none" w:sz="0" w:space="0" w:color="auto"/>
                    <w:bottom w:val="none" w:sz="0" w:space="0" w:color="auto"/>
                    <w:right w:val="none" w:sz="0" w:space="0" w:color="auto"/>
                  </w:divBdr>
                  <w:divsChild>
                    <w:div w:id="1186098654">
                      <w:marLeft w:val="0"/>
                      <w:marRight w:val="0"/>
                      <w:marTop w:val="0"/>
                      <w:marBottom w:val="0"/>
                      <w:divBdr>
                        <w:top w:val="none" w:sz="0" w:space="0" w:color="auto"/>
                        <w:left w:val="none" w:sz="0" w:space="0" w:color="auto"/>
                        <w:bottom w:val="none" w:sz="0" w:space="0" w:color="auto"/>
                        <w:right w:val="none" w:sz="0" w:space="0" w:color="auto"/>
                      </w:divBdr>
                    </w:div>
                  </w:divsChild>
                </w:div>
                <w:div w:id="234164605">
                  <w:marLeft w:val="0"/>
                  <w:marRight w:val="0"/>
                  <w:marTop w:val="0"/>
                  <w:marBottom w:val="0"/>
                  <w:divBdr>
                    <w:top w:val="none" w:sz="0" w:space="0" w:color="auto"/>
                    <w:left w:val="none" w:sz="0" w:space="0" w:color="auto"/>
                    <w:bottom w:val="none" w:sz="0" w:space="0" w:color="auto"/>
                    <w:right w:val="none" w:sz="0" w:space="0" w:color="auto"/>
                  </w:divBdr>
                  <w:divsChild>
                    <w:div w:id="2146308584">
                      <w:marLeft w:val="0"/>
                      <w:marRight w:val="0"/>
                      <w:marTop w:val="0"/>
                      <w:marBottom w:val="0"/>
                      <w:divBdr>
                        <w:top w:val="none" w:sz="0" w:space="0" w:color="auto"/>
                        <w:left w:val="none" w:sz="0" w:space="0" w:color="auto"/>
                        <w:bottom w:val="none" w:sz="0" w:space="0" w:color="auto"/>
                        <w:right w:val="none" w:sz="0" w:space="0" w:color="auto"/>
                      </w:divBdr>
                    </w:div>
                  </w:divsChild>
                </w:div>
                <w:div w:id="239366114">
                  <w:marLeft w:val="0"/>
                  <w:marRight w:val="0"/>
                  <w:marTop w:val="0"/>
                  <w:marBottom w:val="0"/>
                  <w:divBdr>
                    <w:top w:val="none" w:sz="0" w:space="0" w:color="auto"/>
                    <w:left w:val="none" w:sz="0" w:space="0" w:color="auto"/>
                    <w:bottom w:val="none" w:sz="0" w:space="0" w:color="auto"/>
                    <w:right w:val="none" w:sz="0" w:space="0" w:color="auto"/>
                  </w:divBdr>
                  <w:divsChild>
                    <w:div w:id="851382457">
                      <w:marLeft w:val="0"/>
                      <w:marRight w:val="0"/>
                      <w:marTop w:val="0"/>
                      <w:marBottom w:val="0"/>
                      <w:divBdr>
                        <w:top w:val="none" w:sz="0" w:space="0" w:color="auto"/>
                        <w:left w:val="none" w:sz="0" w:space="0" w:color="auto"/>
                        <w:bottom w:val="none" w:sz="0" w:space="0" w:color="auto"/>
                        <w:right w:val="none" w:sz="0" w:space="0" w:color="auto"/>
                      </w:divBdr>
                    </w:div>
                  </w:divsChild>
                </w:div>
                <w:div w:id="307172627">
                  <w:marLeft w:val="0"/>
                  <w:marRight w:val="0"/>
                  <w:marTop w:val="0"/>
                  <w:marBottom w:val="0"/>
                  <w:divBdr>
                    <w:top w:val="none" w:sz="0" w:space="0" w:color="auto"/>
                    <w:left w:val="none" w:sz="0" w:space="0" w:color="auto"/>
                    <w:bottom w:val="none" w:sz="0" w:space="0" w:color="auto"/>
                    <w:right w:val="none" w:sz="0" w:space="0" w:color="auto"/>
                  </w:divBdr>
                  <w:divsChild>
                    <w:div w:id="442697509">
                      <w:marLeft w:val="0"/>
                      <w:marRight w:val="0"/>
                      <w:marTop w:val="0"/>
                      <w:marBottom w:val="0"/>
                      <w:divBdr>
                        <w:top w:val="none" w:sz="0" w:space="0" w:color="auto"/>
                        <w:left w:val="none" w:sz="0" w:space="0" w:color="auto"/>
                        <w:bottom w:val="none" w:sz="0" w:space="0" w:color="auto"/>
                        <w:right w:val="none" w:sz="0" w:space="0" w:color="auto"/>
                      </w:divBdr>
                    </w:div>
                  </w:divsChild>
                </w:div>
                <w:div w:id="311757268">
                  <w:marLeft w:val="0"/>
                  <w:marRight w:val="0"/>
                  <w:marTop w:val="0"/>
                  <w:marBottom w:val="0"/>
                  <w:divBdr>
                    <w:top w:val="none" w:sz="0" w:space="0" w:color="auto"/>
                    <w:left w:val="none" w:sz="0" w:space="0" w:color="auto"/>
                    <w:bottom w:val="none" w:sz="0" w:space="0" w:color="auto"/>
                    <w:right w:val="none" w:sz="0" w:space="0" w:color="auto"/>
                  </w:divBdr>
                  <w:divsChild>
                    <w:div w:id="2114785708">
                      <w:marLeft w:val="0"/>
                      <w:marRight w:val="0"/>
                      <w:marTop w:val="0"/>
                      <w:marBottom w:val="0"/>
                      <w:divBdr>
                        <w:top w:val="none" w:sz="0" w:space="0" w:color="auto"/>
                        <w:left w:val="none" w:sz="0" w:space="0" w:color="auto"/>
                        <w:bottom w:val="none" w:sz="0" w:space="0" w:color="auto"/>
                        <w:right w:val="none" w:sz="0" w:space="0" w:color="auto"/>
                      </w:divBdr>
                    </w:div>
                  </w:divsChild>
                </w:div>
                <w:div w:id="315186222">
                  <w:marLeft w:val="0"/>
                  <w:marRight w:val="0"/>
                  <w:marTop w:val="0"/>
                  <w:marBottom w:val="0"/>
                  <w:divBdr>
                    <w:top w:val="none" w:sz="0" w:space="0" w:color="auto"/>
                    <w:left w:val="none" w:sz="0" w:space="0" w:color="auto"/>
                    <w:bottom w:val="none" w:sz="0" w:space="0" w:color="auto"/>
                    <w:right w:val="none" w:sz="0" w:space="0" w:color="auto"/>
                  </w:divBdr>
                  <w:divsChild>
                    <w:div w:id="572392572">
                      <w:marLeft w:val="0"/>
                      <w:marRight w:val="0"/>
                      <w:marTop w:val="0"/>
                      <w:marBottom w:val="0"/>
                      <w:divBdr>
                        <w:top w:val="none" w:sz="0" w:space="0" w:color="auto"/>
                        <w:left w:val="none" w:sz="0" w:space="0" w:color="auto"/>
                        <w:bottom w:val="none" w:sz="0" w:space="0" w:color="auto"/>
                        <w:right w:val="none" w:sz="0" w:space="0" w:color="auto"/>
                      </w:divBdr>
                    </w:div>
                  </w:divsChild>
                </w:div>
                <w:div w:id="346097667">
                  <w:marLeft w:val="0"/>
                  <w:marRight w:val="0"/>
                  <w:marTop w:val="0"/>
                  <w:marBottom w:val="0"/>
                  <w:divBdr>
                    <w:top w:val="none" w:sz="0" w:space="0" w:color="auto"/>
                    <w:left w:val="none" w:sz="0" w:space="0" w:color="auto"/>
                    <w:bottom w:val="none" w:sz="0" w:space="0" w:color="auto"/>
                    <w:right w:val="none" w:sz="0" w:space="0" w:color="auto"/>
                  </w:divBdr>
                  <w:divsChild>
                    <w:div w:id="879047867">
                      <w:marLeft w:val="0"/>
                      <w:marRight w:val="0"/>
                      <w:marTop w:val="0"/>
                      <w:marBottom w:val="0"/>
                      <w:divBdr>
                        <w:top w:val="none" w:sz="0" w:space="0" w:color="auto"/>
                        <w:left w:val="none" w:sz="0" w:space="0" w:color="auto"/>
                        <w:bottom w:val="none" w:sz="0" w:space="0" w:color="auto"/>
                        <w:right w:val="none" w:sz="0" w:space="0" w:color="auto"/>
                      </w:divBdr>
                    </w:div>
                  </w:divsChild>
                </w:div>
                <w:div w:id="380523527">
                  <w:marLeft w:val="0"/>
                  <w:marRight w:val="0"/>
                  <w:marTop w:val="0"/>
                  <w:marBottom w:val="0"/>
                  <w:divBdr>
                    <w:top w:val="none" w:sz="0" w:space="0" w:color="auto"/>
                    <w:left w:val="none" w:sz="0" w:space="0" w:color="auto"/>
                    <w:bottom w:val="none" w:sz="0" w:space="0" w:color="auto"/>
                    <w:right w:val="none" w:sz="0" w:space="0" w:color="auto"/>
                  </w:divBdr>
                  <w:divsChild>
                    <w:div w:id="1851142698">
                      <w:marLeft w:val="0"/>
                      <w:marRight w:val="0"/>
                      <w:marTop w:val="0"/>
                      <w:marBottom w:val="0"/>
                      <w:divBdr>
                        <w:top w:val="none" w:sz="0" w:space="0" w:color="auto"/>
                        <w:left w:val="none" w:sz="0" w:space="0" w:color="auto"/>
                        <w:bottom w:val="none" w:sz="0" w:space="0" w:color="auto"/>
                        <w:right w:val="none" w:sz="0" w:space="0" w:color="auto"/>
                      </w:divBdr>
                    </w:div>
                  </w:divsChild>
                </w:div>
                <w:div w:id="396975788">
                  <w:marLeft w:val="0"/>
                  <w:marRight w:val="0"/>
                  <w:marTop w:val="0"/>
                  <w:marBottom w:val="0"/>
                  <w:divBdr>
                    <w:top w:val="none" w:sz="0" w:space="0" w:color="auto"/>
                    <w:left w:val="none" w:sz="0" w:space="0" w:color="auto"/>
                    <w:bottom w:val="none" w:sz="0" w:space="0" w:color="auto"/>
                    <w:right w:val="none" w:sz="0" w:space="0" w:color="auto"/>
                  </w:divBdr>
                  <w:divsChild>
                    <w:div w:id="1672103424">
                      <w:marLeft w:val="0"/>
                      <w:marRight w:val="0"/>
                      <w:marTop w:val="0"/>
                      <w:marBottom w:val="0"/>
                      <w:divBdr>
                        <w:top w:val="none" w:sz="0" w:space="0" w:color="auto"/>
                        <w:left w:val="none" w:sz="0" w:space="0" w:color="auto"/>
                        <w:bottom w:val="none" w:sz="0" w:space="0" w:color="auto"/>
                        <w:right w:val="none" w:sz="0" w:space="0" w:color="auto"/>
                      </w:divBdr>
                    </w:div>
                  </w:divsChild>
                </w:div>
                <w:div w:id="401369157">
                  <w:marLeft w:val="0"/>
                  <w:marRight w:val="0"/>
                  <w:marTop w:val="0"/>
                  <w:marBottom w:val="0"/>
                  <w:divBdr>
                    <w:top w:val="none" w:sz="0" w:space="0" w:color="auto"/>
                    <w:left w:val="none" w:sz="0" w:space="0" w:color="auto"/>
                    <w:bottom w:val="none" w:sz="0" w:space="0" w:color="auto"/>
                    <w:right w:val="none" w:sz="0" w:space="0" w:color="auto"/>
                  </w:divBdr>
                  <w:divsChild>
                    <w:div w:id="2041736897">
                      <w:marLeft w:val="0"/>
                      <w:marRight w:val="0"/>
                      <w:marTop w:val="0"/>
                      <w:marBottom w:val="0"/>
                      <w:divBdr>
                        <w:top w:val="none" w:sz="0" w:space="0" w:color="auto"/>
                        <w:left w:val="none" w:sz="0" w:space="0" w:color="auto"/>
                        <w:bottom w:val="none" w:sz="0" w:space="0" w:color="auto"/>
                        <w:right w:val="none" w:sz="0" w:space="0" w:color="auto"/>
                      </w:divBdr>
                    </w:div>
                  </w:divsChild>
                </w:div>
                <w:div w:id="453520301">
                  <w:marLeft w:val="0"/>
                  <w:marRight w:val="0"/>
                  <w:marTop w:val="0"/>
                  <w:marBottom w:val="0"/>
                  <w:divBdr>
                    <w:top w:val="none" w:sz="0" w:space="0" w:color="auto"/>
                    <w:left w:val="none" w:sz="0" w:space="0" w:color="auto"/>
                    <w:bottom w:val="none" w:sz="0" w:space="0" w:color="auto"/>
                    <w:right w:val="none" w:sz="0" w:space="0" w:color="auto"/>
                  </w:divBdr>
                  <w:divsChild>
                    <w:div w:id="109667986">
                      <w:marLeft w:val="0"/>
                      <w:marRight w:val="0"/>
                      <w:marTop w:val="0"/>
                      <w:marBottom w:val="0"/>
                      <w:divBdr>
                        <w:top w:val="none" w:sz="0" w:space="0" w:color="auto"/>
                        <w:left w:val="none" w:sz="0" w:space="0" w:color="auto"/>
                        <w:bottom w:val="none" w:sz="0" w:space="0" w:color="auto"/>
                        <w:right w:val="none" w:sz="0" w:space="0" w:color="auto"/>
                      </w:divBdr>
                    </w:div>
                  </w:divsChild>
                </w:div>
                <w:div w:id="531577326">
                  <w:marLeft w:val="0"/>
                  <w:marRight w:val="0"/>
                  <w:marTop w:val="0"/>
                  <w:marBottom w:val="0"/>
                  <w:divBdr>
                    <w:top w:val="none" w:sz="0" w:space="0" w:color="auto"/>
                    <w:left w:val="none" w:sz="0" w:space="0" w:color="auto"/>
                    <w:bottom w:val="none" w:sz="0" w:space="0" w:color="auto"/>
                    <w:right w:val="none" w:sz="0" w:space="0" w:color="auto"/>
                  </w:divBdr>
                  <w:divsChild>
                    <w:div w:id="734668293">
                      <w:marLeft w:val="0"/>
                      <w:marRight w:val="0"/>
                      <w:marTop w:val="0"/>
                      <w:marBottom w:val="0"/>
                      <w:divBdr>
                        <w:top w:val="none" w:sz="0" w:space="0" w:color="auto"/>
                        <w:left w:val="none" w:sz="0" w:space="0" w:color="auto"/>
                        <w:bottom w:val="none" w:sz="0" w:space="0" w:color="auto"/>
                        <w:right w:val="none" w:sz="0" w:space="0" w:color="auto"/>
                      </w:divBdr>
                    </w:div>
                  </w:divsChild>
                </w:div>
                <w:div w:id="547958055">
                  <w:marLeft w:val="0"/>
                  <w:marRight w:val="0"/>
                  <w:marTop w:val="0"/>
                  <w:marBottom w:val="0"/>
                  <w:divBdr>
                    <w:top w:val="none" w:sz="0" w:space="0" w:color="auto"/>
                    <w:left w:val="none" w:sz="0" w:space="0" w:color="auto"/>
                    <w:bottom w:val="none" w:sz="0" w:space="0" w:color="auto"/>
                    <w:right w:val="none" w:sz="0" w:space="0" w:color="auto"/>
                  </w:divBdr>
                  <w:divsChild>
                    <w:div w:id="193151078">
                      <w:marLeft w:val="0"/>
                      <w:marRight w:val="0"/>
                      <w:marTop w:val="0"/>
                      <w:marBottom w:val="0"/>
                      <w:divBdr>
                        <w:top w:val="none" w:sz="0" w:space="0" w:color="auto"/>
                        <w:left w:val="none" w:sz="0" w:space="0" w:color="auto"/>
                        <w:bottom w:val="none" w:sz="0" w:space="0" w:color="auto"/>
                        <w:right w:val="none" w:sz="0" w:space="0" w:color="auto"/>
                      </w:divBdr>
                    </w:div>
                  </w:divsChild>
                </w:div>
                <w:div w:id="642779846">
                  <w:marLeft w:val="0"/>
                  <w:marRight w:val="0"/>
                  <w:marTop w:val="0"/>
                  <w:marBottom w:val="0"/>
                  <w:divBdr>
                    <w:top w:val="none" w:sz="0" w:space="0" w:color="auto"/>
                    <w:left w:val="none" w:sz="0" w:space="0" w:color="auto"/>
                    <w:bottom w:val="none" w:sz="0" w:space="0" w:color="auto"/>
                    <w:right w:val="none" w:sz="0" w:space="0" w:color="auto"/>
                  </w:divBdr>
                  <w:divsChild>
                    <w:div w:id="509487531">
                      <w:marLeft w:val="0"/>
                      <w:marRight w:val="0"/>
                      <w:marTop w:val="0"/>
                      <w:marBottom w:val="0"/>
                      <w:divBdr>
                        <w:top w:val="none" w:sz="0" w:space="0" w:color="auto"/>
                        <w:left w:val="none" w:sz="0" w:space="0" w:color="auto"/>
                        <w:bottom w:val="none" w:sz="0" w:space="0" w:color="auto"/>
                        <w:right w:val="none" w:sz="0" w:space="0" w:color="auto"/>
                      </w:divBdr>
                    </w:div>
                  </w:divsChild>
                </w:div>
                <w:div w:id="672537448">
                  <w:marLeft w:val="0"/>
                  <w:marRight w:val="0"/>
                  <w:marTop w:val="0"/>
                  <w:marBottom w:val="0"/>
                  <w:divBdr>
                    <w:top w:val="none" w:sz="0" w:space="0" w:color="auto"/>
                    <w:left w:val="none" w:sz="0" w:space="0" w:color="auto"/>
                    <w:bottom w:val="none" w:sz="0" w:space="0" w:color="auto"/>
                    <w:right w:val="none" w:sz="0" w:space="0" w:color="auto"/>
                  </w:divBdr>
                  <w:divsChild>
                    <w:div w:id="811213737">
                      <w:marLeft w:val="0"/>
                      <w:marRight w:val="0"/>
                      <w:marTop w:val="0"/>
                      <w:marBottom w:val="0"/>
                      <w:divBdr>
                        <w:top w:val="none" w:sz="0" w:space="0" w:color="auto"/>
                        <w:left w:val="none" w:sz="0" w:space="0" w:color="auto"/>
                        <w:bottom w:val="none" w:sz="0" w:space="0" w:color="auto"/>
                        <w:right w:val="none" w:sz="0" w:space="0" w:color="auto"/>
                      </w:divBdr>
                    </w:div>
                  </w:divsChild>
                </w:div>
                <w:div w:id="704714886">
                  <w:marLeft w:val="0"/>
                  <w:marRight w:val="0"/>
                  <w:marTop w:val="0"/>
                  <w:marBottom w:val="0"/>
                  <w:divBdr>
                    <w:top w:val="none" w:sz="0" w:space="0" w:color="auto"/>
                    <w:left w:val="none" w:sz="0" w:space="0" w:color="auto"/>
                    <w:bottom w:val="none" w:sz="0" w:space="0" w:color="auto"/>
                    <w:right w:val="none" w:sz="0" w:space="0" w:color="auto"/>
                  </w:divBdr>
                  <w:divsChild>
                    <w:div w:id="190191248">
                      <w:marLeft w:val="0"/>
                      <w:marRight w:val="0"/>
                      <w:marTop w:val="0"/>
                      <w:marBottom w:val="0"/>
                      <w:divBdr>
                        <w:top w:val="none" w:sz="0" w:space="0" w:color="auto"/>
                        <w:left w:val="none" w:sz="0" w:space="0" w:color="auto"/>
                        <w:bottom w:val="none" w:sz="0" w:space="0" w:color="auto"/>
                        <w:right w:val="none" w:sz="0" w:space="0" w:color="auto"/>
                      </w:divBdr>
                    </w:div>
                  </w:divsChild>
                </w:div>
                <w:div w:id="707218376">
                  <w:marLeft w:val="0"/>
                  <w:marRight w:val="0"/>
                  <w:marTop w:val="0"/>
                  <w:marBottom w:val="0"/>
                  <w:divBdr>
                    <w:top w:val="none" w:sz="0" w:space="0" w:color="auto"/>
                    <w:left w:val="none" w:sz="0" w:space="0" w:color="auto"/>
                    <w:bottom w:val="none" w:sz="0" w:space="0" w:color="auto"/>
                    <w:right w:val="none" w:sz="0" w:space="0" w:color="auto"/>
                  </w:divBdr>
                  <w:divsChild>
                    <w:div w:id="744381127">
                      <w:marLeft w:val="0"/>
                      <w:marRight w:val="0"/>
                      <w:marTop w:val="0"/>
                      <w:marBottom w:val="0"/>
                      <w:divBdr>
                        <w:top w:val="none" w:sz="0" w:space="0" w:color="auto"/>
                        <w:left w:val="none" w:sz="0" w:space="0" w:color="auto"/>
                        <w:bottom w:val="none" w:sz="0" w:space="0" w:color="auto"/>
                        <w:right w:val="none" w:sz="0" w:space="0" w:color="auto"/>
                      </w:divBdr>
                    </w:div>
                  </w:divsChild>
                </w:div>
                <w:div w:id="707410265">
                  <w:marLeft w:val="0"/>
                  <w:marRight w:val="0"/>
                  <w:marTop w:val="0"/>
                  <w:marBottom w:val="0"/>
                  <w:divBdr>
                    <w:top w:val="none" w:sz="0" w:space="0" w:color="auto"/>
                    <w:left w:val="none" w:sz="0" w:space="0" w:color="auto"/>
                    <w:bottom w:val="none" w:sz="0" w:space="0" w:color="auto"/>
                    <w:right w:val="none" w:sz="0" w:space="0" w:color="auto"/>
                  </w:divBdr>
                  <w:divsChild>
                    <w:div w:id="541789686">
                      <w:marLeft w:val="0"/>
                      <w:marRight w:val="0"/>
                      <w:marTop w:val="0"/>
                      <w:marBottom w:val="0"/>
                      <w:divBdr>
                        <w:top w:val="none" w:sz="0" w:space="0" w:color="auto"/>
                        <w:left w:val="none" w:sz="0" w:space="0" w:color="auto"/>
                        <w:bottom w:val="none" w:sz="0" w:space="0" w:color="auto"/>
                        <w:right w:val="none" w:sz="0" w:space="0" w:color="auto"/>
                      </w:divBdr>
                    </w:div>
                  </w:divsChild>
                </w:div>
                <w:div w:id="743726143">
                  <w:marLeft w:val="0"/>
                  <w:marRight w:val="0"/>
                  <w:marTop w:val="0"/>
                  <w:marBottom w:val="0"/>
                  <w:divBdr>
                    <w:top w:val="none" w:sz="0" w:space="0" w:color="auto"/>
                    <w:left w:val="none" w:sz="0" w:space="0" w:color="auto"/>
                    <w:bottom w:val="none" w:sz="0" w:space="0" w:color="auto"/>
                    <w:right w:val="none" w:sz="0" w:space="0" w:color="auto"/>
                  </w:divBdr>
                  <w:divsChild>
                    <w:div w:id="893004827">
                      <w:marLeft w:val="0"/>
                      <w:marRight w:val="0"/>
                      <w:marTop w:val="0"/>
                      <w:marBottom w:val="0"/>
                      <w:divBdr>
                        <w:top w:val="none" w:sz="0" w:space="0" w:color="auto"/>
                        <w:left w:val="none" w:sz="0" w:space="0" w:color="auto"/>
                        <w:bottom w:val="none" w:sz="0" w:space="0" w:color="auto"/>
                        <w:right w:val="none" w:sz="0" w:space="0" w:color="auto"/>
                      </w:divBdr>
                    </w:div>
                  </w:divsChild>
                </w:div>
                <w:div w:id="799687781">
                  <w:marLeft w:val="0"/>
                  <w:marRight w:val="0"/>
                  <w:marTop w:val="0"/>
                  <w:marBottom w:val="0"/>
                  <w:divBdr>
                    <w:top w:val="none" w:sz="0" w:space="0" w:color="auto"/>
                    <w:left w:val="none" w:sz="0" w:space="0" w:color="auto"/>
                    <w:bottom w:val="none" w:sz="0" w:space="0" w:color="auto"/>
                    <w:right w:val="none" w:sz="0" w:space="0" w:color="auto"/>
                  </w:divBdr>
                  <w:divsChild>
                    <w:div w:id="537938437">
                      <w:marLeft w:val="0"/>
                      <w:marRight w:val="0"/>
                      <w:marTop w:val="0"/>
                      <w:marBottom w:val="0"/>
                      <w:divBdr>
                        <w:top w:val="none" w:sz="0" w:space="0" w:color="auto"/>
                        <w:left w:val="none" w:sz="0" w:space="0" w:color="auto"/>
                        <w:bottom w:val="none" w:sz="0" w:space="0" w:color="auto"/>
                        <w:right w:val="none" w:sz="0" w:space="0" w:color="auto"/>
                      </w:divBdr>
                    </w:div>
                  </w:divsChild>
                </w:div>
                <w:div w:id="820804298">
                  <w:marLeft w:val="0"/>
                  <w:marRight w:val="0"/>
                  <w:marTop w:val="0"/>
                  <w:marBottom w:val="0"/>
                  <w:divBdr>
                    <w:top w:val="none" w:sz="0" w:space="0" w:color="auto"/>
                    <w:left w:val="none" w:sz="0" w:space="0" w:color="auto"/>
                    <w:bottom w:val="none" w:sz="0" w:space="0" w:color="auto"/>
                    <w:right w:val="none" w:sz="0" w:space="0" w:color="auto"/>
                  </w:divBdr>
                  <w:divsChild>
                    <w:div w:id="1655647003">
                      <w:marLeft w:val="0"/>
                      <w:marRight w:val="0"/>
                      <w:marTop w:val="0"/>
                      <w:marBottom w:val="0"/>
                      <w:divBdr>
                        <w:top w:val="none" w:sz="0" w:space="0" w:color="auto"/>
                        <w:left w:val="none" w:sz="0" w:space="0" w:color="auto"/>
                        <w:bottom w:val="none" w:sz="0" w:space="0" w:color="auto"/>
                        <w:right w:val="none" w:sz="0" w:space="0" w:color="auto"/>
                      </w:divBdr>
                    </w:div>
                  </w:divsChild>
                </w:div>
                <w:div w:id="891817966">
                  <w:marLeft w:val="0"/>
                  <w:marRight w:val="0"/>
                  <w:marTop w:val="0"/>
                  <w:marBottom w:val="0"/>
                  <w:divBdr>
                    <w:top w:val="none" w:sz="0" w:space="0" w:color="auto"/>
                    <w:left w:val="none" w:sz="0" w:space="0" w:color="auto"/>
                    <w:bottom w:val="none" w:sz="0" w:space="0" w:color="auto"/>
                    <w:right w:val="none" w:sz="0" w:space="0" w:color="auto"/>
                  </w:divBdr>
                  <w:divsChild>
                    <w:div w:id="1115759483">
                      <w:marLeft w:val="0"/>
                      <w:marRight w:val="0"/>
                      <w:marTop w:val="0"/>
                      <w:marBottom w:val="0"/>
                      <w:divBdr>
                        <w:top w:val="none" w:sz="0" w:space="0" w:color="auto"/>
                        <w:left w:val="none" w:sz="0" w:space="0" w:color="auto"/>
                        <w:bottom w:val="none" w:sz="0" w:space="0" w:color="auto"/>
                        <w:right w:val="none" w:sz="0" w:space="0" w:color="auto"/>
                      </w:divBdr>
                    </w:div>
                  </w:divsChild>
                </w:div>
                <w:div w:id="914557868">
                  <w:marLeft w:val="0"/>
                  <w:marRight w:val="0"/>
                  <w:marTop w:val="0"/>
                  <w:marBottom w:val="0"/>
                  <w:divBdr>
                    <w:top w:val="none" w:sz="0" w:space="0" w:color="auto"/>
                    <w:left w:val="none" w:sz="0" w:space="0" w:color="auto"/>
                    <w:bottom w:val="none" w:sz="0" w:space="0" w:color="auto"/>
                    <w:right w:val="none" w:sz="0" w:space="0" w:color="auto"/>
                  </w:divBdr>
                  <w:divsChild>
                    <w:div w:id="1812211049">
                      <w:marLeft w:val="0"/>
                      <w:marRight w:val="0"/>
                      <w:marTop w:val="0"/>
                      <w:marBottom w:val="0"/>
                      <w:divBdr>
                        <w:top w:val="none" w:sz="0" w:space="0" w:color="auto"/>
                        <w:left w:val="none" w:sz="0" w:space="0" w:color="auto"/>
                        <w:bottom w:val="none" w:sz="0" w:space="0" w:color="auto"/>
                        <w:right w:val="none" w:sz="0" w:space="0" w:color="auto"/>
                      </w:divBdr>
                    </w:div>
                  </w:divsChild>
                </w:div>
                <w:div w:id="928927795">
                  <w:marLeft w:val="0"/>
                  <w:marRight w:val="0"/>
                  <w:marTop w:val="0"/>
                  <w:marBottom w:val="0"/>
                  <w:divBdr>
                    <w:top w:val="none" w:sz="0" w:space="0" w:color="auto"/>
                    <w:left w:val="none" w:sz="0" w:space="0" w:color="auto"/>
                    <w:bottom w:val="none" w:sz="0" w:space="0" w:color="auto"/>
                    <w:right w:val="none" w:sz="0" w:space="0" w:color="auto"/>
                  </w:divBdr>
                  <w:divsChild>
                    <w:div w:id="1560509090">
                      <w:marLeft w:val="0"/>
                      <w:marRight w:val="0"/>
                      <w:marTop w:val="0"/>
                      <w:marBottom w:val="0"/>
                      <w:divBdr>
                        <w:top w:val="none" w:sz="0" w:space="0" w:color="auto"/>
                        <w:left w:val="none" w:sz="0" w:space="0" w:color="auto"/>
                        <w:bottom w:val="none" w:sz="0" w:space="0" w:color="auto"/>
                        <w:right w:val="none" w:sz="0" w:space="0" w:color="auto"/>
                      </w:divBdr>
                    </w:div>
                  </w:divsChild>
                </w:div>
                <w:div w:id="958334917">
                  <w:marLeft w:val="0"/>
                  <w:marRight w:val="0"/>
                  <w:marTop w:val="0"/>
                  <w:marBottom w:val="0"/>
                  <w:divBdr>
                    <w:top w:val="none" w:sz="0" w:space="0" w:color="auto"/>
                    <w:left w:val="none" w:sz="0" w:space="0" w:color="auto"/>
                    <w:bottom w:val="none" w:sz="0" w:space="0" w:color="auto"/>
                    <w:right w:val="none" w:sz="0" w:space="0" w:color="auto"/>
                  </w:divBdr>
                  <w:divsChild>
                    <w:div w:id="373624521">
                      <w:marLeft w:val="0"/>
                      <w:marRight w:val="0"/>
                      <w:marTop w:val="0"/>
                      <w:marBottom w:val="0"/>
                      <w:divBdr>
                        <w:top w:val="none" w:sz="0" w:space="0" w:color="auto"/>
                        <w:left w:val="none" w:sz="0" w:space="0" w:color="auto"/>
                        <w:bottom w:val="none" w:sz="0" w:space="0" w:color="auto"/>
                        <w:right w:val="none" w:sz="0" w:space="0" w:color="auto"/>
                      </w:divBdr>
                    </w:div>
                  </w:divsChild>
                </w:div>
                <w:div w:id="974021764">
                  <w:marLeft w:val="0"/>
                  <w:marRight w:val="0"/>
                  <w:marTop w:val="0"/>
                  <w:marBottom w:val="0"/>
                  <w:divBdr>
                    <w:top w:val="none" w:sz="0" w:space="0" w:color="auto"/>
                    <w:left w:val="none" w:sz="0" w:space="0" w:color="auto"/>
                    <w:bottom w:val="none" w:sz="0" w:space="0" w:color="auto"/>
                    <w:right w:val="none" w:sz="0" w:space="0" w:color="auto"/>
                  </w:divBdr>
                  <w:divsChild>
                    <w:div w:id="581648617">
                      <w:marLeft w:val="0"/>
                      <w:marRight w:val="0"/>
                      <w:marTop w:val="0"/>
                      <w:marBottom w:val="0"/>
                      <w:divBdr>
                        <w:top w:val="none" w:sz="0" w:space="0" w:color="auto"/>
                        <w:left w:val="none" w:sz="0" w:space="0" w:color="auto"/>
                        <w:bottom w:val="none" w:sz="0" w:space="0" w:color="auto"/>
                        <w:right w:val="none" w:sz="0" w:space="0" w:color="auto"/>
                      </w:divBdr>
                    </w:div>
                  </w:divsChild>
                </w:div>
                <w:div w:id="1063869983">
                  <w:marLeft w:val="0"/>
                  <w:marRight w:val="0"/>
                  <w:marTop w:val="0"/>
                  <w:marBottom w:val="0"/>
                  <w:divBdr>
                    <w:top w:val="none" w:sz="0" w:space="0" w:color="auto"/>
                    <w:left w:val="none" w:sz="0" w:space="0" w:color="auto"/>
                    <w:bottom w:val="none" w:sz="0" w:space="0" w:color="auto"/>
                    <w:right w:val="none" w:sz="0" w:space="0" w:color="auto"/>
                  </w:divBdr>
                  <w:divsChild>
                    <w:div w:id="1754081545">
                      <w:marLeft w:val="0"/>
                      <w:marRight w:val="0"/>
                      <w:marTop w:val="0"/>
                      <w:marBottom w:val="0"/>
                      <w:divBdr>
                        <w:top w:val="none" w:sz="0" w:space="0" w:color="auto"/>
                        <w:left w:val="none" w:sz="0" w:space="0" w:color="auto"/>
                        <w:bottom w:val="none" w:sz="0" w:space="0" w:color="auto"/>
                        <w:right w:val="none" w:sz="0" w:space="0" w:color="auto"/>
                      </w:divBdr>
                    </w:div>
                  </w:divsChild>
                </w:div>
                <w:div w:id="1070814560">
                  <w:marLeft w:val="0"/>
                  <w:marRight w:val="0"/>
                  <w:marTop w:val="0"/>
                  <w:marBottom w:val="0"/>
                  <w:divBdr>
                    <w:top w:val="none" w:sz="0" w:space="0" w:color="auto"/>
                    <w:left w:val="none" w:sz="0" w:space="0" w:color="auto"/>
                    <w:bottom w:val="none" w:sz="0" w:space="0" w:color="auto"/>
                    <w:right w:val="none" w:sz="0" w:space="0" w:color="auto"/>
                  </w:divBdr>
                  <w:divsChild>
                    <w:div w:id="360055683">
                      <w:marLeft w:val="0"/>
                      <w:marRight w:val="0"/>
                      <w:marTop w:val="0"/>
                      <w:marBottom w:val="0"/>
                      <w:divBdr>
                        <w:top w:val="none" w:sz="0" w:space="0" w:color="auto"/>
                        <w:left w:val="none" w:sz="0" w:space="0" w:color="auto"/>
                        <w:bottom w:val="none" w:sz="0" w:space="0" w:color="auto"/>
                        <w:right w:val="none" w:sz="0" w:space="0" w:color="auto"/>
                      </w:divBdr>
                    </w:div>
                    <w:div w:id="1117795477">
                      <w:marLeft w:val="0"/>
                      <w:marRight w:val="0"/>
                      <w:marTop w:val="0"/>
                      <w:marBottom w:val="0"/>
                      <w:divBdr>
                        <w:top w:val="none" w:sz="0" w:space="0" w:color="auto"/>
                        <w:left w:val="none" w:sz="0" w:space="0" w:color="auto"/>
                        <w:bottom w:val="none" w:sz="0" w:space="0" w:color="auto"/>
                        <w:right w:val="none" w:sz="0" w:space="0" w:color="auto"/>
                      </w:divBdr>
                    </w:div>
                    <w:div w:id="1358002598">
                      <w:marLeft w:val="0"/>
                      <w:marRight w:val="0"/>
                      <w:marTop w:val="0"/>
                      <w:marBottom w:val="0"/>
                      <w:divBdr>
                        <w:top w:val="none" w:sz="0" w:space="0" w:color="auto"/>
                        <w:left w:val="none" w:sz="0" w:space="0" w:color="auto"/>
                        <w:bottom w:val="none" w:sz="0" w:space="0" w:color="auto"/>
                        <w:right w:val="none" w:sz="0" w:space="0" w:color="auto"/>
                      </w:divBdr>
                    </w:div>
                    <w:div w:id="1375498324">
                      <w:marLeft w:val="0"/>
                      <w:marRight w:val="0"/>
                      <w:marTop w:val="0"/>
                      <w:marBottom w:val="0"/>
                      <w:divBdr>
                        <w:top w:val="none" w:sz="0" w:space="0" w:color="auto"/>
                        <w:left w:val="none" w:sz="0" w:space="0" w:color="auto"/>
                        <w:bottom w:val="none" w:sz="0" w:space="0" w:color="auto"/>
                        <w:right w:val="none" w:sz="0" w:space="0" w:color="auto"/>
                      </w:divBdr>
                    </w:div>
                    <w:div w:id="1987196033">
                      <w:marLeft w:val="0"/>
                      <w:marRight w:val="0"/>
                      <w:marTop w:val="0"/>
                      <w:marBottom w:val="0"/>
                      <w:divBdr>
                        <w:top w:val="none" w:sz="0" w:space="0" w:color="auto"/>
                        <w:left w:val="none" w:sz="0" w:space="0" w:color="auto"/>
                        <w:bottom w:val="none" w:sz="0" w:space="0" w:color="auto"/>
                        <w:right w:val="none" w:sz="0" w:space="0" w:color="auto"/>
                      </w:divBdr>
                    </w:div>
                    <w:div w:id="2144886492">
                      <w:marLeft w:val="0"/>
                      <w:marRight w:val="0"/>
                      <w:marTop w:val="0"/>
                      <w:marBottom w:val="0"/>
                      <w:divBdr>
                        <w:top w:val="none" w:sz="0" w:space="0" w:color="auto"/>
                        <w:left w:val="none" w:sz="0" w:space="0" w:color="auto"/>
                        <w:bottom w:val="none" w:sz="0" w:space="0" w:color="auto"/>
                        <w:right w:val="none" w:sz="0" w:space="0" w:color="auto"/>
                      </w:divBdr>
                    </w:div>
                  </w:divsChild>
                </w:div>
                <w:div w:id="1098066897">
                  <w:marLeft w:val="0"/>
                  <w:marRight w:val="0"/>
                  <w:marTop w:val="0"/>
                  <w:marBottom w:val="0"/>
                  <w:divBdr>
                    <w:top w:val="none" w:sz="0" w:space="0" w:color="auto"/>
                    <w:left w:val="none" w:sz="0" w:space="0" w:color="auto"/>
                    <w:bottom w:val="none" w:sz="0" w:space="0" w:color="auto"/>
                    <w:right w:val="none" w:sz="0" w:space="0" w:color="auto"/>
                  </w:divBdr>
                  <w:divsChild>
                    <w:div w:id="1582375583">
                      <w:marLeft w:val="0"/>
                      <w:marRight w:val="0"/>
                      <w:marTop w:val="0"/>
                      <w:marBottom w:val="0"/>
                      <w:divBdr>
                        <w:top w:val="none" w:sz="0" w:space="0" w:color="auto"/>
                        <w:left w:val="none" w:sz="0" w:space="0" w:color="auto"/>
                        <w:bottom w:val="none" w:sz="0" w:space="0" w:color="auto"/>
                        <w:right w:val="none" w:sz="0" w:space="0" w:color="auto"/>
                      </w:divBdr>
                    </w:div>
                  </w:divsChild>
                </w:div>
                <w:div w:id="1217357638">
                  <w:marLeft w:val="0"/>
                  <w:marRight w:val="0"/>
                  <w:marTop w:val="0"/>
                  <w:marBottom w:val="0"/>
                  <w:divBdr>
                    <w:top w:val="none" w:sz="0" w:space="0" w:color="auto"/>
                    <w:left w:val="none" w:sz="0" w:space="0" w:color="auto"/>
                    <w:bottom w:val="none" w:sz="0" w:space="0" w:color="auto"/>
                    <w:right w:val="none" w:sz="0" w:space="0" w:color="auto"/>
                  </w:divBdr>
                  <w:divsChild>
                    <w:div w:id="581767471">
                      <w:marLeft w:val="0"/>
                      <w:marRight w:val="0"/>
                      <w:marTop w:val="0"/>
                      <w:marBottom w:val="0"/>
                      <w:divBdr>
                        <w:top w:val="none" w:sz="0" w:space="0" w:color="auto"/>
                        <w:left w:val="none" w:sz="0" w:space="0" w:color="auto"/>
                        <w:bottom w:val="none" w:sz="0" w:space="0" w:color="auto"/>
                        <w:right w:val="none" w:sz="0" w:space="0" w:color="auto"/>
                      </w:divBdr>
                    </w:div>
                  </w:divsChild>
                </w:div>
                <w:div w:id="1222327745">
                  <w:marLeft w:val="0"/>
                  <w:marRight w:val="0"/>
                  <w:marTop w:val="0"/>
                  <w:marBottom w:val="0"/>
                  <w:divBdr>
                    <w:top w:val="none" w:sz="0" w:space="0" w:color="auto"/>
                    <w:left w:val="none" w:sz="0" w:space="0" w:color="auto"/>
                    <w:bottom w:val="none" w:sz="0" w:space="0" w:color="auto"/>
                    <w:right w:val="none" w:sz="0" w:space="0" w:color="auto"/>
                  </w:divBdr>
                  <w:divsChild>
                    <w:div w:id="885219318">
                      <w:marLeft w:val="0"/>
                      <w:marRight w:val="0"/>
                      <w:marTop w:val="0"/>
                      <w:marBottom w:val="0"/>
                      <w:divBdr>
                        <w:top w:val="none" w:sz="0" w:space="0" w:color="auto"/>
                        <w:left w:val="none" w:sz="0" w:space="0" w:color="auto"/>
                        <w:bottom w:val="none" w:sz="0" w:space="0" w:color="auto"/>
                        <w:right w:val="none" w:sz="0" w:space="0" w:color="auto"/>
                      </w:divBdr>
                    </w:div>
                    <w:div w:id="1015157769">
                      <w:marLeft w:val="0"/>
                      <w:marRight w:val="0"/>
                      <w:marTop w:val="0"/>
                      <w:marBottom w:val="0"/>
                      <w:divBdr>
                        <w:top w:val="none" w:sz="0" w:space="0" w:color="auto"/>
                        <w:left w:val="none" w:sz="0" w:space="0" w:color="auto"/>
                        <w:bottom w:val="none" w:sz="0" w:space="0" w:color="auto"/>
                        <w:right w:val="none" w:sz="0" w:space="0" w:color="auto"/>
                      </w:divBdr>
                    </w:div>
                    <w:div w:id="1952664436">
                      <w:marLeft w:val="0"/>
                      <w:marRight w:val="0"/>
                      <w:marTop w:val="0"/>
                      <w:marBottom w:val="0"/>
                      <w:divBdr>
                        <w:top w:val="none" w:sz="0" w:space="0" w:color="auto"/>
                        <w:left w:val="none" w:sz="0" w:space="0" w:color="auto"/>
                        <w:bottom w:val="none" w:sz="0" w:space="0" w:color="auto"/>
                        <w:right w:val="none" w:sz="0" w:space="0" w:color="auto"/>
                      </w:divBdr>
                    </w:div>
                  </w:divsChild>
                </w:div>
                <w:div w:id="1276408065">
                  <w:marLeft w:val="0"/>
                  <w:marRight w:val="0"/>
                  <w:marTop w:val="0"/>
                  <w:marBottom w:val="0"/>
                  <w:divBdr>
                    <w:top w:val="none" w:sz="0" w:space="0" w:color="auto"/>
                    <w:left w:val="none" w:sz="0" w:space="0" w:color="auto"/>
                    <w:bottom w:val="none" w:sz="0" w:space="0" w:color="auto"/>
                    <w:right w:val="none" w:sz="0" w:space="0" w:color="auto"/>
                  </w:divBdr>
                  <w:divsChild>
                    <w:div w:id="1900553601">
                      <w:marLeft w:val="0"/>
                      <w:marRight w:val="0"/>
                      <w:marTop w:val="0"/>
                      <w:marBottom w:val="0"/>
                      <w:divBdr>
                        <w:top w:val="none" w:sz="0" w:space="0" w:color="auto"/>
                        <w:left w:val="none" w:sz="0" w:space="0" w:color="auto"/>
                        <w:bottom w:val="none" w:sz="0" w:space="0" w:color="auto"/>
                        <w:right w:val="none" w:sz="0" w:space="0" w:color="auto"/>
                      </w:divBdr>
                    </w:div>
                  </w:divsChild>
                </w:div>
                <w:div w:id="1282565907">
                  <w:marLeft w:val="0"/>
                  <w:marRight w:val="0"/>
                  <w:marTop w:val="0"/>
                  <w:marBottom w:val="0"/>
                  <w:divBdr>
                    <w:top w:val="none" w:sz="0" w:space="0" w:color="auto"/>
                    <w:left w:val="none" w:sz="0" w:space="0" w:color="auto"/>
                    <w:bottom w:val="none" w:sz="0" w:space="0" w:color="auto"/>
                    <w:right w:val="none" w:sz="0" w:space="0" w:color="auto"/>
                  </w:divBdr>
                  <w:divsChild>
                    <w:div w:id="610740983">
                      <w:marLeft w:val="0"/>
                      <w:marRight w:val="0"/>
                      <w:marTop w:val="0"/>
                      <w:marBottom w:val="0"/>
                      <w:divBdr>
                        <w:top w:val="none" w:sz="0" w:space="0" w:color="auto"/>
                        <w:left w:val="none" w:sz="0" w:space="0" w:color="auto"/>
                        <w:bottom w:val="none" w:sz="0" w:space="0" w:color="auto"/>
                        <w:right w:val="none" w:sz="0" w:space="0" w:color="auto"/>
                      </w:divBdr>
                    </w:div>
                  </w:divsChild>
                </w:div>
                <w:div w:id="1341737467">
                  <w:marLeft w:val="0"/>
                  <w:marRight w:val="0"/>
                  <w:marTop w:val="0"/>
                  <w:marBottom w:val="0"/>
                  <w:divBdr>
                    <w:top w:val="none" w:sz="0" w:space="0" w:color="auto"/>
                    <w:left w:val="none" w:sz="0" w:space="0" w:color="auto"/>
                    <w:bottom w:val="none" w:sz="0" w:space="0" w:color="auto"/>
                    <w:right w:val="none" w:sz="0" w:space="0" w:color="auto"/>
                  </w:divBdr>
                  <w:divsChild>
                    <w:div w:id="2110925655">
                      <w:marLeft w:val="0"/>
                      <w:marRight w:val="0"/>
                      <w:marTop w:val="0"/>
                      <w:marBottom w:val="0"/>
                      <w:divBdr>
                        <w:top w:val="none" w:sz="0" w:space="0" w:color="auto"/>
                        <w:left w:val="none" w:sz="0" w:space="0" w:color="auto"/>
                        <w:bottom w:val="none" w:sz="0" w:space="0" w:color="auto"/>
                        <w:right w:val="none" w:sz="0" w:space="0" w:color="auto"/>
                      </w:divBdr>
                    </w:div>
                  </w:divsChild>
                </w:div>
                <w:div w:id="1548949897">
                  <w:marLeft w:val="0"/>
                  <w:marRight w:val="0"/>
                  <w:marTop w:val="0"/>
                  <w:marBottom w:val="0"/>
                  <w:divBdr>
                    <w:top w:val="none" w:sz="0" w:space="0" w:color="auto"/>
                    <w:left w:val="none" w:sz="0" w:space="0" w:color="auto"/>
                    <w:bottom w:val="none" w:sz="0" w:space="0" w:color="auto"/>
                    <w:right w:val="none" w:sz="0" w:space="0" w:color="auto"/>
                  </w:divBdr>
                  <w:divsChild>
                    <w:div w:id="1263495515">
                      <w:marLeft w:val="0"/>
                      <w:marRight w:val="0"/>
                      <w:marTop w:val="0"/>
                      <w:marBottom w:val="0"/>
                      <w:divBdr>
                        <w:top w:val="none" w:sz="0" w:space="0" w:color="auto"/>
                        <w:left w:val="none" w:sz="0" w:space="0" w:color="auto"/>
                        <w:bottom w:val="none" w:sz="0" w:space="0" w:color="auto"/>
                        <w:right w:val="none" w:sz="0" w:space="0" w:color="auto"/>
                      </w:divBdr>
                    </w:div>
                  </w:divsChild>
                </w:div>
                <w:div w:id="1551768129">
                  <w:marLeft w:val="0"/>
                  <w:marRight w:val="0"/>
                  <w:marTop w:val="0"/>
                  <w:marBottom w:val="0"/>
                  <w:divBdr>
                    <w:top w:val="none" w:sz="0" w:space="0" w:color="auto"/>
                    <w:left w:val="none" w:sz="0" w:space="0" w:color="auto"/>
                    <w:bottom w:val="none" w:sz="0" w:space="0" w:color="auto"/>
                    <w:right w:val="none" w:sz="0" w:space="0" w:color="auto"/>
                  </w:divBdr>
                  <w:divsChild>
                    <w:div w:id="693307361">
                      <w:marLeft w:val="0"/>
                      <w:marRight w:val="0"/>
                      <w:marTop w:val="0"/>
                      <w:marBottom w:val="0"/>
                      <w:divBdr>
                        <w:top w:val="none" w:sz="0" w:space="0" w:color="auto"/>
                        <w:left w:val="none" w:sz="0" w:space="0" w:color="auto"/>
                        <w:bottom w:val="none" w:sz="0" w:space="0" w:color="auto"/>
                        <w:right w:val="none" w:sz="0" w:space="0" w:color="auto"/>
                      </w:divBdr>
                    </w:div>
                  </w:divsChild>
                </w:div>
                <w:div w:id="1579485463">
                  <w:marLeft w:val="0"/>
                  <w:marRight w:val="0"/>
                  <w:marTop w:val="0"/>
                  <w:marBottom w:val="0"/>
                  <w:divBdr>
                    <w:top w:val="none" w:sz="0" w:space="0" w:color="auto"/>
                    <w:left w:val="none" w:sz="0" w:space="0" w:color="auto"/>
                    <w:bottom w:val="none" w:sz="0" w:space="0" w:color="auto"/>
                    <w:right w:val="none" w:sz="0" w:space="0" w:color="auto"/>
                  </w:divBdr>
                  <w:divsChild>
                    <w:div w:id="849955307">
                      <w:marLeft w:val="0"/>
                      <w:marRight w:val="0"/>
                      <w:marTop w:val="0"/>
                      <w:marBottom w:val="0"/>
                      <w:divBdr>
                        <w:top w:val="none" w:sz="0" w:space="0" w:color="auto"/>
                        <w:left w:val="none" w:sz="0" w:space="0" w:color="auto"/>
                        <w:bottom w:val="none" w:sz="0" w:space="0" w:color="auto"/>
                        <w:right w:val="none" w:sz="0" w:space="0" w:color="auto"/>
                      </w:divBdr>
                    </w:div>
                  </w:divsChild>
                </w:div>
                <w:div w:id="1787002420">
                  <w:marLeft w:val="0"/>
                  <w:marRight w:val="0"/>
                  <w:marTop w:val="0"/>
                  <w:marBottom w:val="0"/>
                  <w:divBdr>
                    <w:top w:val="none" w:sz="0" w:space="0" w:color="auto"/>
                    <w:left w:val="none" w:sz="0" w:space="0" w:color="auto"/>
                    <w:bottom w:val="none" w:sz="0" w:space="0" w:color="auto"/>
                    <w:right w:val="none" w:sz="0" w:space="0" w:color="auto"/>
                  </w:divBdr>
                  <w:divsChild>
                    <w:div w:id="1728334359">
                      <w:marLeft w:val="0"/>
                      <w:marRight w:val="0"/>
                      <w:marTop w:val="0"/>
                      <w:marBottom w:val="0"/>
                      <w:divBdr>
                        <w:top w:val="none" w:sz="0" w:space="0" w:color="auto"/>
                        <w:left w:val="none" w:sz="0" w:space="0" w:color="auto"/>
                        <w:bottom w:val="none" w:sz="0" w:space="0" w:color="auto"/>
                        <w:right w:val="none" w:sz="0" w:space="0" w:color="auto"/>
                      </w:divBdr>
                    </w:div>
                  </w:divsChild>
                </w:div>
                <w:div w:id="1796173697">
                  <w:marLeft w:val="0"/>
                  <w:marRight w:val="0"/>
                  <w:marTop w:val="0"/>
                  <w:marBottom w:val="0"/>
                  <w:divBdr>
                    <w:top w:val="none" w:sz="0" w:space="0" w:color="auto"/>
                    <w:left w:val="none" w:sz="0" w:space="0" w:color="auto"/>
                    <w:bottom w:val="none" w:sz="0" w:space="0" w:color="auto"/>
                    <w:right w:val="none" w:sz="0" w:space="0" w:color="auto"/>
                  </w:divBdr>
                  <w:divsChild>
                    <w:div w:id="262079407">
                      <w:marLeft w:val="0"/>
                      <w:marRight w:val="0"/>
                      <w:marTop w:val="0"/>
                      <w:marBottom w:val="0"/>
                      <w:divBdr>
                        <w:top w:val="none" w:sz="0" w:space="0" w:color="auto"/>
                        <w:left w:val="none" w:sz="0" w:space="0" w:color="auto"/>
                        <w:bottom w:val="none" w:sz="0" w:space="0" w:color="auto"/>
                        <w:right w:val="none" w:sz="0" w:space="0" w:color="auto"/>
                      </w:divBdr>
                    </w:div>
                  </w:divsChild>
                </w:div>
                <w:div w:id="1812093270">
                  <w:marLeft w:val="0"/>
                  <w:marRight w:val="0"/>
                  <w:marTop w:val="0"/>
                  <w:marBottom w:val="0"/>
                  <w:divBdr>
                    <w:top w:val="none" w:sz="0" w:space="0" w:color="auto"/>
                    <w:left w:val="none" w:sz="0" w:space="0" w:color="auto"/>
                    <w:bottom w:val="none" w:sz="0" w:space="0" w:color="auto"/>
                    <w:right w:val="none" w:sz="0" w:space="0" w:color="auto"/>
                  </w:divBdr>
                  <w:divsChild>
                    <w:div w:id="1116674906">
                      <w:marLeft w:val="0"/>
                      <w:marRight w:val="0"/>
                      <w:marTop w:val="0"/>
                      <w:marBottom w:val="0"/>
                      <w:divBdr>
                        <w:top w:val="none" w:sz="0" w:space="0" w:color="auto"/>
                        <w:left w:val="none" w:sz="0" w:space="0" w:color="auto"/>
                        <w:bottom w:val="none" w:sz="0" w:space="0" w:color="auto"/>
                        <w:right w:val="none" w:sz="0" w:space="0" w:color="auto"/>
                      </w:divBdr>
                    </w:div>
                  </w:divsChild>
                </w:div>
                <w:div w:id="1832793700">
                  <w:marLeft w:val="0"/>
                  <w:marRight w:val="0"/>
                  <w:marTop w:val="0"/>
                  <w:marBottom w:val="0"/>
                  <w:divBdr>
                    <w:top w:val="none" w:sz="0" w:space="0" w:color="auto"/>
                    <w:left w:val="none" w:sz="0" w:space="0" w:color="auto"/>
                    <w:bottom w:val="none" w:sz="0" w:space="0" w:color="auto"/>
                    <w:right w:val="none" w:sz="0" w:space="0" w:color="auto"/>
                  </w:divBdr>
                  <w:divsChild>
                    <w:div w:id="1883400923">
                      <w:marLeft w:val="0"/>
                      <w:marRight w:val="0"/>
                      <w:marTop w:val="0"/>
                      <w:marBottom w:val="0"/>
                      <w:divBdr>
                        <w:top w:val="none" w:sz="0" w:space="0" w:color="auto"/>
                        <w:left w:val="none" w:sz="0" w:space="0" w:color="auto"/>
                        <w:bottom w:val="none" w:sz="0" w:space="0" w:color="auto"/>
                        <w:right w:val="none" w:sz="0" w:space="0" w:color="auto"/>
                      </w:divBdr>
                    </w:div>
                  </w:divsChild>
                </w:div>
                <w:div w:id="1858613382">
                  <w:marLeft w:val="0"/>
                  <w:marRight w:val="0"/>
                  <w:marTop w:val="0"/>
                  <w:marBottom w:val="0"/>
                  <w:divBdr>
                    <w:top w:val="none" w:sz="0" w:space="0" w:color="auto"/>
                    <w:left w:val="none" w:sz="0" w:space="0" w:color="auto"/>
                    <w:bottom w:val="none" w:sz="0" w:space="0" w:color="auto"/>
                    <w:right w:val="none" w:sz="0" w:space="0" w:color="auto"/>
                  </w:divBdr>
                  <w:divsChild>
                    <w:div w:id="154344022">
                      <w:marLeft w:val="0"/>
                      <w:marRight w:val="0"/>
                      <w:marTop w:val="0"/>
                      <w:marBottom w:val="0"/>
                      <w:divBdr>
                        <w:top w:val="none" w:sz="0" w:space="0" w:color="auto"/>
                        <w:left w:val="none" w:sz="0" w:space="0" w:color="auto"/>
                        <w:bottom w:val="none" w:sz="0" w:space="0" w:color="auto"/>
                        <w:right w:val="none" w:sz="0" w:space="0" w:color="auto"/>
                      </w:divBdr>
                    </w:div>
                  </w:divsChild>
                </w:div>
                <w:div w:id="1910800120">
                  <w:marLeft w:val="0"/>
                  <w:marRight w:val="0"/>
                  <w:marTop w:val="0"/>
                  <w:marBottom w:val="0"/>
                  <w:divBdr>
                    <w:top w:val="none" w:sz="0" w:space="0" w:color="auto"/>
                    <w:left w:val="none" w:sz="0" w:space="0" w:color="auto"/>
                    <w:bottom w:val="none" w:sz="0" w:space="0" w:color="auto"/>
                    <w:right w:val="none" w:sz="0" w:space="0" w:color="auto"/>
                  </w:divBdr>
                  <w:divsChild>
                    <w:div w:id="131335545">
                      <w:marLeft w:val="0"/>
                      <w:marRight w:val="0"/>
                      <w:marTop w:val="0"/>
                      <w:marBottom w:val="0"/>
                      <w:divBdr>
                        <w:top w:val="none" w:sz="0" w:space="0" w:color="auto"/>
                        <w:left w:val="none" w:sz="0" w:space="0" w:color="auto"/>
                        <w:bottom w:val="none" w:sz="0" w:space="0" w:color="auto"/>
                        <w:right w:val="none" w:sz="0" w:space="0" w:color="auto"/>
                      </w:divBdr>
                    </w:div>
                  </w:divsChild>
                </w:div>
                <w:div w:id="1936817070">
                  <w:marLeft w:val="0"/>
                  <w:marRight w:val="0"/>
                  <w:marTop w:val="0"/>
                  <w:marBottom w:val="0"/>
                  <w:divBdr>
                    <w:top w:val="none" w:sz="0" w:space="0" w:color="auto"/>
                    <w:left w:val="none" w:sz="0" w:space="0" w:color="auto"/>
                    <w:bottom w:val="none" w:sz="0" w:space="0" w:color="auto"/>
                    <w:right w:val="none" w:sz="0" w:space="0" w:color="auto"/>
                  </w:divBdr>
                  <w:divsChild>
                    <w:div w:id="715546574">
                      <w:marLeft w:val="0"/>
                      <w:marRight w:val="0"/>
                      <w:marTop w:val="0"/>
                      <w:marBottom w:val="0"/>
                      <w:divBdr>
                        <w:top w:val="none" w:sz="0" w:space="0" w:color="auto"/>
                        <w:left w:val="none" w:sz="0" w:space="0" w:color="auto"/>
                        <w:bottom w:val="none" w:sz="0" w:space="0" w:color="auto"/>
                        <w:right w:val="none" w:sz="0" w:space="0" w:color="auto"/>
                      </w:divBdr>
                    </w:div>
                  </w:divsChild>
                </w:div>
                <w:div w:id="2016833252">
                  <w:marLeft w:val="0"/>
                  <w:marRight w:val="0"/>
                  <w:marTop w:val="0"/>
                  <w:marBottom w:val="0"/>
                  <w:divBdr>
                    <w:top w:val="none" w:sz="0" w:space="0" w:color="auto"/>
                    <w:left w:val="none" w:sz="0" w:space="0" w:color="auto"/>
                    <w:bottom w:val="none" w:sz="0" w:space="0" w:color="auto"/>
                    <w:right w:val="none" w:sz="0" w:space="0" w:color="auto"/>
                  </w:divBdr>
                  <w:divsChild>
                    <w:div w:id="908075891">
                      <w:marLeft w:val="0"/>
                      <w:marRight w:val="0"/>
                      <w:marTop w:val="0"/>
                      <w:marBottom w:val="0"/>
                      <w:divBdr>
                        <w:top w:val="none" w:sz="0" w:space="0" w:color="auto"/>
                        <w:left w:val="none" w:sz="0" w:space="0" w:color="auto"/>
                        <w:bottom w:val="none" w:sz="0" w:space="0" w:color="auto"/>
                        <w:right w:val="none" w:sz="0" w:space="0" w:color="auto"/>
                      </w:divBdr>
                    </w:div>
                  </w:divsChild>
                </w:div>
                <w:div w:id="2067602912">
                  <w:marLeft w:val="0"/>
                  <w:marRight w:val="0"/>
                  <w:marTop w:val="0"/>
                  <w:marBottom w:val="0"/>
                  <w:divBdr>
                    <w:top w:val="none" w:sz="0" w:space="0" w:color="auto"/>
                    <w:left w:val="none" w:sz="0" w:space="0" w:color="auto"/>
                    <w:bottom w:val="none" w:sz="0" w:space="0" w:color="auto"/>
                    <w:right w:val="none" w:sz="0" w:space="0" w:color="auto"/>
                  </w:divBdr>
                  <w:divsChild>
                    <w:div w:id="932250944">
                      <w:marLeft w:val="0"/>
                      <w:marRight w:val="0"/>
                      <w:marTop w:val="0"/>
                      <w:marBottom w:val="0"/>
                      <w:divBdr>
                        <w:top w:val="none" w:sz="0" w:space="0" w:color="auto"/>
                        <w:left w:val="none" w:sz="0" w:space="0" w:color="auto"/>
                        <w:bottom w:val="none" w:sz="0" w:space="0" w:color="auto"/>
                        <w:right w:val="none" w:sz="0" w:space="0" w:color="auto"/>
                      </w:divBdr>
                    </w:div>
                  </w:divsChild>
                </w:div>
                <w:div w:id="2083065473">
                  <w:marLeft w:val="0"/>
                  <w:marRight w:val="0"/>
                  <w:marTop w:val="0"/>
                  <w:marBottom w:val="0"/>
                  <w:divBdr>
                    <w:top w:val="none" w:sz="0" w:space="0" w:color="auto"/>
                    <w:left w:val="none" w:sz="0" w:space="0" w:color="auto"/>
                    <w:bottom w:val="none" w:sz="0" w:space="0" w:color="auto"/>
                    <w:right w:val="none" w:sz="0" w:space="0" w:color="auto"/>
                  </w:divBdr>
                  <w:divsChild>
                    <w:div w:id="245962780">
                      <w:marLeft w:val="0"/>
                      <w:marRight w:val="0"/>
                      <w:marTop w:val="0"/>
                      <w:marBottom w:val="0"/>
                      <w:divBdr>
                        <w:top w:val="none" w:sz="0" w:space="0" w:color="auto"/>
                        <w:left w:val="none" w:sz="0" w:space="0" w:color="auto"/>
                        <w:bottom w:val="none" w:sz="0" w:space="0" w:color="auto"/>
                        <w:right w:val="none" w:sz="0" w:space="0" w:color="auto"/>
                      </w:divBdr>
                    </w:div>
                  </w:divsChild>
                </w:div>
                <w:div w:id="2126535967">
                  <w:marLeft w:val="0"/>
                  <w:marRight w:val="0"/>
                  <w:marTop w:val="0"/>
                  <w:marBottom w:val="0"/>
                  <w:divBdr>
                    <w:top w:val="none" w:sz="0" w:space="0" w:color="auto"/>
                    <w:left w:val="none" w:sz="0" w:space="0" w:color="auto"/>
                    <w:bottom w:val="none" w:sz="0" w:space="0" w:color="auto"/>
                    <w:right w:val="none" w:sz="0" w:space="0" w:color="auto"/>
                  </w:divBdr>
                  <w:divsChild>
                    <w:div w:id="1878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97296">
      <w:bodyDiv w:val="1"/>
      <w:marLeft w:val="0"/>
      <w:marRight w:val="0"/>
      <w:marTop w:val="0"/>
      <w:marBottom w:val="0"/>
      <w:divBdr>
        <w:top w:val="none" w:sz="0" w:space="0" w:color="auto"/>
        <w:left w:val="none" w:sz="0" w:space="0" w:color="auto"/>
        <w:bottom w:val="none" w:sz="0" w:space="0" w:color="auto"/>
        <w:right w:val="none" w:sz="0" w:space="0" w:color="auto"/>
      </w:divBdr>
      <w:divsChild>
        <w:div w:id="346374372">
          <w:marLeft w:val="547"/>
          <w:marRight w:val="0"/>
          <w:marTop w:val="80"/>
          <w:marBottom w:val="80"/>
          <w:divBdr>
            <w:top w:val="none" w:sz="0" w:space="0" w:color="auto"/>
            <w:left w:val="none" w:sz="0" w:space="0" w:color="auto"/>
            <w:bottom w:val="none" w:sz="0" w:space="0" w:color="auto"/>
            <w:right w:val="none" w:sz="0" w:space="0" w:color="auto"/>
          </w:divBdr>
        </w:div>
        <w:div w:id="813177100">
          <w:marLeft w:val="547"/>
          <w:marRight w:val="0"/>
          <w:marTop w:val="80"/>
          <w:marBottom w:val="80"/>
          <w:divBdr>
            <w:top w:val="none" w:sz="0" w:space="0" w:color="auto"/>
            <w:left w:val="none" w:sz="0" w:space="0" w:color="auto"/>
            <w:bottom w:val="none" w:sz="0" w:space="0" w:color="auto"/>
            <w:right w:val="none" w:sz="0" w:space="0" w:color="auto"/>
          </w:divBdr>
        </w:div>
        <w:div w:id="879054320">
          <w:marLeft w:val="547"/>
          <w:marRight w:val="0"/>
          <w:marTop w:val="80"/>
          <w:marBottom w:val="80"/>
          <w:divBdr>
            <w:top w:val="none" w:sz="0" w:space="0" w:color="auto"/>
            <w:left w:val="none" w:sz="0" w:space="0" w:color="auto"/>
            <w:bottom w:val="none" w:sz="0" w:space="0" w:color="auto"/>
            <w:right w:val="none" w:sz="0" w:space="0" w:color="auto"/>
          </w:divBdr>
        </w:div>
        <w:div w:id="996036429">
          <w:marLeft w:val="547"/>
          <w:marRight w:val="0"/>
          <w:marTop w:val="80"/>
          <w:marBottom w:val="80"/>
          <w:divBdr>
            <w:top w:val="none" w:sz="0" w:space="0" w:color="auto"/>
            <w:left w:val="none" w:sz="0" w:space="0" w:color="auto"/>
            <w:bottom w:val="none" w:sz="0" w:space="0" w:color="auto"/>
            <w:right w:val="none" w:sz="0" w:space="0" w:color="auto"/>
          </w:divBdr>
        </w:div>
        <w:div w:id="1845781095">
          <w:marLeft w:val="547"/>
          <w:marRight w:val="0"/>
          <w:marTop w:val="80"/>
          <w:marBottom w:val="80"/>
          <w:divBdr>
            <w:top w:val="none" w:sz="0" w:space="0" w:color="auto"/>
            <w:left w:val="none" w:sz="0" w:space="0" w:color="auto"/>
            <w:bottom w:val="none" w:sz="0" w:space="0" w:color="auto"/>
            <w:right w:val="none" w:sz="0" w:space="0" w:color="auto"/>
          </w:divBdr>
        </w:div>
      </w:divsChild>
    </w:div>
    <w:div w:id="181163226">
      <w:bodyDiv w:val="1"/>
      <w:marLeft w:val="0"/>
      <w:marRight w:val="0"/>
      <w:marTop w:val="0"/>
      <w:marBottom w:val="0"/>
      <w:divBdr>
        <w:top w:val="none" w:sz="0" w:space="0" w:color="auto"/>
        <w:left w:val="none" w:sz="0" w:space="0" w:color="auto"/>
        <w:bottom w:val="none" w:sz="0" w:space="0" w:color="auto"/>
        <w:right w:val="none" w:sz="0" w:space="0" w:color="auto"/>
      </w:divBdr>
      <w:divsChild>
        <w:div w:id="1123772517">
          <w:marLeft w:val="360"/>
          <w:marRight w:val="0"/>
          <w:marTop w:val="0"/>
          <w:marBottom w:val="0"/>
          <w:divBdr>
            <w:top w:val="none" w:sz="0" w:space="0" w:color="auto"/>
            <w:left w:val="none" w:sz="0" w:space="0" w:color="auto"/>
            <w:bottom w:val="none" w:sz="0" w:space="0" w:color="auto"/>
            <w:right w:val="none" w:sz="0" w:space="0" w:color="auto"/>
          </w:divBdr>
        </w:div>
        <w:div w:id="1201822236">
          <w:marLeft w:val="360"/>
          <w:marRight w:val="0"/>
          <w:marTop w:val="0"/>
          <w:marBottom w:val="0"/>
          <w:divBdr>
            <w:top w:val="none" w:sz="0" w:space="0" w:color="auto"/>
            <w:left w:val="none" w:sz="0" w:space="0" w:color="auto"/>
            <w:bottom w:val="none" w:sz="0" w:space="0" w:color="auto"/>
            <w:right w:val="none" w:sz="0" w:space="0" w:color="auto"/>
          </w:divBdr>
        </w:div>
        <w:div w:id="1963994022">
          <w:marLeft w:val="360"/>
          <w:marRight w:val="0"/>
          <w:marTop w:val="0"/>
          <w:marBottom w:val="0"/>
          <w:divBdr>
            <w:top w:val="none" w:sz="0" w:space="0" w:color="auto"/>
            <w:left w:val="none" w:sz="0" w:space="0" w:color="auto"/>
            <w:bottom w:val="none" w:sz="0" w:space="0" w:color="auto"/>
            <w:right w:val="none" w:sz="0" w:space="0" w:color="auto"/>
          </w:divBdr>
        </w:div>
      </w:divsChild>
    </w:div>
    <w:div w:id="212888632">
      <w:bodyDiv w:val="1"/>
      <w:marLeft w:val="0"/>
      <w:marRight w:val="0"/>
      <w:marTop w:val="0"/>
      <w:marBottom w:val="0"/>
      <w:divBdr>
        <w:top w:val="none" w:sz="0" w:space="0" w:color="auto"/>
        <w:left w:val="none" w:sz="0" w:space="0" w:color="auto"/>
        <w:bottom w:val="none" w:sz="0" w:space="0" w:color="auto"/>
        <w:right w:val="none" w:sz="0" w:space="0" w:color="auto"/>
      </w:divBdr>
    </w:div>
    <w:div w:id="215942846">
      <w:bodyDiv w:val="1"/>
      <w:marLeft w:val="0"/>
      <w:marRight w:val="0"/>
      <w:marTop w:val="0"/>
      <w:marBottom w:val="0"/>
      <w:divBdr>
        <w:top w:val="none" w:sz="0" w:space="0" w:color="auto"/>
        <w:left w:val="none" w:sz="0" w:space="0" w:color="auto"/>
        <w:bottom w:val="none" w:sz="0" w:space="0" w:color="auto"/>
        <w:right w:val="none" w:sz="0" w:space="0" w:color="auto"/>
      </w:divBdr>
    </w:div>
    <w:div w:id="219287003">
      <w:bodyDiv w:val="1"/>
      <w:marLeft w:val="0"/>
      <w:marRight w:val="0"/>
      <w:marTop w:val="0"/>
      <w:marBottom w:val="0"/>
      <w:divBdr>
        <w:top w:val="none" w:sz="0" w:space="0" w:color="auto"/>
        <w:left w:val="none" w:sz="0" w:space="0" w:color="auto"/>
        <w:bottom w:val="none" w:sz="0" w:space="0" w:color="auto"/>
        <w:right w:val="none" w:sz="0" w:space="0" w:color="auto"/>
      </w:divBdr>
      <w:divsChild>
        <w:div w:id="25568980">
          <w:marLeft w:val="1267"/>
          <w:marRight w:val="0"/>
          <w:marTop w:val="80"/>
          <w:marBottom w:val="80"/>
          <w:divBdr>
            <w:top w:val="none" w:sz="0" w:space="0" w:color="auto"/>
            <w:left w:val="none" w:sz="0" w:space="0" w:color="auto"/>
            <w:bottom w:val="none" w:sz="0" w:space="0" w:color="auto"/>
            <w:right w:val="none" w:sz="0" w:space="0" w:color="auto"/>
          </w:divBdr>
        </w:div>
        <w:div w:id="785731969">
          <w:marLeft w:val="1267"/>
          <w:marRight w:val="0"/>
          <w:marTop w:val="80"/>
          <w:marBottom w:val="80"/>
          <w:divBdr>
            <w:top w:val="none" w:sz="0" w:space="0" w:color="auto"/>
            <w:left w:val="none" w:sz="0" w:space="0" w:color="auto"/>
            <w:bottom w:val="none" w:sz="0" w:space="0" w:color="auto"/>
            <w:right w:val="none" w:sz="0" w:space="0" w:color="auto"/>
          </w:divBdr>
        </w:div>
        <w:div w:id="918758690">
          <w:marLeft w:val="1267"/>
          <w:marRight w:val="0"/>
          <w:marTop w:val="80"/>
          <w:marBottom w:val="80"/>
          <w:divBdr>
            <w:top w:val="none" w:sz="0" w:space="0" w:color="auto"/>
            <w:left w:val="none" w:sz="0" w:space="0" w:color="auto"/>
            <w:bottom w:val="none" w:sz="0" w:space="0" w:color="auto"/>
            <w:right w:val="none" w:sz="0" w:space="0" w:color="auto"/>
          </w:divBdr>
        </w:div>
        <w:div w:id="1378698831">
          <w:marLeft w:val="1267"/>
          <w:marRight w:val="0"/>
          <w:marTop w:val="80"/>
          <w:marBottom w:val="80"/>
          <w:divBdr>
            <w:top w:val="none" w:sz="0" w:space="0" w:color="auto"/>
            <w:left w:val="none" w:sz="0" w:space="0" w:color="auto"/>
            <w:bottom w:val="none" w:sz="0" w:space="0" w:color="auto"/>
            <w:right w:val="none" w:sz="0" w:space="0" w:color="auto"/>
          </w:divBdr>
        </w:div>
        <w:div w:id="1742479112">
          <w:marLeft w:val="1267"/>
          <w:marRight w:val="0"/>
          <w:marTop w:val="80"/>
          <w:marBottom w:val="80"/>
          <w:divBdr>
            <w:top w:val="none" w:sz="0" w:space="0" w:color="auto"/>
            <w:left w:val="none" w:sz="0" w:space="0" w:color="auto"/>
            <w:bottom w:val="none" w:sz="0" w:space="0" w:color="auto"/>
            <w:right w:val="none" w:sz="0" w:space="0" w:color="auto"/>
          </w:divBdr>
        </w:div>
      </w:divsChild>
    </w:div>
    <w:div w:id="230580961">
      <w:bodyDiv w:val="1"/>
      <w:marLeft w:val="0"/>
      <w:marRight w:val="0"/>
      <w:marTop w:val="0"/>
      <w:marBottom w:val="0"/>
      <w:divBdr>
        <w:top w:val="none" w:sz="0" w:space="0" w:color="auto"/>
        <w:left w:val="none" w:sz="0" w:space="0" w:color="auto"/>
        <w:bottom w:val="none" w:sz="0" w:space="0" w:color="auto"/>
        <w:right w:val="none" w:sz="0" w:space="0" w:color="auto"/>
      </w:divBdr>
    </w:div>
    <w:div w:id="238563984">
      <w:bodyDiv w:val="1"/>
      <w:marLeft w:val="0"/>
      <w:marRight w:val="0"/>
      <w:marTop w:val="0"/>
      <w:marBottom w:val="0"/>
      <w:divBdr>
        <w:top w:val="none" w:sz="0" w:space="0" w:color="auto"/>
        <w:left w:val="none" w:sz="0" w:space="0" w:color="auto"/>
        <w:bottom w:val="none" w:sz="0" w:space="0" w:color="auto"/>
        <w:right w:val="none" w:sz="0" w:space="0" w:color="auto"/>
      </w:divBdr>
    </w:div>
    <w:div w:id="241450480">
      <w:bodyDiv w:val="1"/>
      <w:marLeft w:val="0"/>
      <w:marRight w:val="0"/>
      <w:marTop w:val="0"/>
      <w:marBottom w:val="0"/>
      <w:divBdr>
        <w:top w:val="none" w:sz="0" w:space="0" w:color="auto"/>
        <w:left w:val="none" w:sz="0" w:space="0" w:color="auto"/>
        <w:bottom w:val="none" w:sz="0" w:space="0" w:color="auto"/>
        <w:right w:val="none" w:sz="0" w:space="0" w:color="auto"/>
      </w:divBdr>
      <w:divsChild>
        <w:div w:id="1213419809">
          <w:marLeft w:val="0"/>
          <w:marRight w:val="0"/>
          <w:marTop w:val="0"/>
          <w:marBottom w:val="0"/>
          <w:divBdr>
            <w:top w:val="none" w:sz="0" w:space="0" w:color="auto"/>
            <w:left w:val="none" w:sz="0" w:space="0" w:color="auto"/>
            <w:bottom w:val="none" w:sz="0" w:space="0" w:color="auto"/>
            <w:right w:val="none" w:sz="0" w:space="0" w:color="auto"/>
          </w:divBdr>
        </w:div>
        <w:div w:id="1729762572">
          <w:marLeft w:val="0"/>
          <w:marRight w:val="0"/>
          <w:marTop w:val="0"/>
          <w:marBottom w:val="0"/>
          <w:divBdr>
            <w:top w:val="none" w:sz="0" w:space="0" w:color="auto"/>
            <w:left w:val="none" w:sz="0" w:space="0" w:color="auto"/>
            <w:bottom w:val="none" w:sz="0" w:space="0" w:color="auto"/>
            <w:right w:val="none" w:sz="0" w:space="0" w:color="auto"/>
          </w:divBdr>
        </w:div>
        <w:div w:id="1850173549">
          <w:marLeft w:val="0"/>
          <w:marRight w:val="0"/>
          <w:marTop w:val="0"/>
          <w:marBottom w:val="0"/>
          <w:divBdr>
            <w:top w:val="none" w:sz="0" w:space="0" w:color="auto"/>
            <w:left w:val="none" w:sz="0" w:space="0" w:color="auto"/>
            <w:bottom w:val="none" w:sz="0" w:space="0" w:color="auto"/>
            <w:right w:val="none" w:sz="0" w:space="0" w:color="auto"/>
          </w:divBdr>
        </w:div>
        <w:div w:id="2081754272">
          <w:marLeft w:val="0"/>
          <w:marRight w:val="0"/>
          <w:marTop w:val="0"/>
          <w:marBottom w:val="0"/>
          <w:divBdr>
            <w:top w:val="none" w:sz="0" w:space="0" w:color="auto"/>
            <w:left w:val="none" w:sz="0" w:space="0" w:color="auto"/>
            <w:bottom w:val="none" w:sz="0" w:space="0" w:color="auto"/>
            <w:right w:val="none" w:sz="0" w:space="0" w:color="auto"/>
          </w:divBdr>
        </w:div>
      </w:divsChild>
    </w:div>
    <w:div w:id="264384936">
      <w:bodyDiv w:val="1"/>
      <w:marLeft w:val="0"/>
      <w:marRight w:val="0"/>
      <w:marTop w:val="0"/>
      <w:marBottom w:val="0"/>
      <w:divBdr>
        <w:top w:val="none" w:sz="0" w:space="0" w:color="auto"/>
        <w:left w:val="none" w:sz="0" w:space="0" w:color="auto"/>
        <w:bottom w:val="none" w:sz="0" w:space="0" w:color="auto"/>
        <w:right w:val="none" w:sz="0" w:space="0" w:color="auto"/>
      </w:divBdr>
    </w:div>
    <w:div w:id="288632249">
      <w:bodyDiv w:val="1"/>
      <w:marLeft w:val="0"/>
      <w:marRight w:val="0"/>
      <w:marTop w:val="0"/>
      <w:marBottom w:val="0"/>
      <w:divBdr>
        <w:top w:val="none" w:sz="0" w:space="0" w:color="auto"/>
        <w:left w:val="none" w:sz="0" w:space="0" w:color="auto"/>
        <w:bottom w:val="none" w:sz="0" w:space="0" w:color="auto"/>
        <w:right w:val="none" w:sz="0" w:space="0" w:color="auto"/>
      </w:divBdr>
      <w:divsChild>
        <w:div w:id="17313601">
          <w:marLeft w:val="0"/>
          <w:marRight w:val="0"/>
          <w:marTop w:val="0"/>
          <w:marBottom w:val="0"/>
          <w:divBdr>
            <w:top w:val="none" w:sz="0" w:space="0" w:color="auto"/>
            <w:left w:val="none" w:sz="0" w:space="0" w:color="auto"/>
            <w:bottom w:val="none" w:sz="0" w:space="0" w:color="auto"/>
            <w:right w:val="none" w:sz="0" w:space="0" w:color="auto"/>
          </w:divBdr>
        </w:div>
        <w:div w:id="35669311">
          <w:marLeft w:val="0"/>
          <w:marRight w:val="0"/>
          <w:marTop w:val="0"/>
          <w:marBottom w:val="0"/>
          <w:divBdr>
            <w:top w:val="none" w:sz="0" w:space="0" w:color="auto"/>
            <w:left w:val="none" w:sz="0" w:space="0" w:color="auto"/>
            <w:bottom w:val="none" w:sz="0" w:space="0" w:color="auto"/>
            <w:right w:val="none" w:sz="0" w:space="0" w:color="auto"/>
          </w:divBdr>
        </w:div>
        <w:div w:id="49772648">
          <w:marLeft w:val="0"/>
          <w:marRight w:val="0"/>
          <w:marTop w:val="0"/>
          <w:marBottom w:val="0"/>
          <w:divBdr>
            <w:top w:val="none" w:sz="0" w:space="0" w:color="auto"/>
            <w:left w:val="none" w:sz="0" w:space="0" w:color="auto"/>
            <w:bottom w:val="none" w:sz="0" w:space="0" w:color="auto"/>
            <w:right w:val="none" w:sz="0" w:space="0" w:color="auto"/>
          </w:divBdr>
        </w:div>
        <w:div w:id="99303652">
          <w:marLeft w:val="0"/>
          <w:marRight w:val="0"/>
          <w:marTop w:val="0"/>
          <w:marBottom w:val="0"/>
          <w:divBdr>
            <w:top w:val="none" w:sz="0" w:space="0" w:color="auto"/>
            <w:left w:val="none" w:sz="0" w:space="0" w:color="auto"/>
            <w:bottom w:val="none" w:sz="0" w:space="0" w:color="auto"/>
            <w:right w:val="none" w:sz="0" w:space="0" w:color="auto"/>
          </w:divBdr>
        </w:div>
        <w:div w:id="101152770">
          <w:marLeft w:val="0"/>
          <w:marRight w:val="0"/>
          <w:marTop w:val="0"/>
          <w:marBottom w:val="0"/>
          <w:divBdr>
            <w:top w:val="none" w:sz="0" w:space="0" w:color="auto"/>
            <w:left w:val="none" w:sz="0" w:space="0" w:color="auto"/>
            <w:bottom w:val="none" w:sz="0" w:space="0" w:color="auto"/>
            <w:right w:val="none" w:sz="0" w:space="0" w:color="auto"/>
          </w:divBdr>
        </w:div>
        <w:div w:id="122384294">
          <w:marLeft w:val="0"/>
          <w:marRight w:val="0"/>
          <w:marTop w:val="0"/>
          <w:marBottom w:val="0"/>
          <w:divBdr>
            <w:top w:val="none" w:sz="0" w:space="0" w:color="auto"/>
            <w:left w:val="none" w:sz="0" w:space="0" w:color="auto"/>
            <w:bottom w:val="none" w:sz="0" w:space="0" w:color="auto"/>
            <w:right w:val="none" w:sz="0" w:space="0" w:color="auto"/>
          </w:divBdr>
        </w:div>
        <w:div w:id="172381977">
          <w:marLeft w:val="0"/>
          <w:marRight w:val="0"/>
          <w:marTop w:val="0"/>
          <w:marBottom w:val="0"/>
          <w:divBdr>
            <w:top w:val="none" w:sz="0" w:space="0" w:color="auto"/>
            <w:left w:val="none" w:sz="0" w:space="0" w:color="auto"/>
            <w:bottom w:val="none" w:sz="0" w:space="0" w:color="auto"/>
            <w:right w:val="none" w:sz="0" w:space="0" w:color="auto"/>
          </w:divBdr>
        </w:div>
        <w:div w:id="255285457">
          <w:marLeft w:val="0"/>
          <w:marRight w:val="0"/>
          <w:marTop w:val="0"/>
          <w:marBottom w:val="0"/>
          <w:divBdr>
            <w:top w:val="none" w:sz="0" w:space="0" w:color="auto"/>
            <w:left w:val="none" w:sz="0" w:space="0" w:color="auto"/>
            <w:bottom w:val="none" w:sz="0" w:space="0" w:color="auto"/>
            <w:right w:val="none" w:sz="0" w:space="0" w:color="auto"/>
          </w:divBdr>
        </w:div>
        <w:div w:id="256527539">
          <w:marLeft w:val="0"/>
          <w:marRight w:val="0"/>
          <w:marTop w:val="0"/>
          <w:marBottom w:val="0"/>
          <w:divBdr>
            <w:top w:val="none" w:sz="0" w:space="0" w:color="auto"/>
            <w:left w:val="none" w:sz="0" w:space="0" w:color="auto"/>
            <w:bottom w:val="none" w:sz="0" w:space="0" w:color="auto"/>
            <w:right w:val="none" w:sz="0" w:space="0" w:color="auto"/>
          </w:divBdr>
        </w:div>
        <w:div w:id="297493790">
          <w:marLeft w:val="0"/>
          <w:marRight w:val="0"/>
          <w:marTop w:val="0"/>
          <w:marBottom w:val="0"/>
          <w:divBdr>
            <w:top w:val="none" w:sz="0" w:space="0" w:color="auto"/>
            <w:left w:val="none" w:sz="0" w:space="0" w:color="auto"/>
            <w:bottom w:val="none" w:sz="0" w:space="0" w:color="auto"/>
            <w:right w:val="none" w:sz="0" w:space="0" w:color="auto"/>
          </w:divBdr>
        </w:div>
        <w:div w:id="332731085">
          <w:marLeft w:val="0"/>
          <w:marRight w:val="0"/>
          <w:marTop w:val="0"/>
          <w:marBottom w:val="0"/>
          <w:divBdr>
            <w:top w:val="none" w:sz="0" w:space="0" w:color="auto"/>
            <w:left w:val="none" w:sz="0" w:space="0" w:color="auto"/>
            <w:bottom w:val="none" w:sz="0" w:space="0" w:color="auto"/>
            <w:right w:val="none" w:sz="0" w:space="0" w:color="auto"/>
          </w:divBdr>
        </w:div>
        <w:div w:id="348532882">
          <w:marLeft w:val="0"/>
          <w:marRight w:val="0"/>
          <w:marTop w:val="0"/>
          <w:marBottom w:val="0"/>
          <w:divBdr>
            <w:top w:val="none" w:sz="0" w:space="0" w:color="auto"/>
            <w:left w:val="none" w:sz="0" w:space="0" w:color="auto"/>
            <w:bottom w:val="none" w:sz="0" w:space="0" w:color="auto"/>
            <w:right w:val="none" w:sz="0" w:space="0" w:color="auto"/>
          </w:divBdr>
        </w:div>
        <w:div w:id="373503932">
          <w:marLeft w:val="0"/>
          <w:marRight w:val="0"/>
          <w:marTop w:val="0"/>
          <w:marBottom w:val="0"/>
          <w:divBdr>
            <w:top w:val="none" w:sz="0" w:space="0" w:color="auto"/>
            <w:left w:val="none" w:sz="0" w:space="0" w:color="auto"/>
            <w:bottom w:val="none" w:sz="0" w:space="0" w:color="auto"/>
            <w:right w:val="none" w:sz="0" w:space="0" w:color="auto"/>
          </w:divBdr>
        </w:div>
        <w:div w:id="469175621">
          <w:marLeft w:val="0"/>
          <w:marRight w:val="0"/>
          <w:marTop w:val="0"/>
          <w:marBottom w:val="0"/>
          <w:divBdr>
            <w:top w:val="none" w:sz="0" w:space="0" w:color="auto"/>
            <w:left w:val="none" w:sz="0" w:space="0" w:color="auto"/>
            <w:bottom w:val="none" w:sz="0" w:space="0" w:color="auto"/>
            <w:right w:val="none" w:sz="0" w:space="0" w:color="auto"/>
          </w:divBdr>
        </w:div>
        <w:div w:id="506755159">
          <w:marLeft w:val="0"/>
          <w:marRight w:val="0"/>
          <w:marTop w:val="0"/>
          <w:marBottom w:val="0"/>
          <w:divBdr>
            <w:top w:val="none" w:sz="0" w:space="0" w:color="auto"/>
            <w:left w:val="none" w:sz="0" w:space="0" w:color="auto"/>
            <w:bottom w:val="none" w:sz="0" w:space="0" w:color="auto"/>
            <w:right w:val="none" w:sz="0" w:space="0" w:color="auto"/>
          </w:divBdr>
        </w:div>
        <w:div w:id="525825606">
          <w:marLeft w:val="0"/>
          <w:marRight w:val="0"/>
          <w:marTop w:val="0"/>
          <w:marBottom w:val="0"/>
          <w:divBdr>
            <w:top w:val="none" w:sz="0" w:space="0" w:color="auto"/>
            <w:left w:val="none" w:sz="0" w:space="0" w:color="auto"/>
            <w:bottom w:val="none" w:sz="0" w:space="0" w:color="auto"/>
            <w:right w:val="none" w:sz="0" w:space="0" w:color="auto"/>
          </w:divBdr>
        </w:div>
        <w:div w:id="588387761">
          <w:marLeft w:val="0"/>
          <w:marRight w:val="0"/>
          <w:marTop w:val="0"/>
          <w:marBottom w:val="0"/>
          <w:divBdr>
            <w:top w:val="none" w:sz="0" w:space="0" w:color="auto"/>
            <w:left w:val="none" w:sz="0" w:space="0" w:color="auto"/>
            <w:bottom w:val="none" w:sz="0" w:space="0" w:color="auto"/>
            <w:right w:val="none" w:sz="0" w:space="0" w:color="auto"/>
          </w:divBdr>
        </w:div>
        <w:div w:id="601036564">
          <w:marLeft w:val="0"/>
          <w:marRight w:val="0"/>
          <w:marTop w:val="0"/>
          <w:marBottom w:val="0"/>
          <w:divBdr>
            <w:top w:val="none" w:sz="0" w:space="0" w:color="auto"/>
            <w:left w:val="none" w:sz="0" w:space="0" w:color="auto"/>
            <w:bottom w:val="none" w:sz="0" w:space="0" w:color="auto"/>
            <w:right w:val="none" w:sz="0" w:space="0" w:color="auto"/>
          </w:divBdr>
        </w:div>
        <w:div w:id="632489659">
          <w:marLeft w:val="0"/>
          <w:marRight w:val="0"/>
          <w:marTop w:val="0"/>
          <w:marBottom w:val="0"/>
          <w:divBdr>
            <w:top w:val="none" w:sz="0" w:space="0" w:color="auto"/>
            <w:left w:val="none" w:sz="0" w:space="0" w:color="auto"/>
            <w:bottom w:val="none" w:sz="0" w:space="0" w:color="auto"/>
            <w:right w:val="none" w:sz="0" w:space="0" w:color="auto"/>
          </w:divBdr>
        </w:div>
        <w:div w:id="633485136">
          <w:marLeft w:val="0"/>
          <w:marRight w:val="0"/>
          <w:marTop w:val="0"/>
          <w:marBottom w:val="0"/>
          <w:divBdr>
            <w:top w:val="none" w:sz="0" w:space="0" w:color="auto"/>
            <w:left w:val="none" w:sz="0" w:space="0" w:color="auto"/>
            <w:bottom w:val="none" w:sz="0" w:space="0" w:color="auto"/>
            <w:right w:val="none" w:sz="0" w:space="0" w:color="auto"/>
          </w:divBdr>
        </w:div>
        <w:div w:id="635255846">
          <w:marLeft w:val="0"/>
          <w:marRight w:val="0"/>
          <w:marTop w:val="0"/>
          <w:marBottom w:val="0"/>
          <w:divBdr>
            <w:top w:val="none" w:sz="0" w:space="0" w:color="auto"/>
            <w:left w:val="none" w:sz="0" w:space="0" w:color="auto"/>
            <w:bottom w:val="none" w:sz="0" w:space="0" w:color="auto"/>
            <w:right w:val="none" w:sz="0" w:space="0" w:color="auto"/>
          </w:divBdr>
        </w:div>
        <w:div w:id="637611077">
          <w:marLeft w:val="0"/>
          <w:marRight w:val="0"/>
          <w:marTop w:val="0"/>
          <w:marBottom w:val="0"/>
          <w:divBdr>
            <w:top w:val="none" w:sz="0" w:space="0" w:color="auto"/>
            <w:left w:val="none" w:sz="0" w:space="0" w:color="auto"/>
            <w:bottom w:val="none" w:sz="0" w:space="0" w:color="auto"/>
            <w:right w:val="none" w:sz="0" w:space="0" w:color="auto"/>
          </w:divBdr>
        </w:div>
        <w:div w:id="640621280">
          <w:marLeft w:val="0"/>
          <w:marRight w:val="0"/>
          <w:marTop w:val="0"/>
          <w:marBottom w:val="0"/>
          <w:divBdr>
            <w:top w:val="none" w:sz="0" w:space="0" w:color="auto"/>
            <w:left w:val="none" w:sz="0" w:space="0" w:color="auto"/>
            <w:bottom w:val="none" w:sz="0" w:space="0" w:color="auto"/>
            <w:right w:val="none" w:sz="0" w:space="0" w:color="auto"/>
          </w:divBdr>
        </w:div>
        <w:div w:id="740638574">
          <w:marLeft w:val="0"/>
          <w:marRight w:val="0"/>
          <w:marTop w:val="0"/>
          <w:marBottom w:val="0"/>
          <w:divBdr>
            <w:top w:val="none" w:sz="0" w:space="0" w:color="auto"/>
            <w:left w:val="none" w:sz="0" w:space="0" w:color="auto"/>
            <w:bottom w:val="none" w:sz="0" w:space="0" w:color="auto"/>
            <w:right w:val="none" w:sz="0" w:space="0" w:color="auto"/>
          </w:divBdr>
        </w:div>
        <w:div w:id="741833949">
          <w:marLeft w:val="0"/>
          <w:marRight w:val="0"/>
          <w:marTop w:val="0"/>
          <w:marBottom w:val="0"/>
          <w:divBdr>
            <w:top w:val="none" w:sz="0" w:space="0" w:color="auto"/>
            <w:left w:val="none" w:sz="0" w:space="0" w:color="auto"/>
            <w:bottom w:val="none" w:sz="0" w:space="0" w:color="auto"/>
            <w:right w:val="none" w:sz="0" w:space="0" w:color="auto"/>
          </w:divBdr>
        </w:div>
        <w:div w:id="834077545">
          <w:marLeft w:val="0"/>
          <w:marRight w:val="0"/>
          <w:marTop w:val="0"/>
          <w:marBottom w:val="0"/>
          <w:divBdr>
            <w:top w:val="none" w:sz="0" w:space="0" w:color="auto"/>
            <w:left w:val="none" w:sz="0" w:space="0" w:color="auto"/>
            <w:bottom w:val="none" w:sz="0" w:space="0" w:color="auto"/>
            <w:right w:val="none" w:sz="0" w:space="0" w:color="auto"/>
          </w:divBdr>
        </w:div>
        <w:div w:id="901721660">
          <w:marLeft w:val="0"/>
          <w:marRight w:val="0"/>
          <w:marTop w:val="0"/>
          <w:marBottom w:val="0"/>
          <w:divBdr>
            <w:top w:val="none" w:sz="0" w:space="0" w:color="auto"/>
            <w:left w:val="none" w:sz="0" w:space="0" w:color="auto"/>
            <w:bottom w:val="none" w:sz="0" w:space="0" w:color="auto"/>
            <w:right w:val="none" w:sz="0" w:space="0" w:color="auto"/>
          </w:divBdr>
        </w:div>
        <w:div w:id="922379348">
          <w:marLeft w:val="0"/>
          <w:marRight w:val="0"/>
          <w:marTop w:val="0"/>
          <w:marBottom w:val="0"/>
          <w:divBdr>
            <w:top w:val="none" w:sz="0" w:space="0" w:color="auto"/>
            <w:left w:val="none" w:sz="0" w:space="0" w:color="auto"/>
            <w:bottom w:val="none" w:sz="0" w:space="0" w:color="auto"/>
            <w:right w:val="none" w:sz="0" w:space="0" w:color="auto"/>
          </w:divBdr>
        </w:div>
        <w:div w:id="1055354773">
          <w:marLeft w:val="0"/>
          <w:marRight w:val="0"/>
          <w:marTop w:val="0"/>
          <w:marBottom w:val="0"/>
          <w:divBdr>
            <w:top w:val="none" w:sz="0" w:space="0" w:color="auto"/>
            <w:left w:val="none" w:sz="0" w:space="0" w:color="auto"/>
            <w:bottom w:val="none" w:sz="0" w:space="0" w:color="auto"/>
            <w:right w:val="none" w:sz="0" w:space="0" w:color="auto"/>
          </w:divBdr>
        </w:div>
        <w:div w:id="1082797443">
          <w:marLeft w:val="0"/>
          <w:marRight w:val="0"/>
          <w:marTop w:val="0"/>
          <w:marBottom w:val="0"/>
          <w:divBdr>
            <w:top w:val="none" w:sz="0" w:space="0" w:color="auto"/>
            <w:left w:val="none" w:sz="0" w:space="0" w:color="auto"/>
            <w:bottom w:val="none" w:sz="0" w:space="0" w:color="auto"/>
            <w:right w:val="none" w:sz="0" w:space="0" w:color="auto"/>
          </w:divBdr>
        </w:div>
        <w:div w:id="1084105004">
          <w:marLeft w:val="0"/>
          <w:marRight w:val="0"/>
          <w:marTop w:val="0"/>
          <w:marBottom w:val="0"/>
          <w:divBdr>
            <w:top w:val="none" w:sz="0" w:space="0" w:color="auto"/>
            <w:left w:val="none" w:sz="0" w:space="0" w:color="auto"/>
            <w:bottom w:val="none" w:sz="0" w:space="0" w:color="auto"/>
            <w:right w:val="none" w:sz="0" w:space="0" w:color="auto"/>
          </w:divBdr>
        </w:div>
        <w:div w:id="1091925529">
          <w:marLeft w:val="0"/>
          <w:marRight w:val="0"/>
          <w:marTop w:val="0"/>
          <w:marBottom w:val="0"/>
          <w:divBdr>
            <w:top w:val="none" w:sz="0" w:space="0" w:color="auto"/>
            <w:left w:val="none" w:sz="0" w:space="0" w:color="auto"/>
            <w:bottom w:val="none" w:sz="0" w:space="0" w:color="auto"/>
            <w:right w:val="none" w:sz="0" w:space="0" w:color="auto"/>
          </w:divBdr>
        </w:div>
        <w:div w:id="1169321678">
          <w:marLeft w:val="0"/>
          <w:marRight w:val="0"/>
          <w:marTop w:val="0"/>
          <w:marBottom w:val="0"/>
          <w:divBdr>
            <w:top w:val="none" w:sz="0" w:space="0" w:color="auto"/>
            <w:left w:val="none" w:sz="0" w:space="0" w:color="auto"/>
            <w:bottom w:val="none" w:sz="0" w:space="0" w:color="auto"/>
            <w:right w:val="none" w:sz="0" w:space="0" w:color="auto"/>
          </w:divBdr>
        </w:div>
        <w:div w:id="1202133284">
          <w:marLeft w:val="0"/>
          <w:marRight w:val="0"/>
          <w:marTop w:val="0"/>
          <w:marBottom w:val="0"/>
          <w:divBdr>
            <w:top w:val="none" w:sz="0" w:space="0" w:color="auto"/>
            <w:left w:val="none" w:sz="0" w:space="0" w:color="auto"/>
            <w:bottom w:val="none" w:sz="0" w:space="0" w:color="auto"/>
            <w:right w:val="none" w:sz="0" w:space="0" w:color="auto"/>
          </w:divBdr>
        </w:div>
        <w:div w:id="1361972927">
          <w:marLeft w:val="0"/>
          <w:marRight w:val="0"/>
          <w:marTop w:val="0"/>
          <w:marBottom w:val="0"/>
          <w:divBdr>
            <w:top w:val="none" w:sz="0" w:space="0" w:color="auto"/>
            <w:left w:val="none" w:sz="0" w:space="0" w:color="auto"/>
            <w:bottom w:val="none" w:sz="0" w:space="0" w:color="auto"/>
            <w:right w:val="none" w:sz="0" w:space="0" w:color="auto"/>
          </w:divBdr>
        </w:div>
        <w:div w:id="1367415634">
          <w:marLeft w:val="0"/>
          <w:marRight w:val="0"/>
          <w:marTop w:val="0"/>
          <w:marBottom w:val="0"/>
          <w:divBdr>
            <w:top w:val="none" w:sz="0" w:space="0" w:color="auto"/>
            <w:left w:val="none" w:sz="0" w:space="0" w:color="auto"/>
            <w:bottom w:val="none" w:sz="0" w:space="0" w:color="auto"/>
            <w:right w:val="none" w:sz="0" w:space="0" w:color="auto"/>
          </w:divBdr>
        </w:div>
        <w:div w:id="1377007741">
          <w:marLeft w:val="0"/>
          <w:marRight w:val="0"/>
          <w:marTop w:val="0"/>
          <w:marBottom w:val="0"/>
          <w:divBdr>
            <w:top w:val="none" w:sz="0" w:space="0" w:color="auto"/>
            <w:left w:val="none" w:sz="0" w:space="0" w:color="auto"/>
            <w:bottom w:val="none" w:sz="0" w:space="0" w:color="auto"/>
            <w:right w:val="none" w:sz="0" w:space="0" w:color="auto"/>
          </w:divBdr>
        </w:div>
        <w:div w:id="1436174948">
          <w:marLeft w:val="0"/>
          <w:marRight w:val="0"/>
          <w:marTop w:val="0"/>
          <w:marBottom w:val="0"/>
          <w:divBdr>
            <w:top w:val="none" w:sz="0" w:space="0" w:color="auto"/>
            <w:left w:val="none" w:sz="0" w:space="0" w:color="auto"/>
            <w:bottom w:val="none" w:sz="0" w:space="0" w:color="auto"/>
            <w:right w:val="none" w:sz="0" w:space="0" w:color="auto"/>
          </w:divBdr>
        </w:div>
        <w:div w:id="1551529825">
          <w:marLeft w:val="0"/>
          <w:marRight w:val="0"/>
          <w:marTop w:val="0"/>
          <w:marBottom w:val="0"/>
          <w:divBdr>
            <w:top w:val="none" w:sz="0" w:space="0" w:color="auto"/>
            <w:left w:val="none" w:sz="0" w:space="0" w:color="auto"/>
            <w:bottom w:val="none" w:sz="0" w:space="0" w:color="auto"/>
            <w:right w:val="none" w:sz="0" w:space="0" w:color="auto"/>
          </w:divBdr>
        </w:div>
        <w:div w:id="1622802782">
          <w:marLeft w:val="0"/>
          <w:marRight w:val="0"/>
          <w:marTop w:val="0"/>
          <w:marBottom w:val="0"/>
          <w:divBdr>
            <w:top w:val="none" w:sz="0" w:space="0" w:color="auto"/>
            <w:left w:val="none" w:sz="0" w:space="0" w:color="auto"/>
            <w:bottom w:val="none" w:sz="0" w:space="0" w:color="auto"/>
            <w:right w:val="none" w:sz="0" w:space="0" w:color="auto"/>
          </w:divBdr>
        </w:div>
        <w:div w:id="1634872159">
          <w:marLeft w:val="0"/>
          <w:marRight w:val="0"/>
          <w:marTop w:val="0"/>
          <w:marBottom w:val="0"/>
          <w:divBdr>
            <w:top w:val="none" w:sz="0" w:space="0" w:color="auto"/>
            <w:left w:val="none" w:sz="0" w:space="0" w:color="auto"/>
            <w:bottom w:val="none" w:sz="0" w:space="0" w:color="auto"/>
            <w:right w:val="none" w:sz="0" w:space="0" w:color="auto"/>
          </w:divBdr>
        </w:div>
        <w:div w:id="1641956903">
          <w:marLeft w:val="0"/>
          <w:marRight w:val="0"/>
          <w:marTop w:val="0"/>
          <w:marBottom w:val="0"/>
          <w:divBdr>
            <w:top w:val="none" w:sz="0" w:space="0" w:color="auto"/>
            <w:left w:val="none" w:sz="0" w:space="0" w:color="auto"/>
            <w:bottom w:val="none" w:sz="0" w:space="0" w:color="auto"/>
            <w:right w:val="none" w:sz="0" w:space="0" w:color="auto"/>
          </w:divBdr>
        </w:div>
        <w:div w:id="1669554236">
          <w:marLeft w:val="0"/>
          <w:marRight w:val="0"/>
          <w:marTop w:val="0"/>
          <w:marBottom w:val="0"/>
          <w:divBdr>
            <w:top w:val="none" w:sz="0" w:space="0" w:color="auto"/>
            <w:left w:val="none" w:sz="0" w:space="0" w:color="auto"/>
            <w:bottom w:val="none" w:sz="0" w:space="0" w:color="auto"/>
            <w:right w:val="none" w:sz="0" w:space="0" w:color="auto"/>
          </w:divBdr>
        </w:div>
        <w:div w:id="1687750166">
          <w:marLeft w:val="0"/>
          <w:marRight w:val="0"/>
          <w:marTop w:val="0"/>
          <w:marBottom w:val="0"/>
          <w:divBdr>
            <w:top w:val="none" w:sz="0" w:space="0" w:color="auto"/>
            <w:left w:val="none" w:sz="0" w:space="0" w:color="auto"/>
            <w:bottom w:val="none" w:sz="0" w:space="0" w:color="auto"/>
            <w:right w:val="none" w:sz="0" w:space="0" w:color="auto"/>
          </w:divBdr>
        </w:div>
        <w:div w:id="1722366922">
          <w:marLeft w:val="0"/>
          <w:marRight w:val="0"/>
          <w:marTop w:val="0"/>
          <w:marBottom w:val="0"/>
          <w:divBdr>
            <w:top w:val="none" w:sz="0" w:space="0" w:color="auto"/>
            <w:left w:val="none" w:sz="0" w:space="0" w:color="auto"/>
            <w:bottom w:val="none" w:sz="0" w:space="0" w:color="auto"/>
            <w:right w:val="none" w:sz="0" w:space="0" w:color="auto"/>
          </w:divBdr>
        </w:div>
        <w:div w:id="1738093714">
          <w:marLeft w:val="0"/>
          <w:marRight w:val="0"/>
          <w:marTop w:val="0"/>
          <w:marBottom w:val="0"/>
          <w:divBdr>
            <w:top w:val="none" w:sz="0" w:space="0" w:color="auto"/>
            <w:left w:val="none" w:sz="0" w:space="0" w:color="auto"/>
            <w:bottom w:val="none" w:sz="0" w:space="0" w:color="auto"/>
            <w:right w:val="none" w:sz="0" w:space="0" w:color="auto"/>
          </w:divBdr>
        </w:div>
        <w:div w:id="1941796263">
          <w:marLeft w:val="0"/>
          <w:marRight w:val="0"/>
          <w:marTop w:val="0"/>
          <w:marBottom w:val="0"/>
          <w:divBdr>
            <w:top w:val="none" w:sz="0" w:space="0" w:color="auto"/>
            <w:left w:val="none" w:sz="0" w:space="0" w:color="auto"/>
            <w:bottom w:val="none" w:sz="0" w:space="0" w:color="auto"/>
            <w:right w:val="none" w:sz="0" w:space="0" w:color="auto"/>
          </w:divBdr>
        </w:div>
        <w:div w:id="1991054573">
          <w:marLeft w:val="0"/>
          <w:marRight w:val="0"/>
          <w:marTop w:val="0"/>
          <w:marBottom w:val="0"/>
          <w:divBdr>
            <w:top w:val="none" w:sz="0" w:space="0" w:color="auto"/>
            <w:left w:val="none" w:sz="0" w:space="0" w:color="auto"/>
            <w:bottom w:val="none" w:sz="0" w:space="0" w:color="auto"/>
            <w:right w:val="none" w:sz="0" w:space="0" w:color="auto"/>
          </w:divBdr>
        </w:div>
        <w:div w:id="2049597804">
          <w:marLeft w:val="0"/>
          <w:marRight w:val="0"/>
          <w:marTop w:val="0"/>
          <w:marBottom w:val="0"/>
          <w:divBdr>
            <w:top w:val="none" w:sz="0" w:space="0" w:color="auto"/>
            <w:left w:val="none" w:sz="0" w:space="0" w:color="auto"/>
            <w:bottom w:val="none" w:sz="0" w:space="0" w:color="auto"/>
            <w:right w:val="none" w:sz="0" w:space="0" w:color="auto"/>
          </w:divBdr>
        </w:div>
        <w:div w:id="2109887918">
          <w:marLeft w:val="0"/>
          <w:marRight w:val="0"/>
          <w:marTop w:val="0"/>
          <w:marBottom w:val="0"/>
          <w:divBdr>
            <w:top w:val="none" w:sz="0" w:space="0" w:color="auto"/>
            <w:left w:val="none" w:sz="0" w:space="0" w:color="auto"/>
            <w:bottom w:val="none" w:sz="0" w:space="0" w:color="auto"/>
            <w:right w:val="none" w:sz="0" w:space="0" w:color="auto"/>
          </w:divBdr>
        </w:div>
      </w:divsChild>
    </w:div>
    <w:div w:id="290093628">
      <w:bodyDiv w:val="1"/>
      <w:marLeft w:val="0"/>
      <w:marRight w:val="0"/>
      <w:marTop w:val="0"/>
      <w:marBottom w:val="0"/>
      <w:divBdr>
        <w:top w:val="none" w:sz="0" w:space="0" w:color="auto"/>
        <w:left w:val="none" w:sz="0" w:space="0" w:color="auto"/>
        <w:bottom w:val="none" w:sz="0" w:space="0" w:color="auto"/>
        <w:right w:val="none" w:sz="0" w:space="0" w:color="auto"/>
      </w:divBdr>
    </w:div>
    <w:div w:id="316761984">
      <w:bodyDiv w:val="1"/>
      <w:marLeft w:val="0"/>
      <w:marRight w:val="0"/>
      <w:marTop w:val="0"/>
      <w:marBottom w:val="0"/>
      <w:divBdr>
        <w:top w:val="none" w:sz="0" w:space="0" w:color="auto"/>
        <w:left w:val="none" w:sz="0" w:space="0" w:color="auto"/>
        <w:bottom w:val="none" w:sz="0" w:space="0" w:color="auto"/>
        <w:right w:val="none" w:sz="0" w:space="0" w:color="auto"/>
      </w:divBdr>
    </w:div>
    <w:div w:id="317997699">
      <w:bodyDiv w:val="1"/>
      <w:marLeft w:val="0"/>
      <w:marRight w:val="0"/>
      <w:marTop w:val="0"/>
      <w:marBottom w:val="0"/>
      <w:divBdr>
        <w:top w:val="none" w:sz="0" w:space="0" w:color="auto"/>
        <w:left w:val="none" w:sz="0" w:space="0" w:color="auto"/>
        <w:bottom w:val="none" w:sz="0" w:space="0" w:color="auto"/>
        <w:right w:val="none" w:sz="0" w:space="0" w:color="auto"/>
      </w:divBdr>
      <w:divsChild>
        <w:div w:id="526216681">
          <w:marLeft w:val="720"/>
          <w:marRight w:val="0"/>
          <w:marTop w:val="120"/>
          <w:marBottom w:val="120"/>
          <w:divBdr>
            <w:top w:val="none" w:sz="0" w:space="0" w:color="auto"/>
            <w:left w:val="none" w:sz="0" w:space="0" w:color="auto"/>
            <w:bottom w:val="none" w:sz="0" w:space="0" w:color="auto"/>
            <w:right w:val="none" w:sz="0" w:space="0" w:color="auto"/>
          </w:divBdr>
        </w:div>
        <w:div w:id="581985768">
          <w:marLeft w:val="720"/>
          <w:marRight w:val="0"/>
          <w:marTop w:val="120"/>
          <w:marBottom w:val="120"/>
          <w:divBdr>
            <w:top w:val="none" w:sz="0" w:space="0" w:color="auto"/>
            <w:left w:val="none" w:sz="0" w:space="0" w:color="auto"/>
            <w:bottom w:val="none" w:sz="0" w:space="0" w:color="auto"/>
            <w:right w:val="none" w:sz="0" w:space="0" w:color="auto"/>
          </w:divBdr>
        </w:div>
        <w:div w:id="946355946">
          <w:marLeft w:val="720"/>
          <w:marRight w:val="0"/>
          <w:marTop w:val="120"/>
          <w:marBottom w:val="120"/>
          <w:divBdr>
            <w:top w:val="none" w:sz="0" w:space="0" w:color="auto"/>
            <w:left w:val="none" w:sz="0" w:space="0" w:color="auto"/>
            <w:bottom w:val="none" w:sz="0" w:space="0" w:color="auto"/>
            <w:right w:val="none" w:sz="0" w:space="0" w:color="auto"/>
          </w:divBdr>
        </w:div>
        <w:div w:id="1497040884">
          <w:marLeft w:val="720"/>
          <w:marRight w:val="0"/>
          <w:marTop w:val="120"/>
          <w:marBottom w:val="120"/>
          <w:divBdr>
            <w:top w:val="none" w:sz="0" w:space="0" w:color="auto"/>
            <w:left w:val="none" w:sz="0" w:space="0" w:color="auto"/>
            <w:bottom w:val="none" w:sz="0" w:space="0" w:color="auto"/>
            <w:right w:val="none" w:sz="0" w:space="0" w:color="auto"/>
          </w:divBdr>
        </w:div>
        <w:div w:id="2023192725">
          <w:marLeft w:val="720"/>
          <w:marRight w:val="0"/>
          <w:marTop w:val="120"/>
          <w:marBottom w:val="120"/>
          <w:divBdr>
            <w:top w:val="none" w:sz="0" w:space="0" w:color="auto"/>
            <w:left w:val="none" w:sz="0" w:space="0" w:color="auto"/>
            <w:bottom w:val="none" w:sz="0" w:space="0" w:color="auto"/>
            <w:right w:val="none" w:sz="0" w:space="0" w:color="auto"/>
          </w:divBdr>
        </w:div>
      </w:divsChild>
    </w:div>
    <w:div w:id="319116366">
      <w:bodyDiv w:val="1"/>
      <w:marLeft w:val="0"/>
      <w:marRight w:val="0"/>
      <w:marTop w:val="0"/>
      <w:marBottom w:val="0"/>
      <w:divBdr>
        <w:top w:val="none" w:sz="0" w:space="0" w:color="auto"/>
        <w:left w:val="none" w:sz="0" w:space="0" w:color="auto"/>
        <w:bottom w:val="none" w:sz="0" w:space="0" w:color="auto"/>
        <w:right w:val="none" w:sz="0" w:space="0" w:color="auto"/>
      </w:divBdr>
    </w:div>
    <w:div w:id="326591530">
      <w:bodyDiv w:val="1"/>
      <w:marLeft w:val="0"/>
      <w:marRight w:val="0"/>
      <w:marTop w:val="0"/>
      <w:marBottom w:val="0"/>
      <w:divBdr>
        <w:top w:val="none" w:sz="0" w:space="0" w:color="auto"/>
        <w:left w:val="none" w:sz="0" w:space="0" w:color="auto"/>
        <w:bottom w:val="none" w:sz="0" w:space="0" w:color="auto"/>
        <w:right w:val="none" w:sz="0" w:space="0" w:color="auto"/>
      </w:divBdr>
      <w:divsChild>
        <w:div w:id="512956198">
          <w:marLeft w:val="274"/>
          <w:marRight w:val="0"/>
          <w:marTop w:val="0"/>
          <w:marBottom w:val="0"/>
          <w:divBdr>
            <w:top w:val="none" w:sz="0" w:space="0" w:color="auto"/>
            <w:left w:val="none" w:sz="0" w:space="0" w:color="auto"/>
            <w:bottom w:val="none" w:sz="0" w:space="0" w:color="auto"/>
            <w:right w:val="none" w:sz="0" w:space="0" w:color="auto"/>
          </w:divBdr>
        </w:div>
        <w:div w:id="663435170">
          <w:marLeft w:val="274"/>
          <w:marRight w:val="0"/>
          <w:marTop w:val="0"/>
          <w:marBottom w:val="0"/>
          <w:divBdr>
            <w:top w:val="none" w:sz="0" w:space="0" w:color="auto"/>
            <w:left w:val="none" w:sz="0" w:space="0" w:color="auto"/>
            <w:bottom w:val="none" w:sz="0" w:space="0" w:color="auto"/>
            <w:right w:val="none" w:sz="0" w:space="0" w:color="auto"/>
          </w:divBdr>
        </w:div>
        <w:div w:id="1149175863">
          <w:marLeft w:val="274"/>
          <w:marRight w:val="0"/>
          <w:marTop w:val="0"/>
          <w:marBottom w:val="0"/>
          <w:divBdr>
            <w:top w:val="none" w:sz="0" w:space="0" w:color="auto"/>
            <w:left w:val="none" w:sz="0" w:space="0" w:color="auto"/>
            <w:bottom w:val="none" w:sz="0" w:space="0" w:color="auto"/>
            <w:right w:val="none" w:sz="0" w:space="0" w:color="auto"/>
          </w:divBdr>
        </w:div>
      </w:divsChild>
    </w:div>
    <w:div w:id="335575464">
      <w:bodyDiv w:val="1"/>
      <w:marLeft w:val="0"/>
      <w:marRight w:val="0"/>
      <w:marTop w:val="0"/>
      <w:marBottom w:val="0"/>
      <w:divBdr>
        <w:top w:val="none" w:sz="0" w:space="0" w:color="auto"/>
        <w:left w:val="none" w:sz="0" w:space="0" w:color="auto"/>
        <w:bottom w:val="none" w:sz="0" w:space="0" w:color="auto"/>
        <w:right w:val="none" w:sz="0" w:space="0" w:color="auto"/>
      </w:divBdr>
    </w:div>
    <w:div w:id="335764298">
      <w:bodyDiv w:val="1"/>
      <w:marLeft w:val="0"/>
      <w:marRight w:val="0"/>
      <w:marTop w:val="0"/>
      <w:marBottom w:val="0"/>
      <w:divBdr>
        <w:top w:val="none" w:sz="0" w:space="0" w:color="auto"/>
        <w:left w:val="none" w:sz="0" w:space="0" w:color="auto"/>
        <w:bottom w:val="none" w:sz="0" w:space="0" w:color="auto"/>
        <w:right w:val="none" w:sz="0" w:space="0" w:color="auto"/>
      </w:divBdr>
    </w:div>
    <w:div w:id="337773652">
      <w:bodyDiv w:val="1"/>
      <w:marLeft w:val="0"/>
      <w:marRight w:val="0"/>
      <w:marTop w:val="0"/>
      <w:marBottom w:val="0"/>
      <w:divBdr>
        <w:top w:val="none" w:sz="0" w:space="0" w:color="auto"/>
        <w:left w:val="none" w:sz="0" w:space="0" w:color="auto"/>
        <w:bottom w:val="none" w:sz="0" w:space="0" w:color="auto"/>
        <w:right w:val="none" w:sz="0" w:space="0" w:color="auto"/>
      </w:divBdr>
      <w:divsChild>
        <w:div w:id="68697530">
          <w:marLeft w:val="547"/>
          <w:marRight w:val="0"/>
          <w:marTop w:val="80"/>
          <w:marBottom w:val="80"/>
          <w:divBdr>
            <w:top w:val="none" w:sz="0" w:space="0" w:color="auto"/>
            <w:left w:val="none" w:sz="0" w:space="0" w:color="auto"/>
            <w:bottom w:val="none" w:sz="0" w:space="0" w:color="auto"/>
            <w:right w:val="none" w:sz="0" w:space="0" w:color="auto"/>
          </w:divBdr>
        </w:div>
        <w:div w:id="140780209">
          <w:marLeft w:val="547"/>
          <w:marRight w:val="0"/>
          <w:marTop w:val="80"/>
          <w:marBottom w:val="80"/>
          <w:divBdr>
            <w:top w:val="none" w:sz="0" w:space="0" w:color="auto"/>
            <w:left w:val="none" w:sz="0" w:space="0" w:color="auto"/>
            <w:bottom w:val="none" w:sz="0" w:space="0" w:color="auto"/>
            <w:right w:val="none" w:sz="0" w:space="0" w:color="auto"/>
          </w:divBdr>
        </w:div>
        <w:div w:id="177819760">
          <w:marLeft w:val="1267"/>
          <w:marRight w:val="0"/>
          <w:marTop w:val="80"/>
          <w:marBottom w:val="80"/>
          <w:divBdr>
            <w:top w:val="none" w:sz="0" w:space="0" w:color="auto"/>
            <w:left w:val="none" w:sz="0" w:space="0" w:color="auto"/>
            <w:bottom w:val="none" w:sz="0" w:space="0" w:color="auto"/>
            <w:right w:val="none" w:sz="0" w:space="0" w:color="auto"/>
          </w:divBdr>
        </w:div>
        <w:div w:id="184560429">
          <w:marLeft w:val="547"/>
          <w:marRight w:val="0"/>
          <w:marTop w:val="80"/>
          <w:marBottom w:val="80"/>
          <w:divBdr>
            <w:top w:val="none" w:sz="0" w:space="0" w:color="auto"/>
            <w:left w:val="none" w:sz="0" w:space="0" w:color="auto"/>
            <w:bottom w:val="none" w:sz="0" w:space="0" w:color="auto"/>
            <w:right w:val="none" w:sz="0" w:space="0" w:color="auto"/>
          </w:divBdr>
        </w:div>
        <w:div w:id="680355411">
          <w:marLeft w:val="547"/>
          <w:marRight w:val="0"/>
          <w:marTop w:val="80"/>
          <w:marBottom w:val="80"/>
          <w:divBdr>
            <w:top w:val="none" w:sz="0" w:space="0" w:color="auto"/>
            <w:left w:val="none" w:sz="0" w:space="0" w:color="auto"/>
            <w:bottom w:val="none" w:sz="0" w:space="0" w:color="auto"/>
            <w:right w:val="none" w:sz="0" w:space="0" w:color="auto"/>
          </w:divBdr>
        </w:div>
        <w:div w:id="821698054">
          <w:marLeft w:val="1267"/>
          <w:marRight w:val="0"/>
          <w:marTop w:val="80"/>
          <w:marBottom w:val="80"/>
          <w:divBdr>
            <w:top w:val="none" w:sz="0" w:space="0" w:color="auto"/>
            <w:left w:val="none" w:sz="0" w:space="0" w:color="auto"/>
            <w:bottom w:val="none" w:sz="0" w:space="0" w:color="auto"/>
            <w:right w:val="none" w:sz="0" w:space="0" w:color="auto"/>
          </w:divBdr>
        </w:div>
        <w:div w:id="861866138">
          <w:marLeft w:val="1267"/>
          <w:marRight w:val="0"/>
          <w:marTop w:val="80"/>
          <w:marBottom w:val="80"/>
          <w:divBdr>
            <w:top w:val="none" w:sz="0" w:space="0" w:color="auto"/>
            <w:left w:val="none" w:sz="0" w:space="0" w:color="auto"/>
            <w:bottom w:val="none" w:sz="0" w:space="0" w:color="auto"/>
            <w:right w:val="none" w:sz="0" w:space="0" w:color="auto"/>
          </w:divBdr>
        </w:div>
        <w:div w:id="866796017">
          <w:marLeft w:val="547"/>
          <w:marRight w:val="0"/>
          <w:marTop w:val="80"/>
          <w:marBottom w:val="80"/>
          <w:divBdr>
            <w:top w:val="none" w:sz="0" w:space="0" w:color="auto"/>
            <w:left w:val="none" w:sz="0" w:space="0" w:color="auto"/>
            <w:bottom w:val="none" w:sz="0" w:space="0" w:color="auto"/>
            <w:right w:val="none" w:sz="0" w:space="0" w:color="auto"/>
          </w:divBdr>
        </w:div>
        <w:div w:id="1103307153">
          <w:marLeft w:val="1267"/>
          <w:marRight w:val="0"/>
          <w:marTop w:val="80"/>
          <w:marBottom w:val="80"/>
          <w:divBdr>
            <w:top w:val="none" w:sz="0" w:space="0" w:color="auto"/>
            <w:left w:val="none" w:sz="0" w:space="0" w:color="auto"/>
            <w:bottom w:val="none" w:sz="0" w:space="0" w:color="auto"/>
            <w:right w:val="none" w:sz="0" w:space="0" w:color="auto"/>
          </w:divBdr>
        </w:div>
        <w:div w:id="1311789954">
          <w:marLeft w:val="547"/>
          <w:marRight w:val="0"/>
          <w:marTop w:val="80"/>
          <w:marBottom w:val="80"/>
          <w:divBdr>
            <w:top w:val="none" w:sz="0" w:space="0" w:color="auto"/>
            <w:left w:val="none" w:sz="0" w:space="0" w:color="auto"/>
            <w:bottom w:val="none" w:sz="0" w:space="0" w:color="auto"/>
            <w:right w:val="none" w:sz="0" w:space="0" w:color="auto"/>
          </w:divBdr>
        </w:div>
        <w:div w:id="1340083973">
          <w:marLeft w:val="1267"/>
          <w:marRight w:val="0"/>
          <w:marTop w:val="80"/>
          <w:marBottom w:val="80"/>
          <w:divBdr>
            <w:top w:val="none" w:sz="0" w:space="0" w:color="auto"/>
            <w:left w:val="none" w:sz="0" w:space="0" w:color="auto"/>
            <w:bottom w:val="none" w:sz="0" w:space="0" w:color="auto"/>
            <w:right w:val="none" w:sz="0" w:space="0" w:color="auto"/>
          </w:divBdr>
        </w:div>
        <w:div w:id="1462503798">
          <w:marLeft w:val="547"/>
          <w:marRight w:val="0"/>
          <w:marTop w:val="80"/>
          <w:marBottom w:val="80"/>
          <w:divBdr>
            <w:top w:val="none" w:sz="0" w:space="0" w:color="auto"/>
            <w:left w:val="none" w:sz="0" w:space="0" w:color="auto"/>
            <w:bottom w:val="none" w:sz="0" w:space="0" w:color="auto"/>
            <w:right w:val="none" w:sz="0" w:space="0" w:color="auto"/>
          </w:divBdr>
        </w:div>
        <w:div w:id="1828862759">
          <w:marLeft w:val="547"/>
          <w:marRight w:val="0"/>
          <w:marTop w:val="80"/>
          <w:marBottom w:val="80"/>
          <w:divBdr>
            <w:top w:val="none" w:sz="0" w:space="0" w:color="auto"/>
            <w:left w:val="none" w:sz="0" w:space="0" w:color="auto"/>
            <w:bottom w:val="none" w:sz="0" w:space="0" w:color="auto"/>
            <w:right w:val="none" w:sz="0" w:space="0" w:color="auto"/>
          </w:divBdr>
        </w:div>
        <w:div w:id="1857108771">
          <w:marLeft w:val="547"/>
          <w:marRight w:val="0"/>
          <w:marTop w:val="80"/>
          <w:marBottom w:val="80"/>
          <w:divBdr>
            <w:top w:val="none" w:sz="0" w:space="0" w:color="auto"/>
            <w:left w:val="none" w:sz="0" w:space="0" w:color="auto"/>
            <w:bottom w:val="none" w:sz="0" w:space="0" w:color="auto"/>
            <w:right w:val="none" w:sz="0" w:space="0" w:color="auto"/>
          </w:divBdr>
        </w:div>
        <w:div w:id="1997881877">
          <w:marLeft w:val="547"/>
          <w:marRight w:val="0"/>
          <w:marTop w:val="80"/>
          <w:marBottom w:val="80"/>
          <w:divBdr>
            <w:top w:val="none" w:sz="0" w:space="0" w:color="auto"/>
            <w:left w:val="none" w:sz="0" w:space="0" w:color="auto"/>
            <w:bottom w:val="none" w:sz="0" w:space="0" w:color="auto"/>
            <w:right w:val="none" w:sz="0" w:space="0" w:color="auto"/>
          </w:divBdr>
        </w:div>
      </w:divsChild>
    </w:div>
    <w:div w:id="339892177">
      <w:bodyDiv w:val="1"/>
      <w:marLeft w:val="0"/>
      <w:marRight w:val="0"/>
      <w:marTop w:val="0"/>
      <w:marBottom w:val="0"/>
      <w:divBdr>
        <w:top w:val="none" w:sz="0" w:space="0" w:color="auto"/>
        <w:left w:val="none" w:sz="0" w:space="0" w:color="auto"/>
        <w:bottom w:val="none" w:sz="0" w:space="0" w:color="auto"/>
        <w:right w:val="none" w:sz="0" w:space="0" w:color="auto"/>
      </w:divBdr>
    </w:div>
    <w:div w:id="359204234">
      <w:bodyDiv w:val="1"/>
      <w:marLeft w:val="0"/>
      <w:marRight w:val="0"/>
      <w:marTop w:val="0"/>
      <w:marBottom w:val="0"/>
      <w:divBdr>
        <w:top w:val="none" w:sz="0" w:space="0" w:color="auto"/>
        <w:left w:val="none" w:sz="0" w:space="0" w:color="auto"/>
        <w:bottom w:val="none" w:sz="0" w:space="0" w:color="auto"/>
        <w:right w:val="none" w:sz="0" w:space="0" w:color="auto"/>
      </w:divBdr>
      <w:divsChild>
        <w:div w:id="46221621">
          <w:marLeft w:val="0"/>
          <w:marRight w:val="0"/>
          <w:marTop w:val="0"/>
          <w:marBottom w:val="0"/>
          <w:divBdr>
            <w:top w:val="none" w:sz="0" w:space="0" w:color="auto"/>
            <w:left w:val="none" w:sz="0" w:space="0" w:color="auto"/>
            <w:bottom w:val="none" w:sz="0" w:space="0" w:color="auto"/>
            <w:right w:val="none" w:sz="0" w:space="0" w:color="auto"/>
          </w:divBdr>
        </w:div>
        <w:div w:id="237714452">
          <w:marLeft w:val="0"/>
          <w:marRight w:val="0"/>
          <w:marTop w:val="0"/>
          <w:marBottom w:val="0"/>
          <w:divBdr>
            <w:top w:val="none" w:sz="0" w:space="0" w:color="auto"/>
            <w:left w:val="none" w:sz="0" w:space="0" w:color="auto"/>
            <w:bottom w:val="none" w:sz="0" w:space="0" w:color="auto"/>
            <w:right w:val="none" w:sz="0" w:space="0" w:color="auto"/>
          </w:divBdr>
        </w:div>
        <w:div w:id="246614174">
          <w:marLeft w:val="0"/>
          <w:marRight w:val="0"/>
          <w:marTop w:val="0"/>
          <w:marBottom w:val="0"/>
          <w:divBdr>
            <w:top w:val="none" w:sz="0" w:space="0" w:color="auto"/>
            <w:left w:val="none" w:sz="0" w:space="0" w:color="auto"/>
            <w:bottom w:val="none" w:sz="0" w:space="0" w:color="auto"/>
            <w:right w:val="none" w:sz="0" w:space="0" w:color="auto"/>
          </w:divBdr>
        </w:div>
        <w:div w:id="337972969">
          <w:marLeft w:val="0"/>
          <w:marRight w:val="0"/>
          <w:marTop w:val="0"/>
          <w:marBottom w:val="0"/>
          <w:divBdr>
            <w:top w:val="none" w:sz="0" w:space="0" w:color="auto"/>
            <w:left w:val="none" w:sz="0" w:space="0" w:color="auto"/>
            <w:bottom w:val="none" w:sz="0" w:space="0" w:color="auto"/>
            <w:right w:val="none" w:sz="0" w:space="0" w:color="auto"/>
          </w:divBdr>
        </w:div>
        <w:div w:id="455028684">
          <w:marLeft w:val="0"/>
          <w:marRight w:val="0"/>
          <w:marTop w:val="0"/>
          <w:marBottom w:val="0"/>
          <w:divBdr>
            <w:top w:val="none" w:sz="0" w:space="0" w:color="auto"/>
            <w:left w:val="none" w:sz="0" w:space="0" w:color="auto"/>
            <w:bottom w:val="none" w:sz="0" w:space="0" w:color="auto"/>
            <w:right w:val="none" w:sz="0" w:space="0" w:color="auto"/>
          </w:divBdr>
        </w:div>
        <w:div w:id="526674981">
          <w:marLeft w:val="0"/>
          <w:marRight w:val="0"/>
          <w:marTop w:val="0"/>
          <w:marBottom w:val="0"/>
          <w:divBdr>
            <w:top w:val="none" w:sz="0" w:space="0" w:color="auto"/>
            <w:left w:val="none" w:sz="0" w:space="0" w:color="auto"/>
            <w:bottom w:val="none" w:sz="0" w:space="0" w:color="auto"/>
            <w:right w:val="none" w:sz="0" w:space="0" w:color="auto"/>
          </w:divBdr>
        </w:div>
        <w:div w:id="935527087">
          <w:marLeft w:val="0"/>
          <w:marRight w:val="0"/>
          <w:marTop w:val="0"/>
          <w:marBottom w:val="0"/>
          <w:divBdr>
            <w:top w:val="none" w:sz="0" w:space="0" w:color="auto"/>
            <w:left w:val="none" w:sz="0" w:space="0" w:color="auto"/>
            <w:bottom w:val="none" w:sz="0" w:space="0" w:color="auto"/>
            <w:right w:val="none" w:sz="0" w:space="0" w:color="auto"/>
          </w:divBdr>
        </w:div>
        <w:div w:id="945507598">
          <w:marLeft w:val="0"/>
          <w:marRight w:val="0"/>
          <w:marTop w:val="0"/>
          <w:marBottom w:val="0"/>
          <w:divBdr>
            <w:top w:val="none" w:sz="0" w:space="0" w:color="auto"/>
            <w:left w:val="none" w:sz="0" w:space="0" w:color="auto"/>
            <w:bottom w:val="none" w:sz="0" w:space="0" w:color="auto"/>
            <w:right w:val="none" w:sz="0" w:space="0" w:color="auto"/>
          </w:divBdr>
        </w:div>
        <w:div w:id="1037780018">
          <w:marLeft w:val="0"/>
          <w:marRight w:val="0"/>
          <w:marTop w:val="0"/>
          <w:marBottom w:val="0"/>
          <w:divBdr>
            <w:top w:val="none" w:sz="0" w:space="0" w:color="auto"/>
            <w:left w:val="none" w:sz="0" w:space="0" w:color="auto"/>
            <w:bottom w:val="none" w:sz="0" w:space="0" w:color="auto"/>
            <w:right w:val="none" w:sz="0" w:space="0" w:color="auto"/>
          </w:divBdr>
        </w:div>
        <w:div w:id="1097991682">
          <w:marLeft w:val="0"/>
          <w:marRight w:val="0"/>
          <w:marTop w:val="0"/>
          <w:marBottom w:val="0"/>
          <w:divBdr>
            <w:top w:val="none" w:sz="0" w:space="0" w:color="auto"/>
            <w:left w:val="none" w:sz="0" w:space="0" w:color="auto"/>
            <w:bottom w:val="none" w:sz="0" w:space="0" w:color="auto"/>
            <w:right w:val="none" w:sz="0" w:space="0" w:color="auto"/>
          </w:divBdr>
        </w:div>
        <w:div w:id="1201554469">
          <w:marLeft w:val="0"/>
          <w:marRight w:val="0"/>
          <w:marTop w:val="0"/>
          <w:marBottom w:val="0"/>
          <w:divBdr>
            <w:top w:val="none" w:sz="0" w:space="0" w:color="auto"/>
            <w:left w:val="none" w:sz="0" w:space="0" w:color="auto"/>
            <w:bottom w:val="none" w:sz="0" w:space="0" w:color="auto"/>
            <w:right w:val="none" w:sz="0" w:space="0" w:color="auto"/>
          </w:divBdr>
        </w:div>
        <w:div w:id="1249735654">
          <w:marLeft w:val="0"/>
          <w:marRight w:val="0"/>
          <w:marTop w:val="0"/>
          <w:marBottom w:val="0"/>
          <w:divBdr>
            <w:top w:val="none" w:sz="0" w:space="0" w:color="auto"/>
            <w:left w:val="none" w:sz="0" w:space="0" w:color="auto"/>
            <w:bottom w:val="none" w:sz="0" w:space="0" w:color="auto"/>
            <w:right w:val="none" w:sz="0" w:space="0" w:color="auto"/>
          </w:divBdr>
        </w:div>
        <w:div w:id="1489176688">
          <w:marLeft w:val="0"/>
          <w:marRight w:val="0"/>
          <w:marTop w:val="0"/>
          <w:marBottom w:val="0"/>
          <w:divBdr>
            <w:top w:val="none" w:sz="0" w:space="0" w:color="auto"/>
            <w:left w:val="none" w:sz="0" w:space="0" w:color="auto"/>
            <w:bottom w:val="none" w:sz="0" w:space="0" w:color="auto"/>
            <w:right w:val="none" w:sz="0" w:space="0" w:color="auto"/>
          </w:divBdr>
        </w:div>
        <w:div w:id="1489445758">
          <w:marLeft w:val="0"/>
          <w:marRight w:val="0"/>
          <w:marTop w:val="0"/>
          <w:marBottom w:val="0"/>
          <w:divBdr>
            <w:top w:val="none" w:sz="0" w:space="0" w:color="auto"/>
            <w:left w:val="none" w:sz="0" w:space="0" w:color="auto"/>
            <w:bottom w:val="none" w:sz="0" w:space="0" w:color="auto"/>
            <w:right w:val="none" w:sz="0" w:space="0" w:color="auto"/>
          </w:divBdr>
        </w:div>
        <w:div w:id="1576354667">
          <w:marLeft w:val="0"/>
          <w:marRight w:val="0"/>
          <w:marTop w:val="0"/>
          <w:marBottom w:val="0"/>
          <w:divBdr>
            <w:top w:val="none" w:sz="0" w:space="0" w:color="auto"/>
            <w:left w:val="none" w:sz="0" w:space="0" w:color="auto"/>
            <w:bottom w:val="none" w:sz="0" w:space="0" w:color="auto"/>
            <w:right w:val="none" w:sz="0" w:space="0" w:color="auto"/>
          </w:divBdr>
        </w:div>
        <w:div w:id="1854883096">
          <w:marLeft w:val="0"/>
          <w:marRight w:val="0"/>
          <w:marTop w:val="0"/>
          <w:marBottom w:val="0"/>
          <w:divBdr>
            <w:top w:val="none" w:sz="0" w:space="0" w:color="auto"/>
            <w:left w:val="none" w:sz="0" w:space="0" w:color="auto"/>
            <w:bottom w:val="none" w:sz="0" w:space="0" w:color="auto"/>
            <w:right w:val="none" w:sz="0" w:space="0" w:color="auto"/>
          </w:divBdr>
        </w:div>
        <w:div w:id="1871532144">
          <w:marLeft w:val="0"/>
          <w:marRight w:val="0"/>
          <w:marTop w:val="0"/>
          <w:marBottom w:val="0"/>
          <w:divBdr>
            <w:top w:val="none" w:sz="0" w:space="0" w:color="auto"/>
            <w:left w:val="none" w:sz="0" w:space="0" w:color="auto"/>
            <w:bottom w:val="none" w:sz="0" w:space="0" w:color="auto"/>
            <w:right w:val="none" w:sz="0" w:space="0" w:color="auto"/>
          </w:divBdr>
        </w:div>
        <w:div w:id="1895434043">
          <w:marLeft w:val="0"/>
          <w:marRight w:val="0"/>
          <w:marTop w:val="0"/>
          <w:marBottom w:val="0"/>
          <w:divBdr>
            <w:top w:val="none" w:sz="0" w:space="0" w:color="auto"/>
            <w:left w:val="none" w:sz="0" w:space="0" w:color="auto"/>
            <w:bottom w:val="none" w:sz="0" w:space="0" w:color="auto"/>
            <w:right w:val="none" w:sz="0" w:space="0" w:color="auto"/>
          </w:divBdr>
        </w:div>
        <w:div w:id="1928925835">
          <w:marLeft w:val="0"/>
          <w:marRight w:val="0"/>
          <w:marTop w:val="0"/>
          <w:marBottom w:val="0"/>
          <w:divBdr>
            <w:top w:val="none" w:sz="0" w:space="0" w:color="auto"/>
            <w:left w:val="none" w:sz="0" w:space="0" w:color="auto"/>
            <w:bottom w:val="none" w:sz="0" w:space="0" w:color="auto"/>
            <w:right w:val="none" w:sz="0" w:space="0" w:color="auto"/>
          </w:divBdr>
        </w:div>
        <w:div w:id="2106919379">
          <w:marLeft w:val="0"/>
          <w:marRight w:val="0"/>
          <w:marTop w:val="0"/>
          <w:marBottom w:val="0"/>
          <w:divBdr>
            <w:top w:val="none" w:sz="0" w:space="0" w:color="auto"/>
            <w:left w:val="none" w:sz="0" w:space="0" w:color="auto"/>
            <w:bottom w:val="none" w:sz="0" w:space="0" w:color="auto"/>
            <w:right w:val="none" w:sz="0" w:space="0" w:color="auto"/>
          </w:divBdr>
        </w:div>
        <w:div w:id="2118717945">
          <w:marLeft w:val="0"/>
          <w:marRight w:val="0"/>
          <w:marTop w:val="0"/>
          <w:marBottom w:val="0"/>
          <w:divBdr>
            <w:top w:val="none" w:sz="0" w:space="0" w:color="auto"/>
            <w:left w:val="none" w:sz="0" w:space="0" w:color="auto"/>
            <w:bottom w:val="none" w:sz="0" w:space="0" w:color="auto"/>
            <w:right w:val="none" w:sz="0" w:space="0" w:color="auto"/>
          </w:divBdr>
        </w:div>
        <w:div w:id="2138181590">
          <w:marLeft w:val="0"/>
          <w:marRight w:val="0"/>
          <w:marTop w:val="0"/>
          <w:marBottom w:val="0"/>
          <w:divBdr>
            <w:top w:val="none" w:sz="0" w:space="0" w:color="auto"/>
            <w:left w:val="none" w:sz="0" w:space="0" w:color="auto"/>
            <w:bottom w:val="none" w:sz="0" w:space="0" w:color="auto"/>
            <w:right w:val="none" w:sz="0" w:space="0" w:color="auto"/>
          </w:divBdr>
        </w:div>
      </w:divsChild>
    </w:div>
    <w:div w:id="363143513">
      <w:bodyDiv w:val="1"/>
      <w:marLeft w:val="0"/>
      <w:marRight w:val="0"/>
      <w:marTop w:val="0"/>
      <w:marBottom w:val="0"/>
      <w:divBdr>
        <w:top w:val="none" w:sz="0" w:space="0" w:color="auto"/>
        <w:left w:val="none" w:sz="0" w:space="0" w:color="auto"/>
        <w:bottom w:val="none" w:sz="0" w:space="0" w:color="auto"/>
        <w:right w:val="none" w:sz="0" w:space="0" w:color="auto"/>
      </w:divBdr>
    </w:div>
    <w:div w:id="376466633">
      <w:bodyDiv w:val="1"/>
      <w:marLeft w:val="0"/>
      <w:marRight w:val="0"/>
      <w:marTop w:val="0"/>
      <w:marBottom w:val="0"/>
      <w:divBdr>
        <w:top w:val="none" w:sz="0" w:space="0" w:color="auto"/>
        <w:left w:val="none" w:sz="0" w:space="0" w:color="auto"/>
        <w:bottom w:val="none" w:sz="0" w:space="0" w:color="auto"/>
        <w:right w:val="none" w:sz="0" w:space="0" w:color="auto"/>
      </w:divBdr>
      <w:divsChild>
        <w:div w:id="1015763355">
          <w:marLeft w:val="274"/>
          <w:marRight w:val="0"/>
          <w:marTop w:val="0"/>
          <w:marBottom w:val="0"/>
          <w:divBdr>
            <w:top w:val="none" w:sz="0" w:space="0" w:color="auto"/>
            <w:left w:val="none" w:sz="0" w:space="0" w:color="auto"/>
            <w:bottom w:val="none" w:sz="0" w:space="0" w:color="auto"/>
            <w:right w:val="none" w:sz="0" w:space="0" w:color="auto"/>
          </w:divBdr>
        </w:div>
        <w:div w:id="2021471887">
          <w:marLeft w:val="274"/>
          <w:marRight w:val="0"/>
          <w:marTop w:val="0"/>
          <w:marBottom w:val="0"/>
          <w:divBdr>
            <w:top w:val="none" w:sz="0" w:space="0" w:color="auto"/>
            <w:left w:val="none" w:sz="0" w:space="0" w:color="auto"/>
            <w:bottom w:val="none" w:sz="0" w:space="0" w:color="auto"/>
            <w:right w:val="none" w:sz="0" w:space="0" w:color="auto"/>
          </w:divBdr>
        </w:div>
      </w:divsChild>
    </w:div>
    <w:div w:id="382565944">
      <w:bodyDiv w:val="1"/>
      <w:marLeft w:val="0"/>
      <w:marRight w:val="0"/>
      <w:marTop w:val="0"/>
      <w:marBottom w:val="0"/>
      <w:divBdr>
        <w:top w:val="none" w:sz="0" w:space="0" w:color="auto"/>
        <w:left w:val="none" w:sz="0" w:space="0" w:color="auto"/>
        <w:bottom w:val="none" w:sz="0" w:space="0" w:color="auto"/>
        <w:right w:val="none" w:sz="0" w:space="0" w:color="auto"/>
      </w:divBdr>
    </w:div>
    <w:div w:id="384454884">
      <w:bodyDiv w:val="1"/>
      <w:marLeft w:val="0"/>
      <w:marRight w:val="0"/>
      <w:marTop w:val="0"/>
      <w:marBottom w:val="0"/>
      <w:divBdr>
        <w:top w:val="none" w:sz="0" w:space="0" w:color="auto"/>
        <w:left w:val="none" w:sz="0" w:space="0" w:color="auto"/>
        <w:bottom w:val="none" w:sz="0" w:space="0" w:color="auto"/>
        <w:right w:val="none" w:sz="0" w:space="0" w:color="auto"/>
      </w:divBdr>
    </w:div>
    <w:div w:id="419496420">
      <w:bodyDiv w:val="1"/>
      <w:marLeft w:val="0"/>
      <w:marRight w:val="0"/>
      <w:marTop w:val="0"/>
      <w:marBottom w:val="0"/>
      <w:divBdr>
        <w:top w:val="none" w:sz="0" w:space="0" w:color="auto"/>
        <w:left w:val="none" w:sz="0" w:space="0" w:color="auto"/>
        <w:bottom w:val="none" w:sz="0" w:space="0" w:color="auto"/>
        <w:right w:val="none" w:sz="0" w:space="0" w:color="auto"/>
      </w:divBdr>
    </w:div>
    <w:div w:id="422919742">
      <w:bodyDiv w:val="1"/>
      <w:marLeft w:val="0"/>
      <w:marRight w:val="0"/>
      <w:marTop w:val="0"/>
      <w:marBottom w:val="0"/>
      <w:divBdr>
        <w:top w:val="none" w:sz="0" w:space="0" w:color="auto"/>
        <w:left w:val="none" w:sz="0" w:space="0" w:color="auto"/>
        <w:bottom w:val="none" w:sz="0" w:space="0" w:color="auto"/>
        <w:right w:val="none" w:sz="0" w:space="0" w:color="auto"/>
      </w:divBdr>
    </w:div>
    <w:div w:id="434906187">
      <w:bodyDiv w:val="1"/>
      <w:marLeft w:val="0"/>
      <w:marRight w:val="0"/>
      <w:marTop w:val="0"/>
      <w:marBottom w:val="0"/>
      <w:divBdr>
        <w:top w:val="none" w:sz="0" w:space="0" w:color="auto"/>
        <w:left w:val="none" w:sz="0" w:space="0" w:color="auto"/>
        <w:bottom w:val="none" w:sz="0" w:space="0" w:color="auto"/>
        <w:right w:val="none" w:sz="0" w:space="0" w:color="auto"/>
      </w:divBdr>
    </w:div>
    <w:div w:id="442118587">
      <w:bodyDiv w:val="1"/>
      <w:marLeft w:val="0"/>
      <w:marRight w:val="0"/>
      <w:marTop w:val="0"/>
      <w:marBottom w:val="0"/>
      <w:divBdr>
        <w:top w:val="none" w:sz="0" w:space="0" w:color="auto"/>
        <w:left w:val="none" w:sz="0" w:space="0" w:color="auto"/>
        <w:bottom w:val="none" w:sz="0" w:space="0" w:color="auto"/>
        <w:right w:val="none" w:sz="0" w:space="0" w:color="auto"/>
      </w:divBdr>
      <w:divsChild>
        <w:div w:id="133328072">
          <w:marLeft w:val="0"/>
          <w:marRight w:val="0"/>
          <w:marTop w:val="0"/>
          <w:marBottom w:val="0"/>
          <w:divBdr>
            <w:top w:val="none" w:sz="0" w:space="0" w:color="auto"/>
            <w:left w:val="none" w:sz="0" w:space="0" w:color="auto"/>
            <w:bottom w:val="none" w:sz="0" w:space="0" w:color="auto"/>
            <w:right w:val="none" w:sz="0" w:space="0" w:color="auto"/>
          </w:divBdr>
          <w:divsChild>
            <w:div w:id="2019504709">
              <w:marLeft w:val="0"/>
              <w:marRight w:val="0"/>
              <w:marTop w:val="0"/>
              <w:marBottom w:val="0"/>
              <w:divBdr>
                <w:top w:val="none" w:sz="0" w:space="0" w:color="auto"/>
                <w:left w:val="none" w:sz="0" w:space="0" w:color="auto"/>
                <w:bottom w:val="none" w:sz="0" w:space="0" w:color="auto"/>
                <w:right w:val="none" w:sz="0" w:space="0" w:color="auto"/>
              </w:divBdr>
            </w:div>
          </w:divsChild>
        </w:div>
        <w:div w:id="160851782">
          <w:marLeft w:val="0"/>
          <w:marRight w:val="0"/>
          <w:marTop w:val="0"/>
          <w:marBottom w:val="0"/>
          <w:divBdr>
            <w:top w:val="none" w:sz="0" w:space="0" w:color="auto"/>
            <w:left w:val="none" w:sz="0" w:space="0" w:color="auto"/>
            <w:bottom w:val="none" w:sz="0" w:space="0" w:color="auto"/>
            <w:right w:val="none" w:sz="0" w:space="0" w:color="auto"/>
          </w:divBdr>
          <w:divsChild>
            <w:div w:id="814101433">
              <w:marLeft w:val="0"/>
              <w:marRight w:val="0"/>
              <w:marTop w:val="0"/>
              <w:marBottom w:val="0"/>
              <w:divBdr>
                <w:top w:val="none" w:sz="0" w:space="0" w:color="auto"/>
                <w:left w:val="none" w:sz="0" w:space="0" w:color="auto"/>
                <w:bottom w:val="none" w:sz="0" w:space="0" w:color="auto"/>
                <w:right w:val="none" w:sz="0" w:space="0" w:color="auto"/>
              </w:divBdr>
            </w:div>
            <w:div w:id="1120689605">
              <w:marLeft w:val="0"/>
              <w:marRight w:val="0"/>
              <w:marTop w:val="0"/>
              <w:marBottom w:val="0"/>
              <w:divBdr>
                <w:top w:val="none" w:sz="0" w:space="0" w:color="auto"/>
                <w:left w:val="none" w:sz="0" w:space="0" w:color="auto"/>
                <w:bottom w:val="none" w:sz="0" w:space="0" w:color="auto"/>
                <w:right w:val="none" w:sz="0" w:space="0" w:color="auto"/>
              </w:divBdr>
            </w:div>
            <w:div w:id="1593003754">
              <w:marLeft w:val="0"/>
              <w:marRight w:val="0"/>
              <w:marTop w:val="0"/>
              <w:marBottom w:val="0"/>
              <w:divBdr>
                <w:top w:val="none" w:sz="0" w:space="0" w:color="auto"/>
                <w:left w:val="none" w:sz="0" w:space="0" w:color="auto"/>
                <w:bottom w:val="none" w:sz="0" w:space="0" w:color="auto"/>
                <w:right w:val="none" w:sz="0" w:space="0" w:color="auto"/>
              </w:divBdr>
            </w:div>
            <w:div w:id="1997881947">
              <w:marLeft w:val="0"/>
              <w:marRight w:val="0"/>
              <w:marTop w:val="0"/>
              <w:marBottom w:val="0"/>
              <w:divBdr>
                <w:top w:val="none" w:sz="0" w:space="0" w:color="auto"/>
                <w:left w:val="none" w:sz="0" w:space="0" w:color="auto"/>
                <w:bottom w:val="none" w:sz="0" w:space="0" w:color="auto"/>
                <w:right w:val="none" w:sz="0" w:space="0" w:color="auto"/>
              </w:divBdr>
            </w:div>
          </w:divsChild>
        </w:div>
        <w:div w:id="348146316">
          <w:marLeft w:val="0"/>
          <w:marRight w:val="0"/>
          <w:marTop w:val="0"/>
          <w:marBottom w:val="0"/>
          <w:divBdr>
            <w:top w:val="none" w:sz="0" w:space="0" w:color="auto"/>
            <w:left w:val="none" w:sz="0" w:space="0" w:color="auto"/>
            <w:bottom w:val="none" w:sz="0" w:space="0" w:color="auto"/>
            <w:right w:val="none" w:sz="0" w:space="0" w:color="auto"/>
          </w:divBdr>
          <w:divsChild>
            <w:div w:id="271983292">
              <w:marLeft w:val="0"/>
              <w:marRight w:val="0"/>
              <w:marTop w:val="0"/>
              <w:marBottom w:val="0"/>
              <w:divBdr>
                <w:top w:val="none" w:sz="0" w:space="0" w:color="auto"/>
                <w:left w:val="none" w:sz="0" w:space="0" w:color="auto"/>
                <w:bottom w:val="none" w:sz="0" w:space="0" w:color="auto"/>
                <w:right w:val="none" w:sz="0" w:space="0" w:color="auto"/>
              </w:divBdr>
            </w:div>
            <w:div w:id="644629094">
              <w:marLeft w:val="0"/>
              <w:marRight w:val="0"/>
              <w:marTop w:val="0"/>
              <w:marBottom w:val="0"/>
              <w:divBdr>
                <w:top w:val="none" w:sz="0" w:space="0" w:color="auto"/>
                <w:left w:val="none" w:sz="0" w:space="0" w:color="auto"/>
                <w:bottom w:val="none" w:sz="0" w:space="0" w:color="auto"/>
                <w:right w:val="none" w:sz="0" w:space="0" w:color="auto"/>
              </w:divBdr>
            </w:div>
            <w:div w:id="1563712515">
              <w:marLeft w:val="0"/>
              <w:marRight w:val="0"/>
              <w:marTop w:val="0"/>
              <w:marBottom w:val="0"/>
              <w:divBdr>
                <w:top w:val="none" w:sz="0" w:space="0" w:color="auto"/>
                <w:left w:val="none" w:sz="0" w:space="0" w:color="auto"/>
                <w:bottom w:val="none" w:sz="0" w:space="0" w:color="auto"/>
                <w:right w:val="none" w:sz="0" w:space="0" w:color="auto"/>
              </w:divBdr>
            </w:div>
            <w:div w:id="1797749574">
              <w:marLeft w:val="0"/>
              <w:marRight w:val="0"/>
              <w:marTop w:val="0"/>
              <w:marBottom w:val="0"/>
              <w:divBdr>
                <w:top w:val="none" w:sz="0" w:space="0" w:color="auto"/>
                <w:left w:val="none" w:sz="0" w:space="0" w:color="auto"/>
                <w:bottom w:val="none" w:sz="0" w:space="0" w:color="auto"/>
                <w:right w:val="none" w:sz="0" w:space="0" w:color="auto"/>
              </w:divBdr>
            </w:div>
          </w:divsChild>
        </w:div>
        <w:div w:id="374888336">
          <w:marLeft w:val="0"/>
          <w:marRight w:val="0"/>
          <w:marTop w:val="0"/>
          <w:marBottom w:val="0"/>
          <w:divBdr>
            <w:top w:val="none" w:sz="0" w:space="0" w:color="auto"/>
            <w:left w:val="none" w:sz="0" w:space="0" w:color="auto"/>
            <w:bottom w:val="none" w:sz="0" w:space="0" w:color="auto"/>
            <w:right w:val="none" w:sz="0" w:space="0" w:color="auto"/>
          </w:divBdr>
          <w:divsChild>
            <w:div w:id="1093009939">
              <w:marLeft w:val="0"/>
              <w:marRight w:val="0"/>
              <w:marTop w:val="0"/>
              <w:marBottom w:val="0"/>
              <w:divBdr>
                <w:top w:val="none" w:sz="0" w:space="0" w:color="auto"/>
                <w:left w:val="none" w:sz="0" w:space="0" w:color="auto"/>
                <w:bottom w:val="none" w:sz="0" w:space="0" w:color="auto"/>
                <w:right w:val="none" w:sz="0" w:space="0" w:color="auto"/>
              </w:divBdr>
            </w:div>
          </w:divsChild>
        </w:div>
        <w:div w:id="432090458">
          <w:marLeft w:val="0"/>
          <w:marRight w:val="0"/>
          <w:marTop w:val="0"/>
          <w:marBottom w:val="0"/>
          <w:divBdr>
            <w:top w:val="none" w:sz="0" w:space="0" w:color="auto"/>
            <w:left w:val="none" w:sz="0" w:space="0" w:color="auto"/>
            <w:bottom w:val="none" w:sz="0" w:space="0" w:color="auto"/>
            <w:right w:val="none" w:sz="0" w:space="0" w:color="auto"/>
          </w:divBdr>
          <w:divsChild>
            <w:div w:id="230040923">
              <w:marLeft w:val="0"/>
              <w:marRight w:val="0"/>
              <w:marTop w:val="0"/>
              <w:marBottom w:val="0"/>
              <w:divBdr>
                <w:top w:val="none" w:sz="0" w:space="0" w:color="auto"/>
                <w:left w:val="none" w:sz="0" w:space="0" w:color="auto"/>
                <w:bottom w:val="none" w:sz="0" w:space="0" w:color="auto"/>
                <w:right w:val="none" w:sz="0" w:space="0" w:color="auto"/>
              </w:divBdr>
            </w:div>
            <w:div w:id="378478316">
              <w:marLeft w:val="0"/>
              <w:marRight w:val="0"/>
              <w:marTop w:val="0"/>
              <w:marBottom w:val="0"/>
              <w:divBdr>
                <w:top w:val="none" w:sz="0" w:space="0" w:color="auto"/>
                <w:left w:val="none" w:sz="0" w:space="0" w:color="auto"/>
                <w:bottom w:val="none" w:sz="0" w:space="0" w:color="auto"/>
                <w:right w:val="none" w:sz="0" w:space="0" w:color="auto"/>
              </w:divBdr>
            </w:div>
            <w:div w:id="1136727582">
              <w:marLeft w:val="0"/>
              <w:marRight w:val="0"/>
              <w:marTop w:val="0"/>
              <w:marBottom w:val="0"/>
              <w:divBdr>
                <w:top w:val="none" w:sz="0" w:space="0" w:color="auto"/>
                <w:left w:val="none" w:sz="0" w:space="0" w:color="auto"/>
                <w:bottom w:val="none" w:sz="0" w:space="0" w:color="auto"/>
                <w:right w:val="none" w:sz="0" w:space="0" w:color="auto"/>
              </w:divBdr>
            </w:div>
            <w:div w:id="1951663812">
              <w:marLeft w:val="0"/>
              <w:marRight w:val="0"/>
              <w:marTop w:val="0"/>
              <w:marBottom w:val="0"/>
              <w:divBdr>
                <w:top w:val="none" w:sz="0" w:space="0" w:color="auto"/>
                <w:left w:val="none" w:sz="0" w:space="0" w:color="auto"/>
                <w:bottom w:val="none" w:sz="0" w:space="0" w:color="auto"/>
                <w:right w:val="none" w:sz="0" w:space="0" w:color="auto"/>
              </w:divBdr>
            </w:div>
          </w:divsChild>
        </w:div>
        <w:div w:id="479545111">
          <w:marLeft w:val="0"/>
          <w:marRight w:val="0"/>
          <w:marTop w:val="0"/>
          <w:marBottom w:val="0"/>
          <w:divBdr>
            <w:top w:val="none" w:sz="0" w:space="0" w:color="auto"/>
            <w:left w:val="none" w:sz="0" w:space="0" w:color="auto"/>
            <w:bottom w:val="none" w:sz="0" w:space="0" w:color="auto"/>
            <w:right w:val="none" w:sz="0" w:space="0" w:color="auto"/>
          </w:divBdr>
          <w:divsChild>
            <w:div w:id="1444812619">
              <w:marLeft w:val="0"/>
              <w:marRight w:val="0"/>
              <w:marTop w:val="0"/>
              <w:marBottom w:val="0"/>
              <w:divBdr>
                <w:top w:val="none" w:sz="0" w:space="0" w:color="auto"/>
                <w:left w:val="none" w:sz="0" w:space="0" w:color="auto"/>
                <w:bottom w:val="none" w:sz="0" w:space="0" w:color="auto"/>
                <w:right w:val="none" w:sz="0" w:space="0" w:color="auto"/>
              </w:divBdr>
            </w:div>
          </w:divsChild>
        </w:div>
        <w:div w:id="535655177">
          <w:marLeft w:val="0"/>
          <w:marRight w:val="0"/>
          <w:marTop w:val="0"/>
          <w:marBottom w:val="0"/>
          <w:divBdr>
            <w:top w:val="none" w:sz="0" w:space="0" w:color="auto"/>
            <w:left w:val="none" w:sz="0" w:space="0" w:color="auto"/>
            <w:bottom w:val="none" w:sz="0" w:space="0" w:color="auto"/>
            <w:right w:val="none" w:sz="0" w:space="0" w:color="auto"/>
          </w:divBdr>
          <w:divsChild>
            <w:div w:id="199169600">
              <w:marLeft w:val="0"/>
              <w:marRight w:val="0"/>
              <w:marTop w:val="0"/>
              <w:marBottom w:val="0"/>
              <w:divBdr>
                <w:top w:val="none" w:sz="0" w:space="0" w:color="auto"/>
                <w:left w:val="none" w:sz="0" w:space="0" w:color="auto"/>
                <w:bottom w:val="none" w:sz="0" w:space="0" w:color="auto"/>
                <w:right w:val="none" w:sz="0" w:space="0" w:color="auto"/>
              </w:divBdr>
            </w:div>
            <w:div w:id="461582898">
              <w:marLeft w:val="0"/>
              <w:marRight w:val="0"/>
              <w:marTop w:val="0"/>
              <w:marBottom w:val="0"/>
              <w:divBdr>
                <w:top w:val="none" w:sz="0" w:space="0" w:color="auto"/>
                <w:left w:val="none" w:sz="0" w:space="0" w:color="auto"/>
                <w:bottom w:val="none" w:sz="0" w:space="0" w:color="auto"/>
                <w:right w:val="none" w:sz="0" w:space="0" w:color="auto"/>
              </w:divBdr>
            </w:div>
            <w:div w:id="951984800">
              <w:marLeft w:val="0"/>
              <w:marRight w:val="0"/>
              <w:marTop w:val="0"/>
              <w:marBottom w:val="0"/>
              <w:divBdr>
                <w:top w:val="none" w:sz="0" w:space="0" w:color="auto"/>
                <w:left w:val="none" w:sz="0" w:space="0" w:color="auto"/>
                <w:bottom w:val="none" w:sz="0" w:space="0" w:color="auto"/>
                <w:right w:val="none" w:sz="0" w:space="0" w:color="auto"/>
              </w:divBdr>
            </w:div>
            <w:div w:id="1303002244">
              <w:marLeft w:val="0"/>
              <w:marRight w:val="0"/>
              <w:marTop w:val="0"/>
              <w:marBottom w:val="0"/>
              <w:divBdr>
                <w:top w:val="none" w:sz="0" w:space="0" w:color="auto"/>
                <w:left w:val="none" w:sz="0" w:space="0" w:color="auto"/>
                <w:bottom w:val="none" w:sz="0" w:space="0" w:color="auto"/>
                <w:right w:val="none" w:sz="0" w:space="0" w:color="auto"/>
              </w:divBdr>
            </w:div>
            <w:div w:id="1878003563">
              <w:marLeft w:val="0"/>
              <w:marRight w:val="0"/>
              <w:marTop w:val="0"/>
              <w:marBottom w:val="0"/>
              <w:divBdr>
                <w:top w:val="none" w:sz="0" w:space="0" w:color="auto"/>
                <w:left w:val="none" w:sz="0" w:space="0" w:color="auto"/>
                <w:bottom w:val="none" w:sz="0" w:space="0" w:color="auto"/>
                <w:right w:val="none" w:sz="0" w:space="0" w:color="auto"/>
              </w:divBdr>
            </w:div>
          </w:divsChild>
        </w:div>
        <w:div w:id="539244527">
          <w:marLeft w:val="0"/>
          <w:marRight w:val="0"/>
          <w:marTop w:val="0"/>
          <w:marBottom w:val="0"/>
          <w:divBdr>
            <w:top w:val="none" w:sz="0" w:space="0" w:color="auto"/>
            <w:left w:val="none" w:sz="0" w:space="0" w:color="auto"/>
            <w:bottom w:val="none" w:sz="0" w:space="0" w:color="auto"/>
            <w:right w:val="none" w:sz="0" w:space="0" w:color="auto"/>
          </w:divBdr>
          <w:divsChild>
            <w:div w:id="398752426">
              <w:marLeft w:val="0"/>
              <w:marRight w:val="0"/>
              <w:marTop w:val="0"/>
              <w:marBottom w:val="0"/>
              <w:divBdr>
                <w:top w:val="none" w:sz="0" w:space="0" w:color="auto"/>
                <w:left w:val="none" w:sz="0" w:space="0" w:color="auto"/>
                <w:bottom w:val="none" w:sz="0" w:space="0" w:color="auto"/>
                <w:right w:val="none" w:sz="0" w:space="0" w:color="auto"/>
              </w:divBdr>
            </w:div>
            <w:div w:id="1724056514">
              <w:marLeft w:val="0"/>
              <w:marRight w:val="0"/>
              <w:marTop w:val="0"/>
              <w:marBottom w:val="0"/>
              <w:divBdr>
                <w:top w:val="none" w:sz="0" w:space="0" w:color="auto"/>
                <w:left w:val="none" w:sz="0" w:space="0" w:color="auto"/>
                <w:bottom w:val="none" w:sz="0" w:space="0" w:color="auto"/>
                <w:right w:val="none" w:sz="0" w:space="0" w:color="auto"/>
              </w:divBdr>
            </w:div>
            <w:div w:id="1959749570">
              <w:marLeft w:val="0"/>
              <w:marRight w:val="0"/>
              <w:marTop w:val="0"/>
              <w:marBottom w:val="0"/>
              <w:divBdr>
                <w:top w:val="none" w:sz="0" w:space="0" w:color="auto"/>
                <w:left w:val="none" w:sz="0" w:space="0" w:color="auto"/>
                <w:bottom w:val="none" w:sz="0" w:space="0" w:color="auto"/>
                <w:right w:val="none" w:sz="0" w:space="0" w:color="auto"/>
              </w:divBdr>
            </w:div>
          </w:divsChild>
        </w:div>
        <w:div w:id="646327357">
          <w:marLeft w:val="0"/>
          <w:marRight w:val="0"/>
          <w:marTop w:val="0"/>
          <w:marBottom w:val="0"/>
          <w:divBdr>
            <w:top w:val="none" w:sz="0" w:space="0" w:color="auto"/>
            <w:left w:val="none" w:sz="0" w:space="0" w:color="auto"/>
            <w:bottom w:val="none" w:sz="0" w:space="0" w:color="auto"/>
            <w:right w:val="none" w:sz="0" w:space="0" w:color="auto"/>
          </w:divBdr>
          <w:divsChild>
            <w:div w:id="152766204">
              <w:marLeft w:val="0"/>
              <w:marRight w:val="0"/>
              <w:marTop w:val="0"/>
              <w:marBottom w:val="0"/>
              <w:divBdr>
                <w:top w:val="none" w:sz="0" w:space="0" w:color="auto"/>
                <w:left w:val="none" w:sz="0" w:space="0" w:color="auto"/>
                <w:bottom w:val="none" w:sz="0" w:space="0" w:color="auto"/>
                <w:right w:val="none" w:sz="0" w:space="0" w:color="auto"/>
              </w:divBdr>
            </w:div>
            <w:div w:id="1301572502">
              <w:marLeft w:val="0"/>
              <w:marRight w:val="0"/>
              <w:marTop w:val="0"/>
              <w:marBottom w:val="0"/>
              <w:divBdr>
                <w:top w:val="none" w:sz="0" w:space="0" w:color="auto"/>
                <w:left w:val="none" w:sz="0" w:space="0" w:color="auto"/>
                <w:bottom w:val="none" w:sz="0" w:space="0" w:color="auto"/>
                <w:right w:val="none" w:sz="0" w:space="0" w:color="auto"/>
              </w:divBdr>
            </w:div>
            <w:div w:id="1695032006">
              <w:marLeft w:val="0"/>
              <w:marRight w:val="0"/>
              <w:marTop w:val="0"/>
              <w:marBottom w:val="0"/>
              <w:divBdr>
                <w:top w:val="none" w:sz="0" w:space="0" w:color="auto"/>
                <w:left w:val="none" w:sz="0" w:space="0" w:color="auto"/>
                <w:bottom w:val="none" w:sz="0" w:space="0" w:color="auto"/>
                <w:right w:val="none" w:sz="0" w:space="0" w:color="auto"/>
              </w:divBdr>
            </w:div>
            <w:div w:id="2119175376">
              <w:marLeft w:val="0"/>
              <w:marRight w:val="0"/>
              <w:marTop w:val="0"/>
              <w:marBottom w:val="0"/>
              <w:divBdr>
                <w:top w:val="none" w:sz="0" w:space="0" w:color="auto"/>
                <w:left w:val="none" w:sz="0" w:space="0" w:color="auto"/>
                <w:bottom w:val="none" w:sz="0" w:space="0" w:color="auto"/>
                <w:right w:val="none" w:sz="0" w:space="0" w:color="auto"/>
              </w:divBdr>
            </w:div>
          </w:divsChild>
        </w:div>
        <w:div w:id="687097687">
          <w:marLeft w:val="0"/>
          <w:marRight w:val="0"/>
          <w:marTop w:val="0"/>
          <w:marBottom w:val="0"/>
          <w:divBdr>
            <w:top w:val="none" w:sz="0" w:space="0" w:color="auto"/>
            <w:left w:val="none" w:sz="0" w:space="0" w:color="auto"/>
            <w:bottom w:val="none" w:sz="0" w:space="0" w:color="auto"/>
            <w:right w:val="none" w:sz="0" w:space="0" w:color="auto"/>
          </w:divBdr>
          <w:divsChild>
            <w:div w:id="88737848">
              <w:marLeft w:val="0"/>
              <w:marRight w:val="0"/>
              <w:marTop w:val="0"/>
              <w:marBottom w:val="0"/>
              <w:divBdr>
                <w:top w:val="none" w:sz="0" w:space="0" w:color="auto"/>
                <w:left w:val="none" w:sz="0" w:space="0" w:color="auto"/>
                <w:bottom w:val="none" w:sz="0" w:space="0" w:color="auto"/>
                <w:right w:val="none" w:sz="0" w:space="0" w:color="auto"/>
              </w:divBdr>
            </w:div>
            <w:div w:id="1553884758">
              <w:marLeft w:val="0"/>
              <w:marRight w:val="0"/>
              <w:marTop w:val="0"/>
              <w:marBottom w:val="0"/>
              <w:divBdr>
                <w:top w:val="none" w:sz="0" w:space="0" w:color="auto"/>
                <w:left w:val="none" w:sz="0" w:space="0" w:color="auto"/>
                <w:bottom w:val="none" w:sz="0" w:space="0" w:color="auto"/>
                <w:right w:val="none" w:sz="0" w:space="0" w:color="auto"/>
              </w:divBdr>
            </w:div>
            <w:div w:id="1727685228">
              <w:marLeft w:val="0"/>
              <w:marRight w:val="0"/>
              <w:marTop w:val="0"/>
              <w:marBottom w:val="0"/>
              <w:divBdr>
                <w:top w:val="none" w:sz="0" w:space="0" w:color="auto"/>
                <w:left w:val="none" w:sz="0" w:space="0" w:color="auto"/>
                <w:bottom w:val="none" w:sz="0" w:space="0" w:color="auto"/>
                <w:right w:val="none" w:sz="0" w:space="0" w:color="auto"/>
              </w:divBdr>
            </w:div>
          </w:divsChild>
        </w:div>
        <w:div w:id="745612582">
          <w:marLeft w:val="0"/>
          <w:marRight w:val="0"/>
          <w:marTop w:val="0"/>
          <w:marBottom w:val="0"/>
          <w:divBdr>
            <w:top w:val="none" w:sz="0" w:space="0" w:color="auto"/>
            <w:left w:val="none" w:sz="0" w:space="0" w:color="auto"/>
            <w:bottom w:val="none" w:sz="0" w:space="0" w:color="auto"/>
            <w:right w:val="none" w:sz="0" w:space="0" w:color="auto"/>
          </w:divBdr>
          <w:divsChild>
            <w:div w:id="118112127">
              <w:marLeft w:val="0"/>
              <w:marRight w:val="0"/>
              <w:marTop w:val="0"/>
              <w:marBottom w:val="0"/>
              <w:divBdr>
                <w:top w:val="none" w:sz="0" w:space="0" w:color="auto"/>
                <w:left w:val="none" w:sz="0" w:space="0" w:color="auto"/>
                <w:bottom w:val="none" w:sz="0" w:space="0" w:color="auto"/>
                <w:right w:val="none" w:sz="0" w:space="0" w:color="auto"/>
              </w:divBdr>
            </w:div>
            <w:div w:id="2034653174">
              <w:marLeft w:val="0"/>
              <w:marRight w:val="0"/>
              <w:marTop w:val="0"/>
              <w:marBottom w:val="0"/>
              <w:divBdr>
                <w:top w:val="none" w:sz="0" w:space="0" w:color="auto"/>
                <w:left w:val="none" w:sz="0" w:space="0" w:color="auto"/>
                <w:bottom w:val="none" w:sz="0" w:space="0" w:color="auto"/>
                <w:right w:val="none" w:sz="0" w:space="0" w:color="auto"/>
              </w:divBdr>
            </w:div>
          </w:divsChild>
        </w:div>
        <w:div w:id="805389436">
          <w:marLeft w:val="0"/>
          <w:marRight w:val="0"/>
          <w:marTop w:val="0"/>
          <w:marBottom w:val="0"/>
          <w:divBdr>
            <w:top w:val="none" w:sz="0" w:space="0" w:color="auto"/>
            <w:left w:val="none" w:sz="0" w:space="0" w:color="auto"/>
            <w:bottom w:val="none" w:sz="0" w:space="0" w:color="auto"/>
            <w:right w:val="none" w:sz="0" w:space="0" w:color="auto"/>
          </w:divBdr>
          <w:divsChild>
            <w:div w:id="181088718">
              <w:marLeft w:val="0"/>
              <w:marRight w:val="0"/>
              <w:marTop w:val="0"/>
              <w:marBottom w:val="0"/>
              <w:divBdr>
                <w:top w:val="none" w:sz="0" w:space="0" w:color="auto"/>
                <w:left w:val="none" w:sz="0" w:space="0" w:color="auto"/>
                <w:bottom w:val="none" w:sz="0" w:space="0" w:color="auto"/>
                <w:right w:val="none" w:sz="0" w:space="0" w:color="auto"/>
              </w:divBdr>
            </w:div>
          </w:divsChild>
        </w:div>
        <w:div w:id="829904033">
          <w:marLeft w:val="0"/>
          <w:marRight w:val="0"/>
          <w:marTop w:val="0"/>
          <w:marBottom w:val="0"/>
          <w:divBdr>
            <w:top w:val="none" w:sz="0" w:space="0" w:color="auto"/>
            <w:left w:val="none" w:sz="0" w:space="0" w:color="auto"/>
            <w:bottom w:val="none" w:sz="0" w:space="0" w:color="auto"/>
            <w:right w:val="none" w:sz="0" w:space="0" w:color="auto"/>
          </w:divBdr>
          <w:divsChild>
            <w:div w:id="1057514568">
              <w:marLeft w:val="0"/>
              <w:marRight w:val="0"/>
              <w:marTop w:val="0"/>
              <w:marBottom w:val="0"/>
              <w:divBdr>
                <w:top w:val="none" w:sz="0" w:space="0" w:color="auto"/>
                <w:left w:val="none" w:sz="0" w:space="0" w:color="auto"/>
                <w:bottom w:val="none" w:sz="0" w:space="0" w:color="auto"/>
                <w:right w:val="none" w:sz="0" w:space="0" w:color="auto"/>
              </w:divBdr>
            </w:div>
          </w:divsChild>
        </w:div>
        <w:div w:id="853110838">
          <w:marLeft w:val="0"/>
          <w:marRight w:val="0"/>
          <w:marTop w:val="0"/>
          <w:marBottom w:val="0"/>
          <w:divBdr>
            <w:top w:val="none" w:sz="0" w:space="0" w:color="auto"/>
            <w:left w:val="none" w:sz="0" w:space="0" w:color="auto"/>
            <w:bottom w:val="none" w:sz="0" w:space="0" w:color="auto"/>
            <w:right w:val="none" w:sz="0" w:space="0" w:color="auto"/>
          </w:divBdr>
          <w:divsChild>
            <w:div w:id="21783003">
              <w:marLeft w:val="0"/>
              <w:marRight w:val="0"/>
              <w:marTop w:val="0"/>
              <w:marBottom w:val="0"/>
              <w:divBdr>
                <w:top w:val="none" w:sz="0" w:space="0" w:color="auto"/>
                <w:left w:val="none" w:sz="0" w:space="0" w:color="auto"/>
                <w:bottom w:val="none" w:sz="0" w:space="0" w:color="auto"/>
                <w:right w:val="none" w:sz="0" w:space="0" w:color="auto"/>
              </w:divBdr>
            </w:div>
            <w:div w:id="285280261">
              <w:marLeft w:val="0"/>
              <w:marRight w:val="0"/>
              <w:marTop w:val="0"/>
              <w:marBottom w:val="0"/>
              <w:divBdr>
                <w:top w:val="none" w:sz="0" w:space="0" w:color="auto"/>
                <w:left w:val="none" w:sz="0" w:space="0" w:color="auto"/>
                <w:bottom w:val="none" w:sz="0" w:space="0" w:color="auto"/>
                <w:right w:val="none" w:sz="0" w:space="0" w:color="auto"/>
              </w:divBdr>
            </w:div>
            <w:div w:id="727728939">
              <w:marLeft w:val="0"/>
              <w:marRight w:val="0"/>
              <w:marTop w:val="0"/>
              <w:marBottom w:val="0"/>
              <w:divBdr>
                <w:top w:val="none" w:sz="0" w:space="0" w:color="auto"/>
                <w:left w:val="none" w:sz="0" w:space="0" w:color="auto"/>
                <w:bottom w:val="none" w:sz="0" w:space="0" w:color="auto"/>
                <w:right w:val="none" w:sz="0" w:space="0" w:color="auto"/>
              </w:divBdr>
            </w:div>
            <w:div w:id="2028166465">
              <w:marLeft w:val="0"/>
              <w:marRight w:val="0"/>
              <w:marTop w:val="0"/>
              <w:marBottom w:val="0"/>
              <w:divBdr>
                <w:top w:val="none" w:sz="0" w:space="0" w:color="auto"/>
                <w:left w:val="none" w:sz="0" w:space="0" w:color="auto"/>
                <w:bottom w:val="none" w:sz="0" w:space="0" w:color="auto"/>
                <w:right w:val="none" w:sz="0" w:space="0" w:color="auto"/>
              </w:divBdr>
            </w:div>
          </w:divsChild>
        </w:div>
        <w:div w:id="1001854206">
          <w:marLeft w:val="0"/>
          <w:marRight w:val="0"/>
          <w:marTop w:val="0"/>
          <w:marBottom w:val="0"/>
          <w:divBdr>
            <w:top w:val="none" w:sz="0" w:space="0" w:color="auto"/>
            <w:left w:val="none" w:sz="0" w:space="0" w:color="auto"/>
            <w:bottom w:val="none" w:sz="0" w:space="0" w:color="auto"/>
            <w:right w:val="none" w:sz="0" w:space="0" w:color="auto"/>
          </w:divBdr>
          <w:divsChild>
            <w:div w:id="990447211">
              <w:marLeft w:val="0"/>
              <w:marRight w:val="0"/>
              <w:marTop w:val="0"/>
              <w:marBottom w:val="0"/>
              <w:divBdr>
                <w:top w:val="none" w:sz="0" w:space="0" w:color="auto"/>
                <w:left w:val="none" w:sz="0" w:space="0" w:color="auto"/>
                <w:bottom w:val="none" w:sz="0" w:space="0" w:color="auto"/>
                <w:right w:val="none" w:sz="0" w:space="0" w:color="auto"/>
              </w:divBdr>
            </w:div>
          </w:divsChild>
        </w:div>
        <w:div w:id="1044405030">
          <w:marLeft w:val="0"/>
          <w:marRight w:val="0"/>
          <w:marTop w:val="0"/>
          <w:marBottom w:val="0"/>
          <w:divBdr>
            <w:top w:val="none" w:sz="0" w:space="0" w:color="auto"/>
            <w:left w:val="none" w:sz="0" w:space="0" w:color="auto"/>
            <w:bottom w:val="none" w:sz="0" w:space="0" w:color="auto"/>
            <w:right w:val="none" w:sz="0" w:space="0" w:color="auto"/>
          </w:divBdr>
          <w:divsChild>
            <w:div w:id="588470704">
              <w:marLeft w:val="0"/>
              <w:marRight w:val="0"/>
              <w:marTop w:val="0"/>
              <w:marBottom w:val="0"/>
              <w:divBdr>
                <w:top w:val="none" w:sz="0" w:space="0" w:color="auto"/>
                <w:left w:val="none" w:sz="0" w:space="0" w:color="auto"/>
                <w:bottom w:val="none" w:sz="0" w:space="0" w:color="auto"/>
                <w:right w:val="none" w:sz="0" w:space="0" w:color="auto"/>
              </w:divBdr>
            </w:div>
            <w:div w:id="977800158">
              <w:marLeft w:val="0"/>
              <w:marRight w:val="0"/>
              <w:marTop w:val="0"/>
              <w:marBottom w:val="0"/>
              <w:divBdr>
                <w:top w:val="none" w:sz="0" w:space="0" w:color="auto"/>
                <w:left w:val="none" w:sz="0" w:space="0" w:color="auto"/>
                <w:bottom w:val="none" w:sz="0" w:space="0" w:color="auto"/>
                <w:right w:val="none" w:sz="0" w:space="0" w:color="auto"/>
              </w:divBdr>
            </w:div>
            <w:div w:id="1215118602">
              <w:marLeft w:val="0"/>
              <w:marRight w:val="0"/>
              <w:marTop w:val="0"/>
              <w:marBottom w:val="0"/>
              <w:divBdr>
                <w:top w:val="none" w:sz="0" w:space="0" w:color="auto"/>
                <w:left w:val="none" w:sz="0" w:space="0" w:color="auto"/>
                <w:bottom w:val="none" w:sz="0" w:space="0" w:color="auto"/>
                <w:right w:val="none" w:sz="0" w:space="0" w:color="auto"/>
              </w:divBdr>
            </w:div>
          </w:divsChild>
        </w:div>
        <w:div w:id="1137382462">
          <w:marLeft w:val="0"/>
          <w:marRight w:val="0"/>
          <w:marTop w:val="0"/>
          <w:marBottom w:val="0"/>
          <w:divBdr>
            <w:top w:val="none" w:sz="0" w:space="0" w:color="auto"/>
            <w:left w:val="none" w:sz="0" w:space="0" w:color="auto"/>
            <w:bottom w:val="none" w:sz="0" w:space="0" w:color="auto"/>
            <w:right w:val="none" w:sz="0" w:space="0" w:color="auto"/>
          </w:divBdr>
          <w:divsChild>
            <w:div w:id="26637428">
              <w:marLeft w:val="0"/>
              <w:marRight w:val="0"/>
              <w:marTop w:val="0"/>
              <w:marBottom w:val="0"/>
              <w:divBdr>
                <w:top w:val="none" w:sz="0" w:space="0" w:color="auto"/>
                <w:left w:val="none" w:sz="0" w:space="0" w:color="auto"/>
                <w:bottom w:val="none" w:sz="0" w:space="0" w:color="auto"/>
                <w:right w:val="none" w:sz="0" w:space="0" w:color="auto"/>
              </w:divBdr>
            </w:div>
            <w:div w:id="785663615">
              <w:marLeft w:val="0"/>
              <w:marRight w:val="0"/>
              <w:marTop w:val="0"/>
              <w:marBottom w:val="0"/>
              <w:divBdr>
                <w:top w:val="none" w:sz="0" w:space="0" w:color="auto"/>
                <w:left w:val="none" w:sz="0" w:space="0" w:color="auto"/>
                <w:bottom w:val="none" w:sz="0" w:space="0" w:color="auto"/>
                <w:right w:val="none" w:sz="0" w:space="0" w:color="auto"/>
              </w:divBdr>
            </w:div>
          </w:divsChild>
        </w:div>
        <w:div w:id="1186215102">
          <w:marLeft w:val="0"/>
          <w:marRight w:val="0"/>
          <w:marTop w:val="0"/>
          <w:marBottom w:val="0"/>
          <w:divBdr>
            <w:top w:val="none" w:sz="0" w:space="0" w:color="auto"/>
            <w:left w:val="none" w:sz="0" w:space="0" w:color="auto"/>
            <w:bottom w:val="none" w:sz="0" w:space="0" w:color="auto"/>
            <w:right w:val="none" w:sz="0" w:space="0" w:color="auto"/>
          </w:divBdr>
          <w:divsChild>
            <w:div w:id="1019160887">
              <w:marLeft w:val="0"/>
              <w:marRight w:val="0"/>
              <w:marTop w:val="0"/>
              <w:marBottom w:val="0"/>
              <w:divBdr>
                <w:top w:val="none" w:sz="0" w:space="0" w:color="auto"/>
                <w:left w:val="none" w:sz="0" w:space="0" w:color="auto"/>
                <w:bottom w:val="none" w:sz="0" w:space="0" w:color="auto"/>
                <w:right w:val="none" w:sz="0" w:space="0" w:color="auto"/>
              </w:divBdr>
            </w:div>
            <w:div w:id="1281839392">
              <w:marLeft w:val="0"/>
              <w:marRight w:val="0"/>
              <w:marTop w:val="0"/>
              <w:marBottom w:val="0"/>
              <w:divBdr>
                <w:top w:val="none" w:sz="0" w:space="0" w:color="auto"/>
                <w:left w:val="none" w:sz="0" w:space="0" w:color="auto"/>
                <w:bottom w:val="none" w:sz="0" w:space="0" w:color="auto"/>
                <w:right w:val="none" w:sz="0" w:space="0" w:color="auto"/>
              </w:divBdr>
            </w:div>
            <w:div w:id="1582909405">
              <w:marLeft w:val="0"/>
              <w:marRight w:val="0"/>
              <w:marTop w:val="0"/>
              <w:marBottom w:val="0"/>
              <w:divBdr>
                <w:top w:val="none" w:sz="0" w:space="0" w:color="auto"/>
                <w:left w:val="none" w:sz="0" w:space="0" w:color="auto"/>
                <w:bottom w:val="none" w:sz="0" w:space="0" w:color="auto"/>
                <w:right w:val="none" w:sz="0" w:space="0" w:color="auto"/>
              </w:divBdr>
            </w:div>
            <w:div w:id="1986858587">
              <w:marLeft w:val="0"/>
              <w:marRight w:val="0"/>
              <w:marTop w:val="0"/>
              <w:marBottom w:val="0"/>
              <w:divBdr>
                <w:top w:val="none" w:sz="0" w:space="0" w:color="auto"/>
                <w:left w:val="none" w:sz="0" w:space="0" w:color="auto"/>
                <w:bottom w:val="none" w:sz="0" w:space="0" w:color="auto"/>
                <w:right w:val="none" w:sz="0" w:space="0" w:color="auto"/>
              </w:divBdr>
            </w:div>
          </w:divsChild>
        </w:div>
        <w:div w:id="1420252962">
          <w:marLeft w:val="0"/>
          <w:marRight w:val="0"/>
          <w:marTop w:val="0"/>
          <w:marBottom w:val="0"/>
          <w:divBdr>
            <w:top w:val="none" w:sz="0" w:space="0" w:color="auto"/>
            <w:left w:val="none" w:sz="0" w:space="0" w:color="auto"/>
            <w:bottom w:val="none" w:sz="0" w:space="0" w:color="auto"/>
            <w:right w:val="none" w:sz="0" w:space="0" w:color="auto"/>
          </w:divBdr>
          <w:divsChild>
            <w:div w:id="81024563">
              <w:marLeft w:val="0"/>
              <w:marRight w:val="0"/>
              <w:marTop w:val="0"/>
              <w:marBottom w:val="0"/>
              <w:divBdr>
                <w:top w:val="none" w:sz="0" w:space="0" w:color="auto"/>
                <w:left w:val="none" w:sz="0" w:space="0" w:color="auto"/>
                <w:bottom w:val="none" w:sz="0" w:space="0" w:color="auto"/>
                <w:right w:val="none" w:sz="0" w:space="0" w:color="auto"/>
              </w:divBdr>
            </w:div>
            <w:div w:id="1144665574">
              <w:marLeft w:val="0"/>
              <w:marRight w:val="0"/>
              <w:marTop w:val="0"/>
              <w:marBottom w:val="0"/>
              <w:divBdr>
                <w:top w:val="none" w:sz="0" w:space="0" w:color="auto"/>
                <w:left w:val="none" w:sz="0" w:space="0" w:color="auto"/>
                <w:bottom w:val="none" w:sz="0" w:space="0" w:color="auto"/>
                <w:right w:val="none" w:sz="0" w:space="0" w:color="auto"/>
              </w:divBdr>
            </w:div>
            <w:div w:id="2074573114">
              <w:marLeft w:val="0"/>
              <w:marRight w:val="0"/>
              <w:marTop w:val="0"/>
              <w:marBottom w:val="0"/>
              <w:divBdr>
                <w:top w:val="none" w:sz="0" w:space="0" w:color="auto"/>
                <w:left w:val="none" w:sz="0" w:space="0" w:color="auto"/>
                <w:bottom w:val="none" w:sz="0" w:space="0" w:color="auto"/>
                <w:right w:val="none" w:sz="0" w:space="0" w:color="auto"/>
              </w:divBdr>
            </w:div>
            <w:div w:id="2128379766">
              <w:marLeft w:val="0"/>
              <w:marRight w:val="0"/>
              <w:marTop w:val="0"/>
              <w:marBottom w:val="0"/>
              <w:divBdr>
                <w:top w:val="none" w:sz="0" w:space="0" w:color="auto"/>
                <w:left w:val="none" w:sz="0" w:space="0" w:color="auto"/>
                <w:bottom w:val="none" w:sz="0" w:space="0" w:color="auto"/>
                <w:right w:val="none" w:sz="0" w:space="0" w:color="auto"/>
              </w:divBdr>
            </w:div>
          </w:divsChild>
        </w:div>
        <w:div w:id="1563177807">
          <w:marLeft w:val="0"/>
          <w:marRight w:val="0"/>
          <w:marTop w:val="0"/>
          <w:marBottom w:val="0"/>
          <w:divBdr>
            <w:top w:val="none" w:sz="0" w:space="0" w:color="auto"/>
            <w:left w:val="none" w:sz="0" w:space="0" w:color="auto"/>
            <w:bottom w:val="none" w:sz="0" w:space="0" w:color="auto"/>
            <w:right w:val="none" w:sz="0" w:space="0" w:color="auto"/>
          </w:divBdr>
          <w:divsChild>
            <w:div w:id="634026041">
              <w:marLeft w:val="0"/>
              <w:marRight w:val="0"/>
              <w:marTop w:val="0"/>
              <w:marBottom w:val="0"/>
              <w:divBdr>
                <w:top w:val="none" w:sz="0" w:space="0" w:color="auto"/>
                <w:left w:val="none" w:sz="0" w:space="0" w:color="auto"/>
                <w:bottom w:val="none" w:sz="0" w:space="0" w:color="auto"/>
                <w:right w:val="none" w:sz="0" w:space="0" w:color="auto"/>
              </w:divBdr>
            </w:div>
          </w:divsChild>
        </w:div>
        <w:div w:id="1912696156">
          <w:marLeft w:val="0"/>
          <w:marRight w:val="0"/>
          <w:marTop w:val="0"/>
          <w:marBottom w:val="0"/>
          <w:divBdr>
            <w:top w:val="none" w:sz="0" w:space="0" w:color="auto"/>
            <w:left w:val="none" w:sz="0" w:space="0" w:color="auto"/>
            <w:bottom w:val="none" w:sz="0" w:space="0" w:color="auto"/>
            <w:right w:val="none" w:sz="0" w:space="0" w:color="auto"/>
          </w:divBdr>
          <w:divsChild>
            <w:div w:id="105277931">
              <w:marLeft w:val="0"/>
              <w:marRight w:val="0"/>
              <w:marTop w:val="0"/>
              <w:marBottom w:val="0"/>
              <w:divBdr>
                <w:top w:val="none" w:sz="0" w:space="0" w:color="auto"/>
                <w:left w:val="none" w:sz="0" w:space="0" w:color="auto"/>
                <w:bottom w:val="none" w:sz="0" w:space="0" w:color="auto"/>
                <w:right w:val="none" w:sz="0" w:space="0" w:color="auto"/>
              </w:divBdr>
            </w:div>
            <w:div w:id="119111460">
              <w:marLeft w:val="0"/>
              <w:marRight w:val="0"/>
              <w:marTop w:val="0"/>
              <w:marBottom w:val="0"/>
              <w:divBdr>
                <w:top w:val="none" w:sz="0" w:space="0" w:color="auto"/>
                <w:left w:val="none" w:sz="0" w:space="0" w:color="auto"/>
                <w:bottom w:val="none" w:sz="0" w:space="0" w:color="auto"/>
                <w:right w:val="none" w:sz="0" w:space="0" w:color="auto"/>
              </w:divBdr>
            </w:div>
            <w:div w:id="1006707497">
              <w:marLeft w:val="0"/>
              <w:marRight w:val="0"/>
              <w:marTop w:val="0"/>
              <w:marBottom w:val="0"/>
              <w:divBdr>
                <w:top w:val="none" w:sz="0" w:space="0" w:color="auto"/>
                <w:left w:val="none" w:sz="0" w:space="0" w:color="auto"/>
                <w:bottom w:val="none" w:sz="0" w:space="0" w:color="auto"/>
                <w:right w:val="none" w:sz="0" w:space="0" w:color="auto"/>
              </w:divBdr>
            </w:div>
          </w:divsChild>
        </w:div>
        <w:div w:id="2131196416">
          <w:marLeft w:val="0"/>
          <w:marRight w:val="0"/>
          <w:marTop w:val="0"/>
          <w:marBottom w:val="0"/>
          <w:divBdr>
            <w:top w:val="none" w:sz="0" w:space="0" w:color="auto"/>
            <w:left w:val="none" w:sz="0" w:space="0" w:color="auto"/>
            <w:bottom w:val="none" w:sz="0" w:space="0" w:color="auto"/>
            <w:right w:val="none" w:sz="0" w:space="0" w:color="auto"/>
          </w:divBdr>
          <w:divsChild>
            <w:div w:id="595942323">
              <w:marLeft w:val="0"/>
              <w:marRight w:val="0"/>
              <w:marTop w:val="0"/>
              <w:marBottom w:val="0"/>
              <w:divBdr>
                <w:top w:val="none" w:sz="0" w:space="0" w:color="auto"/>
                <w:left w:val="none" w:sz="0" w:space="0" w:color="auto"/>
                <w:bottom w:val="none" w:sz="0" w:space="0" w:color="auto"/>
                <w:right w:val="none" w:sz="0" w:space="0" w:color="auto"/>
              </w:divBdr>
            </w:div>
          </w:divsChild>
        </w:div>
        <w:div w:id="2147310416">
          <w:marLeft w:val="0"/>
          <w:marRight w:val="0"/>
          <w:marTop w:val="0"/>
          <w:marBottom w:val="0"/>
          <w:divBdr>
            <w:top w:val="none" w:sz="0" w:space="0" w:color="auto"/>
            <w:left w:val="none" w:sz="0" w:space="0" w:color="auto"/>
            <w:bottom w:val="none" w:sz="0" w:space="0" w:color="auto"/>
            <w:right w:val="none" w:sz="0" w:space="0" w:color="auto"/>
          </w:divBdr>
          <w:divsChild>
            <w:div w:id="1671367430">
              <w:marLeft w:val="0"/>
              <w:marRight w:val="0"/>
              <w:marTop w:val="0"/>
              <w:marBottom w:val="0"/>
              <w:divBdr>
                <w:top w:val="none" w:sz="0" w:space="0" w:color="auto"/>
                <w:left w:val="none" w:sz="0" w:space="0" w:color="auto"/>
                <w:bottom w:val="none" w:sz="0" w:space="0" w:color="auto"/>
                <w:right w:val="none" w:sz="0" w:space="0" w:color="auto"/>
              </w:divBdr>
            </w:div>
            <w:div w:id="1768454526">
              <w:marLeft w:val="0"/>
              <w:marRight w:val="0"/>
              <w:marTop w:val="0"/>
              <w:marBottom w:val="0"/>
              <w:divBdr>
                <w:top w:val="none" w:sz="0" w:space="0" w:color="auto"/>
                <w:left w:val="none" w:sz="0" w:space="0" w:color="auto"/>
                <w:bottom w:val="none" w:sz="0" w:space="0" w:color="auto"/>
                <w:right w:val="none" w:sz="0" w:space="0" w:color="auto"/>
              </w:divBdr>
            </w:div>
            <w:div w:id="204282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3340">
      <w:bodyDiv w:val="1"/>
      <w:marLeft w:val="0"/>
      <w:marRight w:val="0"/>
      <w:marTop w:val="0"/>
      <w:marBottom w:val="0"/>
      <w:divBdr>
        <w:top w:val="none" w:sz="0" w:space="0" w:color="auto"/>
        <w:left w:val="none" w:sz="0" w:space="0" w:color="auto"/>
        <w:bottom w:val="none" w:sz="0" w:space="0" w:color="auto"/>
        <w:right w:val="none" w:sz="0" w:space="0" w:color="auto"/>
      </w:divBdr>
      <w:divsChild>
        <w:div w:id="22219220">
          <w:marLeft w:val="0"/>
          <w:marRight w:val="0"/>
          <w:marTop w:val="0"/>
          <w:marBottom w:val="0"/>
          <w:divBdr>
            <w:top w:val="none" w:sz="0" w:space="0" w:color="auto"/>
            <w:left w:val="none" w:sz="0" w:space="0" w:color="auto"/>
            <w:bottom w:val="none" w:sz="0" w:space="0" w:color="auto"/>
            <w:right w:val="none" w:sz="0" w:space="0" w:color="auto"/>
          </w:divBdr>
          <w:divsChild>
            <w:div w:id="1290431329">
              <w:marLeft w:val="0"/>
              <w:marRight w:val="0"/>
              <w:marTop w:val="0"/>
              <w:marBottom w:val="0"/>
              <w:divBdr>
                <w:top w:val="none" w:sz="0" w:space="0" w:color="auto"/>
                <w:left w:val="none" w:sz="0" w:space="0" w:color="auto"/>
                <w:bottom w:val="none" w:sz="0" w:space="0" w:color="auto"/>
                <w:right w:val="none" w:sz="0" w:space="0" w:color="auto"/>
              </w:divBdr>
            </w:div>
          </w:divsChild>
        </w:div>
        <w:div w:id="91366867">
          <w:marLeft w:val="0"/>
          <w:marRight w:val="0"/>
          <w:marTop w:val="0"/>
          <w:marBottom w:val="0"/>
          <w:divBdr>
            <w:top w:val="none" w:sz="0" w:space="0" w:color="auto"/>
            <w:left w:val="none" w:sz="0" w:space="0" w:color="auto"/>
            <w:bottom w:val="none" w:sz="0" w:space="0" w:color="auto"/>
            <w:right w:val="none" w:sz="0" w:space="0" w:color="auto"/>
          </w:divBdr>
          <w:divsChild>
            <w:div w:id="1142960018">
              <w:marLeft w:val="0"/>
              <w:marRight w:val="0"/>
              <w:marTop w:val="0"/>
              <w:marBottom w:val="0"/>
              <w:divBdr>
                <w:top w:val="none" w:sz="0" w:space="0" w:color="auto"/>
                <w:left w:val="none" w:sz="0" w:space="0" w:color="auto"/>
                <w:bottom w:val="none" w:sz="0" w:space="0" w:color="auto"/>
                <w:right w:val="none" w:sz="0" w:space="0" w:color="auto"/>
              </w:divBdr>
            </w:div>
          </w:divsChild>
        </w:div>
        <w:div w:id="148064793">
          <w:marLeft w:val="0"/>
          <w:marRight w:val="0"/>
          <w:marTop w:val="0"/>
          <w:marBottom w:val="0"/>
          <w:divBdr>
            <w:top w:val="none" w:sz="0" w:space="0" w:color="auto"/>
            <w:left w:val="none" w:sz="0" w:space="0" w:color="auto"/>
            <w:bottom w:val="none" w:sz="0" w:space="0" w:color="auto"/>
            <w:right w:val="none" w:sz="0" w:space="0" w:color="auto"/>
          </w:divBdr>
          <w:divsChild>
            <w:div w:id="264389330">
              <w:marLeft w:val="0"/>
              <w:marRight w:val="0"/>
              <w:marTop w:val="0"/>
              <w:marBottom w:val="0"/>
              <w:divBdr>
                <w:top w:val="none" w:sz="0" w:space="0" w:color="auto"/>
                <w:left w:val="none" w:sz="0" w:space="0" w:color="auto"/>
                <w:bottom w:val="none" w:sz="0" w:space="0" w:color="auto"/>
                <w:right w:val="none" w:sz="0" w:space="0" w:color="auto"/>
              </w:divBdr>
            </w:div>
          </w:divsChild>
        </w:div>
        <w:div w:id="271134301">
          <w:marLeft w:val="0"/>
          <w:marRight w:val="0"/>
          <w:marTop w:val="0"/>
          <w:marBottom w:val="0"/>
          <w:divBdr>
            <w:top w:val="none" w:sz="0" w:space="0" w:color="auto"/>
            <w:left w:val="none" w:sz="0" w:space="0" w:color="auto"/>
            <w:bottom w:val="none" w:sz="0" w:space="0" w:color="auto"/>
            <w:right w:val="none" w:sz="0" w:space="0" w:color="auto"/>
          </w:divBdr>
          <w:divsChild>
            <w:div w:id="1211769075">
              <w:marLeft w:val="0"/>
              <w:marRight w:val="0"/>
              <w:marTop w:val="0"/>
              <w:marBottom w:val="0"/>
              <w:divBdr>
                <w:top w:val="none" w:sz="0" w:space="0" w:color="auto"/>
                <w:left w:val="none" w:sz="0" w:space="0" w:color="auto"/>
                <w:bottom w:val="none" w:sz="0" w:space="0" w:color="auto"/>
                <w:right w:val="none" w:sz="0" w:space="0" w:color="auto"/>
              </w:divBdr>
            </w:div>
          </w:divsChild>
        </w:div>
        <w:div w:id="297299856">
          <w:marLeft w:val="0"/>
          <w:marRight w:val="0"/>
          <w:marTop w:val="0"/>
          <w:marBottom w:val="0"/>
          <w:divBdr>
            <w:top w:val="none" w:sz="0" w:space="0" w:color="auto"/>
            <w:left w:val="none" w:sz="0" w:space="0" w:color="auto"/>
            <w:bottom w:val="none" w:sz="0" w:space="0" w:color="auto"/>
            <w:right w:val="none" w:sz="0" w:space="0" w:color="auto"/>
          </w:divBdr>
          <w:divsChild>
            <w:div w:id="1364788128">
              <w:marLeft w:val="0"/>
              <w:marRight w:val="0"/>
              <w:marTop w:val="0"/>
              <w:marBottom w:val="0"/>
              <w:divBdr>
                <w:top w:val="none" w:sz="0" w:space="0" w:color="auto"/>
                <w:left w:val="none" w:sz="0" w:space="0" w:color="auto"/>
                <w:bottom w:val="none" w:sz="0" w:space="0" w:color="auto"/>
                <w:right w:val="none" w:sz="0" w:space="0" w:color="auto"/>
              </w:divBdr>
            </w:div>
          </w:divsChild>
        </w:div>
        <w:div w:id="397099739">
          <w:marLeft w:val="0"/>
          <w:marRight w:val="0"/>
          <w:marTop w:val="0"/>
          <w:marBottom w:val="0"/>
          <w:divBdr>
            <w:top w:val="none" w:sz="0" w:space="0" w:color="auto"/>
            <w:left w:val="none" w:sz="0" w:space="0" w:color="auto"/>
            <w:bottom w:val="none" w:sz="0" w:space="0" w:color="auto"/>
            <w:right w:val="none" w:sz="0" w:space="0" w:color="auto"/>
          </w:divBdr>
          <w:divsChild>
            <w:div w:id="13576602">
              <w:marLeft w:val="0"/>
              <w:marRight w:val="0"/>
              <w:marTop w:val="0"/>
              <w:marBottom w:val="0"/>
              <w:divBdr>
                <w:top w:val="none" w:sz="0" w:space="0" w:color="auto"/>
                <w:left w:val="none" w:sz="0" w:space="0" w:color="auto"/>
                <w:bottom w:val="none" w:sz="0" w:space="0" w:color="auto"/>
                <w:right w:val="none" w:sz="0" w:space="0" w:color="auto"/>
              </w:divBdr>
            </w:div>
          </w:divsChild>
        </w:div>
        <w:div w:id="541132006">
          <w:marLeft w:val="0"/>
          <w:marRight w:val="0"/>
          <w:marTop w:val="0"/>
          <w:marBottom w:val="0"/>
          <w:divBdr>
            <w:top w:val="none" w:sz="0" w:space="0" w:color="auto"/>
            <w:left w:val="none" w:sz="0" w:space="0" w:color="auto"/>
            <w:bottom w:val="none" w:sz="0" w:space="0" w:color="auto"/>
            <w:right w:val="none" w:sz="0" w:space="0" w:color="auto"/>
          </w:divBdr>
          <w:divsChild>
            <w:div w:id="1756855199">
              <w:marLeft w:val="0"/>
              <w:marRight w:val="0"/>
              <w:marTop w:val="0"/>
              <w:marBottom w:val="0"/>
              <w:divBdr>
                <w:top w:val="none" w:sz="0" w:space="0" w:color="auto"/>
                <w:left w:val="none" w:sz="0" w:space="0" w:color="auto"/>
                <w:bottom w:val="none" w:sz="0" w:space="0" w:color="auto"/>
                <w:right w:val="none" w:sz="0" w:space="0" w:color="auto"/>
              </w:divBdr>
            </w:div>
          </w:divsChild>
        </w:div>
        <w:div w:id="595407300">
          <w:marLeft w:val="0"/>
          <w:marRight w:val="0"/>
          <w:marTop w:val="0"/>
          <w:marBottom w:val="0"/>
          <w:divBdr>
            <w:top w:val="none" w:sz="0" w:space="0" w:color="auto"/>
            <w:left w:val="none" w:sz="0" w:space="0" w:color="auto"/>
            <w:bottom w:val="none" w:sz="0" w:space="0" w:color="auto"/>
            <w:right w:val="none" w:sz="0" w:space="0" w:color="auto"/>
          </w:divBdr>
          <w:divsChild>
            <w:div w:id="139228493">
              <w:marLeft w:val="0"/>
              <w:marRight w:val="0"/>
              <w:marTop w:val="0"/>
              <w:marBottom w:val="0"/>
              <w:divBdr>
                <w:top w:val="none" w:sz="0" w:space="0" w:color="auto"/>
                <w:left w:val="none" w:sz="0" w:space="0" w:color="auto"/>
                <w:bottom w:val="none" w:sz="0" w:space="0" w:color="auto"/>
                <w:right w:val="none" w:sz="0" w:space="0" w:color="auto"/>
              </w:divBdr>
            </w:div>
          </w:divsChild>
        </w:div>
        <w:div w:id="993752157">
          <w:marLeft w:val="0"/>
          <w:marRight w:val="0"/>
          <w:marTop w:val="0"/>
          <w:marBottom w:val="0"/>
          <w:divBdr>
            <w:top w:val="none" w:sz="0" w:space="0" w:color="auto"/>
            <w:left w:val="none" w:sz="0" w:space="0" w:color="auto"/>
            <w:bottom w:val="none" w:sz="0" w:space="0" w:color="auto"/>
            <w:right w:val="none" w:sz="0" w:space="0" w:color="auto"/>
          </w:divBdr>
          <w:divsChild>
            <w:div w:id="1632439915">
              <w:marLeft w:val="0"/>
              <w:marRight w:val="0"/>
              <w:marTop w:val="0"/>
              <w:marBottom w:val="0"/>
              <w:divBdr>
                <w:top w:val="none" w:sz="0" w:space="0" w:color="auto"/>
                <w:left w:val="none" w:sz="0" w:space="0" w:color="auto"/>
                <w:bottom w:val="none" w:sz="0" w:space="0" w:color="auto"/>
                <w:right w:val="none" w:sz="0" w:space="0" w:color="auto"/>
              </w:divBdr>
            </w:div>
          </w:divsChild>
        </w:div>
        <w:div w:id="1186820380">
          <w:marLeft w:val="0"/>
          <w:marRight w:val="0"/>
          <w:marTop w:val="0"/>
          <w:marBottom w:val="0"/>
          <w:divBdr>
            <w:top w:val="none" w:sz="0" w:space="0" w:color="auto"/>
            <w:left w:val="none" w:sz="0" w:space="0" w:color="auto"/>
            <w:bottom w:val="none" w:sz="0" w:space="0" w:color="auto"/>
            <w:right w:val="none" w:sz="0" w:space="0" w:color="auto"/>
          </w:divBdr>
          <w:divsChild>
            <w:div w:id="1455563834">
              <w:marLeft w:val="0"/>
              <w:marRight w:val="0"/>
              <w:marTop w:val="0"/>
              <w:marBottom w:val="0"/>
              <w:divBdr>
                <w:top w:val="none" w:sz="0" w:space="0" w:color="auto"/>
                <w:left w:val="none" w:sz="0" w:space="0" w:color="auto"/>
                <w:bottom w:val="none" w:sz="0" w:space="0" w:color="auto"/>
                <w:right w:val="none" w:sz="0" w:space="0" w:color="auto"/>
              </w:divBdr>
            </w:div>
          </w:divsChild>
        </w:div>
        <w:div w:id="1319846151">
          <w:marLeft w:val="0"/>
          <w:marRight w:val="0"/>
          <w:marTop w:val="0"/>
          <w:marBottom w:val="0"/>
          <w:divBdr>
            <w:top w:val="none" w:sz="0" w:space="0" w:color="auto"/>
            <w:left w:val="none" w:sz="0" w:space="0" w:color="auto"/>
            <w:bottom w:val="none" w:sz="0" w:space="0" w:color="auto"/>
            <w:right w:val="none" w:sz="0" w:space="0" w:color="auto"/>
          </w:divBdr>
          <w:divsChild>
            <w:div w:id="951284306">
              <w:marLeft w:val="0"/>
              <w:marRight w:val="0"/>
              <w:marTop w:val="0"/>
              <w:marBottom w:val="0"/>
              <w:divBdr>
                <w:top w:val="none" w:sz="0" w:space="0" w:color="auto"/>
                <w:left w:val="none" w:sz="0" w:space="0" w:color="auto"/>
                <w:bottom w:val="none" w:sz="0" w:space="0" w:color="auto"/>
                <w:right w:val="none" w:sz="0" w:space="0" w:color="auto"/>
              </w:divBdr>
            </w:div>
          </w:divsChild>
        </w:div>
        <w:div w:id="1348601319">
          <w:marLeft w:val="0"/>
          <w:marRight w:val="0"/>
          <w:marTop w:val="0"/>
          <w:marBottom w:val="0"/>
          <w:divBdr>
            <w:top w:val="none" w:sz="0" w:space="0" w:color="auto"/>
            <w:left w:val="none" w:sz="0" w:space="0" w:color="auto"/>
            <w:bottom w:val="none" w:sz="0" w:space="0" w:color="auto"/>
            <w:right w:val="none" w:sz="0" w:space="0" w:color="auto"/>
          </w:divBdr>
          <w:divsChild>
            <w:div w:id="1305238593">
              <w:marLeft w:val="0"/>
              <w:marRight w:val="0"/>
              <w:marTop w:val="0"/>
              <w:marBottom w:val="0"/>
              <w:divBdr>
                <w:top w:val="none" w:sz="0" w:space="0" w:color="auto"/>
                <w:left w:val="none" w:sz="0" w:space="0" w:color="auto"/>
                <w:bottom w:val="none" w:sz="0" w:space="0" w:color="auto"/>
                <w:right w:val="none" w:sz="0" w:space="0" w:color="auto"/>
              </w:divBdr>
            </w:div>
          </w:divsChild>
        </w:div>
        <w:div w:id="1372463139">
          <w:marLeft w:val="0"/>
          <w:marRight w:val="0"/>
          <w:marTop w:val="0"/>
          <w:marBottom w:val="0"/>
          <w:divBdr>
            <w:top w:val="none" w:sz="0" w:space="0" w:color="auto"/>
            <w:left w:val="none" w:sz="0" w:space="0" w:color="auto"/>
            <w:bottom w:val="none" w:sz="0" w:space="0" w:color="auto"/>
            <w:right w:val="none" w:sz="0" w:space="0" w:color="auto"/>
          </w:divBdr>
          <w:divsChild>
            <w:div w:id="638607395">
              <w:marLeft w:val="0"/>
              <w:marRight w:val="0"/>
              <w:marTop w:val="0"/>
              <w:marBottom w:val="0"/>
              <w:divBdr>
                <w:top w:val="none" w:sz="0" w:space="0" w:color="auto"/>
                <w:left w:val="none" w:sz="0" w:space="0" w:color="auto"/>
                <w:bottom w:val="none" w:sz="0" w:space="0" w:color="auto"/>
                <w:right w:val="none" w:sz="0" w:space="0" w:color="auto"/>
              </w:divBdr>
            </w:div>
          </w:divsChild>
        </w:div>
        <w:div w:id="1433671041">
          <w:marLeft w:val="0"/>
          <w:marRight w:val="0"/>
          <w:marTop w:val="0"/>
          <w:marBottom w:val="0"/>
          <w:divBdr>
            <w:top w:val="none" w:sz="0" w:space="0" w:color="auto"/>
            <w:left w:val="none" w:sz="0" w:space="0" w:color="auto"/>
            <w:bottom w:val="none" w:sz="0" w:space="0" w:color="auto"/>
            <w:right w:val="none" w:sz="0" w:space="0" w:color="auto"/>
          </w:divBdr>
          <w:divsChild>
            <w:div w:id="1279795848">
              <w:marLeft w:val="0"/>
              <w:marRight w:val="0"/>
              <w:marTop w:val="0"/>
              <w:marBottom w:val="0"/>
              <w:divBdr>
                <w:top w:val="none" w:sz="0" w:space="0" w:color="auto"/>
                <w:left w:val="none" w:sz="0" w:space="0" w:color="auto"/>
                <w:bottom w:val="none" w:sz="0" w:space="0" w:color="auto"/>
                <w:right w:val="none" w:sz="0" w:space="0" w:color="auto"/>
              </w:divBdr>
            </w:div>
          </w:divsChild>
        </w:div>
        <w:div w:id="1617373112">
          <w:marLeft w:val="0"/>
          <w:marRight w:val="0"/>
          <w:marTop w:val="0"/>
          <w:marBottom w:val="0"/>
          <w:divBdr>
            <w:top w:val="none" w:sz="0" w:space="0" w:color="auto"/>
            <w:left w:val="none" w:sz="0" w:space="0" w:color="auto"/>
            <w:bottom w:val="none" w:sz="0" w:space="0" w:color="auto"/>
            <w:right w:val="none" w:sz="0" w:space="0" w:color="auto"/>
          </w:divBdr>
          <w:divsChild>
            <w:div w:id="2010212048">
              <w:marLeft w:val="0"/>
              <w:marRight w:val="0"/>
              <w:marTop w:val="0"/>
              <w:marBottom w:val="0"/>
              <w:divBdr>
                <w:top w:val="none" w:sz="0" w:space="0" w:color="auto"/>
                <w:left w:val="none" w:sz="0" w:space="0" w:color="auto"/>
                <w:bottom w:val="none" w:sz="0" w:space="0" w:color="auto"/>
                <w:right w:val="none" w:sz="0" w:space="0" w:color="auto"/>
              </w:divBdr>
            </w:div>
          </w:divsChild>
        </w:div>
        <w:div w:id="1690450117">
          <w:marLeft w:val="0"/>
          <w:marRight w:val="0"/>
          <w:marTop w:val="0"/>
          <w:marBottom w:val="0"/>
          <w:divBdr>
            <w:top w:val="none" w:sz="0" w:space="0" w:color="auto"/>
            <w:left w:val="none" w:sz="0" w:space="0" w:color="auto"/>
            <w:bottom w:val="none" w:sz="0" w:space="0" w:color="auto"/>
            <w:right w:val="none" w:sz="0" w:space="0" w:color="auto"/>
          </w:divBdr>
          <w:divsChild>
            <w:div w:id="1978755913">
              <w:marLeft w:val="0"/>
              <w:marRight w:val="0"/>
              <w:marTop w:val="0"/>
              <w:marBottom w:val="0"/>
              <w:divBdr>
                <w:top w:val="none" w:sz="0" w:space="0" w:color="auto"/>
                <w:left w:val="none" w:sz="0" w:space="0" w:color="auto"/>
                <w:bottom w:val="none" w:sz="0" w:space="0" w:color="auto"/>
                <w:right w:val="none" w:sz="0" w:space="0" w:color="auto"/>
              </w:divBdr>
            </w:div>
          </w:divsChild>
        </w:div>
        <w:div w:id="1867719581">
          <w:marLeft w:val="0"/>
          <w:marRight w:val="0"/>
          <w:marTop w:val="0"/>
          <w:marBottom w:val="0"/>
          <w:divBdr>
            <w:top w:val="none" w:sz="0" w:space="0" w:color="auto"/>
            <w:left w:val="none" w:sz="0" w:space="0" w:color="auto"/>
            <w:bottom w:val="none" w:sz="0" w:space="0" w:color="auto"/>
            <w:right w:val="none" w:sz="0" w:space="0" w:color="auto"/>
          </w:divBdr>
          <w:divsChild>
            <w:div w:id="288165365">
              <w:marLeft w:val="0"/>
              <w:marRight w:val="0"/>
              <w:marTop w:val="0"/>
              <w:marBottom w:val="0"/>
              <w:divBdr>
                <w:top w:val="none" w:sz="0" w:space="0" w:color="auto"/>
                <w:left w:val="none" w:sz="0" w:space="0" w:color="auto"/>
                <w:bottom w:val="none" w:sz="0" w:space="0" w:color="auto"/>
                <w:right w:val="none" w:sz="0" w:space="0" w:color="auto"/>
              </w:divBdr>
            </w:div>
          </w:divsChild>
        </w:div>
        <w:div w:id="1966428415">
          <w:marLeft w:val="0"/>
          <w:marRight w:val="0"/>
          <w:marTop w:val="0"/>
          <w:marBottom w:val="0"/>
          <w:divBdr>
            <w:top w:val="none" w:sz="0" w:space="0" w:color="auto"/>
            <w:left w:val="none" w:sz="0" w:space="0" w:color="auto"/>
            <w:bottom w:val="none" w:sz="0" w:space="0" w:color="auto"/>
            <w:right w:val="none" w:sz="0" w:space="0" w:color="auto"/>
          </w:divBdr>
          <w:divsChild>
            <w:div w:id="1948542783">
              <w:marLeft w:val="0"/>
              <w:marRight w:val="0"/>
              <w:marTop w:val="0"/>
              <w:marBottom w:val="0"/>
              <w:divBdr>
                <w:top w:val="none" w:sz="0" w:space="0" w:color="auto"/>
                <w:left w:val="none" w:sz="0" w:space="0" w:color="auto"/>
                <w:bottom w:val="none" w:sz="0" w:space="0" w:color="auto"/>
                <w:right w:val="none" w:sz="0" w:space="0" w:color="auto"/>
              </w:divBdr>
            </w:div>
          </w:divsChild>
        </w:div>
        <w:div w:id="1997025435">
          <w:marLeft w:val="0"/>
          <w:marRight w:val="0"/>
          <w:marTop w:val="0"/>
          <w:marBottom w:val="0"/>
          <w:divBdr>
            <w:top w:val="none" w:sz="0" w:space="0" w:color="auto"/>
            <w:left w:val="none" w:sz="0" w:space="0" w:color="auto"/>
            <w:bottom w:val="none" w:sz="0" w:space="0" w:color="auto"/>
            <w:right w:val="none" w:sz="0" w:space="0" w:color="auto"/>
          </w:divBdr>
          <w:divsChild>
            <w:div w:id="1330058958">
              <w:marLeft w:val="0"/>
              <w:marRight w:val="0"/>
              <w:marTop w:val="0"/>
              <w:marBottom w:val="0"/>
              <w:divBdr>
                <w:top w:val="none" w:sz="0" w:space="0" w:color="auto"/>
                <w:left w:val="none" w:sz="0" w:space="0" w:color="auto"/>
                <w:bottom w:val="none" w:sz="0" w:space="0" w:color="auto"/>
                <w:right w:val="none" w:sz="0" w:space="0" w:color="auto"/>
              </w:divBdr>
            </w:div>
          </w:divsChild>
        </w:div>
        <w:div w:id="2013607999">
          <w:marLeft w:val="0"/>
          <w:marRight w:val="0"/>
          <w:marTop w:val="0"/>
          <w:marBottom w:val="0"/>
          <w:divBdr>
            <w:top w:val="none" w:sz="0" w:space="0" w:color="auto"/>
            <w:left w:val="none" w:sz="0" w:space="0" w:color="auto"/>
            <w:bottom w:val="none" w:sz="0" w:space="0" w:color="auto"/>
            <w:right w:val="none" w:sz="0" w:space="0" w:color="auto"/>
          </w:divBdr>
          <w:divsChild>
            <w:div w:id="14606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10502">
      <w:bodyDiv w:val="1"/>
      <w:marLeft w:val="0"/>
      <w:marRight w:val="0"/>
      <w:marTop w:val="0"/>
      <w:marBottom w:val="0"/>
      <w:divBdr>
        <w:top w:val="none" w:sz="0" w:space="0" w:color="auto"/>
        <w:left w:val="none" w:sz="0" w:space="0" w:color="auto"/>
        <w:bottom w:val="none" w:sz="0" w:space="0" w:color="auto"/>
        <w:right w:val="none" w:sz="0" w:space="0" w:color="auto"/>
      </w:divBdr>
      <w:divsChild>
        <w:div w:id="1419255124">
          <w:marLeft w:val="547"/>
          <w:marRight w:val="0"/>
          <w:marTop w:val="0"/>
          <w:marBottom w:val="0"/>
          <w:divBdr>
            <w:top w:val="none" w:sz="0" w:space="0" w:color="auto"/>
            <w:left w:val="none" w:sz="0" w:space="0" w:color="auto"/>
            <w:bottom w:val="none" w:sz="0" w:space="0" w:color="auto"/>
            <w:right w:val="none" w:sz="0" w:space="0" w:color="auto"/>
          </w:divBdr>
        </w:div>
        <w:div w:id="1928927488">
          <w:marLeft w:val="547"/>
          <w:marRight w:val="0"/>
          <w:marTop w:val="0"/>
          <w:marBottom w:val="160"/>
          <w:divBdr>
            <w:top w:val="none" w:sz="0" w:space="0" w:color="auto"/>
            <w:left w:val="none" w:sz="0" w:space="0" w:color="auto"/>
            <w:bottom w:val="none" w:sz="0" w:space="0" w:color="auto"/>
            <w:right w:val="none" w:sz="0" w:space="0" w:color="auto"/>
          </w:divBdr>
        </w:div>
      </w:divsChild>
    </w:div>
    <w:div w:id="465272803">
      <w:bodyDiv w:val="1"/>
      <w:marLeft w:val="0"/>
      <w:marRight w:val="0"/>
      <w:marTop w:val="0"/>
      <w:marBottom w:val="0"/>
      <w:divBdr>
        <w:top w:val="none" w:sz="0" w:space="0" w:color="auto"/>
        <w:left w:val="none" w:sz="0" w:space="0" w:color="auto"/>
        <w:bottom w:val="none" w:sz="0" w:space="0" w:color="auto"/>
        <w:right w:val="none" w:sz="0" w:space="0" w:color="auto"/>
      </w:divBdr>
    </w:div>
    <w:div w:id="470053892">
      <w:bodyDiv w:val="1"/>
      <w:marLeft w:val="0"/>
      <w:marRight w:val="0"/>
      <w:marTop w:val="0"/>
      <w:marBottom w:val="0"/>
      <w:divBdr>
        <w:top w:val="none" w:sz="0" w:space="0" w:color="auto"/>
        <w:left w:val="none" w:sz="0" w:space="0" w:color="auto"/>
        <w:bottom w:val="none" w:sz="0" w:space="0" w:color="auto"/>
        <w:right w:val="none" w:sz="0" w:space="0" w:color="auto"/>
      </w:divBdr>
      <w:divsChild>
        <w:div w:id="489441670">
          <w:marLeft w:val="360"/>
          <w:marRight w:val="0"/>
          <w:marTop w:val="0"/>
          <w:marBottom w:val="0"/>
          <w:divBdr>
            <w:top w:val="none" w:sz="0" w:space="0" w:color="auto"/>
            <w:left w:val="none" w:sz="0" w:space="0" w:color="auto"/>
            <w:bottom w:val="none" w:sz="0" w:space="0" w:color="auto"/>
            <w:right w:val="none" w:sz="0" w:space="0" w:color="auto"/>
          </w:divBdr>
        </w:div>
        <w:div w:id="574053300">
          <w:marLeft w:val="360"/>
          <w:marRight w:val="0"/>
          <w:marTop w:val="0"/>
          <w:marBottom w:val="0"/>
          <w:divBdr>
            <w:top w:val="none" w:sz="0" w:space="0" w:color="auto"/>
            <w:left w:val="none" w:sz="0" w:space="0" w:color="auto"/>
            <w:bottom w:val="none" w:sz="0" w:space="0" w:color="auto"/>
            <w:right w:val="none" w:sz="0" w:space="0" w:color="auto"/>
          </w:divBdr>
        </w:div>
        <w:div w:id="983314271">
          <w:marLeft w:val="360"/>
          <w:marRight w:val="0"/>
          <w:marTop w:val="0"/>
          <w:marBottom w:val="0"/>
          <w:divBdr>
            <w:top w:val="none" w:sz="0" w:space="0" w:color="auto"/>
            <w:left w:val="none" w:sz="0" w:space="0" w:color="auto"/>
            <w:bottom w:val="none" w:sz="0" w:space="0" w:color="auto"/>
            <w:right w:val="none" w:sz="0" w:space="0" w:color="auto"/>
          </w:divBdr>
        </w:div>
        <w:div w:id="1021736641">
          <w:marLeft w:val="360"/>
          <w:marRight w:val="0"/>
          <w:marTop w:val="0"/>
          <w:marBottom w:val="0"/>
          <w:divBdr>
            <w:top w:val="none" w:sz="0" w:space="0" w:color="auto"/>
            <w:left w:val="none" w:sz="0" w:space="0" w:color="auto"/>
            <w:bottom w:val="none" w:sz="0" w:space="0" w:color="auto"/>
            <w:right w:val="none" w:sz="0" w:space="0" w:color="auto"/>
          </w:divBdr>
        </w:div>
        <w:div w:id="2062243617">
          <w:marLeft w:val="360"/>
          <w:marRight w:val="0"/>
          <w:marTop w:val="0"/>
          <w:marBottom w:val="0"/>
          <w:divBdr>
            <w:top w:val="none" w:sz="0" w:space="0" w:color="auto"/>
            <w:left w:val="none" w:sz="0" w:space="0" w:color="auto"/>
            <w:bottom w:val="none" w:sz="0" w:space="0" w:color="auto"/>
            <w:right w:val="none" w:sz="0" w:space="0" w:color="auto"/>
          </w:divBdr>
        </w:div>
      </w:divsChild>
    </w:div>
    <w:div w:id="477306669">
      <w:bodyDiv w:val="1"/>
      <w:marLeft w:val="0"/>
      <w:marRight w:val="0"/>
      <w:marTop w:val="0"/>
      <w:marBottom w:val="0"/>
      <w:divBdr>
        <w:top w:val="none" w:sz="0" w:space="0" w:color="auto"/>
        <w:left w:val="none" w:sz="0" w:space="0" w:color="auto"/>
        <w:bottom w:val="none" w:sz="0" w:space="0" w:color="auto"/>
        <w:right w:val="none" w:sz="0" w:space="0" w:color="auto"/>
      </w:divBdr>
    </w:div>
    <w:div w:id="489716224">
      <w:bodyDiv w:val="1"/>
      <w:marLeft w:val="0"/>
      <w:marRight w:val="0"/>
      <w:marTop w:val="0"/>
      <w:marBottom w:val="0"/>
      <w:divBdr>
        <w:top w:val="none" w:sz="0" w:space="0" w:color="auto"/>
        <w:left w:val="none" w:sz="0" w:space="0" w:color="auto"/>
        <w:bottom w:val="none" w:sz="0" w:space="0" w:color="auto"/>
        <w:right w:val="none" w:sz="0" w:space="0" w:color="auto"/>
      </w:divBdr>
      <w:divsChild>
        <w:div w:id="21824544">
          <w:marLeft w:val="0"/>
          <w:marRight w:val="0"/>
          <w:marTop w:val="0"/>
          <w:marBottom w:val="0"/>
          <w:divBdr>
            <w:top w:val="none" w:sz="0" w:space="0" w:color="auto"/>
            <w:left w:val="none" w:sz="0" w:space="0" w:color="auto"/>
            <w:bottom w:val="none" w:sz="0" w:space="0" w:color="auto"/>
            <w:right w:val="none" w:sz="0" w:space="0" w:color="auto"/>
          </w:divBdr>
          <w:divsChild>
            <w:div w:id="1723942830">
              <w:marLeft w:val="0"/>
              <w:marRight w:val="0"/>
              <w:marTop w:val="0"/>
              <w:marBottom w:val="0"/>
              <w:divBdr>
                <w:top w:val="none" w:sz="0" w:space="0" w:color="auto"/>
                <w:left w:val="none" w:sz="0" w:space="0" w:color="auto"/>
                <w:bottom w:val="none" w:sz="0" w:space="0" w:color="auto"/>
                <w:right w:val="none" w:sz="0" w:space="0" w:color="auto"/>
              </w:divBdr>
            </w:div>
          </w:divsChild>
        </w:div>
        <w:div w:id="22291544">
          <w:marLeft w:val="0"/>
          <w:marRight w:val="0"/>
          <w:marTop w:val="0"/>
          <w:marBottom w:val="0"/>
          <w:divBdr>
            <w:top w:val="none" w:sz="0" w:space="0" w:color="auto"/>
            <w:left w:val="none" w:sz="0" w:space="0" w:color="auto"/>
            <w:bottom w:val="none" w:sz="0" w:space="0" w:color="auto"/>
            <w:right w:val="none" w:sz="0" w:space="0" w:color="auto"/>
          </w:divBdr>
          <w:divsChild>
            <w:div w:id="1243418912">
              <w:marLeft w:val="0"/>
              <w:marRight w:val="0"/>
              <w:marTop w:val="0"/>
              <w:marBottom w:val="0"/>
              <w:divBdr>
                <w:top w:val="none" w:sz="0" w:space="0" w:color="auto"/>
                <w:left w:val="none" w:sz="0" w:space="0" w:color="auto"/>
                <w:bottom w:val="none" w:sz="0" w:space="0" w:color="auto"/>
                <w:right w:val="none" w:sz="0" w:space="0" w:color="auto"/>
              </w:divBdr>
            </w:div>
          </w:divsChild>
        </w:div>
        <w:div w:id="64227339">
          <w:marLeft w:val="0"/>
          <w:marRight w:val="0"/>
          <w:marTop w:val="0"/>
          <w:marBottom w:val="0"/>
          <w:divBdr>
            <w:top w:val="none" w:sz="0" w:space="0" w:color="auto"/>
            <w:left w:val="none" w:sz="0" w:space="0" w:color="auto"/>
            <w:bottom w:val="none" w:sz="0" w:space="0" w:color="auto"/>
            <w:right w:val="none" w:sz="0" w:space="0" w:color="auto"/>
          </w:divBdr>
          <w:divsChild>
            <w:div w:id="1804687877">
              <w:marLeft w:val="0"/>
              <w:marRight w:val="0"/>
              <w:marTop w:val="0"/>
              <w:marBottom w:val="0"/>
              <w:divBdr>
                <w:top w:val="none" w:sz="0" w:space="0" w:color="auto"/>
                <w:left w:val="none" w:sz="0" w:space="0" w:color="auto"/>
                <w:bottom w:val="none" w:sz="0" w:space="0" w:color="auto"/>
                <w:right w:val="none" w:sz="0" w:space="0" w:color="auto"/>
              </w:divBdr>
            </w:div>
          </w:divsChild>
        </w:div>
        <w:div w:id="66877884">
          <w:marLeft w:val="0"/>
          <w:marRight w:val="0"/>
          <w:marTop w:val="0"/>
          <w:marBottom w:val="0"/>
          <w:divBdr>
            <w:top w:val="none" w:sz="0" w:space="0" w:color="auto"/>
            <w:left w:val="none" w:sz="0" w:space="0" w:color="auto"/>
            <w:bottom w:val="none" w:sz="0" w:space="0" w:color="auto"/>
            <w:right w:val="none" w:sz="0" w:space="0" w:color="auto"/>
          </w:divBdr>
          <w:divsChild>
            <w:div w:id="854804745">
              <w:marLeft w:val="0"/>
              <w:marRight w:val="0"/>
              <w:marTop w:val="0"/>
              <w:marBottom w:val="0"/>
              <w:divBdr>
                <w:top w:val="none" w:sz="0" w:space="0" w:color="auto"/>
                <w:left w:val="none" w:sz="0" w:space="0" w:color="auto"/>
                <w:bottom w:val="none" w:sz="0" w:space="0" w:color="auto"/>
                <w:right w:val="none" w:sz="0" w:space="0" w:color="auto"/>
              </w:divBdr>
            </w:div>
          </w:divsChild>
        </w:div>
        <w:div w:id="68969852">
          <w:marLeft w:val="0"/>
          <w:marRight w:val="0"/>
          <w:marTop w:val="0"/>
          <w:marBottom w:val="0"/>
          <w:divBdr>
            <w:top w:val="none" w:sz="0" w:space="0" w:color="auto"/>
            <w:left w:val="none" w:sz="0" w:space="0" w:color="auto"/>
            <w:bottom w:val="none" w:sz="0" w:space="0" w:color="auto"/>
            <w:right w:val="none" w:sz="0" w:space="0" w:color="auto"/>
          </w:divBdr>
          <w:divsChild>
            <w:div w:id="1067993353">
              <w:marLeft w:val="0"/>
              <w:marRight w:val="0"/>
              <w:marTop w:val="0"/>
              <w:marBottom w:val="0"/>
              <w:divBdr>
                <w:top w:val="none" w:sz="0" w:space="0" w:color="auto"/>
                <w:left w:val="none" w:sz="0" w:space="0" w:color="auto"/>
                <w:bottom w:val="none" w:sz="0" w:space="0" w:color="auto"/>
                <w:right w:val="none" w:sz="0" w:space="0" w:color="auto"/>
              </w:divBdr>
            </w:div>
          </w:divsChild>
        </w:div>
        <w:div w:id="118110060">
          <w:marLeft w:val="0"/>
          <w:marRight w:val="0"/>
          <w:marTop w:val="0"/>
          <w:marBottom w:val="0"/>
          <w:divBdr>
            <w:top w:val="none" w:sz="0" w:space="0" w:color="auto"/>
            <w:left w:val="none" w:sz="0" w:space="0" w:color="auto"/>
            <w:bottom w:val="none" w:sz="0" w:space="0" w:color="auto"/>
            <w:right w:val="none" w:sz="0" w:space="0" w:color="auto"/>
          </w:divBdr>
          <w:divsChild>
            <w:div w:id="800809894">
              <w:marLeft w:val="0"/>
              <w:marRight w:val="0"/>
              <w:marTop w:val="0"/>
              <w:marBottom w:val="0"/>
              <w:divBdr>
                <w:top w:val="none" w:sz="0" w:space="0" w:color="auto"/>
                <w:left w:val="none" w:sz="0" w:space="0" w:color="auto"/>
                <w:bottom w:val="none" w:sz="0" w:space="0" w:color="auto"/>
                <w:right w:val="none" w:sz="0" w:space="0" w:color="auto"/>
              </w:divBdr>
            </w:div>
          </w:divsChild>
        </w:div>
        <w:div w:id="137382781">
          <w:marLeft w:val="0"/>
          <w:marRight w:val="0"/>
          <w:marTop w:val="0"/>
          <w:marBottom w:val="0"/>
          <w:divBdr>
            <w:top w:val="none" w:sz="0" w:space="0" w:color="auto"/>
            <w:left w:val="none" w:sz="0" w:space="0" w:color="auto"/>
            <w:bottom w:val="none" w:sz="0" w:space="0" w:color="auto"/>
            <w:right w:val="none" w:sz="0" w:space="0" w:color="auto"/>
          </w:divBdr>
          <w:divsChild>
            <w:div w:id="526410155">
              <w:marLeft w:val="0"/>
              <w:marRight w:val="0"/>
              <w:marTop w:val="0"/>
              <w:marBottom w:val="0"/>
              <w:divBdr>
                <w:top w:val="none" w:sz="0" w:space="0" w:color="auto"/>
                <w:left w:val="none" w:sz="0" w:space="0" w:color="auto"/>
                <w:bottom w:val="none" w:sz="0" w:space="0" w:color="auto"/>
                <w:right w:val="none" w:sz="0" w:space="0" w:color="auto"/>
              </w:divBdr>
            </w:div>
          </w:divsChild>
        </w:div>
        <w:div w:id="146015404">
          <w:marLeft w:val="0"/>
          <w:marRight w:val="0"/>
          <w:marTop w:val="0"/>
          <w:marBottom w:val="0"/>
          <w:divBdr>
            <w:top w:val="none" w:sz="0" w:space="0" w:color="auto"/>
            <w:left w:val="none" w:sz="0" w:space="0" w:color="auto"/>
            <w:bottom w:val="none" w:sz="0" w:space="0" w:color="auto"/>
            <w:right w:val="none" w:sz="0" w:space="0" w:color="auto"/>
          </w:divBdr>
          <w:divsChild>
            <w:div w:id="116991769">
              <w:marLeft w:val="0"/>
              <w:marRight w:val="0"/>
              <w:marTop w:val="0"/>
              <w:marBottom w:val="0"/>
              <w:divBdr>
                <w:top w:val="none" w:sz="0" w:space="0" w:color="auto"/>
                <w:left w:val="none" w:sz="0" w:space="0" w:color="auto"/>
                <w:bottom w:val="none" w:sz="0" w:space="0" w:color="auto"/>
                <w:right w:val="none" w:sz="0" w:space="0" w:color="auto"/>
              </w:divBdr>
            </w:div>
          </w:divsChild>
        </w:div>
        <w:div w:id="149059661">
          <w:marLeft w:val="0"/>
          <w:marRight w:val="0"/>
          <w:marTop w:val="0"/>
          <w:marBottom w:val="0"/>
          <w:divBdr>
            <w:top w:val="none" w:sz="0" w:space="0" w:color="auto"/>
            <w:left w:val="none" w:sz="0" w:space="0" w:color="auto"/>
            <w:bottom w:val="none" w:sz="0" w:space="0" w:color="auto"/>
            <w:right w:val="none" w:sz="0" w:space="0" w:color="auto"/>
          </w:divBdr>
          <w:divsChild>
            <w:div w:id="1422918586">
              <w:marLeft w:val="0"/>
              <w:marRight w:val="0"/>
              <w:marTop w:val="0"/>
              <w:marBottom w:val="0"/>
              <w:divBdr>
                <w:top w:val="none" w:sz="0" w:space="0" w:color="auto"/>
                <w:left w:val="none" w:sz="0" w:space="0" w:color="auto"/>
                <w:bottom w:val="none" w:sz="0" w:space="0" w:color="auto"/>
                <w:right w:val="none" w:sz="0" w:space="0" w:color="auto"/>
              </w:divBdr>
            </w:div>
          </w:divsChild>
        </w:div>
        <w:div w:id="164639397">
          <w:marLeft w:val="0"/>
          <w:marRight w:val="0"/>
          <w:marTop w:val="0"/>
          <w:marBottom w:val="0"/>
          <w:divBdr>
            <w:top w:val="none" w:sz="0" w:space="0" w:color="auto"/>
            <w:left w:val="none" w:sz="0" w:space="0" w:color="auto"/>
            <w:bottom w:val="none" w:sz="0" w:space="0" w:color="auto"/>
            <w:right w:val="none" w:sz="0" w:space="0" w:color="auto"/>
          </w:divBdr>
          <w:divsChild>
            <w:div w:id="540945294">
              <w:marLeft w:val="0"/>
              <w:marRight w:val="0"/>
              <w:marTop w:val="0"/>
              <w:marBottom w:val="0"/>
              <w:divBdr>
                <w:top w:val="none" w:sz="0" w:space="0" w:color="auto"/>
                <w:left w:val="none" w:sz="0" w:space="0" w:color="auto"/>
                <w:bottom w:val="none" w:sz="0" w:space="0" w:color="auto"/>
                <w:right w:val="none" w:sz="0" w:space="0" w:color="auto"/>
              </w:divBdr>
            </w:div>
          </w:divsChild>
        </w:div>
        <w:div w:id="167016129">
          <w:marLeft w:val="0"/>
          <w:marRight w:val="0"/>
          <w:marTop w:val="0"/>
          <w:marBottom w:val="0"/>
          <w:divBdr>
            <w:top w:val="none" w:sz="0" w:space="0" w:color="auto"/>
            <w:left w:val="none" w:sz="0" w:space="0" w:color="auto"/>
            <w:bottom w:val="none" w:sz="0" w:space="0" w:color="auto"/>
            <w:right w:val="none" w:sz="0" w:space="0" w:color="auto"/>
          </w:divBdr>
          <w:divsChild>
            <w:div w:id="1049845857">
              <w:marLeft w:val="0"/>
              <w:marRight w:val="0"/>
              <w:marTop w:val="0"/>
              <w:marBottom w:val="0"/>
              <w:divBdr>
                <w:top w:val="none" w:sz="0" w:space="0" w:color="auto"/>
                <w:left w:val="none" w:sz="0" w:space="0" w:color="auto"/>
                <w:bottom w:val="none" w:sz="0" w:space="0" w:color="auto"/>
                <w:right w:val="none" w:sz="0" w:space="0" w:color="auto"/>
              </w:divBdr>
            </w:div>
          </w:divsChild>
        </w:div>
        <w:div w:id="167214089">
          <w:marLeft w:val="0"/>
          <w:marRight w:val="0"/>
          <w:marTop w:val="0"/>
          <w:marBottom w:val="0"/>
          <w:divBdr>
            <w:top w:val="none" w:sz="0" w:space="0" w:color="auto"/>
            <w:left w:val="none" w:sz="0" w:space="0" w:color="auto"/>
            <w:bottom w:val="none" w:sz="0" w:space="0" w:color="auto"/>
            <w:right w:val="none" w:sz="0" w:space="0" w:color="auto"/>
          </w:divBdr>
          <w:divsChild>
            <w:div w:id="1730227910">
              <w:marLeft w:val="0"/>
              <w:marRight w:val="0"/>
              <w:marTop w:val="0"/>
              <w:marBottom w:val="0"/>
              <w:divBdr>
                <w:top w:val="none" w:sz="0" w:space="0" w:color="auto"/>
                <w:left w:val="none" w:sz="0" w:space="0" w:color="auto"/>
                <w:bottom w:val="none" w:sz="0" w:space="0" w:color="auto"/>
                <w:right w:val="none" w:sz="0" w:space="0" w:color="auto"/>
              </w:divBdr>
            </w:div>
          </w:divsChild>
        </w:div>
        <w:div w:id="167595310">
          <w:marLeft w:val="0"/>
          <w:marRight w:val="0"/>
          <w:marTop w:val="0"/>
          <w:marBottom w:val="0"/>
          <w:divBdr>
            <w:top w:val="none" w:sz="0" w:space="0" w:color="auto"/>
            <w:left w:val="none" w:sz="0" w:space="0" w:color="auto"/>
            <w:bottom w:val="none" w:sz="0" w:space="0" w:color="auto"/>
            <w:right w:val="none" w:sz="0" w:space="0" w:color="auto"/>
          </w:divBdr>
          <w:divsChild>
            <w:div w:id="1469473095">
              <w:marLeft w:val="0"/>
              <w:marRight w:val="0"/>
              <w:marTop w:val="0"/>
              <w:marBottom w:val="0"/>
              <w:divBdr>
                <w:top w:val="none" w:sz="0" w:space="0" w:color="auto"/>
                <w:left w:val="none" w:sz="0" w:space="0" w:color="auto"/>
                <w:bottom w:val="none" w:sz="0" w:space="0" w:color="auto"/>
                <w:right w:val="none" w:sz="0" w:space="0" w:color="auto"/>
              </w:divBdr>
            </w:div>
          </w:divsChild>
        </w:div>
        <w:div w:id="169413041">
          <w:marLeft w:val="0"/>
          <w:marRight w:val="0"/>
          <w:marTop w:val="0"/>
          <w:marBottom w:val="0"/>
          <w:divBdr>
            <w:top w:val="none" w:sz="0" w:space="0" w:color="auto"/>
            <w:left w:val="none" w:sz="0" w:space="0" w:color="auto"/>
            <w:bottom w:val="none" w:sz="0" w:space="0" w:color="auto"/>
            <w:right w:val="none" w:sz="0" w:space="0" w:color="auto"/>
          </w:divBdr>
          <w:divsChild>
            <w:div w:id="1026636798">
              <w:marLeft w:val="0"/>
              <w:marRight w:val="0"/>
              <w:marTop w:val="0"/>
              <w:marBottom w:val="0"/>
              <w:divBdr>
                <w:top w:val="none" w:sz="0" w:space="0" w:color="auto"/>
                <w:left w:val="none" w:sz="0" w:space="0" w:color="auto"/>
                <w:bottom w:val="none" w:sz="0" w:space="0" w:color="auto"/>
                <w:right w:val="none" w:sz="0" w:space="0" w:color="auto"/>
              </w:divBdr>
            </w:div>
          </w:divsChild>
        </w:div>
        <w:div w:id="178474058">
          <w:marLeft w:val="0"/>
          <w:marRight w:val="0"/>
          <w:marTop w:val="0"/>
          <w:marBottom w:val="0"/>
          <w:divBdr>
            <w:top w:val="none" w:sz="0" w:space="0" w:color="auto"/>
            <w:left w:val="none" w:sz="0" w:space="0" w:color="auto"/>
            <w:bottom w:val="none" w:sz="0" w:space="0" w:color="auto"/>
            <w:right w:val="none" w:sz="0" w:space="0" w:color="auto"/>
          </w:divBdr>
          <w:divsChild>
            <w:div w:id="1555115575">
              <w:marLeft w:val="0"/>
              <w:marRight w:val="0"/>
              <w:marTop w:val="0"/>
              <w:marBottom w:val="0"/>
              <w:divBdr>
                <w:top w:val="none" w:sz="0" w:space="0" w:color="auto"/>
                <w:left w:val="none" w:sz="0" w:space="0" w:color="auto"/>
                <w:bottom w:val="none" w:sz="0" w:space="0" w:color="auto"/>
                <w:right w:val="none" w:sz="0" w:space="0" w:color="auto"/>
              </w:divBdr>
            </w:div>
          </w:divsChild>
        </w:div>
        <w:div w:id="201939996">
          <w:marLeft w:val="0"/>
          <w:marRight w:val="0"/>
          <w:marTop w:val="0"/>
          <w:marBottom w:val="0"/>
          <w:divBdr>
            <w:top w:val="none" w:sz="0" w:space="0" w:color="auto"/>
            <w:left w:val="none" w:sz="0" w:space="0" w:color="auto"/>
            <w:bottom w:val="none" w:sz="0" w:space="0" w:color="auto"/>
            <w:right w:val="none" w:sz="0" w:space="0" w:color="auto"/>
          </w:divBdr>
          <w:divsChild>
            <w:div w:id="1196042190">
              <w:marLeft w:val="0"/>
              <w:marRight w:val="0"/>
              <w:marTop w:val="0"/>
              <w:marBottom w:val="0"/>
              <w:divBdr>
                <w:top w:val="none" w:sz="0" w:space="0" w:color="auto"/>
                <w:left w:val="none" w:sz="0" w:space="0" w:color="auto"/>
                <w:bottom w:val="none" w:sz="0" w:space="0" w:color="auto"/>
                <w:right w:val="none" w:sz="0" w:space="0" w:color="auto"/>
              </w:divBdr>
            </w:div>
          </w:divsChild>
        </w:div>
        <w:div w:id="239297016">
          <w:marLeft w:val="0"/>
          <w:marRight w:val="0"/>
          <w:marTop w:val="0"/>
          <w:marBottom w:val="0"/>
          <w:divBdr>
            <w:top w:val="none" w:sz="0" w:space="0" w:color="auto"/>
            <w:left w:val="none" w:sz="0" w:space="0" w:color="auto"/>
            <w:bottom w:val="none" w:sz="0" w:space="0" w:color="auto"/>
            <w:right w:val="none" w:sz="0" w:space="0" w:color="auto"/>
          </w:divBdr>
          <w:divsChild>
            <w:div w:id="433596132">
              <w:marLeft w:val="0"/>
              <w:marRight w:val="0"/>
              <w:marTop w:val="0"/>
              <w:marBottom w:val="0"/>
              <w:divBdr>
                <w:top w:val="none" w:sz="0" w:space="0" w:color="auto"/>
                <w:left w:val="none" w:sz="0" w:space="0" w:color="auto"/>
                <w:bottom w:val="none" w:sz="0" w:space="0" w:color="auto"/>
                <w:right w:val="none" w:sz="0" w:space="0" w:color="auto"/>
              </w:divBdr>
            </w:div>
          </w:divsChild>
        </w:div>
        <w:div w:id="250549342">
          <w:marLeft w:val="0"/>
          <w:marRight w:val="0"/>
          <w:marTop w:val="0"/>
          <w:marBottom w:val="0"/>
          <w:divBdr>
            <w:top w:val="none" w:sz="0" w:space="0" w:color="auto"/>
            <w:left w:val="none" w:sz="0" w:space="0" w:color="auto"/>
            <w:bottom w:val="none" w:sz="0" w:space="0" w:color="auto"/>
            <w:right w:val="none" w:sz="0" w:space="0" w:color="auto"/>
          </w:divBdr>
          <w:divsChild>
            <w:div w:id="1056005474">
              <w:marLeft w:val="0"/>
              <w:marRight w:val="0"/>
              <w:marTop w:val="0"/>
              <w:marBottom w:val="0"/>
              <w:divBdr>
                <w:top w:val="none" w:sz="0" w:space="0" w:color="auto"/>
                <w:left w:val="none" w:sz="0" w:space="0" w:color="auto"/>
                <w:bottom w:val="none" w:sz="0" w:space="0" w:color="auto"/>
                <w:right w:val="none" w:sz="0" w:space="0" w:color="auto"/>
              </w:divBdr>
            </w:div>
          </w:divsChild>
        </w:div>
        <w:div w:id="261189486">
          <w:marLeft w:val="0"/>
          <w:marRight w:val="0"/>
          <w:marTop w:val="0"/>
          <w:marBottom w:val="0"/>
          <w:divBdr>
            <w:top w:val="none" w:sz="0" w:space="0" w:color="auto"/>
            <w:left w:val="none" w:sz="0" w:space="0" w:color="auto"/>
            <w:bottom w:val="none" w:sz="0" w:space="0" w:color="auto"/>
            <w:right w:val="none" w:sz="0" w:space="0" w:color="auto"/>
          </w:divBdr>
          <w:divsChild>
            <w:div w:id="1538664194">
              <w:marLeft w:val="0"/>
              <w:marRight w:val="0"/>
              <w:marTop w:val="0"/>
              <w:marBottom w:val="0"/>
              <w:divBdr>
                <w:top w:val="none" w:sz="0" w:space="0" w:color="auto"/>
                <w:left w:val="none" w:sz="0" w:space="0" w:color="auto"/>
                <w:bottom w:val="none" w:sz="0" w:space="0" w:color="auto"/>
                <w:right w:val="none" w:sz="0" w:space="0" w:color="auto"/>
              </w:divBdr>
            </w:div>
          </w:divsChild>
        </w:div>
        <w:div w:id="279185855">
          <w:marLeft w:val="0"/>
          <w:marRight w:val="0"/>
          <w:marTop w:val="0"/>
          <w:marBottom w:val="0"/>
          <w:divBdr>
            <w:top w:val="none" w:sz="0" w:space="0" w:color="auto"/>
            <w:left w:val="none" w:sz="0" w:space="0" w:color="auto"/>
            <w:bottom w:val="none" w:sz="0" w:space="0" w:color="auto"/>
            <w:right w:val="none" w:sz="0" w:space="0" w:color="auto"/>
          </w:divBdr>
          <w:divsChild>
            <w:div w:id="2072844727">
              <w:marLeft w:val="0"/>
              <w:marRight w:val="0"/>
              <w:marTop w:val="0"/>
              <w:marBottom w:val="0"/>
              <w:divBdr>
                <w:top w:val="none" w:sz="0" w:space="0" w:color="auto"/>
                <w:left w:val="none" w:sz="0" w:space="0" w:color="auto"/>
                <w:bottom w:val="none" w:sz="0" w:space="0" w:color="auto"/>
                <w:right w:val="none" w:sz="0" w:space="0" w:color="auto"/>
              </w:divBdr>
            </w:div>
          </w:divsChild>
        </w:div>
        <w:div w:id="279342389">
          <w:marLeft w:val="0"/>
          <w:marRight w:val="0"/>
          <w:marTop w:val="0"/>
          <w:marBottom w:val="0"/>
          <w:divBdr>
            <w:top w:val="none" w:sz="0" w:space="0" w:color="auto"/>
            <w:left w:val="none" w:sz="0" w:space="0" w:color="auto"/>
            <w:bottom w:val="none" w:sz="0" w:space="0" w:color="auto"/>
            <w:right w:val="none" w:sz="0" w:space="0" w:color="auto"/>
          </w:divBdr>
          <w:divsChild>
            <w:div w:id="1146629000">
              <w:marLeft w:val="0"/>
              <w:marRight w:val="0"/>
              <w:marTop w:val="0"/>
              <w:marBottom w:val="0"/>
              <w:divBdr>
                <w:top w:val="none" w:sz="0" w:space="0" w:color="auto"/>
                <w:left w:val="none" w:sz="0" w:space="0" w:color="auto"/>
                <w:bottom w:val="none" w:sz="0" w:space="0" w:color="auto"/>
                <w:right w:val="none" w:sz="0" w:space="0" w:color="auto"/>
              </w:divBdr>
            </w:div>
          </w:divsChild>
        </w:div>
        <w:div w:id="282154436">
          <w:marLeft w:val="0"/>
          <w:marRight w:val="0"/>
          <w:marTop w:val="0"/>
          <w:marBottom w:val="0"/>
          <w:divBdr>
            <w:top w:val="none" w:sz="0" w:space="0" w:color="auto"/>
            <w:left w:val="none" w:sz="0" w:space="0" w:color="auto"/>
            <w:bottom w:val="none" w:sz="0" w:space="0" w:color="auto"/>
            <w:right w:val="none" w:sz="0" w:space="0" w:color="auto"/>
          </w:divBdr>
          <w:divsChild>
            <w:div w:id="561403493">
              <w:marLeft w:val="0"/>
              <w:marRight w:val="0"/>
              <w:marTop w:val="0"/>
              <w:marBottom w:val="0"/>
              <w:divBdr>
                <w:top w:val="none" w:sz="0" w:space="0" w:color="auto"/>
                <w:left w:val="none" w:sz="0" w:space="0" w:color="auto"/>
                <w:bottom w:val="none" w:sz="0" w:space="0" w:color="auto"/>
                <w:right w:val="none" w:sz="0" w:space="0" w:color="auto"/>
              </w:divBdr>
            </w:div>
          </w:divsChild>
        </w:div>
        <w:div w:id="311444865">
          <w:marLeft w:val="0"/>
          <w:marRight w:val="0"/>
          <w:marTop w:val="0"/>
          <w:marBottom w:val="0"/>
          <w:divBdr>
            <w:top w:val="none" w:sz="0" w:space="0" w:color="auto"/>
            <w:left w:val="none" w:sz="0" w:space="0" w:color="auto"/>
            <w:bottom w:val="none" w:sz="0" w:space="0" w:color="auto"/>
            <w:right w:val="none" w:sz="0" w:space="0" w:color="auto"/>
          </w:divBdr>
          <w:divsChild>
            <w:div w:id="1417626179">
              <w:marLeft w:val="0"/>
              <w:marRight w:val="0"/>
              <w:marTop w:val="0"/>
              <w:marBottom w:val="0"/>
              <w:divBdr>
                <w:top w:val="none" w:sz="0" w:space="0" w:color="auto"/>
                <w:left w:val="none" w:sz="0" w:space="0" w:color="auto"/>
                <w:bottom w:val="none" w:sz="0" w:space="0" w:color="auto"/>
                <w:right w:val="none" w:sz="0" w:space="0" w:color="auto"/>
              </w:divBdr>
            </w:div>
          </w:divsChild>
        </w:div>
        <w:div w:id="362295231">
          <w:marLeft w:val="0"/>
          <w:marRight w:val="0"/>
          <w:marTop w:val="0"/>
          <w:marBottom w:val="0"/>
          <w:divBdr>
            <w:top w:val="none" w:sz="0" w:space="0" w:color="auto"/>
            <w:left w:val="none" w:sz="0" w:space="0" w:color="auto"/>
            <w:bottom w:val="none" w:sz="0" w:space="0" w:color="auto"/>
            <w:right w:val="none" w:sz="0" w:space="0" w:color="auto"/>
          </w:divBdr>
          <w:divsChild>
            <w:div w:id="693070793">
              <w:marLeft w:val="0"/>
              <w:marRight w:val="0"/>
              <w:marTop w:val="0"/>
              <w:marBottom w:val="0"/>
              <w:divBdr>
                <w:top w:val="none" w:sz="0" w:space="0" w:color="auto"/>
                <w:left w:val="none" w:sz="0" w:space="0" w:color="auto"/>
                <w:bottom w:val="none" w:sz="0" w:space="0" w:color="auto"/>
                <w:right w:val="none" w:sz="0" w:space="0" w:color="auto"/>
              </w:divBdr>
            </w:div>
          </w:divsChild>
        </w:div>
        <w:div w:id="366027416">
          <w:marLeft w:val="0"/>
          <w:marRight w:val="0"/>
          <w:marTop w:val="0"/>
          <w:marBottom w:val="0"/>
          <w:divBdr>
            <w:top w:val="none" w:sz="0" w:space="0" w:color="auto"/>
            <w:left w:val="none" w:sz="0" w:space="0" w:color="auto"/>
            <w:bottom w:val="none" w:sz="0" w:space="0" w:color="auto"/>
            <w:right w:val="none" w:sz="0" w:space="0" w:color="auto"/>
          </w:divBdr>
          <w:divsChild>
            <w:div w:id="983773715">
              <w:marLeft w:val="0"/>
              <w:marRight w:val="0"/>
              <w:marTop w:val="0"/>
              <w:marBottom w:val="0"/>
              <w:divBdr>
                <w:top w:val="none" w:sz="0" w:space="0" w:color="auto"/>
                <w:left w:val="none" w:sz="0" w:space="0" w:color="auto"/>
                <w:bottom w:val="none" w:sz="0" w:space="0" w:color="auto"/>
                <w:right w:val="none" w:sz="0" w:space="0" w:color="auto"/>
              </w:divBdr>
            </w:div>
          </w:divsChild>
        </w:div>
        <w:div w:id="473256214">
          <w:marLeft w:val="0"/>
          <w:marRight w:val="0"/>
          <w:marTop w:val="0"/>
          <w:marBottom w:val="0"/>
          <w:divBdr>
            <w:top w:val="none" w:sz="0" w:space="0" w:color="auto"/>
            <w:left w:val="none" w:sz="0" w:space="0" w:color="auto"/>
            <w:bottom w:val="none" w:sz="0" w:space="0" w:color="auto"/>
            <w:right w:val="none" w:sz="0" w:space="0" w:color="auto"/>
          </w:divBdr>
          <w:divsChild>
            <w:div w:id="2103331682">
              <w:marLeft w:val="0"/>
              <w:marRight w:val="0"/>
              <w:marTop w:val="0"/>
              <w:marBottom w:val="0"/>
              <w:divBdr>
                <w:top w:val="none" w:sz="0" w:space="0" w:color="auto"/>
                <w:left w:val="none" w:sz="0" w:space="0" w:color="auto"/>
                <w:bottom w:val="none" w:sz="0" w:space="0" w:color="auto"/>
                <w:right w:val="none" w:sz="0" w:space="0" w:color="auto"/>
              </w:divBdr>
            </w:div>
          </w:divsChild>
        </w:div>
        <w:div w:id="477456648">
          <w:marLeft w:val="0"/>
          <w:marRight w:val="0"/>
          <w:marTop w:val="0"/>
          <w:marBottom w:val="0"/>
          <w:divBdr>
            <w:top w:val="none" w:sz="0" w:space="0" w:color="auto"/>
            <w:left w:val="none" w:sz="0" w:space="0" w:color="auto"/>
            <w:bottom w:val="none" w:sz="0" w:space="0" w:color="auto"/>
            <w:right w:val="none" w:sz="0" w:space="0" w:color="auto"/>
          </w:divBdr>
          <w:divsChild>
            <w:div w:id="1194688451">
              <w:marLeft w:val="0"/>
              <w:marRight w:val="0"/>
              <w:marTop w:val="0"/>
              <w:marBottom w:val="0"/>
              <w:divBdr>
                <w:top w:val="none" w:sz="0" w:space="0" w:color="auto"/>
                <w:left w:val="none" w:sz="0" w:space="0" w:color="auto"/>
                <w:bottom w:val="none" w:sz="0" w:space="0" w:color="auto"/>
                <w:right w:val="none" w:sz="0" w:space="0" w:color="auto"/>
              </w:divBdr>
            </w:div>
          </w:divsChild>
        </w:div>
        <w:div w:id="489715385">
          <w:marLeft w:val="0"/>
          <w:marRight w:val="0"/>
          <w:marTop w:val="0"/>
          <w:marBottom w:val="0"/>
          <w:divBdr>
            <w:top w:val="none" w:sz="0" w:space="0" w:color="auto"/>
            <w:left w:val="none" w:sz="0" w:space="0" w:color="auto"/>
            <w:bottom w:val="none" w:sz="0" w:space="0" w:color="auto"/>
            <w:right w:val="none" w:sz="0" w:space="0" w:color="auto"/>
          </w:divBdr>
          <w:divsChild>
            <w:div w:id="2323638">
              <w:marLeft w:val="0"/>
              <w:marRight w:val="0"/>
              <w:marTop w:val="0"/>
              <w:marBottom w:val="0"/>
              <w:divBdr>
                <w:top w:val="none" w:sz="0" w:space="0" w:color="auto"/>
                <w:left w:val="none" w:sz="0" w:space="0" w:color="auto"/>
                <w:bottom w:val="none" w:sz="0" w:space="0" w:color="auto"/>
                <w:right w:val="none" w:sz="0" w:space="0" w:color="auto"/>
              </w:divBdr>
            </w:div>
          </w:divsChild>
        </w:div>
        <w:div w:id="491028191">
          <w:marLeft w:val="0"/>
          <w:marRight w:val="0"/>
          <w:marTop w:val="0"/>
          <w:marBottom w:val="0"/>
          <w:divBdr>
            <w:top w:val="none" w:sz="0" w:space="0" w:color="auto"/>
            <w:left w:val="none" w:sz="0" w:space="0" w:color="auto"/>
            <w:bottom w:val="none" w:sz="0" w:space="0" w:color="auto"/>
            <w:right w:val="none" w:sz="0" w:space="0" w:color="auto"/>
          </w:divBdr>
          <w:divsChild>
            <w:div w:id="1695426480">
              <w:marLeft w:val="0"/>
              <w:marRight w:val="0"/>
              <w:marTop w:val="0"/>
              <w:marBottom w:val="0"/>
              <w:divBdr>
                <w:top w:val="none" w:sz="0" w:space="0" w:color="auto"/>
                <w:left w:val="none" w:sz="0" w:space="0" w:color="auto"/>
                <w:bottom w:val="none" w:sz="0" w:space="0" w:color="auto"/>
                <w:right w:val="none" w:sz="0" w:space="0" w:color="auto"/>
              </w:divBdr>
            </w:div>
          </w:divsChild>
        </w:div>
        <w:div w:id="496385549">
          <w:marLeft w:val="0"/>
          <w:marRight w:val="0"/>
          <w:marTop w:val="0"/>
          <w:marBottom w:val="0"/>
          <w:divBdr>
            <w:top w:val="none" w:sz="0" w:space="0" w:color="auto"/>
            <w:left w:val="none" w:sz="0" w:space="0" w:color="auto"/>
            <w:bottom w:val="none" w:sz="0" w:space="0" w:color="auto"/>
            <w:right w:val="none" w:sz="0" w:space="0" w:color="auto"/>
          </w:divBdr>
          <w:divsChild>
            <w:div w:id="549001202">
              <w:marLeft w:val="0"/>
              <w:marRight w:val="0"/>
              <w:marTop w:val="0"/>
              <w:marBottom w:val="0"/>
              <w:divBdr>
                <w:top w:val="none" w:sz="0" w:space="0" w:color="auto"/>
                <w:left w:val="none" w:sz="0" w:space="0" w:color="auto"/>
                <w:bottom w:val="none" w:sz="0" w:space="0" w:color="auto"/>
                <w:right w:val="none" w:sz="0" w:space="0" w:color="auto"/>
              </w:divBdr>
            </w:div>
          </w:divsChild>
        </w:div>
        <w:div w:id="543559477">
          <w:marLeft w:val="0"/>
          <w:marRight w:val="0"/>
          <w:marTop w:val="0"/>
          <w:marBottom w:val="0"/>
          <w:divBdr>
            <w:top w:val="none" w:sz="0" w:space="0" w:color="auto"/>
            <w:left w:val="none" w:sz="0" w:space="0" w:color="auto"/>
            <w:bottom w:val="none" w:sz="0" w:space="0" w:color="auto"/>
            <w:right w:val="none" w:sz="0" w:space="0" w:color="auto"/>
          </w:divBdr>
          <w:divsChild>
            <w:div w:id="1469741953">
              <w:marLeft w:val="0"/>
              <w:marRight w:val="0"/>
              <w:marTop w:val="0"/>
              <w:marBottom w:val="0"/>
              <w:divBdr>
                <w:top w:val="none" w:sz="0" w:space="0" w:color="auto"/>
                <w:left w:val="none" w:sz="0" w:space="0" w:color="auto"/>
                <w:bottom w:val="none" w:sz="0" w:space="0" w:color="auto"/>
                <w:right w:val="none" w:sz="0" w:space="0" w:color="auto"/>
              </w:divBdr>
            </w:div>
          </w:divsChild>
        </w:div>
        <w:div w:id="558125898">
          <w:marLeft w:val="0"/>
          <w:marRight w:val="0"/>
          <w:marTop w:val="0"/>
          <w:marBottom w:val="0"/>
          <w:divBdr>
            <w:top w:val="none" w:sz="0" w:space="0" w:color="auto"/>
            <w:left w:val="none" w:sz="0" w:space="0" w:color="auto"/>
            <w:bottom w:val="none" w:sz="0" w:space="0" w:color="auto"/>
            <w:right w:val="none" w:sz="0" w:space="0" w:color="auto"/>
          </w:divBdr>
          <w:divsChild>
            <w:div w:id="453526413">
              <w:marLeft w:val="0"/>
              <w:marRight w:val="0"/>
              <w:marTop w:val="0"/>
              <w:marBottom w:val="0"/>
              <w:divBdr>
                <w:top w:val="none" w:sz="0" w:space="0" w:color="auto"/>
                <w:left w:val="none" w:sz="0" w:space="0" w:color="auto"/>
                <w:bottom w:val="none" w:sz="0" w:space="0" w:color="auto"/>
                <w:right w:val="none" w:sz="0" w:space="0" w:color="auto"/>
              </w:divBdr>
            </w:div>
          </w:divsChild>
        </w:div>
        <w:div w:id="561871247">
          <w:marLeft w:val="0"/>
          <w:marRight w:val="0"/>
          <w:marTop w:val="0"/>
          <w:marBottom w:val="0"/>
          <w:divBdr>
            <w:top w:val="none" w:sz="0" w:space="0" w:color="auto"/>
            <w:left w:val="none" w:sz="0" w:space="0" w:color="auto"/>
            <w:bottom w:val="none" w:sz="0" w:space="0" w:color="auto"/>
            <w:right w:val="none" w:sz="0" w:space="0" w:color="auto"/>
          </w:divBdr>
          <w:divsChild>
            <w:div w:id="640816544">
              <w:marLeft w:val="0"/>
              <w:marRight w:val="0"/>
              <w:marTop w:val="0"/>
              <w:marBottom w:val="0"/>
              <w:divBdr>
                <w:top w:val="none" w:sz="0" w:space="0" w:color="auto"/>
                <w:left w:val="none" w:sz="0" w:space="0" w:color="auto"/>
                <w:bottom w:val="none" w:sz="0" w:space="0" w:color="auto"/>
                <w:right w:val="none" w:sz="0" w:space="0" w:color="auto"/>
              </w:divBdr>
            </w:div>
          </w:divsChild>
        </w:div>
        <w:div w:id="566064873">
          <w:marLeft w:val="0"/>
          <w:marRight w:val="0"/>
          <w:marTop w:val="0"/>
          <w:marBottom w:val="0"/>
          <w:divBdr>
            <w:top w:val="none" w:sz="0" w:space="0" w:color="auto"/>
            <w:left w:val="none" w:sz="0" w:space="0" w:color="auto"/>
            <w:bottom w:val="none" w:sz="0" w:space="0" w:color="auto"/>
            <w:right w:val="none" w:sz="0" w:space="0" w:color="auto"/>
          </w:divBdr>
          <w:divsChild>
            <w:div w:id="1434208228">
              <w:marLeft w:val="0"/>
              <w:marRight w:val="0"/>
              <w:marTop w:val="0"/>
              <w:marBottom w:val="0"/>
              <w:divBdr>
                <w:top w:val="none" w:sz="0" w:space="0" w:color="auto"/>
                <w:left w:val="none" w:sz="0" w:space="0" w:color="auto"/>
                <w:bottom w:val="none" w:sz="0" w:space="0" w:color="auto"/>
                <w:right w:val="none" w:sz="0" w:space="0" w:color="auto"/>
              </w:divBdr>
            </w:div>
          </w:divsChild>
        </w:div>
        <w:div w:id="573857153">
          <w:marLeft w:val="0"/>
          <w:marRight w:val="0"/>
          <w:marTop w:val="0"/>
          <w:marBottom w:val="0"/>
          <w:divBdr>
            <w:top w:val="none" w:sz="0" w:space="0" w:color="auto"/>
            <w:left w:val="none" w:sz="0" w:space="0" w:color="auto"/>
            <w:bottom w:val="none" w:sz="0" w:space="0" w:color="auto"/>
            <w:right w:val="none" w:sz="0" w:space="0" w:color="auto"/>
          </w:divBdr>
          <w:divsChild>
            <w:div w:id="1782452793">
              <w:marLeft w:val="0"/>
              <w:marRight w:val="0"/>
              <w:marTop w:val="0"/>
              <w:marBottom w:val="0"/>
              <w:divBdr>
                <w:top w:val="none" w:sz="0" w:space="0" w:color="auto"/>
                <w:left w:val="none" w:sz="0" w:space="0" w:color="auto"/>
                <w:bottom w:val="none" w:sz="0" w:space="0" w:color="auto"/>
                <w:right w:val="none" w:sz="0" w:space="0" w:color="auto"/>
              </w:divBdr>
            </w:div>
          </w:divsChild>
        </w:div>
        <w:div w:id="585262528">
          <w:marLeft w:val="0"/>
          <w:marRight w:val="0"/>
          <w:marTop w:val="0"/>
          <w:marBottom w:val="0"/>
          <w:divBdr>
            <w:top w:val="none" w:sz="0" w:space="0" w:color="auto"/>
            <w:left w:val="none" w:sz="0" w:space="0" w:color="auto"/>
            <w:bottom w:val="none" w:sz="0" w:space="0" w:color="auto"/>
            <w:right w:val="none" w:sz="0" w:space="0" w:color="auto"/>
          </w:divBdr>
          <w:divsChild>
            <w:div w:id="505486205">
              <w:marLeft w:val="0"/>
              <w:marRight w:val="0"/>
              <w:marTop w:val="0"/>
              <w:marBottom w:val="0"/>
              <w:divBdr>
                <w:top w:val="none" w:sz="0" w:space="0" w:color="auto"/>
                <w:left w:val="none" w:sz="0" w:space="0" w:color="auto"/>
                <w:bottom w:val="none" w:sz="0" w:space="0" w:color="auto"/>
                <w:right w:val="none" w:sz="0" w:space="0" w:color="auto"/>
              </w:divBdr>
            </w:div>
          </w:divsChild>
        </w:div>
        <w:div w:id="596251286">
          <w:marLeft w:val="0"/>
          <w:marRight w:val="0"/>
          <w:marTop w:val="0"/>
          <w:marBottom w:val="0"/>
          <w:divBdr>
            <w:top w:val="none" w:sz="0" w:space="0" w:color="auto"/>
            <w:left w:val="none" w:sz="0" w:space="0" w:color="auto"/>
            <w:bottom w:val="none" w:sz="0" w:space="0" w:color="auto"/>
            <w:right w:val="none" w:sz="0" w:space="0" w:color="auto"/>
          </w:divBdr>
          <w:divsChild>
            <w:div w:id="1269049321">
              <w:marLeft w:val="0"/>
              <w:marRight w:val="0"/>
              <w:marTop w:val="0"/>
              <w:marBottom w:val="0"/>
              <w:divBdr>
                <w:top w:val="none" w:sz="0" w:space="0" w:color="auto"/>
                <w:left w:val="none" w:sz="0" w:space="0" w:color="auto"/>
                <w:bottom w:val="none" w:sz="0" w:space="0" w:color="auto"/>
                <w:right w:val="none" w:sz="0" w:space="0" w:color="auto"/>
              </w:divBdr>
            </w:div>
          </w:divsChild>
        </w:div>
        <w:div w:id="609052199">
          <w:marLeft w:val="0"/>
          <w:marRight w:val="0"/>
          <w:marTop w:val="0"/>
          <w:marBottom w:val="0"/>
          <w:divBdr>
            <w:top w:val="none" w:sz="0" w:space="0" w:color="auto"/>
            <w:left w:val="none" w:sz="0" w:space="0" w:color="auto"/>
            <w:bottom w:val="none" w:sz="0" w:space="0" w:color="auto"/>
            <w:right w:val="none" w:sz="0" w:space="0" w:color="auto"/>
          </w:divBdr>
          <w:divsChild>
            <w:div w:id="1295647181">
              <w:marLeft w:val="0"/>
              <w:marRight w:val="0"/>
              <w:marTop w:val="0"/>
              <w:marBottom w:val="0"/>
              <w:divBdr>
                <w:top w:val="none" w:sz="0" w:space="0" w:color="auto"/>
                <w:left w:val="none" w:sz="0" w:space="0" w:color="auto"/>
                <w:bottom w:val="none" w:sz="0" w:space="0" w:color="auto"/>
                <w:right w:val="none" w:sz="0" w:space="0" w:color="auto"/>
              </w:divBdr>
            </w:div>
          </w:divsChild>
        </w:div>
        <w:div w:id="612127913">
          <w:marLeft w:val="0"/>
          <w:marRight w:val="0"/>
          <w:marTop w:val="0"/>
          <w:marBottom w:val="0"/>
          <w:divBdr>
            <w:top w:val="none" w:sz="0" w:space="0" w:color="auto"/>
            <w:left w:val="none" w:sz="0" w:space="0" w:color="auto"/>
            <w:bottom w:val="none" w:sz="0" w:space="0" w:color="auto"/>
            <w:right w:val="none" w:sz="0" w:space="0" w:color="auto"/>
          </w:divBdr>
          <w:divsChild>
            <w:div w:id="738862737">
              <w:marLeft w:val="0"/>
              <w:marRight w:val="0"/>
              <w:marTop w:val="0"/>
              <w:marBottom w:val="0"/>
              <w:divBdr>
                <w:top w:val="none" w:sz="0" w:space="0" w:color="auto"/>
                <w:left w:val="none" w:sz="0" w:space="0" w:color="auto"/>
                <w:bottom w:val="none" w:sz="0" w:space="0" w:color="auto"/>
                <w:right w:val="none" w:sz="0" w:space="0" w:color="auto"/>
              </w:divBdr>
            </w:div>
          </w:divsChild>
        </w:div>
        <w:div w:id="627902559">
          <w:marLeft w:val="0"/>
          <w:marRight w:val="0"/>
          <w:marTop w:val="0"/>
          <w:marBottom w:val="0"/>
          <w:divBdr>
            <w:top w:val="none" w:sz="0" w:space="0" w:color="auto"/>
            <w:left w:val="none" w:sz="0" w:space="0" w:color="auto"/>
            <w:bottom w:val="none" w:sz="0" w:space="0" w:color="auto"/>
            <w:right w:val="none" w:sz="0" w:space="0" w:color="auto"/>
          </w:divBdr>
          <w:divsChild>
            <w:div w:id="1660766351">
              <w:marLeft w:val="0"/>
              <w:marRight w:val="0"/>
              <w:marTop w:val="0"/>
              <w:marBottom w:val="0"/>
              <w:divBdr>
                <w:top w:val="none" w:sz="0" w:space="0" w:color="auto"/>
                <w:left w:val="none" w:sz="0" w:space="0" w:color="auto"/>
                <w:bottom w:val="none" w:sz="0" w:space="0" w:color="auto"/>
                <w:right w:val="none" w:sz="0" w:space="0" w:color="auto"/>
              </w:divBdr>
            </w:div>
          </w:divsChild>
        </w:div>
        <w:div w:id="636110820">
          <w:marLeft w:val="0"/>
          <w:marRight w:val="0"/>
          <w:marTop w:val="0"/>
          <w:marBottom w:val="0"/>
          <w:divBdr>
            <w:top w:val="none" w:sz="0" w:space="0" w:color="auto"/>
            <w:left w:val="none" w:sz="0" w:space="0" w:color="auto"/>
            <w:bottom w:val="none" w:sz="0" w:space="0" w:color="auto"/>
            <w:right w:val="none" w:sz="0" w:space="0" w:color="auto"/>
          </w:divBdr>
          <w:divsChild>
            <w:div w:id="1725442555">
              <w:marLeft w:val="0"/>
              <w:marRight w:val="0"/>
              <w:marTop w:val="0"/>
              <w:marBottom w:val="0"/>
              <w:divBdr>
                <w:top w:val="none" w:sz="0" w:space="0" w:color="auto"/>
                <w:left w:val="none" w:sz="0" w:space="0" w:color="auto"/>
                <w:bottom w:val="none" w:sz="0" w:space="0" w:color="auto"/>
                <w:right w:val="none" w:sz="0" w:space="0" w:color="auto"/>
              </w:divBdr>
            </w:div>
          </w:divsChild>
        </w:div>
        <w:div w:id="638340005">
          <w:marLeft w:val="0"/>
          <w:marRight w:val="0"/>
          <w:marTop w:val="0"/>
          <w:marBottom w:val="0"/>
          <w:divBdr>
            <w:top w:val="none" w:sz="0" w:space="0" w:color="auto"/>
            <w:left w:val="none" w:sz="0" w:space="0" w:color="auto"/>
            <w:bottom w:val="none" w:sz="0" w:space="0" w:color="auto"/>
            <w:right w:val="none" w:sz="0" w:space="0" w:color="auto"/>
          </w:divBdr>
          <w:divsChild>
            <w:div w:id="1591742566">
              <w:marLeft w:val="0"/>
              <w:marRight w:val="0"/>
              <w:marTop w:val="0"/>
              <w:marBottom w:val="0"/>
              <w:divBdr>
                <w:top w:val="none" w:sz="0" w:space="0" w:color="auto"/>
                <w:left w:val="none" w:sz="0" w:space="0" w:color="auto"/>
                <w:bottom w:val="none" w:sz="0" w:space="0" w:color="auto"/>
                <w:right w:val="none" w:sz="0" w:space="0" w:color="auto"/>
              </w:divBdr>
            </w:div>
          </w:divsChild>
        </w:div>
        <w:div w:id="667056448">
          <w:marLeft w:val="0"/>
          <w:marRight w:val="0"/>
          <w:marTop w:val="0"/>
          <w:marBottom w:val="0"/>
          <w:divBdr>
            <w:top w:val="none" w:sz="0" w:space="0" w:color="auto"/>
            <w:left w:val="none" w:sz="0" w:space="0" w:color="auto"/>
            <w:bottom w:val="none" w:sz="0" w:space="0" w:color="auto"/>
            <w:right w:val="none" w:sz="0" w:space="0" w:color="auto"/>
          </w:divBdr>
          <w:divsChild>
            <w:div w:id="1907179872">
              <w:marLeft w:val="0"/>
              <w:marRight w:val="0"/>
              <w:marTop w:val="0"/>
              <w:marBottom w:val="0"/>
              <w:divBdr>
                <w:top w:val="none" w:sz="0" w:space="0" w:color="auto"/>
                <w:left w:val="none" w:sz="0" w:space="0" w:color="auto"/>
                <w:bottom w:val="none" w:sz="0" w:space="0" w:color="auto"/>
                <w:right w:val="none" w:sz="0" w:space="0" w:color="auto"/>
              </w:divBdr>
            </w:div>
          </w:divsChild>
        </w:div>
        <w:div w:id="668867412">
          <w:marLeft w:val="0"/>
          <w:marRight w:val="0"/>
          <w:marTop w:val="0"/>
          <w:marBottom w:val="0"/>
          <w:divBdr>
            <w:top w:val="none" w:sz="0" w:space="0" w:color="auto"/>
            <w:left w:val="none" w:sz="0" w:space="0" w:color="auto"/>
            <w:bottom w:val="none" w:sz="0" w:space="0" w:color="auto"/>
            <w:right w:val="none" w:sz="0" w:space="0" w:color="auto"/>
          </w:divBdr>
          <w:divsChild>
            <w:div w:id="231745686">
              <w:marLeft w:val="0"/>
              <w:marRight w:val="0"/>
              <w:marTop w:val="0"/>
              <w:marBottom w:val="0"/>
              <w:divBdr>
                <w:top w:val="none" w:sz="0" w:space="0" w:color="auto"/>
                <w:left w:val="none" w:sz="0" w:space="0" w:color="auto"/>
                <w:bottom w:val="none" w:sz="0" w:space="0" w:color="auto"/>
                <w:right w:val="none" w:sz="0" w:space="0" w:color="auto"/>
              </w:divBdr>
            </w:div>
          </w:divsChild>
        </w:div>
        <w:div w:id="683823575">
          <w:marLeft w:val="0"/>
          <w:marRight w:val="0"/>
          <w:marTop w:val="0"/>
          <w:marBottom w:val="0"/>
          <w:divBdr>
            <w:top w:val="none" w:sz="0" w:space="0" w:color="auto"/>
            <w:left w:val="none" w:sz="0" w:space="0" w:color="auto"/>
            <w:bottom w:val="none" w:sz="0" w:space="0" w:color="auto"/>
            <w:right w:val="none" w:sz="0" w:space="0" w:color="auto"/>
          </w:divBdr>
          <w:divsChild>
            <w:div w:id="123233448">
              <w:marLeft w:val="0"/>
              <w:marRight w:val="0"/>
              <w:marTop w:val="0"/>
              <w:marBottom w:val="0"/>
              <w:divBdr>
                <w:top w:val="none" w:sz="0" w:space="0" w:color="auto"/>
                <w:left w:val="none" w:sz="0" w:space="0" w:color="auto"/>
                <w:bottom w:val="none" w:sz="0" w:space="0" w:color="auto"/>
                <w:right w:val="none" w:sz="0" w:space="0" w:color="auto"/>
              </w:divBdr>
            </w:div>
          </w:divsChild>
        </w:div>
        <w:div w:id="705450875">
          <w:marLeft w:val="0"/>
          <w:marRight w:val="0"/>
          <w:marTop w:val="0"/>
          <w:marBottom w:val="0"/>
          <w:divBdr>
            <w:top w:val="none" w:sz="0" w:space="0" w:color="auto"/>
            <w:left w:val="none" w:sz="0" w:space="0" w:color="auto"/>
            <w:bottom w:val="none" w:sz="0" w:space="0" w:color="auto"/>
            <w:right w:val="none" w:sz="0" w:space="0" w:color="auto"/>
          </w:divBdr>
          <w:divsChild>
            <w:div w:id="1599295094">
              <w:marLeft w:val="0"/>
              <w:marRight w:val="0"/>
              <w:marTop w:val="0"/>
              <w:marBottom w:val="0"/>
              <w:divBdr>
                <w:top w:val="none" w:sz="0" w:space="0" w:color="auto"/>
                <w:left w:val="none" w:sz="0" w:space="0" w:color="auto"/>
                <w:bottom w:val="none" w:sz="0" w:space="0" w:color="auto"/>
                <w:right w:val="none" w:sz="0" w:space="0" w:color="auto"/>
              </w:divBdr>
            </w:div>
          </w:divsChild>
        </w:div>
        <w:div w:id="708576489">
          <w:marLeft w:val="0"/>
          <w:marRight w:val="0"/>
          <w:marTop w:val="0"/>
          <w:marBottom w:val="0"/>
          <w:divBdr>
            <w:top w:val="none" w:sz="0" w:space="0" w:color="auto"/>
            <w:left w:val="none" w:sz="0" w:space="0" w:color="auto"/>
            <w:bottom w:val="none" w:sz="0" w:space="0" w:color="auto"/>
            <w:right w:val="none" w:sz="0" w:space="0" w:color="auto"/>
          </w:divBdr>
          <w:divsChild>
            <w:div w:id="147980939">
              <w:marLeft w:val="0"/>
              <w:marRight w:val="0"/>
              <w:marTop w:val="0"/>
              <w:marBottom w:val="0"/>
              <w:divBdr>
                <w:top w:val="none" w:sz="0" w:space="0" w:color="auto"/>
                <w:left w:val="none" w:sz="0" w:space="0" w:color="auto"/>
                <w:bottom w:val="none" w:sz="0" w:space="0" w:color="auto"/>
                <w:right w:val="none" w:sz="0" w:space="0" w:color="auto"/>
              </w:divBdr>
            </w:div>
          </w:divsChild>
        </w:div>
        <w:div w:id="737092655">
          <w:marLeft w:val="0"/>
          <w:marRight w:val="0"/>
          <w:marTop w:val="0"/>
          <w:marBottom w:val="0"/>
          <w:divBdr>
            <w:top w:val="none" w:sz="0" w:space="0" w:color="auto"/>
            <w:left w:val="none" w:sz="0" w:space="0" w:color="auto"/>
            <w:bottom w:val="none" w:sz="0" w:space="0" w:color="auto"/>
            <w:right w:val="none" w:sz="0" w:space="0" w:color="auto"/>
          </w:divBdr>
          <w:divsChild>
            <w:div w:id="2062169800">
              <w:marLeft w:val="0"/>
              <w:marRight w:val="0"/>
              <w:marTop w:val="0"/>
              <w:marBottom w:val="0"/>
              <w:divBdr>
                <w:top w:val="none" w:sz="0" w:space="0" w:color="auto"/>
                <w:left w:val="none" w:sz="0" w:space="0" w:color="auto"/>
                <w:bottom w:val="none" w:sz="0" w:space="0" w:color="auto"/>
                <w:right w:val="none" w:sz="0" w:space="0" w:color="auto"/>
              </w:divBdr>
            </w:div>
          </w:divsChild>
        </w:div>
        <w:div w:id="738790918">
          <w:marLeft w:val="0"/>
          <w:marRight w:val="0"/>
          <w:marTop w:val="0"/>
          <w:marBottom w:val="0"/>
          <w:divBdr>
            <w:top w:val="none" w:sz="0" w:space="0" w:color="auto"/>
            <w:left w:val="none" w:sz="0" w:space="0" w:color="auto"/>
            <w:bottom w:val="none" w:sz="0" w:space="0" w:color="auto"/>
            <w:right w:val="none" w:sz="0" w:space="0" w:color="auto"/>
          </w:divBdr>
          <w:divsChild>
            <w:div w:id="1139417415">
              <w:marLeft w:val="0"/>
              <w:marRight w:val="0"/>
              <w:marTop w:val="0"/>
              <w:marBottom w:val="0"/>
              <w:divBdr>
                <w:top w:val="none" w:sz="0" w:space="0" w:color="auto"/>
                <w:left w:val="none" w:sz="0" w:space="0" w:color="auto"/>
                <w:bottom w:val="none" w:sz="0" w:space="0" w:color="auto"/>
                <w:right w:val="none" w:sz="0" w:space="0" w:color="auto"/>
              </w:divBdr>
            </w:div>
          </w:divsChild>
        </w:div>
        <w:div w:id="747312440">
          <w:marLeft w:val="0"/>
          <w:marRight w:val="0"/>
          <w:marTop w:val="0"/>
          <w:marBottom w:val="0"/>
          <w:divBdr>
            <w:top w:val="none" w:sz="0" w:space="0" w:color="auto"/>
            <w:left w:val="none" w:sz="0" w:space="0" w:color="auto"/>
            <w:bottom w:val="none" w:sz="0" w:space="0" w:color="auto"/>
            <w:right w:val="none" w:sz="0" w:space="0" w:color="auto"/>
          </w:divBdr>
          <w:divsChild>
            <w:div w:id="17826697">
              <w:marLeft w:val="0"/>
              <w:marRight w:val="0"/>
              <w:marTop w:val="0"/>
              <w:marBottom w:val="0"/>
              <w:divBdr>
                <w:top w:val="none" w:sz="0" w:space="0" w:color="auto"/>
                <w:left w:val="none" w:sz="0" w:space="0" w:color="auto"/>
                <w:bottom w:val="none" w:sz="0" w:space="0" w:color="auto"/>
                <w:right w:val="none" w:sz="0" w:space="0" w:color="auto"/>
              </w:divBdr>
            </w:div>
          </w:divsChild>
        </w:div>
        <w:div w:id="773087657">
          <w:marLeft w:val="0"/>
          <w:marRight w:val="0"/>
          <w:marTop w:val="0"/>
          <w:marBottom w:val="0"/>
          <w:divBdr>
            <w:top w:val="none" w:sz="0" w:space="0" w:color="auto"/>
            <w:left w:val="none" w:sz="0" w:space="0" w:color="auto"/>
            <w:bottom w:val="none" w:sz="0" w:space="0" w:color="auto"/>
            <w:right w:val="none" w:sz="0" w:space="0" w:color="auto"/>
          </w:divBdr>
          <w:divsChild>
            <w:div w:id="1616253868">
              <w:marLeft w:val="0"/>
              <w:marRight w:val="0"/>
              <w:marTop w:val="0"/>
              <w:marBottom w:val="0"/>
              <w:divBdr>
                <w:top w:val="none" w:sz="0" w:space="0" w:color="auto"/>
                <w:left w:val="none" w:sz="0" w:space="0" w:color="auto"/>
                <w:bottom w:val="none" w:sz="0" w:space="0" w:color="auto"/>
                <w:right w:val="none" w:sz="0" w:space="0" w:color="auto"/>
              </w:divBdr>
            </w:div>
          </w:divsChild>
        </w:div>
        <w:div w:id="780341323">
          <w:marLeft w:val="0"/>
          <w:marRight w:val="0"/>
          <w:marTop w:val="0"/>
          <w:marBottom w:val="0"/>
          <w:divBdr>
            <w:top w:val="none" w:sz="0" w:space="0" w:color="auto"/>
            <w:left w:val="none" w:sz="0" w:space="0" w:color="auto"/>
            <w:bottom w:val="none" w:sz="0" w:space="0" w:color="auto"/>
            <w:right w:val="none" w:sz="0" w:space="0" w:color="auto"/>
          </w:divBdr>
          <w:divsChild>
            <w:div w:id="385376577">
              <w:marLeft w:val="0"/>
              <w:marRight w:val="0"/>
              <w:marTop w:val="0"/>
              <w:marBottom w:val="0"/>
              <w:divBdr>
                <w:top w:val="none" w:sz="0" w:space="0" w:color="auto"/>
                <w:left w:val="none" w:sz="0" w:space="0" w:color="auto"/>
                <w:bottom w:val="none" w:sz="0" w:space="0" w:color="auto"/>
                <w:right w:val="none" w:sz="0" w:space="0" w:color="auto"/>
              </w:divBdr>
            </w:div>
          </w:divsChild>
        </w:div>
        <w:div w:id="796148361">
          <w:marLeft w:val="0"/>
          <w:marRight w:val="0"/>
          <w:marTop w:val="0"/>
          <w:marBottom w:val="0"/>
          <w:divBdr>
            <w:top w:val="none" w:sz="0" w:space="0" w:color="auto"/>
            <w:left w:val="none" w:sz="0" w:space="0" w:color="auto"/>
            <w:bottom w:val="none" w:sz="0" w:space="0" w:color="auto"/>
            <w:right w:val="none" w:sz="0" w:space="0" w:color="auto"/>
          </w:divBdr>
          <w:divsChild>
            <w:div w:id="817571861">
              <w:marLeft w:val="0"/>
              <w:marRight w:val="0"/>
              <w:marTop w:val="0"/>
              <w:marBottom w:val="0"/>
              <w:divBdr>
                <w:top w:val="none" w:sz="0" w:space="0" w:color="auto"/>
                <w:left w:val="none" w:sz="0" w:space="0" w:color="auto"/>
                <w:bottom w:val="none" w:sz="0" w:space="0" w:color="auto"/>
                <w:right w:val="none" w:sz="0" w:space="0" w:color="auto"/>
              </w:divBdr>
            </w:div>
          </w:divsChild>
        </w:div>
        <w:div w:id="824784038">
          <w:marLeft w:val="0"/>
          <w:marRight w:val="0"/>
          <w:marTop w:val="0"/>
          <w:marBottom w:val="0"/>
          <w:divBdr>
            <w:top w:val="none" w:sz="0" w:space="0" w:color="auto"/>
            <w:left w:val="none" w:sz="0" w:space="0" w:color="auto"/>
            <w:bottom w:val="none" w:sz="0" w:space="0" w:color="auto"/>
            <w:right w:val="none" w:sz="0" w:space="0" w:color="auto"/>
          </w:divBdr>
          <w:divsChild>
            <w:div w:id="1485973955">
              <w:marLeft w:val="0"/>
              <w:marRight w:val="0"/>
              <w:marTop w:val="0"/>
              <w:marBottom w:val="0"/>
              <w:divBdr>
                <w:top w:val="none" w:sz="0" w:space="0" w:color="auto"/>
                <w:left w:val="none" w:sz="0" w:space="0" w:color="auto"/>
                <w:bottom w:val="none" w:sz="0" w:space="0" w:color="auto"/>
                <w:right w:val="none" w:sz="0" w:space="0" w:color="auto"/>
              </w:divBdr>
            </w:div>
          </w:divsChild>
        </w:div>
        <w:div w:id="827017356">
          <w:marLeft w:val="0"/>
          <w:marRight w:val="0"/>
          <w:marTop w:val="0"/>
          <w:marBottom w:val="0"/>
          <w:divBdr>
            <w:top w:val="none" w:sz="0" w:space="0" w:color="auto"/>
            <w:left w:val="none" w:sz="0" w:space="0" w:color="auto"/>
            <w:bottom w:val="none" w:sz="0" w:space="0" w:color="auto"/>
            <w:right w:val="none" w:sz="0" w:space="0" w:color="auto"/>
          </w:divBdr>
          <w:divsChild>
            <w:div w:id="1549486713">
              <w:marLeft w:val="0"/>
              <w:marRight w:val="0"/>
              <w:marTop w:val="0"/>
              <w:marBottom w:val="0"/>
              <w:divBdr>
                <w:top w:val="none" w:sz="0" w:space="0" w:color="auto"/>
                <w:left w:val="none" w:sz="0" w:space="0" w:color="auto"/>
                <w:bottom w:val="none" w:sz="0" w:space="0" w:color="auto"/>
                <w:right w:val="none" w:sz="0" w:space="0" w:color="auto"/>
              </w:divBdr>
            </w:div>
          </w:divsChild>
        </w:div>
        <w:div w:id="857620287">
          <w:marLeft w:val="0"/>
          <w:marRight w:val="0"/>
          <w:marTop w:val="0"/>
          <w:marBottom w:val="0"/>
          <w:divBdr>
            <w:top w:val="none" w:sz="0" w:space="0" w:color="auto"/>
            <w:left w:val="none" w:sz="0" w:space="0" w:color="auto"/>
            <w:bottom w:val="none" w:sz="0" w:space="0" w:color="auto"/>
            <w:right w:val="none" w:sz="0" w:space="0" w:color="auto"/>
          </w:divBdr>
          <w:divsChild>
            <w:div w:id="1410729412">
              <w:marLeft w:val="0"/>
              <w:marRight w:val="0"/>
              <w:marTop w:val="0"/>
              <w:marBottom w:val="0"/>
              <w:divBdr>
                <w:top w:val="none" w:sz="0" w:space="0" w:color="auto"/>
                <w:left w:val="none" w:sz="0" w:space="0" w:color="auto"/>
                <w:bottom w:val="none" w:sz="0" w:space="0" w:color="auto"/>
                <w:right w:val="none" w:sz="0" w:space="0" w:color="auto"/>
              </w:divBdr>
            </w:div>
          </w:divsChild>
        </w:div>
        <w:div w:id="859199388">
          <w:marLeft w:val="0"/>
          <w:marRight w:val="0"/>
          <w:marTop w:val="0"/>
          <w:marBottom w:val="0"/>
          <w:divBdr>
            <w:top w:val="none" w:sz="0" w:space="0" w:color="auto"/>
            <w:left w:val="none" w:sz="0" w:space="0" w:color="auto"/>
            <w:bottom w:val="none" w:sz="0" w:space="0" w:color="auto"/>
            <w:right w:val="none" w:sz="0" w:space="0" w:color="auto"/>
          </w:divBdr>
          <w:divsChild>
            <w:div w:id="350188006">
              <w:marLeft w:val="0"/>
              <w:marRight w:val="0"/>
              <w:marTop w:val="0"/>
              <w:marBottom w:val="0"/>
              <w:divBdr>
                <w:top w:val="none" w:sz="0" w:space="0" w:color="auto"/>
                <w:left w:val="none" w:sz="0" w:space="0" w:color="auto"/>
                <w:bottom w:val="none" w:sz="0" w:space="0" w:color="auto"/>
                <w:right w:val="none" w:sz="0" w:space="0" w:color="auto"/>
              </w:divBdr>
            </w:div>
          </w:divsChild>
        </w:div>
        <w:div w:id="897787314">
          <w:marLeft w:val="0"/>
          <w:marRight w:val="0"/>
          <w:marTop w:val="0"/>
          <w:marBottom w:val="0"/>
          <w:divBdr>
            <w:top w:val="none" w:sz="0" w:space="0" w:color="auto"/>
            <w:left w:val="none" w:sz="0" w:space="0" w:color="auto"/>
            <w:bottom w:val="none" w:sz="0" w:space="0" w:color="auto"/>
            <w:right w:val="none" w:sz="0" w:space="0" w:color="auto"/>
          </w:divBdr>
          <w:divsChild>
            <w:div w:id="2049331380">
              <w:marLeft w:val="0"/>
              <w:marRight w:val="0"/>
              <w:marTop w:val="0"/>
              <w:marBottom w:val="0"/>
              <w:divBdr>
                <w:top w:val="none" w:sz="0" w:space="0" w:color="auto"/>
                <w:left w:val="none" w:sz="0" w:space="0" w:color="auto"/>
                <w:bottom w:val="none" w:sz="0" w:space="0" w:color="auto"/>
                <w:right w:val="none" w:sz="0" w:space="0" w:color="auto"/>
              </w:divBdr>
            </w:div>
          </w:divsChild>
        </w:div>
        <w:div w:id="899707560">
          <w:marLeft w:val="0"/>
          <w:marRight w:val="0"/>
          <w:marTop w:val="0"/>
          <w:marBottom w:val="0"/>
          <w:divBdr>
            <w:top w:val="none" w:sz="0" w:space="0" w:color="auto"/>
            <w:left w:val="none" w:sz="0" w:space="0" w:color="auto"/>
            <w:bottom w:val="none" w:sz="0" w:space="0" w:color="auto"/>
            <w:right w:val="none" w:sz="0" w:space="0" w:color="auto"/>
          </w:divBdr>
          <w:divsChild>
            <w:div w:id="738283750">
              <w:marLeft w:val="0"/>
              <w:marRight w:val="0"/>
              <w:marTop w:val="0"/>
              <w:marBottom w:val="0"/>
              <w:divBdr>
                <w:top w:val="none" w:sz="0" w:space="0" w:color="auto"/>
                <w:left w:val="none" w:sz="0" w:space="0" w:color="auto"/>
                <w:bottom w:val="none" w:sz="0" w:space="0" w:color="auto"/>
                <w:right w:val="none" w:sz="0" w:space="0" w:color="auto"/>
              </w:divBdr>
            </w:div>
          </w:divsChild>
        </w:div>
        <w:div w:id="938224205">
          <w:marLeft w:val="0"/>
          <w:marRight w:val="0"/>
          <w:marTop w:val="0"/>
          <w:marBottom w:val="0"/>
          <w:divBdr>
            <w:top w:val="none" w:sz="0" w:space="0" w:color="auto"/>
            <w:left w:val="none" w:sz="0" w:space="0" w:color="auto"/>
            <w:bottom w:val="none" w:sz="0" w:space="0" w:color="auto"/>
            <w:right w:val="none" w:sz="0" w:space="0" w:color="auto"/>
          </w:divBdr>
          <w:divsChild>
            <w:div w:id="821702901">
              <w:marLeft w:val="0"/>
              <w:marRight w:val="0"/>
              <w:marTop w:val="0"/>
              <w:marBottom w:val="0"/>
              <w:divBdr>
                <w:top w:val="none" w:sz="0" w:space="0" w:color="auto"/>
                <w:left w:val="none" w:sz="0" w:space="0" w:color="auto"/>
                <w:bottom w:val="none" w:sz="0" w:space="0" w:color="auto"/>
                <w:right w:val="none" w:sz="0" w:space="0" w:color="auto"/>
              </w:divBdr>
            </w:div>
          </w:divsChild>
        </w:div>
        <w:div w:id="954366791">
          <w:marLeft w:val="0"/>
          <w:marRight w:val="0"/>
          <w:marTop w:val="0"/>
          <w:marBottom w:val="0"/>
          <w:divBdr>
            <w:top w:val="none" w:sz="0" w:space="0" w:color="auto"/>
            <w:left w:val="none" w:sz="0" w:space="0" w:color="auto"/>
            <w:bottom w:val="none" w:sz="0" w:space="0" w:color="auto"/>
            <w:right w:val="none" w:sz="0" w:space="0" w:color="auto"/>
          </w:divBdr>
          <w:divsChild>
            <w:div w:id="6104758">
              <w:marLeft w:val="0"/>
              <w:marRight w:val="0"/>
              <w:marTop w:val="0"/>
              <w:marBottom w:val="0"/>
              <w:divBdr>
                <w:top w:val="none" w:sz="0" w:space="0" w:color="auto"/>
                <w:left w:val="none" w:sz="0" w:space="0" w:color="auto"/>
                <w:bottom w:val="none" w:sz="0" w:space="0" w:color="auto"/>
                <w:right w:val="none" w:sz="0" w:space="0" w:color="auto"/>
              </w:divBdr>
            </w:div>
          </w:divsChild>
        </w:div>
        <w:div w:id="1006178404">
          <w:marLeft w:val="0"/>
          <w:marRight w:val="0"/>
          <w:marTop w:val="0"/>
          <w:marBottom w:val="0"/>
          <w:divBdr>
            <w:top w:val="none" w:sz="0" w:space="0" w:color="auto"/>
            <w:left w:val="none" w:sz="0" w:space="0" w:color="auto"/>
            <w:bottom w:val="none" w:sz="0" w:space="0" w:color="auto"/>
            <w:right w:val="none" w:sz="0" w:space="0" w:color="auto"/>
          </w:divBdr>
          <w:divsChild>
            <w:div w:id="1073815032">
              <w:marLeft w:val="0"/>
              <w:marRight w:val="0"/>
              <w:marTop w:val="0"/>
              <w:marBottom w:val="0"/>
              <w:divBdr>
                <w:top w:val="none" w:sz="0" w:space="0" w:color="auto"/>
                <w:left w:val="none" w:sz="0" w:space="0" w:color="auto"/>
                <w:bottom w:val="none" w:sz="0" w:space="0" w:color="auto"/>
                <w:right w:val="none" w:sz="0" w:space="0" w:color="auto"/>
              </w:divBdr>
            </w:div>
          </w:divsChild>
        </w:div>
        <w:div w:id="1006908208">
          <w:marLeft w:val="0"/>
          <w:marRight w:val="0"/>
          <w:marTop w:val="0"/>
          <w:marBottom w:val="0"/>
          <w:divBdr>
            <w:top w:val="none" w:sz="0" w:space="0" w:color="auto"/>
            <w:left w:val="none" w:sz="0" w:space="0" w:color="auto"/>
            <w:bottom w:val="none" w:sz="0" w:space="0" w:color="auto"/>
            <w:right w:val="none" w:sz="0" w:space="0" w:color="auto"/>
          </w:divBdr>
          <w:divsChild>
            <w:div w:id="297762249">
              <w:marLeft w:val="0"/>
              <w:marRight w:val="0"/>
              <w:marTop w:val="0"/>
              <w:marBottom w:val="0"/>
              <w:divBdr>
                <w:top w:val="none" w:sz="0" w:space="0" w:color="auto"/>
                <w:left w:val="none" w:sz="0" w:space="0" w:color="auto"/>
                <w:bottom w:val="none" w:sz="0" w:space="0" w:color="auto"/>
                <w:right w:val="none" w:sz="0" w:space="0" w:color="auto"/>
              </w:divBdr>
            </w:div>
          </w:divsChild>
        </w:div>
        <w:div w:id="1070035314">
          <w:marLeft w:val="0"/>
          <w:marRight w:val="0"/>
          <w:marTop w:val="0"/>
          <w:marBottom w:val="0"/>
          <w:divBdr>
            <w:top w:val="none" w:sz="0" w:space="0" w:color="auto"/>
            <w:left w:val="none" w:sz="0" w:space="0" w:color="auto"/>
            <w:bottom w:val="none" w:sz="0" w:space="0" w:color="auto"/>
            <w:right w:val="none" w:sz="0" w:space="0" w:color="auto"/>
          </w:divBdr>
          <w:divsChild>
            <w:div w:id="1747649074">
              <w:marLeft w:val="0"/>
              <w:marRight w:val="0"/>
              <w:marTop w:val="0"/>
              <w:marBottom w:val="0"/>
              <w:divBdr>
                <w:top w:val="none" w:sz="0" w:space="0" w:color="auto"/>
                <w:left w:val="none" w:sz="0" w:space="0" w:color="auto"/>
                <w:bottom w:val="none" w:sz="0" w:space="0" w:color="auto"/>
                <w:right w:val="none" w:sz="0" w:space="0" w:color="auto"/>
              </w:divBdr>
            </w:div>
          </w:divsChild>
        </w:div>
        <w:div w:id="1088424985">
          <w:marLeft w:val="0"/>
          <w:marRight w:val="0"/>
          <w:marTop w:val="0"/>
          <w:marBottom w:val="0"/>
          <w:divBdr>
            <w:top w:val="none" w:sz="0" w:space="0" w:color="auto"/>
            <w:left w:val="none" w:sz="0" w:space="0" w:color="auto"/>
            <w:bottom w:val="none" w:sz="0" w:space="0" w:color="auto"/>
            <w:right w:val="none" w:sz="0" w:space="0" w:color="auto"/>
          </w:divBdr>
          <w:divsChild>
            <w:div w:id="152071174">
              <w:marLeft w:val="0"/>
              <w:marRight w:val="0"/>
              <w:marTop w:val="0"/>
              <w:marBottom w:val="0"/>
              <w:divBdr>
                <w:top w:val="none" w:sz="0" w:space="0" w:color="auto"/>
                <w:left w:val="none" w:sz="0" w:space="0" w:color="auto"/>
                <w:bottom w:val="none" w:sz="0" w:space="0" w:color="auto"/>
                <w:right w:val="none" w:sz="0" w:space="0" w:color="auto"/>
              </w:divBdr>
            </w:div>
          </w:divsChild>
        </w:div>
        <w:div w:id="1094933461">
          <w:marLeft w:val="0"/>
          <w:marRight w:val="0"/>
          <w:marTop w:val="0"/>
          <w:marBottom w:val="0"/>
          <w:divBdr>
            <w:top w:val="none" w:sz="0" w:space="0" w:color="auto"/>
            <w:left w:val="none" w:sz="0" w:space="0" w:color="auto"/>
            <w:bottom w:val="none" w:sz="0" w:space="0" w:color="auto"/>
            <w:right w:val="none" w:sz="0" w:space="0" w:color="auto"/>
          </w:divBdr>
          <w:divsChild>
            <w:div w:id="1536624816">
              <w:marLeft w:val="0"/>
              <w:marRight w:val="0"/>
              <w:marTop w:val="0"/>
              <w:marBottom w:val="0"/>
              <w:divBdr>
                <w:top w:val="none" w:sz="0" w:space="0" w:color="auto"/>
                <w:left w:val="none" w:sz="0" w:space="0" w:color="auto"/>
                <w:bottom w:val="none" w:sz="0" w:space="0" w:color="auto"/>
                <w:right w:val="none" w:sz="0" w:space="0" w:color="auto"/>
              </w:divBdr>
            </w:div>
          </w:divsChild>
        </w:div>
        <w:div w:id="1111124376">
          <w:marLeft w:val="0"/>
          <w:marRight w:val="0"/>
          <w:marTop w:val="0"/>
          <w:marBottom w:val="0"/>
          <w:divBdr>
            <w:top w:val="none" w:sz="0" w:space="0" w:color="auto"/>
            <w:left w:val="none" w:sz="0" w:space="0" w:color="auto"/>
            <w:bottom w:val="none" w:sz="0" w:space="0" w:color="auto"/>
            <w:right w:val="none" w:sz="0" w:space="0" w:color="auto"/>
          </w:divBdr>
          <w:divsChild>
            <w:div w:id="456678972">
              <w:marLeft w:val="0"/>
              <w:marRight w:val="0"/>
              <w:marTop w:val="0"/>
              <w:marBottom w:val="0"/>
              <w:divBdr>
                <w:top w:val="none" w:sz="0" w:space="0" w:color="auto"/>
                <w:left w:val="none" w:sz="0" w:space="0" w:color="auto"/>
                <w:bottom w:val="none" w:sz="0" w:space="0" w:color="auto"/>
                <w:right w:val="none" w:sz="0" w:space="0" w:color="auto"/>
              </w:divBdr>
            </w:div>
          </w:divsChild>
        </w:div>
        <w:div w:id="1143813172">
          <w:marLeft w:val="0"/>
          <w:marRight w:val="0"/>
          <w:marTop w:val="0"/>
          <w:marBottom w:val="0"/>
          <w:divBdr>
            <w:top w:val="none" w:sz="0" w:space="0" w:color="auto"/>
            <w:left w:val="none" w:sz="0" w:space="0" w:color="auto"/>
            <w:bottom w:val="none" w:sz="0" w:space="0" w:color="auto"/>
            <w:right w:val="none" w:sz="0" w:space="0" w:color="auto"/>
          </w:divBdr>
          <w:divsChild>
            <w:div w:id="605234320">
              <w:marLeft w:val="0"/>
              <w:marRight w:val="0"/>
              <w:marTop w:val="0"/>
              <w:marBottom w:val="0"/>
              <w:divBdr>
                <w:top w:val="none" w:sz="0" w:space="0" w:color="auto"/>
                <w:left w:val="none" w:sz="0" w:space="0" w:color="auto"/>
                <w:bottom w:val="none" w:sz="0" w:space="0" w:color="auto"/>
                <w:right w:val="none" w:sz="0" w:space="0" w:color="auto"/>
              </w:divBdr>
            </w:div>
          </w:divsChild>
        </w:div>
        <w:div w:id="1147208117">
          <w:marLeft w:val="0"/>
          <w:marRight w:val="0"/>
          <w:marTop w:val="0"/>
          <w:marBottom w:val="0"/>
          <w:divBdr>
            <w:top w:val="none" w:sz="0" w:space="0" w:color="auto"/>
            <w:left w:val="none" w:sz="0" w:space="0" w:color="auto"/>
            <w:bottom w:val="none" w:sz="0" w:space="0" w:color="auto"/>
            <w:right w:val="none" w:sz="0" w:space="0" w:color="auto"/>
          </w:divBdr>
          <w:divsChild>
            <w:div w:id="876434923">
              <w:marLeft w:val="0"/>
              <w:marRight w:val="0"/>
              <w:marTop w:val="0"/>
              <w:marBottom w:val="0"/>
              <w:divBdr>
                <w:top w:val="none" w:sz="0" w:space="0" w:color="auto"/>
                <w:left w:val="none" w:sz="0" w:space="0" w:color="auto"/>
                <w:bottom w:val="none" w:sz="0" w:space="0" w:color="auto"/>
                <w:right w:val="none" w:sz="0" w:space="0" w:color="auto"/>
              </w:divBdr>
            </w:div>
          </w:divsChild>
        </w:div>
        <w:div w:id="1176730954">
          <w:marLeft w:val="0"/>
          <w:marRight w:val="0"/>
          <w:marTop w:val="0"/>
          <w:marBottom w:val="0"/>
          <w:divBdr>
            <w:top w:val="none" w:sz="0" w:space="0" w:color="auto"/>
            <w:left w:val="none" w:sz="0" w:space="0" w:color="auto"/>
            <w:bottom w:val="none" w:sz="0" w:space="0" w:color="auto"/>
            <w:right w:val="none" w:sz="0" w:space="0" w:color="auto"/>
          </w:divBdr>
          <w:divsChild>
            <w:div w:id="1693648097">
              <w:marLeft w:val="0"/>
              <w:marRight w:val="0"/>
              <w:marTop w:val="0"/>
              <w:marBottom w:val="0"/>
              <w:divBdr>
                <w:top w:val="none" w:sz="0" w:space="0" w:color="auto"/>
                <w:left w:val="none" w:sz="0" w:space="0" w:color="auto"/>
                <w:bottom w:val="none" w:sz="0" w:space="0" w:color="auto"/>
                <w:right w:val="none" w:sz="0" w:space="0" w:color="auto"/>
              </w:divBdr>
            </w:div>
          </w:divsChild>
        </w:div>
        <w:div w:id="1282685941">
          <w:marLeft w:val="0"/>
          <w:marRight w:val="0"/>
          <w:marTop w:val="0"/>
          <w:marBottom w:val="0"/>
          <w:divBdr>
            <w:top w:val="none" w:sz="0" w:space="0" w:color="auto"/>
            <w:left w:val="none" w:sz="0" w:space="0" w:color="auto"/>
            <w:bottom w:val="none" w:sz="0" w:space="0" w:color="auto"/>
            <w:right w:val="none" w:sz="0" w:space="0" w:color="auto"/>
          </w:divBdr>
          <w:divsChild>
            <w:div w:id="427509096">
              <w:marLeft w:val="0"/>
              <w:marRight w:val="0"/>
              <w:marTop w:val="0"/>
              <w:marBottom w:val="0"/>
              <w:divBdr>
                <w:top w:val="none" w:sz="0" w:space="0" w:color="auto"/>
                <w:left w:val="none" w:sz="0" w:space="0" w:color="auto"/>
                <w:bottom w:val="none" w:sz="0" w:space="0" w:color="auto"/>
                <w:right w:val="none" w:sz="0" w:space="0" w:color="auto"/>
              </w:divBdr>
            </w:div>
          </w:divsChild>
        </w:div>
        <w:div w:id="1301691859">
          <w:marLeft w:val="0"/>
          <w:marRight w:val="0"/>
          <w:marTop w:val="0"/>
          <w:marBottom w:val="0"/>
          <w:divBdr>
            <w:top w:val="none" w:sz="0" w:space="0" w:color="auto"/>
            <w:left w:val="none" w:sz="0" w:space="0" w:color="auto"/>
            <w:bottom w:val="none" w:sz="0" w:space="0" w:color="auto"/>
            <w:right w:val="none" w:sz="0" w:space="0" w:color="auto"/>
          </w:divBdr>
          <w:divsChild>
            <w:div w:id="1806435907">
              <w:marLeft w:val="0"/>
              <w:marRight w:val="0"/>
              <w:marTop w:val="0"/>
              <w:marBottom w:val="0"/>
              <w:divBdr>
                <w:top w:val="none" w:sz="0" w:space="0" w:color="auto"/>
                <w:left w:val="none" w:sz="0" w:space="0" w:color="auto"/>
                <w:bottom w:val="none" w:sz="0" w:space="0" w:color="auto"/>
                <w:right w:val="none" w:sz="0" w:space="0" w:color="auto"/>
              </w:divBdr>
            </w:div>
          </w:divsChild>
        </w:div>
        <w:div w:id="1319967305">
          <w:marLeft w:val="0"/>
          <w:marRight w:val="0"/>
          <w:marTop w:val="0"/>
          <w:marBottom w:val="0"/>
          <w:divBdr>
            <w:top w:val="none" w:sz="0" w:space="0" w:color="auto"/>
            <w:left w:val="none" w:sz="0" w:space="0" w:color="auto"/>
            <w:bottom w:val="none" w:sz="0" w:space="0" w:color="auto"/>
            <w:right w:val="none" w:sz="0" w:space="0" w:color="auto"/>
          </w:divBdr>
          <w:divsChild>
            <w:div w:id="1925992582">
              <w:marLeft w:val="0"/>
              <w:marRight w:val="0"/>
              <w:marTop w:val="0"/>
              <w:marBottom w:val="0"/>
              <w:divBdr>
                <w:top w:val="none" w:sz="0" w:space="0" w:color="auto"/>
                <w:left w:val="none" w:sz="0" w:space="0" w:color="auto"/>
                <w:bottom w:val="none" w:sz="0" w:space="0" w:color="auto"/>
                <w:right w:val="none" w:sz="0" w:space="0" w:color="auto"/>
              </w:divBdr>
            </w:div>
          </w:divsChild>
        </w:div>
        <w:div w:id="1328945508">
          <w:marLeft w:val="0"/>
          <w:marRight w:val="0"/>
          <w:marTop w:val="0"/>
          <w:marBottom w:val="0"/>
          <w:divBdr>
            <w:top w:val="none" w:sz="0" w:space="0" w:color="auto"/>
            <w:left w:val="none" w:sz="0" w:space="0" w:color="auto"/>
            <w:bottom w:val="none" w:sz="0" w:space="0" w:color="auto"/>
            <w:right w:val="none" w:sz="0" w:space="0" w:color="auto"/>
          </w:divBdr>
          <w:divsChild>
            <w:div w:id="1082414909">
              <w:marLeft w:val="0"/>
              <w:marRight w:val="0"/>
              <w:marTop w:val="0"/>
              <w:marBottom w:val="0"/>
              <w:divBdr>
                <w:top w:val="none" w:sz="0" w:space="0" w:color="auto"/>
                <w:left w:val="none" w:sz="0" w:space="0" w:color="auto"/>
                <w:bottom w:val="none" w:sz="0" w:space="0" w:color="auto"/>
                <w:right w:val="none" w:sz="0" w:space="0" w:color="auto"/>
              </w:divBdr>
            </w:div>
          </w:divsChild>
        </w:div>
        <w:div w:id="1356882851">
          <w:marLeft w:val="0"/>
          <w:marRight w:val="0"/>
          <w:marTop w:val="0"/>
          <w:marBottom w:val="0"/>
          <w:divBdr>
            <w:top w:val="none" w:sz="0" w:space="0" w:color="auto"/>
            <w:left w:val="none" w:sz="0" w:space="0" w:color="auto"/>
            <w:bottom w:val="none" w:sz="0" w:space="0" w:color="auto"/>
            <w:right w:val="none" w:sz="0" w:space="0" w:color="auto"/>
          </w:divBdr>
          <w:divsChild>
            <w:div w:id="529225102">
              <w:marLeft w:val="0"/>
              <w:marRight w:val="0"/>
              <w:marTop w:val="0"/>
              <w:marBottom w:val="0"/>
              <w:divBdr>
                <w:top w:val="none" w:sz="0" w:space="0" w:color="auto"/>
                <w:left w:val="none" w:sz="0" w:space="0" w:color="auto"/>
                <w:bottom w:val="none" w:sz="0" w:space="0" w:color="auto"/>
                <w:right w:val="none" w:sz="0" w:space="0" w:color="auto"/>
              </w:divBdr>
            </w:div>
          </w:divsChild>
        </w:div>
        <w:div w:id="1368991634">
          <w:marLeft w:val="0"/>
          <w:marRight w:val="0"/>
          <w:marTop w:val="0"/>
          <w:marBottom w:val="0"/>
          <w:divBdr>
            <w:top w:val="none" w:sz="0" w:space="0" w:color="auto"/>
            <w:left w:val="none" w:sz="0" w:space="0" w:color="auto"/>
            <w:bottom w:val="none" w:sz="0" w:space="0" w:color="auto"/>
            <w:right w:val="none" w:sz="0" w:space="0" w:color="auto"/>
          </w:divBdr>
          <w:divsChild>
            <w:div w:id="342363653">
              <w:marLeft w:val="0"/>
              <w:marRight w:val="0"/>
              <w:marTop w:val="0"/>
              <w:marBottom w:val="0"/>
              <w:divBdr>
                <w:top w:val="none" w:sz="0" w:space="0" w:color="auto"/>
                <w:left w:val="none" w:sz="0" w:space="0" w:color="auto"/>
                <w:bottom w:val="none" w:sz="0" w:space="0" w:color="auto"/>
                <w:right w:val="none" w:sz="0" w:space="0" w:color="auto"/>
              </w:divBdr>
            </w:div>
          </w:divsChild>
        </w:div>
        <w:div w:id="1375734519">
          <w:marLeft w:val="0"/>
          <w:marRight w:val="0"/>
          <w:marTop w:val="0"/>
          <w:marBottom w:val="0"/>
          <w:divBdr>
            <w:top w:val="none" w:sz="0" w:space="0" w:color="auto"/>
            <w:left w:val="none" w:sz="0" w:space="0" w:color="auto"/>
            <w:bottom w:val="none" w:sz="0" w:space="0" w:color="auto"/>
            <w:right w:val="none" w:sz="0" w:space="0" w:color="auto"/>
          </w:divBdr>
          <w:divsChild>
            <w:div w:id="459616815">
              <w:marLeft w:val="0"/>
              <w:marRight w:val="0"/>
              <w:marTop w:val="0"/>
              <w:marBottom w:val="0"/>
              <w:divBdr>
                <w:top w:val="none" w:sz="0" w:space="0" w:color="auto"/>
                <w:left w:val="none" w:sz="0" w:space="0" w:color="auto"/>
                <w:bottom w:val="none" w:sz="0" w:space="0" w:color="auto"/>
                <w:right w:val="none" w:sz="0" w:space="0" w:color="auto"/>
              </w:divBdr>
            </w:div>
          </w:divsChild>
        </w:div>
        <w:div w:id="1384938553">
          <w:marLeft w:val="0"/>
          <w:marRight w:val="0"/>
          <w:marTop w:val="0"/>
          <w:marBottom w:val="0"/>
          <w:divBdr>
            <w:top w:val="none" w:sz="0" w:space="0" w:color="auto"/>
            <w:left w:val="none" w:sz="0" w:space="0" w:color="auto"/>
            <w:bottom w:val="none" w:sz="0" w:space="0" w:color="auto"/>
            <w:right w:val="none" w:sz="0" w:space="0" w:color="auto"/>
          </w:divBdr>
          <w:divsChild>
            <w:div w:id="1825773628">
              <w:marLeft w:val="0"/>
              <w:marRight w:val="0"/>
              <w:marTop w:val="0"/>
              <w:marBottom w:val="0"/>
              <w:divBdr>
                <w:top w:val="none" w:sz="0" w:space="0" w:color="auto"/>
                <w:left w:val="none" w:sz="0" w:space="0" w:color="auto"/>
                <w:bottom w:val="none" w:sz="0" w:space="0" w:color="auto"/>
                <w:right w:val="none" w:sz="0" w:space="0" w:color="auto"/>
              </w:divBdr>
            </w:div>
          </w:divsChild>
        </w:div>
        <w:div w:id="1387990095">
          <w:marLeft w:val="0"/>
          <w:marRight w:val="0"/>
          <w:marTop w:val="0"/>
          <w:marBottom w:val="0"/>
          <w:divBdr>
            <w:top w:val="none" w:sz="0" w:space="0" w:color="auto"/>
            <w:left w:val="none" w:sz="0" w:space="0" w:color="auto"/>
            <w:bottom w:val="none" w:sz="0" w:space="0" w:color="auto"/>
            <w:right w:val="none" w:sz="0" w:space="0" w:color="auto"/>
          </w:divBdr>
          <w:divsChild>
            <w:div w:id="1801220343">
              <w:marLeft w:val="0"/>
              <w:marRight w:val="0"/>
              <w:marTop w:val="0"/>
              <w:marBottom w:val="0"/>
              <w:divBdr>
                <w:top w:val="none" w:sz="0" w:space="0" w:color="auto"/>
                <w:left w:val="none" w:sz="0" w:space="0" w:color="auto"/>
                <w:bottom w:val="none" w:sz="0" w:space="0" w:color="auto"/>
                <w:right w:val="none" w:sz="0" w:space="0" w:color="auto"/>
              </w:divBdr>
            </w:div>
          </w:divsChild>
        </w:div>
        <w:div w:id="1394809949">
          <w:marLeft w:val="0"/>
          <w:marRight w:val="0"/>
          <w:marTop w:val="0"/>
          <w:marBottom w:val="0"/>
          <w:divBdr>
            <w:top w:val="none" w:sz="0" w:space="0" w:color="auto"/>
            <w:left w:val="none" w:sz="0" w:space="0" w:color="auto"/>
            <w:bottom w:val="none" w:sz="0" w:space="0" w:color="auto"/>
            <w:right w:val="none" w:sz="0" w:space="0" w:color="auto"/>
          </w:divBdr>
          <w:divsChild>
            <w:div w:id="2114545406">
              <w:marLeft w:val="0"/>
              <w:marRight w:val="0"/>
              <w:marTop w:val="0"/>
              <w:marBottom w:val="0"/>
              <w:divBdr>
                <w:top w:val="none" w:sz="0" w:space="0" w:color="auto"/>
                <w:left w:val="none" w:sz="0" w:space="0" w:color="auto"/>
                <w:bottom w:val="none" w:sz="0" w:space="0" w:color="auto"/>
                <w:right w:val="none" w:sz="0" w:space="0" w:color="auto"/>
              </w:divBdr>
            </w:div>
          </w:divsChild>
        </w:div>
        <w:div w:id="1426223283">
          <w:marLeft w:val="0"/>
          <w:marRight w:val="0"/>
          <w:marTop w:val="0"/>
          <w:marBottom w:val="0"/>
          <w:divBdr>
            <w:top w:val="none" w:sz="0" w:space="0" w:color="auto"/>
            <w:left w:val="none" w:sz="0" w:space="0" w:color="auto"/>
            <w:bottom w:val="none" w:sz="0" w:space="0" w:color="auto"/>
            <w:right w:val="none" w:sz="0" w:space="0" w:color="auto"/>
          </w:divBdr>
          <w:divsChild>
            <w:div w:id="126511757">
              <w:marLeft w:val="0"/>
              <w:marRight w:val="0"/>
              <w:marTop w:val="0"/>
              <w:marBottom w:val="0"/>
              <w:divBdr>
                <w:top w:val="none" w:sz="0" w:space="0" w:color="auto"/>
                <w:left w:val="none" w:sz="0" w:space="0" w:color="auto"/>
                <w:bottom w:val="none" w:sz="0" w:space="0" w:color="auto"/>
                <w:right w:val="none" w:sz="0" w:space="0" w:color="auto"/>
              </w:divBdr>
            </w:div>
          </w:divsChild>
        </w:div>
        <w:div w:id="1441682809">
          <w:marLeft w:val="0"/>
          <w:marRight w:val="0"/>
          <w:marTop w:val="0"/>
          <w:marBottom w:val="0"/>
          <w:divBdr>
            <w:top w:val="none" w:sz="0" w:space="0" w:color="auto"/>
            <w:left w:val="none" w:sz="0" w:space="0" w:color="auto"/>
            <w:bottom w:val="none" w:sz="0" w:space="0" w:color="auto"/>
            <w:right w:val="none" w:sz="0" w:space="0" w:color="auto"/>
          </w:divBdr>
          <w:divsChild>
            <w:div w:id="29764550">
              <w:marLeft w:val="0"/>
              <w:marRight w:val="0"/>
              <w:marTop w:val="0"/>
              <w:marBottom w:val="0"/>
              <w:divBdr>
                <w:top w:val="none" w:sz="0" w:space="0" w:color="auto"/>
                <w:left w:val="none" w:sz="0" w:space="0" w:color="auto"/>
                <w:bottom w:val="none" w:sz="0" w:space="0" w:color="auto"/>
                <w:right w:val="none" w:sz="0" w:space="0" w:color="auto"/>
              </w:divBdr>
            </w:div>
          </w:divsChild>
        </w:div>
        <w:div w:id="1468281198">
          <w:marLeft w:val="0"/>
          <w:marRight w:val="0"/>
          <w:marTop w:val="0"/>
          <w:marBottom w:val="0"/>
          <w:divBdr>
            <w:top w:val="none" w:sz="0" w:space="0" w:color="auto"/>
            <w:left w:val="none" w:sz="0" w:space="0" w:color="auto"/>
            <w:bottom w:val="none" w:sz="0" w:space="0" w:color="auto"/>
            <w:right w:val="none" w:sz="0" w:space="0" w:color="auto"/>
          </w:divBdr>
          <w:divsChild>
            <w:div w:id="1456754736">
              <w:marLeft w:val="0"/>
              <w:marRight w:val="0"/>
              <w:marTop w:val="0"/>
              <w:marBottom w:val="0"/>
              <w:divBdr>
                <w:top w:val="none" w:sz="0" w:space="0" w:color="auto"/>
                <w:left w:val="none" w:sz="0" w:space="0" w:color="auto"/>
                <w:bottom w:val="none" w:sz="0" w:space="0" w:color="auto"/>
                <w:right w:val="none" w:sz="0" w:space="0" w:color="auto"/>
              </w:divBdr>
            </w:div>
          </w:divsChild>
        </w:div>
        <w:div w:id="1484160721">
          <w:marLeft w:val="0"/>
          <w:marRight w:val="0"/>
          <w:marTop w:val="0"/>
          <w:marBottom w:val="0"/>
          <w:divBdr>
            <w:top w:val="none" w:sz="0" w:space="0" w:color="auto"/>
            <w:left w:val="none" w:sz="0" w:space="0" w:color="auto"/>
            <w:bottom w:val="none" w:sz="0" w:space="0" w:color="auto"/>
            <w:right w:val="none" w:sz="0" w:space="0" w:color="auto"/>
          </w:divBdr>
          <w:divsChild>
            <w:div w:id="1271544398">
              <w:marLeft w:val="0"/>
              <w:marRight w:val="0"/>
              <w:marTop w:val="0"/>
              <w:marBottom w:val="0"/>
              <w:divBdr>
                <w:top w:val="none" w:sz="0" w:space="0" w:color="auto"/>
                <w:left w:val="none" w:sz="0" w:space="0" w:color="auto"/>
                <w:bottom w:val="none" w:sz="0" w:space="0" w:color="auto"/>
                <w:right w:val="none" w:sz="0" w:space="0" w:color="auto"/>
              </w:divBdr>
            </w:div>
          </w:divsChild>
        </w:div>
        <w:div w:id="1547715516">
          <w:marLeft w:val="0"/>
          <w:marRight w:val="0"/>
          <w:marTop w:val="0"/>
          <w:marBottom w:val="0"/>
          <w:divBdr>
            <w:top w:val="none" w:sz="0" w:space="0" w:color="auto"/>
            <w:left w:val="none" w:sz="0" w:space="0" w:color="auto"/>
            <w:bottom w:val="none" w:sz="0" w:space="0" w:color="auto"/>
            <w:right w:val="none" w:sz="0" w:space="0" w:color="auto"/>
          </w:divBdr>
          <w:divsChild>
            <w:div w:id="2060322629">
              <w:marLeft w:val="0"/>
              <w:marRight w:val="0"/>
              <w:marTop w:val="0"/>
              <w:marBottom w:val="0"/>
              <w:divBdr>
                <w:top w:val="none" w:sz="0" w:space="0" w:color="auto"/>
                <w:left w:val="none" w:sz="0" w:space="0" w:color="auto"/>
                <w:bottom w:val="none" w:sz="0" w:space="0" w:color="auto"/>
                <w:right w:val="none" w:sz="0" w:space="0" w:color="auto"/>
              </w:divBdr>
            </w:div>
          </w:divsChild>
        </w:div>
        <w:div w:id="1566835589">
          <w:marLeft w:val="0"/>
          <w:marRight w:val="0"/>
          <w:marTop w:val="0"/>
          <w:marBottom w:val="0"/>
          <w:divBdr>
            <w:top w:val="none" w:sz="0" w:space="0" w:color="auto"/>
            <w:left w:val="none" w:sz="0" w:space="0" w:color="auto"/>
            <w:bottom w:val="none" w:sz="0" w:space="0" w:color="auto"/>
            <w:right w:val="none" w:sz="0" w:space="0" w:color="auto"/>
          </w:divBdr>
          <w:divsChild>
            <w:div w:id="1210999303">
              <w:marLeft w:val="0"/>
              <w:marRight w:val="0"/>
              <w:marTop w:val="0"/>
              <w:marBottom w:val="0"/>
              <w:divBdr>
                <w:top w:val="none" w:sz="0" w:space="0" w:color="auto"/>
                <w:left w:val="none" w:sz="0" w:space="0" w:color="auto"/>
                <w:bottom w:val="none" w:sz="0" w:space="0" w:color="auto"/>
                <w:right w:val="none" w:sz="0" w:space="0" w:color="auto"/>
              </w:divBdr>
            </w:div>
          </w:divsChild>
        </w:div>
        <w:div w:id="1569151663">
          <w:marLeft w:val="0"/>
          <w:marRight w:val="0"/>
          <w:marTop w:val="0"/>
          <w:marBottom w:val="0"/>
          <w:divBdr>
            <w:top w:val="none" w:sz="0" w:space="0" w:color="auto"/>
            <w:left w:val="none" w:sz="0" w:space="0" w:color="auto"/>
            <w:bottom w:val="none" w:sz="0" w:space="0" w:color="auto"/>
            <w:right w:val="none" w:sz="0" w:space="0" w:color="auto"/>
          </w:divBdr>
          <w:divsChild>
            <w:div w:id="1861239962">
              <w:marLeft w:val="0"/>
              <w:marRight w:val="0"/>
              <w:marTop w:val="0"/>
              <w:marBottom w:val="0"/>
              <w:divBdr>
                <w:top w:val="none" w:sz="0" w:space="0" w:color="auto"/>
                <w:left w:val="none" w:sz="0" w:space="0" w:color="auto"/>
                <w:bottom w:val="none" w:sz="0" w:space="0" w:color="auto"/>
                <w:right w:val="none" w:sz="0" w:space="0" w:color="auto"/>
              </w:divBdr>
            </w:div>
          </w:divsChild>
        </w:div>
        <w:div w:id="1603108823">
          <w:marLeft w:val="0"/>
          <w:marRight w:val="0"/>
          <w:marTop w:val="0"/>
          <w:marBottom w:val="0"/>
          <w:divBdr>
            <w:top w:val="none" w:sz="0" w:space="0" w:color="auto"/>
            <w:left w:val="none" w:sz="0" w:space="0" w:color="auto"/>
            <w:bottom w:val="none" w:sz="0" w:space="0" w:color="auto"/>
            <w:right w:val="none" w:sz="0" w:space="0" w:color="auto"/>
          </w:divBdr>
          <w:divsChild>
            <w:div w:id="1550527807">
              <w:marLeft w:val="0"/>
              <w:marRight w:val="0"/>
              <w:marTop w:val="0"/>
              <w:marBottom w:val="0"/>
              <w:divBdr>
                <w:top w:val="none" w:sz="0" w:space="0" w:color="auto"/>
                <w:left w:val="none" w:sz="0" w:space="0" w:color="auto"/>
                <w:bottom w:val="none" w:sz="0" w:space="0" w:color="auto"/>
                <w:right w:val="none" w:sz="0" w:space="0" w:color="auto"/>
              </w:divBdr>
            </w:div>
          </w:divsChild>
        </w:div>
        <w:div w:id="1606959483">
          <w:marLeft w:val="0"/>
          <w:marRight w:val="0"/>
          <w:marTop w:val="0"/>
          <w:marBottom w:val="0"/>
          <w:divBdr>
            <w:top w:val="none" w:sz="0" w:space="0" w:color="auto"/>
            <w:left w:val="none" w:sz="0" w:space="0" w:color="auto"/>
            <w:bottom w:val="none" w:sz="0" w:space="0" w:color="auto"/>
            <w:right w:val="none" w:sz="0" w:space="0" w:color="auto"/>
          </w:divBdr>
          <w:divsChild>
            <w:div w:id="972100819">
              <w:marLeft w:val="0"/>
              <w:marRight w:val="0"/>
              <w:marTop w:val="0"/>
              <w:marBottom w:val="0"/>
              <w:divBdr>
                <w:top w:val="none" w:sz="0" w:space="0" w:color="auto"/>
                <w:left w:val="none" w:sz="0" w:space="0" w:color="auto"/>
                <w:bottom w:val="none" w:sz="0" w:space="0" w:color="auto"/>
                <w:right w:val="none" w:sz="0" w:space="0" w:color="auto"/>
              </w:divBdr>
            </w:div>
          </w:divsChild>
        </w:div>
        <w:div w:id="1624994906">
          <w:marLeft w:val="0"/>
          <w:marRight w:val="0"/>
          <w:marTop w:val="0"/>
          <w:marBottom w:val="0"/>
          <w:divBdr>
            <w:top w:val="none" w:sz="0" w:space="0" w:color="auto"/>
            <w:left w:val="none" w:sz="0" w:space="0" w:color="auto"/>
            <w:bottom w:val="none" w:sz="0" w:space="0" w:color="auto"/>
            <w:right w:val="none" w:sz="0" w:space="0" w:color="auto"/>
          </w:divBdr>
          <w:divsChild>
            <w:div w:id="220605976">
              <w:marLeft w:val="0"/>
              <w:marRight w:val="0"/>
              <w:marTop w:val="0"/>
              <w:marBottom w:val="0"/>
              <w:divBdr>
                <w:top w:val="none" w:sz="0" w:space="0" w:color="auto"/>
                <w:left w:val="none" w:sz="0" w:space="0" w:color="auto"/>
                <w:bottom w:val="none" w:sz="0" w:space="0" w:color="auto"/>
                <w:right w:val="none" w:sz="0" w:space="0" w:color="auto"/>
              </w:divBdr>
            </w:div>
          </w:divsChild>
        </w:div>
        <w:div w:id="1645038553">
          <w:marLeft w:val="0"/>
          <w:marRight w:val="0"/>
          <w:marTop w:val="0"/>
          <w:marBottom w:val="0"/>
          <w:divBdr>
            <w:top w:val="none" w:sz="0" w:space="0" w:color="auto"/>
            <w:left w:val="none" w:sz="0" w:space="0" w:color="auto"/>
            <w:bottom w:val="none" w:sz="0" w:space="0" w:color="auto"/>
            <w:right w:val="none" w:sz="0" w:space="0" w:color="auto"/>
          </w:divBdr>
          <w:divsChild>
            <w:div w:id="463624574">
              <w:marLeft w:val="0"/>
              <w:marRight w:val="0"/>
              <w:marTop w:val="0"/>
              <w:marBottom w:val="0"/>
              <w:divBdr>
                <w:top w:val="none" w:sz="0" w:space="0" w:color="auto"/>
                <w:left w:val="none" w:sz="0" w:space="0" w:color="auto"/>
                <w:bottom w:val="none" w:sz="0" w:space="0" w:color="auto"/>
                <w:right w:val="none" w:sz="0" w:space="0" w:color="auto"/>
              </w:divBdr>
            </w:div>
          </w:divsChild>
        </w:div>
        <w:div w:id="1653175527">
          <w:marLeft w:val="0"/>
          <w:marRight w:val="0"/>
          <w:marTop w:val="0"/>
          <w:marBottom w:val="0"/>
          <w:divBdr>
            <w:top w:val="none" w:sz="0" w:space="0" w:color="auto"/>
            <w:left w:val="none" w:sz="0" w:space="0" w:color="auto"/>
            <w:bottom w:val="none" w:sz="0" w:space="0" w:color="auto"/>
            <w:right w:val="none" w:sz="0" w:space="0" w:color="auto"/>
          </w:divBdr>
          <w:divsChild>
            <w:div w:id="525601585">
              <w:marLeft w:val="0"/>
              <w:marRight w:val="0"/>
              <w:marTop w:val="0"/>
              <w:marBottom w:val="0"/>
              <w:divBdr>
                <w:top w:val="none" w:sz="0" w:space="0" w:color="auto"/>
                <w:left w:val="none" w:sz="0" w:space="0" w:color="auto"/>
                <w:bottom w:val="none" w:sz="0" w:space="0" w:color="auto"/>
                <w:right w:val="none" w:sz="0" w:space="0" w:color="auto"/>
              </w:divBdr>
            </w:div>
          </w:divsChild>
        </w:div>
        <w:div w:id="1665082148">
          <w:marLeft w:val="0"/>
          <w:marRight w:val="0"/>
          <w:marTop w:val="0"/>
          <w:marBottom w:val="0"/>
          <w:divBdr>
            <w:top w:val="none" w:sz="0" w:space="0" w:color="auto"/>
            <w:left w:val="none" w:sz="0" w:space="0" w:color="auto"/>
            <w:bottom w:val="none" w:sz="0" w:space="0" w:color="auto"/>
            <w:right w:val="none" w:sz="0" w:space="0" w:color="auto"/>
          </w:divBdr>
          <w:divsChild>
            <w:div w:id="1102845275">
              <w:marLeft w:val="0"/>
              <w:marRight w:val="0"/>
              <w:marTop w:val="0"/>
              <w:marBottom w:val="0"/>
              <w:divBdr>
                <w:top w:val="none" w:sz="0" w:space="0" w:color="auto"/>
                <w:left w:val="none" w:sz="0" w:space="0" w:color="auto"/>
                <w:bottom w:val="none" w:sz="0" w:space="0" w:color="auto"/>
                <w:right w:val="none" w:sz="0" w:space="0" w:color="auto"/>
              </w:divBdr>
            </w:div>
          </w:divsChild>
        </w:div>
        <w:div w:id="1679429492">
          <w:marLeft w:val="0"/>
          <w:marRight w:val="0"/>
          <w:marTop w:val="0"/>
          <w:marBottom w:val="0"/>
          <w:divBdr>
            <w:top w:val="none" w:sz="0" w:space="0" w:color="auto"/>
            <w:left w:val="none" w:sz="0" w:space="0" w:color="auto"/>
            <w:bottom w:val="none" w:sz="0" w:space="0" w:color="auto"/>
            <w:right w:val="none" w:sz="0" w:space="0" w:color="auto"/>
          </w:divBdr>
          <w:divsChild>
            <w:div w:id="1136919968">
              <w:marLeft w:val="0"/>
              <w:marRight w:val="0"/>
              <w:marTop w:val="0"/>
              <w:marBottom w:val="0"/>
              <w:divBdr>
                <w:top w:val="none" w:sz="0" w:space="0" w:color="auto"/>
                <w:left w:val="none" w:sz="0" w:space="0" w:color="auto"/>
                <w:bottom w:val="none" w:sz="0" w:space="0" w:color="auto"/>
                <w:right w:val="none" w:sz="0" w:space="0" w:color="auto"/>
              </w:divBdr>
            </w:div>
          </w:divsChild>
        </w:div>
        <w:div w:id="1721049396">
          <w:marLeft w:val="0"/>
          <w:marRight w:val="0"/>
          <w:marTop w:val="0"/>
          <w:marBottom w:val="0"/>
          <w:divBdr>
            <w:top w:val="none" w:sz="0" w:space="0" w:color="auto"/>
            <w:left w:val="none" w:sz="0" w:space="0" w:color="auto"/>
            <w:bottom w:val="none" w:sz="0" w:space="0" w:color="auto"/>
            <w:right w:val="none" w:sz="0" w:space="0" w:color="auto"/>
          </w:divBdr>
          <w:divsChild>
            <w:div w:id="46537415">
              <w:marLeft w:val="0"/>
              <w:marRight w:val="0"/>
              <w:marTop w:val="0"/>
              <w:marBottom w:val="0"/>
              <w:divBdr>
                <w:top w:val="none" w:sz="0" w:space="0" w:color="auto"/>
                <w:left w:val="none" w:sz="0" w:space="0" w:color="auto"/>
                <w:bottom w:val="none" w:sz="0" w:space="0" w:color="auto"/>
                <w:right w:val="none" w:sz="0" w:space="0" w:color="auto"/>
              </w:divBdr>
            </w:div>
          </w:divsChild>
        </w:div>
        <w:div w:id="1742867440">
          <w:marLeft w:val="0"/>
          <w:marRight w:val="0"/>
          <w:marTop w:val="0"/>
          <w:marBottom w:val="0"/>
          <w:divBdr>
            <w:top w:val="none" w:sz="0" w:space="0" w:color="auto"/>
            <w:left w:val="none" w:sz="0" w:space="0" w:color="auto"/>
            <w:bottom w:val="none" w:sz="0" w:space="0" w:color="auto"/>
            <w:right w:val="none" w:sz="0" w:space="0" w:color="auto"/>
          </w:divBdr>
          <w:divsChild>
            <w:div w:id="208763411">
              <w:marLeft w:val="0"/>
              <w:marRight w:val="0"/>
              <w:marTop w:val="0"/>
              <w:marBottom w:val="0"/>
              <w:divBdr>
                <w:top w:val="none" w:sz="0" w:space="0" w:color="auto"/>
                <w:left w:val="none" w:sz="0" w:space="0" w:color="auto"/>
                <w:bottom w:val="none" w:sz="0" w:space="0" w:color="auto"/>
                <w:right w:val="none" w:sz="0" w:space="0" w:color="auto"/>
              </w:divBdr>
            </w:div>
          </w:divsChild>
        </w:div>
        <w:div w:id="1744058775">
          <w:marLeft w:val="0"/>
          <w:marRight w:val="0"/>
          <w:marTop w:val="0"/>
          <w:marBottom w:val="0"/>
          <w:divBdr>
            <w:top w:val="none" w:sz="0" w:space="0" w:color="auto"/>
            <w:left w:val="none" w:sz="0" w:space="0" w:color="auto"/>
            <w:bottom w:val="none" w:sz="0" w:space="0" w:color="auto"/>
            <w:right w:val="none" w:sz="0" w:space="0" w:color="auto"/>
          </w:divBdr>
          <w:divsChild>
            <w:div w:id="1284194808">
              <w:marLeft w:val="0"/>
              <w:marRight w:val="0"/>
              <w:marTop w:val="0"/>
              <w:marBottom w:val="0"/>
              <w:divBdr>
                <w:top w:val="none" w:sz="0" w:space="0" w:color="auto"/>
                <w:left w:val="none" w:sz="0" w:space="0" w:color="auto"/>
                <w:bottom w:val="none" w:sz="0" w:space="0" w:color="auto"/>
                <w:right w:val="none" w:sz="0" w:space="0" w:color="auto"/>
              </w:divBdr>
            </w:div>
          </w:divsChild>
        </w:div>
        <w:div w:id="1748963652">
          <w:marLeft w:val="0"/>
          <w:marRight w:val="0"/>
          <w:marTop w:val="0"/>
          <w:marBottom w:val="0"/>
          <w:divBdr>
            <w:top w:val="none" w:sz="0" w:space="0" w:color="auto"/>
            <w:left w:val="none" w:sz="0" w:space="0" w:color="auto"/>
            <w:bottom w:val="none" w:sz="0" w:space="0" w:color="auto"/>
            <w:right w:val="none" w:sz="0" w:space="0" w:color="auto"/>
          </w:divBdr>
          <w:divsChild>
            <w:div w:id="880476696">
              <w:marLeft w:val="0"/>
              <w:marRight w:val="0"/>
              <w:marTop w:val="0"/>
              <w:marBottom w:val="0"/>
              <w:divBdr>
                <w:top w:val="none" w:sz="0" w:space="0" w:color="auto"/>
                <w:left w:val="none" w:sz="0" w:space="0" w:color="auto"/>
                <w:bottom w:val="none" w:sz="0" w:space="0" w:color="auto"/>
                <w:right w:val="none" w:sz="0" w:space="0" w:color="auto"/>
              </w:divBdr>
            </w:div>
          </w:divsChild>
        </w:div>
        <w:div w:id="1826310942">
          <w:marLeft w:val="0"/>
          <w:marRight w:val="0"/>
          <w:marTop w:val="0"/>
          <w:marBottom w:val="0"/>
          <w:divBdr>
            <w:top w:val="none" w:sz="0" w:space="0" w:color="auto"/>
            <w:left w:val="none" w:sz="0" w:space="0" w:color="auto"/>
            <w:bottom w:val="none" w:sz="0" w:space="0" w:color="auto"/>
            <w:right w:val="none" w:sz="0" w:space="0" w:color="auto"/>
          </w:divBdr>
          <w:divsChild>
            <w:div w:id="1048799082">
              <w:marLeft w:val="0"/>
              <w:marRight w:val="0"/>
              <w:marTop w:val="0"/>
              <w:marBottom w:val="0"/>
              <w:divBdr>
                <w:top w:val="none" w:sz="0" w:space="0" w:color="auto"/>
                <w:left w:val="none" w:sz="0" w:space="0" w:color="auto"/>
                <w:bottom w:val="none" w:sz="0" w:space="0" w:color="auto"/>
                <w:right w:val="none" w:sz="0" w:space="0" w:color="auto"/>
              </w:divBdr>
            </w:div>
          </w:divsChild>
        </w:div>
        <w:div w:id="1829786871">
          <w:marLeft w:val="0"/>
          <w:marRight w:val="0"/>
          <w:marTop w:val="0"/>
          <w:marBottom w:val="0"/>
          <w:divBdr>
            <w:top w:val="none" w:sz="0" w:space="0" w:color="auto"/>
            <w:left w:val="none" w:sz="0" w:space="0" w:color="auto"/>
            <w:bottom w:val="none" w:sz="0" w:space="0" w:color="auto"/>
            <w:right w:val="none" w:sz="0" w:space="0" w:color="auto"/>
          </w:divBdr>
          <w:divsChild>
            <w:div w:id="1812822928">
              <w:marLeft w:val="0"/>
              <w:marRight w:val="0"/>
              <w:marTop w:val="0"/>
              <w:marBottom w:val="0"/>
              <w:divBdr>
                <w:top w:val="none" w:sz="0" w:space="0" w:color="auto"/>
                <w:left w:val="none" w:sz="0" w:space="0" w:color="auto"/>
                <w:bottom w:val="none" w:sz="0" w:space="0" w:color="auto"/>
                <w:right w:val="none" w:sz="0" w:space="0" w:color="auto"/>
              </w:divBdr>
            </w:div>
          </w:divsChild>
        </w:div>
        <w:div w:id="1842112609">
          <w:marLeft w:val="0"/>
          <w:marRight w:val="0"/>
          <w:marTop w:val="0"/>
          <w:marBottom w:val="0"/>
          <w:divBdr>
            <w:top w:val="none" w:sz="0" w:space="0" w:color="auto"/>
            <w:left w:val="none" w:sz="0" w:space="0" w:color="auto"/>
            <w:bottom w:val="none" w:sz="0" w:space="0" w:color="auto"/>
            <w:right w:val="none" w:sz="0" w:space="0" w:color="auto"/>
          </w:divBdr>
          <w:divsChild>
            <w:div w:id="1424646494">
              <w:marLeft w:val="0"/>
              <w:marRight w:val="0"/>
              <w:marTop w:val="0"/>
              <w:marBottom w:val="0"/>
              <w:divBdr>
                <w:top w:val="none" w:sz="0" w:space="0" w:color="auto"/>
                <w:left w:val="none" w:sz="0" w:space="0" w:color="auto"/>
                <w:bottom w:val="none" w:sz="0" w:space="0" w:color="auto"/>
                <w:right w:val="none" w:sz="0" w:space="0" w:color="auto"/>
              </w:divBdr>
            </w:div>
          </w:divsChild>
        </w:div>
        <w:div w:id="1842116631">
          <w:marLeft w:val="0"/>
          <w:marRight w:val="0"/>
          <w:marTop w:val="0"/>
          <w:marBottom w:val="0"/>
          <w:divBdr>
            <w:top w:val="none" w:sz="0" w:space="0" w:color="auto"/>
            <w:left w:val="none" w:sz="0" w:space="0" w:color="auto"/>
            <w:bottom w:val="none" w:sz="0" w:space="0" w:color="auto"/>
            <w:right w:val="none" w:sz="0" w:space="0" w:color="auto"/>
          </w:divBdr>
          <w:divsChild>
            <w:div w:id="1700273567">
              <w:marLeft w:val="0"/>
              <w:marRight w:val="0"/>
              <w:marTop w:val="0"/>
              <w:marBottom w:val="0"/>
              <w:divBdr>
                <w:top w:val="none" w:sz="0" w:space="0" w:color="auto"/>
                <w:left w:val="none" w:sz="0" w:space="0" w:color="auto"/>
                <w:bottom w:val="none" w:sz="0" w:space="0" w:color="auto"/>
                <w:right w:val="none" w:sz="0" w:space="0" w:color="auto"/>
              </w:divBdr>
            </w:div>
          </w:divsChild>
        </w:div>
        <w:div w:id="1842236685">
          <w:marLeft w:val="0"/>
          <w:marRight w:val="0"/>
          <w:marTop w:val="0"/>
          <w:marBottom w:val="0"/>
          <w:divBdr>
            <w:top w:val="none" w:sz="0" w:space="0" w:color="auto"/>
            <w:left w:val="none" w:sz="0" w:space="0" w:color="auto"/>
            <w:bottom w:val="none" w:sz="0" w:space="0" w:color="auto"/>
            <w:right w:val="none" w:sz="0" w:space="0" w:color="auto"/>
          </w:divBdr>
          <w:divsChild>
            <w:div w:id="473720362">
              <w:marLeft w:val="0"/>
              <w:marRight w:val="0"/>
              <w:marTop w:val="0"/>
              <w:marBottom w:val="0"/>
              <w:divBdr>
                <w:top w:val="none" w:sz="0" w:space="0" w:color="auto"/>
                <w:left w:val="none" w:sz="0" w:space="0" w:color="auto"/>
                <w:bottom w:val="none" w:sz="0" w:space="0" w:color="auto"/>
                <w:right w:val="none" w:sz="0" w:space="0" w:color="auto"/>
              </w:divBdr>
            </w:div>
          </w:divsChild>
        </w:div>
        <w:div w:id="1844665410">
          <w:marLeft w:val="0"/>
          <w:marRight w:val="0"/>
          <w:marTop w:val="0"/>
          <w:marBottom w:val="0"/>
          <w:divBdr>
            <w:top w:val="none" w:sz="0" w:space="0" w:color="auto"/>
            <w:left w:val="none" w:sz="0" w:space="0" w:color="auto"/>
            <w:bottom w:val="none" w:sz="0" w:space="0" w:color="auto"/>
            <w:right w:val="none" w:sz="0" w:space="0" w:color="auto"/>
          </w:divBdr>
          <w:divsChild>
            <w:div w:id="1833058508">
              <w:marLeft w:val="0"/>
              <w:marRight w:val="0"/>
              <w:marTop w:val="0"/>
              <w:marBottom w:val="0"/>
              <w:divBdr>
                <w:top w:val="none" w:sz="0" w:space="0" w:color="auto"/>
                <w:left w:val="none" w:sz="0" w:space="0" w:color="auto"/>
                <w:bottom w:val="none" w:sz="0" w:space="0" w:color="auto"/>
                <w:right w:val="none" w:sz="0" w:space="0" w:color="auto"/>
              </w:divBdr>
            </w:div>
          </w:divsChild>
        </w:div>
        <w:div w:id="1858614803">
          <w:marLeft w:val="0"/>
          <w:marRight w:val="0"/>
          <w:marTop w:val="0"/>
          <w:marBottom w:val="0"/>
          <w:divBdr>
            <w:top w:val="none" w:sz="0" w:space="0" w:color="auto"/>
            <w:left w:val="none" w:sz="0" w:space="0" w:color="auto"/>
            <w:bottom w:val="none" w:sz="0" w:space="0" w:color="auto"/>
            <w:right w:val="none" w:sz="0" w:space="0" w:color="auto"/>
          </w:divBdr>
          <w:divsChild>
            <w:div w:id="223219062">
              <w:marLeft w:val="0"/>
              <w:marRight w:val="0"/>
              <w:marTop w:val="0"/>
              <w:marBottom w:val="0"/>
              <w:divBdr>
                <w:top w:val="none" w:sz="0" w:space="0" w:color="auto"/>
                <w:left w:val="none" w:sz="0" w:space="0" w:color="auto"/>
                <w:bottom w:val="none" w:sz="0" w:space="0" w:color="auto"/>
                <w:right w:val="none" w:sz="0" w:space="0" w:color="auto"/>
              </w:divBdr>
            </w:div>
          </w:divsChild>
        </w:div>
        <w:div w:id="1865171077">
          <w:marLeft w:val="0"/>
          <w:marRight w:val="0"/>
          <w:marTop w:val="0"/>
          <w:marBottom w:val="0"/>
          <w:divBdr>
            <w:top w:val="none" w:sz="0" w:space="0" w:color="auto"/>
            <w:left w:val="none" w:sz="0" w:space="0" w:color="auto"/>
            <w:bottom w:val="none" w:sz="0" w:space="0" w:color="auto"/>
            <w:right w:val="none" w:sz="0" w:space="0" w:color="auto"/>
          </w:divBdr>
          <w:divsChild>
            <w:div w:id="765657865">
              <w:marLeft w:val="0"/>
              <w:marRight w:val="0"/>
              <w:marTop w:val="0"/>
              <w:marBottom w:val="0"/>
              <w:divBdr>
                <w:top w:val="none" w:sz="0" w:space="0" w:color="auto"/>
                <w:left w:val="none" w:sz="0" w:space="0" w:color="auto"/>
                <w:bottom w:val="none" w:sz="0" w:space="0" w:color="auto"/>
                <w:right w:val="none" w:sz="0" w:space="0" w:color="auto"/>
              </w:divBdr>
            </w:div>
          </w:divsChild>
        </w:div>
        <w:div w:id="1874264801">
          <w:marLeft w:val="0"/>
          <w:marRight w:val="0"/>
          <w:marTop w:val="0"/>
          <w:marBottom w:val="0"/>
          <w:divBdr>
            <w:top w:val="none" w:sz="0" w:space="0" w:color="auto"/>
            <w:left w:val="none" w:sz="0" w:space="0" w:color="auto"/>
            <w:bottom w:val="none" w:sz="0" w:space="0" w:color="auto"/>
            <w:right w:val="none" w:sz="0" w:space="0" w:color="auto"/>
          </w:divBdr>
          <w:divsChild>
            <w:div w:id="1311330392">
              <w:marLeft w:val="0"/>
              <w:marRight w:val="0"/>
              <w:marTop w:val="0"/>
              <w:marBottom w:val="0"/>
              <w:divBdr>
                <w:top w:val="none" w:sz="0" w:space="0" w:color="auto"/>
                <w:left w:val="none" w:sz="0" w:space="0" w:color="auto"/>
                <w:bottom w:val="none" w:sz="0" w:space="0" w:color="auto"/>
                <w:right w:val="none" w:sz="0" w:space="0" w:color="auto"/>
              </w:divBdr>
            </w:div>
          </w:divsChild>
        </w:div>
        <w:div w:id="1878465930">
          <w:marLeft w:val="0"/>
          <w:marRight w:val="0"/>
          <w:marTop w:val="0"/>
          <w:marBottom w:val="0"/>
          <w:divBdr>
            <w:top w:val="none" w:sz="0" w:space="0" w:color="auto"/>
            <w:left w:val="none" w:sz="0" w:space="0" w:color="auto"/>
            <w:bottom w:val="none" w:sz="0" w:space="0" w:color="auto"/>
            <w:right w:val="none" w:sz="0" w:space="0" w:color="auto"/>
          </w:divBdr>
          <w:divsChild>
            <w:div w:id="557205685">
              <w:marLeft w:val="0"/>
              <w:marRight w:val="0"/>
              <w:marTop w:val="0"/>
              <w:marBottom w:val="0"/>
              <w:divBdr>
                <w:top w:val="none" w:sz="0" w:space="0" w:color="auto"/>
                <w:left w:val="none" w:sz="0" w:space="0" w:color="auto"/>
                <w:bottom w:val="none" w:sz="0" w:space="0" w:color="auto"/>
                <w:right w:val="none" w:sz="0" w:space="0" w:color="auto"/>
              </w:divBdr>
            </w:div>
          </w:divsChild>
        </w:div>
        <w:div w:id="1886331743">
          <w:marLeft w:val="0"/>
          <w:marRight w:val="0"/>
          <w:marTop w:val="0"/>
          <w:marBottom w:val="0"/>
          <w:divBdr>
            <w:top w:val="none" w:sz="0" w:space="0" w:color="auto"/>
            <w:left w:val="none" w:sz="0" w:space="0" w:color="auto"/>
            <w:bottom w:val="none" w:sz="0" w:space="0" w:color="auto"/>
            <w:right w:val="none" w:sz="0" w:space="0" w:color="auto"/>
          </w:divBdr>
          <w:divsChild>
            <w:div w:id="738867317">
              <w:marLeft w:val="0"/>
              <w:marRight w:val="0"/>
              <w:marTop w:val="0"/>
              <w:marBottom w:val="0"/>
              <w:divBdr>
                <w:top w:val="none" w:sz="0" w:space="0" w:color="auto"/>
                <w:left w:val="none" w:sz="0" w:space="0" w:color="auto"/>
                <w:bottom w:val="none" w:sz="0" w:space="0" w:color="auto"/>
                <w:right w:val="none" w:sz="0" w:space="0" w:color="auto"/>
              </w:divBdr>
            </w:div>
          </w:divsChild>
        </w:div>
        <w:div w:id="1896818651">
          <w:marLeft w:val="0"/>
          <w:marRight w:val="0"/>
          <w:marTop w:val="0"/>
          <w:marBottom w:val="0"/>
          <w:divBdr>
            <w:top w:val="none" w:sz="0" w:space="0" w:color="auto"/>
            <w:left w:val="none" w:sz="0" w:space="0" w:color="auto"/>
            <w:bottom w:val="none" w:sz="0" w:space="0" w:color="auto"/>
            <w:right w:val="none" w:sz="0" w:space="0" w:color="auto"/>
          </w:divBdr>
          <w:divsChild>
            <w:div w:id="463736666">
              <w:marLeft w:val="0"/>
              <w:marRight w:val="0"/>
              <w:marTop w:val="0"/>
              <w:marBottom w:val="0"/>
              <w:divBdr>
                <w:top w:val="none" w:sz="0" w:space="0" w:color="auto"/>
                <w:left w:val="none" w:sz="0" w:space="0" w:color="auto"/>
                <w:bottom w:val="none" w:sz="0" w:space="0" w:color="auto"/>
                <w:right w:val="none" w:sz="0" w:space="0" w:color="auto"/>
              </w:divBdr>
            </w:div>
          </w:divsChild>
        </w:div>
        <w:div w:id="1917938496">
          <w:marLeft w:val="0"/>
          <w:marRight w:val="0"/>
          <w:marTop w:val="0"/>
          <w:marBottom w:val="0"/>
          <w:divBdr>
            <w:top w:val="none" w:sz="0" w:space="0" w:color="auto"/>
            <w:left w:val="none" w:sz="0" w:space="0" w:color="auto"/>
            <w:bottom w:val="none" w:sz="0" w:space="0" w:color="auto"/>
            <w:right w:val="none" w:sz="0" w:space="0" w:color="auto"/>
          </w:divBdr>
          <w:divsChild>
            <w:div w:id="922225721">
              <w:marLeft w:val="0"/>
              <w:marRight w:val="0"/>
              <w:marTop w:val="0"/>
              <w:marBottom w:val="0"/>
              <w:divBdr>
                <w:top w:val="none" w:sz="0" w:space="0" w:color="auto"/>
                <w:left w:val="none" w:sz="0" w:space="0" w:color="auto"/>
                <w:bottom w:val="none" w:sz="0" w:space="0" w:color="auto"/>
                <w:right w:val="none" w:sz="0" w:space="0" w:color="auto"/>
              </w:divBdr>
            </w:div>
          </w:divsChild>
        </w:div>
        <w:div w:id="1920019316">
          <w:marLeft w:val="0"/>
          <w:marRight w:val="0"/>
          <w:marTop w:val="0"/>
          <w:marBottom w:val="0"/>
          <w:divBdr>
            <w:top w:val="none" w:sz="0" w:space="0" w:color="auto"/>
            <w:left w:val="none" w:sz="0" w:space="0" w:color="auto"/>
            <w:bottom w:val="none" w:sz="0" w:space="0" w:color="auto"/>
            <w:right w:val="none" w:sz="0" w:space="0" w:color="auto"/>
          </w:divBdr>
          <w:divsChild>
            <w:div w:id="1853445656">
              <w:marLeft w:val="0"/>
              <w:marRight w:val="0"/>
              <w:marTop w:val="0"/>
              <w:marBottom w:val="0"/>
              <w:divBdr>
                <w:top w:val="none" w:sz="0" w:space="0" w:color="auto"/>
                <w:left w:val="none" w:sz="0" w:space="0" w:color="auto"/>
                <w:bottom w:val="none" w:sz="0" w:space="0" w:color="auto"/>
                <w:right w:val="none" w:sz="0" w:space="0" w:color="auto"/>
              </w:divBdr>
            </w:div>
          </w:divsChild>
        </w:div>
        <w:div w:id="1954559028">
          <w:marLeft w:val="0"/>
          <w:marRight w:val="0"/>
          <w:marTop w:val="0"/>
          <w:marBottom w:val="0"/>
          <w:divBdr>
            <w:top w:val="none" w:sz="0" w:space="0" w:color="auto"/>
            <w:left w:val="none" w:sz="0" w:space="0" w:color="auto"/>
            <w:bottom w:val="none" w:sz="0" w:space="0" w:color="auto"/>
            <w:right w:val="none" w:sz="0" w:space="0" w:color="auto"/>
          </w:divBdr>
          <w:divsChild>
            <w:div w:id="320503603">
              <w:marLeft w:val="0"/>
              <w:marRight w:val="0"/>
              <w:marTop w:val="0"/>
              <w:marBottom w:val="0"/>
              <w:divBdr>
                <w:top w:val="none" w:sz="0" w:space="0" w:color="auto"/>
                <w:left w:val="none" w:sz="0" w:space="0" w:color="auto"/>
                <w:bottom w:val="none" w:sz="0" w:space="0" w:color="auto"/>
                <w:right w:val="none" w:sz="0" w:space="0" w:color="auto"/>
              </w:divBdr>
            </w:div>
          </w:divsChild>
        </w:div>
        <w:div w:id="1955482879">
          <w:marLeft w:val="0"/>
          <w:marRight w:val="0"/>
          <w:marTop w:val="0"/>
          <w:marBottom w:val="0"/>
          <w:divBdr>
            <w:top w:val="none" w:sz="0" w:space="0" w:color="auto"/>
            <w:left w:val="none" w:sz="0" w:space="0" w:color="auto"/>
            <w:bottom w:val="none" w:sz="0" w:space="0" w:color="auto"/>
            <w:right w:val="none" w:sz="0" w:space="0" w:color="auto"/>
          </w:divBdr>
          <w:divsChild>
            <w:div w:id="128934738">
              <w:marLeft w:val="0"/>
              <w:marRight w:val="0"/>
              <w:marTop w:val="0"/>
              <w:marBottom w:val="0"/>
              <w:divBdr>
                <w:top w:val="none" w:sz="0" w:space="0" w:color="auto"/>
                <w:left w:val="none" w:sz="0" w:space="0" w:color="auto"/>
                <w:bottom w:val="none" w:sz="0" w:space="0" w:color="auto"/>
                <w:right w:val="none" w:sz="0" w:space="0" w:color="auto"/>
              </w:divBdr>
            </w:div>
          </w:divsChild>
        </w:div>
        <w:div w:id="1963265014">
          <w:marLeft w:val="0"/>
          <w:marRight w:val="0"/>
          <w:marTop w:val="0"/>
          <w:marBottom w:val="0"/>
          <w:divBdr>
            <w:top w:val="none" w:sz="0" w:space="0" w:color="auto"/>
            <w:left w:val="none" w:sz="0" w:space="0" w:color="auto"/>
            <w:bottom w:val="none" w:sz="0" w:space="0" w:color="auto"/>
            <w:right w:val="none" w:sz="0" w:space="0" w:color="auto"/>
          </w:divBdr>
          <w:divsChild>
            <w:div w:id="709646198">
              <w:marLeft w:val="0"/>
              <w:marRight w:val="0"/>
              <w:marTop w:val="0"/>
              <w:marBottom w:val="0"/>
              <w:divBdr>
                <w:top w:val="none" w:sz="0" w:space="0" w:color="auto"/>
                <w:left w:val="none" w:sz="0" w:space="0" w:color="auto"/>
                <w:bottom w:val="none" w:sz="0" w:space="0" w:color="auto"/>
                <w:right w:val="none" w:sz="0" w:space="0" w:color="auto"/>
              </w:divBdr>
            </w:div>
          </w:divsChild>
        </w:div>
        <w:div w:id="2017268191">
          <w:marLeft w:val="0"/>
          <w:marRight w:val="0"/>
          <w:marTop w:val="0"/>
          <w:marBottom w:val="0"/>
          <w:divBdr>
            <w:top w:val="none" w:sz="0" w:space="0" w:color="auto"/>
            <w:left w:val="none" w:sz="0" w:space="0" w:color="auto"/>
            <w:bottom w:val="none" w:sz="0" w:space="0" w:color="auto"/>
            <w:right w:val="none" w:sz="0" w:space="0" w:color="auto"/>
          </w:divBdr>
          <w:divsChild>
            <w:div w:id="1401632268">
              <w:marLeft w:val="0"/>
              <w:marRight w:val="0"/>
              <w:marTop w:val="0"/>
              <w:marBottom w:val="0"/>
              <w:divBdr>
                <w:top w:val="none" w:sz="0" w:space="0" w:color="auto"/>
                <w:left w:val="none" w:sz="0" w:space="0" w:color="auto"/>
                <w:bottom w:val="none" w:sz="0" w:space="0" w:color="auto"/>
                <w:right w:val="none" w:sz="0" w:space="0" w:color="auto"/>
              </w:divBdr>
            </w:div>
          </w:divsChild>
        </w:div>
        <w:div w:id="2031102187">
          <w:marLeft w:val="0"/>
          <w:marRight w:val="0"/>
          <w:marTop w:val="0"/>
          <w:marBottom w:val="0"/>
          <w:divBdr>
            <w:top w:val="none" w:sz="0" w:space="0" w:color="auto"/>
            <w:left w:val="none" w:sz="0" w:space="0" w:color="auto"/>
            <w:bottom w:val="none" w:sz="0" w:space="0" w:color="auto"/>
            <w:right w:val="none" w:sz="0" w:space="0" w:color="auto"/>
          </w:divBdr>
          <w:divsChild>
            <w:div w:id="1196772901">
              <w:marLeft w:val="0"/>
              <w:marRight w:val="0"/>
              <w:marTop w:val="0"/>
              <w:marBottom w:val="0"/>
              <w:divBdr>
                <w:top w:val="none" w:sz="0" w:space="0" w:color="auto"/>
                <w:left w:val="none" w:sz="0" w:space="0" w:color="auto"/>
                <w:bottom w:val="none" w:sz="0" w:space="0" w:color="auto"/>
                <w:right w:val="none" w:sz="0" w:space="0" w:color="auto"/>
              </w:divBdr>
            </w:div>
          </w:divsChild>
        </w:div>
        <w:div w:id="2041660143">
          <w:marLeft w:val="0"/>
          <w:marRight w:val="0"/>
          <w:marTop w:val="0"/>
          <w:marBottom w:val="0"/>
          <w:divBdr>
            <w:top w:val="none" w:sz="0" w:space="0" w:color="auto"/>
            <w:left w:val="none" w:sz="0" w:space="0" w:color="auto"/>
            <w:bottom w:val="none" w:sz="0" w:space="0" w:color="auto"/>
            <w:right w:val="none" w:sz="0" w:space="0" w:color="auto"/>
          </w:divBdr>
          <w:divsChild>
            <w:div w:id="1183402206">
              <w:marLeft w:val="0"/>
              <w:marRight w:val="0"/>
              <w:marTop w:val="0"/>
              <w:marBottom w:val="0"/>
              <w:divBdr>
                <w:top w:val="none" w:sz="0" w:space="0" w:color="auto"/>
                <w:left w:val="none" w:sz="0" w:space="0" w:color="auto"/>
                <w:bottom w:val="none" w:sz="0" w:space="0" w:color="auto"/>
                <w:right w:val="none" w:sz="0" w:space="0" w:color="auto"/>
              </w:divBdr>
            </w:div>
          </w:divsChild>
        </w:div>
        <w:div w:id="2049835565">
          <w:marLeft w:val="0"/>
          <w:marRight w:val="0"/>
          <w:marTop w:val="0"/>
          <w:marBottom w:val="0"/>
          <w:divBdr>
            <w:top w:val="none" w:sz="0" w:space="0" w:color="auto"/>
            <w:left w:val="none" w:sz="0" w:space="0" w:color="auto"/>
            <w:bottom w:val="none" w:sz="0" w:space="0" w:color="auto"/>
            <w:right w:val="none" w:sz="0" w:space="0" w:color="auto"/>
          </w:divBdr>
          <w:divsChild>
            <w:div w:id="654139115">
              <w:marLeft w:val="0"/>
              <w:marRight w:val="0"/>
              <w:marTop w:val="0"/>
              <w:marBottom w:val="0"/>
              <w:divBdr>
                <w:top w:val="none" w:sz="0" w:space="0" w:color="auto"/>
                <w:left w:val="none" w:sz="0" w:space="0" w:color="auto"/>
                <w:bottom w:val="none" w:sz="0" w:space="0" w:color="auto"/>
                <w:right w:val="none" w:sz="0" w:space="0" w:color="auto"/>
              </w:divBdr>
            </w:div>
          </w:divsChild>
        </w:div>
        <w:div w:id="2111075737">
          <w:marLeft w:val="0"/>
          <w:marRight w:val="0"/>
          <w:marTop w:val="0"/>
          <w:marBottom w:val="0"/>
          <w:divBdr>
            <w:top w:val="none" w:sz="0" w:space="0" w:color="auto"/>
            <w:left w:val="none" w:sz="0" w:space="0" w:color="auto"/>
            <w:bottom w:val="none" w:sz="0" w:space="0" w:color="auto"/>
            <w:right w:val="none" w:sz="0" w:space="0" w:color="auto"/>
          </w:divBdr>
          <w:divsChild>
            <w:div w:id="98955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5275">
      <w:bodyDiv w:val="1"/>
      <w:marLeft w:val="0"/>
      <w:marRight w:val="0"/>
      <w:marTop w:val="0"/>
      <w:marBottom w:val="0"/>
      <w:divBdr>
        <w:top w:val="none" w:sz="0" w:space="0" w:color="auto"/>
        <w:left w:val="none" w:sz="0" w:space="0" w:color="auto"/>
        <w:bottom w:val="none" w:sz="0" w:space="0" w:color="auto"/>
        <w:right w:val="none" w:sz="0" w:space="0" w:color="auto"/>
      </w:divBdr>
      <w:divsChild>
        <w:div w:id="1498154300">
          <w:marLeft w:val="360"/>
          <w:marRight w:val="0"/>
          <w:marTop w:val="0"/>
          <w:marBottom w:val="0"/>
          <w:divBdr>
            <w:top w:val="none" w:sz="0" w:space="0" w:color="auto"/>
            <w:left w:val="none" w:sz="0" w:space="0" w:color="auto"/>
            <w:bottom w:val="none" w:sz="0" w:space="0" w:color="auto"/>
            <w:right w:val="none" w:sz="0" w:space="0" w:color="auto"/>
          </w:divBdr>
        </w:div>
        <w:div w:id="1726831329">
          <w:marLeft w:val="360"/>
          <w:marRight w:val="0"/>
          <w:marTop w:val="0"/>
          <w:marBottom w:val="0"/>
          <w:divBdr>
            <w:top w:val="none" w:sz="0" w:space="0" w:color="auto"/>
            <w:left w:val="none" w:sz="0" w:space="0" w:color="auto"/>
            <w:bottom w:val="none" w:sz="0" w:space="0" w:color="auto"/>
            <w:right w:val="none" w:sz="0" w:space="0" w:color="auto"/>
          </w:divBdr>
        </w:div>
      </w:divsChild>
    </w:div>
    <w:div w:id="508448340">
      <w:bodyDiv w:val="1"/>
      <w:marLeft w:val="0"/>
      <w:marRight w:val="0"/>
      <w:marTop w:val="0"/>
      <w:marBottom w:val="0"/>
      <w:divBdr>
        <w:top w:val="none" w:sz="0" w:space="0" w:color="auto"/>
        <w:left w:val="none" w:sz="0" w:space="0" w:color="auto"/>
        <w:bottom w:val="none" w:sz="0" w:space="0" w:color="auto"/>
        <w:right w:val="none" w:sz="0" w:space="0" w:color="auto"/>
      </w:divBdr>
    </w:div>
    <w:div w:id="508956095">
      <w:bodyDiv w:val="1"/>
      <w:marLeft w:val="0"/>
      <w:marRight w:val="0"/>
      <w:marTop w:val="0"/>
      <w:marBottom w:val="0"/>
      <w:divBdr>
        <w:top w:val="none" w:sz="0" w:space="0" w:color="auto"/>
        <w:left w:val="none" w:sz="0" w:space="0" w:color="auto"/>
        <w:bottom w:val="none" w:sz="0" w:space="0" w:color="auto"/>
        <w:right w:val="none" w:sz="0" w:space="0" w:color="auto"/>
      </w:divBdr>
    </w:div>
    <w:div w:id="514542283">
      <w:bodyDiv w:val="1"/>
      <w:marLeft w:val="0"/>
      <w:marRight w:val="0"/>
      <w:marTop w:val="0"/>
      <w:marBottom w:val="0"/>
      <w:divBdr>
        <w:top w:val="none" w:sz="0" w:space="0" w:color="auto"/>
        <w:left w:val="none" w:sz="0" w:space="0" w:color="auto"/>
        <w:bottom w:val="none" w:sz="0" w:space="0" w:color="auto"/>
        <w:right w:val="none" w:sz="0" w:space="0" w:color="auto"/>
      </w:divBdr>
    </w:div>
    <w:div w:id="526024168">
      <w:bodyDiv w:val="1"/>
      <w:marLeft w:val="0"/>
      <w:marRight w:val="0"/>
      <w:marTop w:val="0"/>
      <w:marBottom w:val="0"/>
      <w:divBdr>
        <w:top w:val="none" w:sz="0" w:space="0" w:color="auto"/>
        <w:left w:val="none" w:sz="0" w:space="0" w:color="auto"/>
        <w:bottom w:val="none" w:sz="0" w:space="0" w:color="auto"/>
        <w:right w:val="none" w:sz="0" w:space="0" w:color="auto"/>
      </w:divBdr>
      <w:divsChild>
        <w:div w:id="244346188">
          <w:marLeft w:val="0"/>
          <w:marRight w:val="0"/>
          <w:marTop w:val="0"/>
          <w:marBottom w:val="0"/>
          <w:divBdr>
            <w:top w:val="none" w:sz="0" w:space="0" w:color="auto"/>
            <w:left w:val="none" w:sz="0" w:space="0" w:color="auto"/>
            <w:bottom w:val="none" w:sz="0" w:space="0" w:color="auto"/>
            <w:right w:val="none" w:sz="0" w:space="0" w:color="auto"/>
          </w:divBdr>
        </w:div>
        <w:div w:id="836965311">
          <w:marLeft w:val="0"/>
          <w:marRight w:val="0"/>
          <w:marTop w:val="0"/>
          <w:marBottom w:val="0"/>
          <w:divBdr>
            <w:top w:val="none" w:sz="0" w:space="0" w:color="auto"/>
            <w:left w:val="none" w:sz="0" w:space="0" w:color="auto"/>
            <w:bottom w:val="none" w:sz="0" w:space="0" w:color="auto"/>
            <w:right w:val="none" w:sz="0" w:space="0" w:color="auto"/>
          </w:divBdr>
        </w:div>
      </w:divsChild>
    </w:div>
    <w:div w:id="558831203">
      <w:bodyDiv w:val="1"/>
      <w:marLeft w:val="0"/>
      <w:marRight w:val="0"/>
      <w:marTop w:val="0"/>
      <w:marBottom w:val="0"/>
      <w:divBdr>
        <w:top w:val="none" w:sz="0" w:space="0" w:color="auto"/>
        <w:left w:val="none" w:sz="0" w:space="0" w:color="auto"/>
        <w:bottom w:val="none" w:sz="0" w:space="0" w:color="auto"/>
        <w:right w:val="none" w:sz="0" w:space="0" w:color="auto"/>
      </w:divBdr>
    </w:div>
    <w:div w:id="567157515">
      <w:bodyDiv w:val="1"/>
      <w:marLeft w:val="0"/>
      <w:marRight w:val="0"/>
      <w:marTop w:val="0"/>
      <w:marBottom w:val="0"/>
      <w:divBdr>
        <w:top w:val="none" w:sz="0" w:space="0" w:color="auto"/>
        <w:left w:val="none" w:sz="0" w:space="0" w:color="auto"/>
        <w:bottom w:val="none" w:sz="0" w:space="0" w:color="auto"/>
        <w:right w:val="none" w:sz="0" w:space="0" w:color="auto"/>
      </w:divBdr>
      <w:divsChild>
        <w:div w:id="30229406">
          <w:marLeft w:val="547"/>
          <w:marRight w:val="0"/>
          <w:marTop w:val="240"/>
          <w:marBottom w:val="120"/>
          <w:divBdr>
            <w:top w:val="none" w:sz="0" w:space="0" w:color="auto"/>
            <w:left w:val="none" w:sz="0" w:space="0" w:color="auto"/>
            <w:bottom w:val="none" w:sz="0" w:space="0" w:color="auto"/>
            <w:right w:val="none" w:sz="0" w:space="0" w:color="auto"/>
          </w:divBdr>
        </w:div>
        <w:div w:id="410279226">
          <w:marLeft w:val="547"/>
          <w:marRight w:val="0"/>
          <w:marTop w:val="240"/>
          <w:marBottom w:val="120"/>
          <w:divBdr>
            <w:top w:val="none" w:sz="0" w:space="0" w:color="auto"/>
            <w:left w:val="none" w:sz="0" w:space="0" w:color="auto"/>
            <w:bottom w:val="none" w:sz="0" w:space="0" w:color="auto"/>
            <w:right w:val="none" w:sz="0" w:space="0" w:color="auto"/>
          </w:divBdr>
        </w:div>
        <w:div w:id="1431241405">
          <w:marLeft w:val="547"/>
          <w:marRight w:val="0"/>
          <w:marTop w:val="240"/>
          <w:marBottom w:val="120"/>
          <w:divBdr>
            <w:top w:val="none" w:sz="0" w:space="0" w:color="auto"/>
            <w:left w:val="none" w:sz="0" w:space="0" w:color="auto"/>
            <w:bottom w:val="none" w:sz="0" w:space="0" w:color="auto"/>
            <w:right w:val="none" w:sz="0" w:space="0" w:color="auto"/>
          </w:divBdr>
        </w:div>
        <w:div w:id="1754743949">
          <w:marLeft w:val="547"/>
          <w:marRight w:val="0"/>
          <w:marTop w:val="240"/>
          <w:marBottom w:val="120"/>
          <w:divBdr>
            <w:top w:val="none" w:sz="0" w:space="0" w:color="auto"/>
            <w:left w:val="none" w:sz="0" w:space="0" w:color="auto"/>
            <w:bottom w:val="none" w:sz="0" w:space="0" w:color="auto"/>
            <w:right w:val="none" w:sz="0" w:space="0" w:color="auto"/>
          </w:divBdr>
        </w:div>
        <w:div w:id="2139252470">
          <w:marLeft w:val="547"/>
          <w:marRight w:val="0"/>
          <w:marTop w:val="240"/>
          <w:marBottom w:val="120"/>
          <w:divBdr>
            <w:top w:val="none" w:sz="0" w:space="0" w:color="auto"/>
            <w:left w:val="none" w:sz="0" w:space="0" w:color="auto"/>
            <w:bottom w:val="none" w:sz="0" w:space="0" w:color="auto"/>
            <w:right w:val="none" w:sz="0" w:space="0" w:color="auto"/>
          </w:divBdr>
        </w:div>
      </w:divsChild>
    </w:div>
    <w:div w:id="584650652">
      <w:bodyDiv w:val="1"/>
      <w:marLeft w:val="0"/>
      <w:marRight w:val="0"/>
      <w:marTop w:val="0"/>
      <w:marBottom w:val="0"/>
      <w:divBdr>
        <w:top w:val="none" w:sz="0" w:space="0" w:color="auto"/>
        <w:left w:val="none" w:sz="0" w:space="0" w:color="auto"/>
        <w:bottom w:val="none" w:sz="0" w:space="0" w:color="auto"/>
        <w:right w:val="none" w:sz="0" w:space="0" w:color="auto"/>
      </w:divBdr>
    </w:div>
    <w:div w:id="586427910">
      <w:bodyDiv w:val="1"/>
      <w:marLeft w:val="0"/>
      <w:marRight w:val="0"/>
      <w:marTop w:val="0"/>
      <w:marBottom w:val="0"/>
      <w:divBdr>
        <w:top w:val="none" w:sz="0" w:space="0" w:color="auto"/>
        <w:left w:val="none" w:sz="0" w:space="0" w:color="auto"/>
        <w:bottom w:val="none" w:sz="0" w:space="0" w:color="auto"/>
        <w:right w:val="none" w:sz="0" w:space="0" w:color="auto"/>
      </w:divBdr>
    </w:div>
    <w:div w:id="593243352">
      <w:bodyDiv w:val="1"/>
      <w:marLeft w:val="0"/>
      <w:marRight w:val="0"/>
      <w:marTop w:val="0"/>
      <w:marBottom w:val="0"/>
      <w:divBdr>
        <w:top w:val="none" w:sz="0" w:space="0" w:color="auto"/>
        <w:left w:val="none" w:sz="0" w:space="0" w:color="auto"/>
        <w:bottom w:val="none" w:sz="0" w:space="0" w:color="auto"/>
        <w:right w:val="none" w:sz="0" w:space="0" w:color="auto"/>
      </w:divBdr>
    </w:div>
    <w:div w:id="629091034">
      <w:bodyDiv w:val="1"/>
      <w:marLeft w:val="0"/>
      <w:marRight w:val="0"/>
      <w:marTop w:val="0"/>
      <w:marBottom w:val="0"/>
      <w:divBdr>
        <w:top w:val="none" w:sz="0" w:space="0" w:color="auto"/>
        <w:left w:val="none" w:sz="0" w:space="0" w:color="auto"/>
        <w:bottom w:val="none" w:sz="0" w:space="0" w:color="auto"/>
        <w:right w:val="none" w:sz="0" w:space="0" w:color="auto"/>
      </w:divBdr>
    </w:div>
    <w:div w:id="668213855">
      <w:bodyDiv w:val="1"/>
      <w:marLeft w:val="0"/>
      <w:marRight w:val="0"/>
      <w:marTop w:val="0"/>
      <w:marBottom w:val="0"/>
      <w:divBdr>
        <w:top w:val="none" w:sz="0" w:space="0" w:color="auto"/>
        <w:left w:val="none" w:sz="0" w:space="0" w:color="auto"/>
        <w:bottom w:val="none" w:sz="0" w:space="0" w:color="auto"/>
        <w:right w:val="none" w:sz="0" w:space="0" w:color="auto"/>
      </w:divBdr>
      <w:divsChild>
        <w:div w:id="708843259">
          <w:marLeft w:val="0"/>
          <w:marRight w:val="0"/>
          <w:marTop w:val="0"/>
          <w:marBottom w:val="0"/>
          <w:divBdr>
            <w:top w:val="none" w:sz="0" w:space="0" w:color="auto"/>
            <w:left w:val="none" w:sz="0" w:space="0" w:color="auto"/>
            <w:bottom w:val="none" w:sz="0" w:space="0" w:color="auto"/>
            <w:right w:val="none" w:sz="0" w:space="0" w:color="auto"/>
          </w:divBdr>
        </w:div>
        <w:div w:id="724721993">
          <w:marLeft w:val="0"/>
          <w:marRight w:val="0"/>
          <w:marTop w:val="0"/>
          <w:marBottom w:val="0"/>
          <w:divBdr>
            <w:top w:val="none" w:sz="0" w:space="0" w:color="auto"/>
            <w:left w:val="none" w:sz="0" w:space="0" w:color="auto"/>
            <w:bottom w:val="none" w:sz="0" w:space="0" w:color="auto"/>
            <w:right w:val="none" w:sz="0" w:space="0" w:color="auto"/>
          </w:divBdr>
        </w:div>
        <w:div w:id="1291741280">
          <w:marLeft w:val="0"/>
          <w:marRight w:val="0"/>
          <w:marTop w:val="0"/>
          <w:marBottom w:val="0"/>
          <w:divBdr>
            <w:top w:val="none" w:sz="0" w:space="0" w:color="auto"/>
            <w:left w:val="none" w:sz="0" w:space="0" w:color="auto"/>
            <w:bottom w:val="none" w:sz="0" w:space="0" w:color="auto"/>
            <w:right w:val="none" w:sz="0" w:space="0" w:color="auto"/>
          </w:divBdr>
        </w:div>
        <w:div w:id="1386758348">
          <w:marLeft w:val="0"/>
          <w:marRight w:val="0"/>
          <w:marTop w:val="0"/>
          <w:marBottom w:val="0"/>
          <w:divBdr>
            <w:top w:val="none" w:sz="0" w:space="0" w:color="auto"/>
            <w:left w:val="none" w:sz="0" w:space="0" w:color="auto"/>
            <w:bottom w:val="none" w:sz="0" w:space="0" w:color="auto"/>
            <w:right w:val="none" w:sz="0" w:space="0" w:color="auto"/>
          </w:divBdr>
        </w:div>
        <w:div w:id="1726180297">
          <w:marLeft w:val="0"/>
          <w:marRight w:val="0"/>
          <w:marTop w:val="0"/>
          <w:marBottom w:val="0"/>
          <w:divBdr>
            <w:top w:val="none" w:sz="0" w:space="0" w:color="auto"/>
            <w:left w:val="none" w:sz="0" w:space="0" w:color="auto"/>
            <w:bottom w:val="none" w:sz="0" w:space="0" w:color="auto"/>
            <w:right w:val="none" w:sz="0" w:space="0" w:color="auto"/>
          </w:divBdr>
        </w:div>
        <w:div w:id="1913155657">
          <w:marLeft w:val="0"/>
          <w:marRight w:val="0"/>
          <w:marTop w:val="0"/>
          <w:marBottom w:val="0"/>
          <w:divBdr>
            <w:top w:val="none" w:sz="0" w:space="0" w:color="auto"/>
            <w:left w:val="none" w:sz="0" w:space="0" w:color="auto"/>
            <w:bottom w:val="none" w:sz="0" w:space="0" w:color="auto"/>
            <w:right w:val="none" w:sz="0" w:space="0" w:color="auto"/>
          </w:divBdr>
        </w:div>
        <w:div w:id="2009554737">
          <w:marLeft w:val="0"/>
          <w:marRight w:val="0"/>
          <w:marTop w:val="0"/>
          <w:marBottom w:val="0"/>
          <w:divBdr>
            <w:top w:val="none" w:sz="0" w:space="0" w:color="auto"/>
            <w:left w:val="none" w:sz="0" w:space="0" w:color="auto"/>
            <w:bottom w:val="none" w:sz="0" w:space="0" w:color="auto"/>
            <w:right w:val="none" w:sz="0" w:space="0" w:color="auto"/>
          </w:divBdr>
        </w:div>
      </w:divsChild>
    </w:div>
    <w:div w:id="675111268">
      <w:bodyDiv w:val="1"/>
      <w:marLeft w:val="0"/>
      <w:marRight w:val="0"/>
      <w:marTop w:val="0"/>
      <w:marBottom w:val="0"/>
      <w:divBdr>
        <w:top w:val="none" w:sz="0" w:space="0" w:color="auto"/>
        <w:left w:val="none" w:sz="0" w:space="0" w:color="auto"/>
        <w:bottom w:val="none" w:sz="0" w:space="0" w:color="auto"/>
        <w:right w:val="none" w:sz="0" w:space="0" w:color="auto"/>
      </w:divBdr>
    </w:div>
    <w:div w:id="695689850">
      <w:bodyDiv w:val="1"/>
      <w:marLeft w:val="0"/>
      <w:marRight w:val="0"/>
      <w:marTop w:val="0"/>
      <w:marBottom w:val="0"/>
      <w:divBdr>
        <w:top w:val="none" w:sz="0" w:space="0" w:color="auto"/>
        <w:left w:val="none" w:sz="0" w:space="0" w:color="auto"/>
        <w:bottom w:val="none" w:sz="0" w:space="0" w:color="auto"/>
        <w:right w:val="none" w:sz="0" w:space="0" w:color="auto"/>
      </w:divBdr>
      <w:divsChild>
        <w:div w:id="777214661">
          <w:marLeft w:val="0"/>
          <w:marRight w:val="0"/>
          <w:marTop w:val="0"/>
          <w:marBottom w:val="0"/>
          <w:divBdr>
            <w:top w:val="none" w:sz="0" w:space="0" w:color="auto"/>
            <w:left w:val="none" w:sz="0" w:space="0" w:color="auto"/>
            <w:bottom w:val="none" w:sz="0" w:space="0" w:color="auto"/>
            <w:right w:val="none" w:sz="0" w:space="0" w:color="auto"/>
          </w:divBdr>
        </w:div>
        <w:div w:id="1397556062">
          <w:marLeft w:val="0"/>
          <w:marRight w:val="0"/>
          <w:marTop w:val="0"/>
          <w:marBottom w:val="0"/>
          <w:divBdr>
            <w:top w:val="none" w:sz="0" w:space="0" w:color="auto"/>
            <w:left w:val="none" w:sz="0" w:space="0" w:color="auto"/>
            <w:bottom w:val="none" w:sz="0" w:space="0" w:color="auto"/>
            <w:right w:val="none" w:sz="0" w:space="0" w:color="auto"/>
          </w:divBdr>
        </w:div>
      </w:divsChild>
    </w:div>
    <w:div w:id="698167451">
      <w:bodyDiv w:val="1"/>
      <w:marLeft w:val="0"/>
      <w:marRight w:val="0"/>
      <w:marTop w:val="0"/>
      <w:marBottom w:val="0"/>
      <w:divBdr>
        <w:top w:val="none" w:sz="0" w:space="0" w:color="auto"/>
        <w:left w:val="none" w:sz="0" w:space="0" w:color="auto"/>
        <w:bottom w:val="none" w:sz="0" w:space="0" w:color="auto"/>
        <w:right w:val="none" w:sz="0" w:space="0" w:color="auto"/>
      </w:divBdr>
    </w:div>
    <w:div w:id="710572552">
      <w:bodyDiv w:val="1"/>
      <w:marLeft w:val="0"/>
      <w:marRight w:val="0"/>
      <w:marTop w:val="0"/>
      <w:marBottom w:val="0"/>
      <w:divBdr>
        <w:top w:val="none" w:sz="0" w:space="0" w:color="auto"/>
        <w:left w:val="none" w:sz="0" w:space="0" w:color="auto"/>
        <w:bottom w:val="none" w:sz="0" w:space="0" w:color="auto"/>
        <w:right w:val="none" w:sz="0" w:space="0" w:color="auto"/>
      </w:divBdr>
      <w:divsChild>
        <w:div w:id="41754203">
          <w:marLeft w:val="547"/>
          <w:marRight w:val="0"/>
          <w:marTop w:val="240"/>
          <w:marBottom w:val="120"/>
          <w:divBdr>
            <w:top w:val="none" w:sz="0" w:space="0" w:color="auto"/>
            <w:left w:val="none" w:sz="0" w:space="0" w:color="auto"/>
            <w:bottom w:val="none" w:sz="0" w:space="0" w:color="auto"/>
            <w:right w:val="none" w:sz="0" w:space="0" w:color="auto"/>
          </w:divBdr>
        </w:div>
      </w:divsChild>
    </w:div>
    <w:div w:id="717316485">
      <w:bodyDiv w:val="1"/>
      <w:marLeft w:val="0"/>
      <w:marRight w:val="0"/>
      <w:marTop w:val="0"/>
      <w:marBottom w:val="0"/>
      <w:divBdr>
        <w:top w:val="none" w:sz="0" w:space="0" w:color="auto"/>
        <w:left w:val="none" w:sz="0" w:space="0" w:color="auto"/>
        <w:bottom w:val="none" w:sz="0" w:space="0" w:color="auto"/>
        <w:right w:val="none" w:sz="0" w:space="0" w:color="auto"/>
      </w:divBdr>
      <w:divsChild>
        <w:div w:id="1418164887">
          <w:marLeft w:val="0"/>
          <w:marRight w:val="0"/>
          <w:marTop w:val="0"/>
          <w:marBottom w:val="0"/>
          <w:divBdr>
            <w:top w:val="none" w:sz="0" w:space="0" w:color="auto"/>
            <w:left w:val="none" w:sz="0" w:space="0" w:color="auto"/>
            <w:bottom w:val="none" w:sz="0" w:space="0" w:color="auto"/>
            <w:right w:val="none" w:sz="0" w:space="0" w:color="auto"/>
          </w:divBdr>
        </w:div>
      </w:divsChild>
    </w:div>
    <w:div w:id="727144950">
      <w:bodyDiv w:val="1"/>
      <w:marLeft w:val="0"/>
      <w:marRight w:val="0"/>
      <w:marTop w:val="0"/>
      <w:marBottom w:val="0"/>
      <w:divBdr>
        <w:top w:val="none" w:sz="0" w:space="0" w:color="auto"/>
        <w:left w:val="none" w:sz="0" w:space="0" w:color="auto"/>
        <w:bottom w:val="none" w:sz="0" w:space="0" w:color="auto"/>
        <w:right w:val="none" w:sz="0" w:space="0" w:color="auto"/>
      </w:divBdr>
      <w:divsChild>
        <w:div w:id="12252">
          <w:marLeft w:val="0"/>
          <w:marRight w:val="0"/>
          <w:marTop w:val="0"/>
          <w:marBottom w:val="0"/>
          <w:divBdr>
            <w:top w:val="none" w:sz="0" w:space="0" w:color="auto"/>
            <w:left w:val="none" w:sz="0" w:space="0" w:color="auto"/>
            <w:bottom w:val="none" w:sz="0" w:space="0" w:color="auto"/>
            <w:right w:val="none" w:sz="0" w:space="0" w:color="auto"/>
          </w:divBdr>
        </w:div>
        <w:div w:id="255358862">
          <w:marLeft w:val="0"/>
          <w:marRight w:val="0"/>
          <w:marTop w:val="0"/>
          <w:marBottom w:val="0"/>
          <w:divBdr>
            <w:top w:val="none" w:sz="0" w:space="0" w:color="auto"/>
            <w:left w:val="none" w:sz="0" w:space="0" w:color="auto"/>
            <w:bottom w:val="none" w:sz="0" w:space="0" w:color="auto"/>
            <w:right w:val="none" w:sz="0" w:space="0" w:color="auto"/>
          </w:divBdr>
        </w:div>
      </w:divsChild>
    </w:div>
    <w:div w:id="767047788">
      <w:bodyDiv w:val="1"/>
      <w:marLeft w:val="0"/>
      <w:marRight w:val="0"/>
      <w:marTop w:val="0"/>
      <w:marBottom w:val="0"/>
      <w:divBdr>
        <w:top w:val="none" w:sz="0" w:space="0" w:color="auto"/>
        <w:left w:val="none" w:sz="0" w:space="0" w:color="auto"/>
        <w:bottom w:val="none" w:sz="0" w:space="0" w:color="auto"/>
        <w:right w:val="none" w:sz="0" w:space="0" w:color="auto"/>
      </w:divBdr>
      <w:divsChild>
        <w:div w:id="1282498566">
          <w:marLeft w:val="0"/>
          <w:marRight w:val="0"/>
          <w:marTop w:val="0"/>
          <w:marBottom w:val="0"/>
          <w:divBdr>
            <w:top w:val="none" w:sz="0" w:space="0" w:color="auto"/>
            <w:left w:val="none" w:sz="0" w:space="0" w:color="auto"/>
            <w:bottom w:val="none" w:sz="0" w:space="0" w:color="auto"/>
            <w:right w:val="none" w:sz="0" w:space="0" w:color="auto"/>
          </w:divBdr>
        </w:div>
        <w:div w:id="1302883580">
          <w:marLeft w:val="0"/>
          <w:marRight w:val="0"/>
          <w:marTop w:val="0"/>
          <w:marBottom w:val="0"/>
          <w:divBdr>
            <w:top w:val="none" w:sz="0" w:space="0" w:color="auto"/>
            <w:left w:val="none" w:sz="0" w:space="0" w:color="auto"/>
            <w:bottom w:val="none" w:sz="0" w:space="0" w:color="auto"/>
            <w:right w:val="none" w:sz="0" w:space="0" w:color="auto"/>
          </w:divBdr>
        </w:div>
        <w:div w:id="1486629643">
          <w:marLeft w:val="0"/>
          <w:marRight w:val="0"/>
          <w:marTop w:val="0"/>
          <w:marBottom w:val="0"/>
          <w:divBdr>
            <w:top w:val="none" w:sz="0" w:space="0" w:color="auto"/>
            <w:left w:val="none" w:sz="0" w:space="0" w:color="auto"/>
            <w:bottom w:val="none" w:sz="0" w:space="0" w:color="auto"/>
            <w:right w:val="none" w:sz="0" w:space="0" w:color="auto"/>
          </w:divBdr>
        </w:div>
      </w:divsChild>
    </w:div>
    <w:div w:id="784691769">
      <w:bodyDiv w:val="1"/>
      <w:marLeft w:val="0"/>
      <w:marRight w:val="0"/>
      <w:marTop w:val="0"/>
      <w:marBottom w:val="0"/>
      <w:divBdr>
        <w:top w:val="none" w:sz="0" w:space="0" w:color="auto"/>
        <w:left w:val="none" w:sz="0" w:space="0" w:color="auto"/>
        <w:bottom w:val="none" w:sz="0" w:space="0" w:color="auto"/>
        <w:right w:val="none" w:sz="0" w:space="0" w:color="auto"/>
      </w:divBdr>
    </w:div>
    <w:div w:id="788158838">
      <w:bodyDiv w:val="1"/>
      <w:marLeft w:val="0"/>
      <w:marRight w:val="0"/>
      <w:marTop w:val="0"/>
      <w:marBottom w:val="0"/>
      <w:divBdr>
        <w:top w:val="none" w:sz="0" w:space="0" w:color="auto"/>
        <w:left w:val="none" w:sz="0" w:space="0" w:color="auto"/>
        <w:bottom w:val="none" w:sz="0" w:space="0" w:color="auto"/>
        <w:right w:val="none" w:sz="0" w:space="0" w:color="auto"/>
      </w:divBdr>
    </w:div>
    <w:div w:id="794715497">
      <w:bodyDiv w:val="1"/>
      <w:marLeft w:val="0"/>
      <w:marRight w:val="0"/>
      <w:marTop w:val="0"/>
      <w:marBottom w:val="0"/>
      <w:divBdr>
        <w:top w:val="none" w:sz="0" w:space="0" w:color="auto"/>
        <w:left w:val="none" w:sz="0" w:space="0" w:color="auto"/>
        <w:bottom w:val="none" w:sz="0" w:space="0" w:color="auto"/>
        <w:right w:val="none" w:sz="0" w:space="0" w:color="auto"/>
      </w:divBdr>
      <w:divsChild>
        <w:div w:id="546138402">
          <w:marLeft w:val="446"/>
          <w:marRight w:val="0"/>
          <w:marTop w:val="0"/>
          <w:marBottom w:val="0"/>
          <w:divBdr>
            <w:top w:val="none" w:sz="0" w:space="0" w:color="auto"/>
            <w:left w:val="none" w:sz="0" w:space="0" w:color="auto"/>
            <w:bottom w:val="none" w:sz="0" w:space="0" w:color="auto"/>
            <w:right w:val="none" w:sz="0" w:space="0" w:color="auto"/>
          </w:divBdr>
        </w:div>
        <w:div w:id="726034271">
          <w:marLeft w:val="446"/>
          <w:marRight w:val="0"/>
          <w:marTop w:val="0"/>
          <w:marBottom w:val="0"/>
          <w:divBdr>
            <w:top w:val="none" w:sz="0" w:space="0" w:color="auto"/>
            <w:left w:val="none" w:sz="0" w:space="0" w:color="auto"/>
            <w:bottom w:val="none" w:sz="0" w:space="0" w:color="auto"/>
            <w:right w:val="none" w:sz="0" w:space="0" w:color="auto"/>
          </w:divBdr>
        </w:div>
        <w:div w:id="1331133596">
          <w:marLeft w:val="446"/>
          <w:marRight w:val="0"/>
          <w:marTop w:val="0"/>
          <w:marBottom w:val="0"/>
          <w:divBdr>
            <w:top w:val="none" w:sz="0" w:space="0" w:color="auto"/>
            <w:left w:val="none" w:sz="0" w:space="0" w:color="auto"/>
            <w:bottom w:val="none" w:sz="0" w:space="0" w:color="auto"/>
            <w:right w:val="none" w:sz="0" w:space="0" w:color="auto"/>
          </w:divBdr>
        </w:div>
        <w:div w:id="1505589926">
          <w:marLeft w:val="446"/>
          <w:marRight w:val="0"/>
          <w:marTop w:val="0"/>
          <w:marBottom w:val="0"/>
          <w:divBdr>
            <w:top w:val="none" w:sz="0" w:space="0" w:color="auto"/>
            <w:left w:val="none" w:sz="0" w:space="0" w:color="auto"/>
            <w:bottom w:val="none" w:sz="0" w:space="0" w:color="auto"/>
            <w:right w:val="none" w:sz="0" w:space="0" w:color="auto"/>
          </w:divBdr>
        </w:div>
        <w:div w:id="1588423739">
          <w:marLeft w:val="446"/>
          <w:marRight w:val="0"/>
          <w:marTop w:val="0"/>
          <w:marBottom w:val="0"/>
          <w:divBdr>
            <w:top w:val="none" w:sz="0" w:space="0" w:color="auto"/>
            <w:left w:val="none" w:sz="0" w:space="0" w:color="auto"/>
            <w:bottom w:val="none" w:sz="0" w:space="0" w:color="auto"/>
            <w:right w:val="none" w:sz="0" w:space="0" w:color="auto"/>
          </w:divBdr>
        </w:div>
        <w:div w:id="2131628871">
          <w:marLeft w:val="446"/>
          <w:marRight w:val="0"/>
          <w:marTop w:val="0"/>
          <w:marBottom w:val="0"/>
          <w:divBdr>
            <w:top w:val="none" w:sz="0" w:space="0" w:color="auto"/>
            <w:left w:val="none" w:sz="0" w:space="0" w:color="auto"/>
            <w:bottom w:val="none" w:sz="0" w:space="0" w:color="auto"/>
            <w:right w:val="none" w:sz="0" w:space="0" w:color="auto"/>
          </w:divBdr>
        </w:div>
      </w:divsChild>
    </w:div>
    <w:div w:id="795874194">
      <w:bodyDiv w:val="1"/>
      <w:marLeft w:val="0"/>
      <w:marRight w:val="0"/>
      <w:marTop w:val="0"/>
      <w:marBottom w:val="0"/>
      <w:divBdr>
        <w:top w:val="none" w:sz="0" w:space="0" w:color="auto"/>
        <w:left w:val="none" w:sz="0" w:space="0" w:color="auto"/>
        <w:bottom w:val="none" w:sz="0" w:space="0" w:color="auto"/>
        <w:right w:val="none" w:sz="0" w:space="0" w:color="auto"/>
      </w:divBdr>
      <w:divsChild>
        <w:div w:id="129322608">
          <w:marLeft w:val="274"/>
          <w:marRight w:val="0"/>
          <w:marTop w:val="0"/>
          <w:marBottom w:val="0"/>
          <w:divBdr>
            <w:top w:val="none" w:sz="0" w:space="0" w:color="auto"/>
            <w:left w:val="none" w:sz="0" w:space="0" w:color="auto"/>
            <w:bottom w:val="none" w:sz="0" w:space="0" w:color="auto"/>
            <w:right w:val="none" w:sz="0" w:space="0" w:color="auto"/>
          </w:divBdr>
        </w:div>
        <w:div w:id="362681534">
          <w:marLeft w:val="274"/>
          <w:marRight w:val="0"/>
          <w:marTop w:val="0"/>
          <w:marBottom w:val="0"/>
          <w:divBdr>
            <w:top w:val="none" w:sz="0" w:space="0" w:color="auto"/>
            <w:left w:val="none" w:sz="0" w:space="0" w:color="auto"/>
            <w:bottom w:val="none" w:sz="0" w:space="0" w:color="auto"/>
            <w:right w:val="none" w:sz="0" w:space="0" w:color="auto"/>
          </w:divBdr>
        </w:div>
        <w:div w:id="1510177134">
          <w:marLeft w:val="274"/>
          <w:marRight w:val="0"/>
          <w:marTop w:val="0"/>
          <w:marBottom w:val="0"/>
          <w:divBdr>
            <w:top w:val="none" w:sz="0" w:space="0" w:color="auto"/>
            <w:left w:val="none" w:sz="0" w:space="0" w:color="auto"/>
            <w:bottom w:val="none" w:sz="0" w:space="0" w:color="auto"/>
            <w:right w:val="none" w:sz="0" w:space="0" w:color="auto"/>
          </w:divBdr>
        </w:div>
      </w:divsChild>
    </w:div>
    <w:div w:id="813762071">
      <w:bodyDiv w:val="1"/>
      <w:marLeft w:val="0"/>
      <w:marRight w:val="0"/>
      <w:marTop w:val="0"/>
      <w:marBottom w:val="0"/>
      <w:divBdr>
        <w:top w:val="none" w:sz="0" w:space="0" w:color="auto"/>
        <w:left w:val="none" w:sz="0" w:space="0" w:color="auto"/>
        <w:bottom w:val="none" w:sz="0" w:space="0" w:color="auto"/>
        <w:right w:val="none" w:sz="0" w:space="0" w:color="auto"/>
      </w:divBdr>
    </w:div>
    <w:div w:id="819035278">
      <w:bodyDiv w:val="1"/>
      <w:marLeft w:val="0"/>
      <w:marRight w:val="0"/>
      <w:marTop w:val="0"/>
      <w:marBottom w:val="0"/>
      <w:divBdr>
        <w:top w:val="none" w:sz="0" w:space="0" w:color="auto"/>
        <w:left w:val="none" w:sz="0" w:space="0" w:color="auto"/>
        <w:bottom w:val="none" w:sz="0" w:space="0" w:color="auto"/>
        <w:right w:val="none" w:sz="0" w:space="0" w:color="auto"/>
      </w:divBdr>
    </w:div>
    <w:div w:id="843016385">
      <w:bodyDiv w:val="1"/>
      <w:marLeft w:val="0"/>
      <w:marRight w:val="0"/>
      <w:marTop w:val="0"/>
      <w:marBottom w:val="0"/>
      <w:divBdr>
        <w:top w:val="none" w:sz="0" w:space="0" w:color="auto"/>
        <w:left w:val="none" w:sz="0" w:space="0" w:color="auto"/>
        <w:bottom w:val="none" w:sz="0" w:space="0" w:color="auto"/>
        <w:right w:val="none" w:sz="0" w:space="0" w:color="auto"/>
      </w:divBdr>
    </w:div>
    <w:div w:id="859122673">
      <w:bodyDiv w:val="1"/>
      <w:marLeft w:val="0"/>
      <w:marRight w:val="0"/>
      <w:marTop w:val="0"/>
      <w:marBottom w:val="0"/>
      <w:divBdr>
        <w:top w:val="none" w:sz="0" w:space="0" w:color="auto"/>
        <w:left w:val="none" w:sz="0" w:space="0" w:color="auto"/>
        <w:bottom w:val="none" w:sz="0" w:space="0" w:color="auto"/>
        <w:right w:val="none" w:sz="0" w:space="0" w:color="auto"/>
      </w:divBdr>
    </w:div>
    <w:div w:id="862014233">
      <w:bodyDiv w:val="1"/>
      <w:marLeft w:val="0"/>
      <w:marRight w:val="0"/>
      <w:marTop w:val="0"/>
      <w:marBottom w:val="0"/>
      <w:divBdr>
        <w:top w:val="none" w:sz="0" w:space="0" w:color="auto"/>
        <w:left w:val="none" w:sz="0" w:space="0" w:color="auto"/>
        <w:bottom w:val="none" w:sz="0" w:space="0" w:color="auto"/>
        <w:right w:val="none" w:sz="0" w:space="0" w:color="auto"/>
      </w:divBdr>
      <w:divsChild>
        <w:div w:id="719211433">
          <w:marLeft w:val="0"/>
          <w:marRight w:val="0"/>
          <w:marTop w:val="0"/>
          <w:marBottom w:val="0"/>
          <w:divBdr>
            <w:top w:val="none" w:sz="0" w:space="0" w:color="auto"/>
            <w:left w:val="none" w:sz="0" w:space="0" w:color="auto"/>
            <w:bottom w:val="none" w:sz="0" w:space="0" w:color="auto"/>
            <w:right w:val="none" w:sz="0" w:space="0" w:color="auto"/>
          </w:divBdr>
          <w:divsChild>
            <w:div w:id="2113281604">
              <w:marLeft w:val="0"/>
              <w:marRight w:val="0"/>
              <w:marTop w:val="30"/>
              <w:marBottom w:val="30"/>
              <w:divBdr>
                <w:top w:val="none" w:sz="0" w:space="0" w:color="auto"/>
                <w:left w:val="none" w:sz="0" w:space="0" w:color="auto"/>
                <w:bottom w:val="none" w:sz="0" w:space="0" w:color="auto"/>
                <w:right w:val="none" w:sz="0" w:space="0" w:color="auto"/>
              </w:divBdr>
              <w:divsChild>
                <w:div w:id="48775124">
                  <w:marLeft w:val="0"/>
                  <w:marRight w:val="0"/>
                  <w:marTop w:val="0"/>
                  <w:marBottom w:val="0"/>
                  <w:divBdr>
                    <w:top w:val="none" w:sz="0" w:space="0" w:color="auto"/>
                    <w:left w:val="none" w:sz="0" w:space="0" w:color="auto"/>
                    <w:bottom w:val="none" w:sz="0" w:space="0" w:color="auto"/>
                    <w:right w:val="none" w:sz="0" w:space="0" w:color="auto"/>
                  </w:divBdr>
                  <w:divsChild>
                    <w:div w:id="514926048">
                      <w:marLeft w:val="0"/>
                      <w:marRight w:val="0"/>
                      <w:marTop w:val="0"/>
                      <w:marBottom w:val="0"/>
                      <w:divBdr>
                        <w:top w:val="none" w:sz="0" w:space="0" w:color="auto"/>
                        <w:left w:val="none" w:sz="0" w:space="0" w:color="auto"/>
                        <w:bottom w:val="none" w:sz="0" w:space="0" w:color="auto"/>
                        <w:right w:val="none" w:sz="0" w:space="0" w:color="auto"/>
                      </w:divBdr>
                    </w:div>
                  </w:divsChild>
                </w:div>
                <w:div w:id="57439157">
                  <w:marLeft w:val="0"/>
                  <w:marRight w:val="0"/>
                  <w:marTop w:val="0"/>
                  <w:marBottom w:val="0"/>
                  <w:divBdr>
                    <w:top w:val="none" w:sz="0" w:space="0" w:color="auto"/>
                    <w:left w:val="none" w:sz="0" w:space="0" w:color="auto"/>
                    <w:bottom w:val="none" w:sz="0" w:space="0" w:color="auto"/>
                    <w:right w:val="none" w:sz="0" w:space="0" w:color="auto"/>
                  </w:divBdr>
                  <w:divsChild>
                    <w:div w:id="1639532125">
                      <w:marLeft w:val="0"/>
                      <w:marRight w:val="0"/>
                      <w:marTop w:val="0"/>
                      <w:marBottom w:val="0"/>
                      <w:divBdr>
                        <w:top w:val="none" w:sz="0" w:space="0" w:color="auto"/>
                        <w:left w:val="none" w:sz="0" w:space="0" w:color="auto"/>
                        <w:bottom w:val="none" w:sz="0" w:space="0" w:color="auto"/>
                        <w:right w:val="none" w:sz="0" w:space="0" w:color="auto"/>
                      </w:divBdr>
                    </w:div>
                  </w:divsChild>
                </w:div>
                <w:div w:id="98571141">
                  <w:marLeft w:val="0"/>
                  <w:marRight w:val="0"/>
                  <w:marTop w:val="0"/>
                  <w:marBottom w:val="0"/>
                  <w:divBdr>
                    <w:top w:val="none" w:sz="0" w:space="0" w:color="auto"/>
                    <w:left w:val="none" w:sz="0" w:space="0" w:color="auto"/>
                    <w:bottom w:val="none" w:sz="0" w:space="0" w:color="auto"/>
                    <w:right w:val="none" w:sz="0" w:space="0" w:color="auto"/>
                  </w:divBdr>
                  <w:divsChild>
                    <w:div w:id="1602758842">
                      <w:marLeft w:val="0"/>
                      <w:marRight w:val="0"/>
                      <w:marTop w:val="0"/>
                      <w:marBottom w:val="0"/>
                      <w:divBdr>
                        <w:top w:val="none" w:sz="0" w:space="0" w:color="auto"/>
                        <w:left w:val="none" w:sz="0" w:space="0" w:color="auto"/>
                        <w:bottom w:val="none" w:sz="0" w:space="0" w:color="auto"/>
                        <w:right w:val="none" w:sz="0" w:space="0" w:color="auto"/>
                      </w:divBdr>
                    </w:div>
                  </w:divsChild>
                </w:div>
                <w:div w:id="120418997">
                  <w:marLeft w:val="0"/>
                  <w:marRight w:val="0"/>
                  <w:marTop w:val="0"/>
                  <w:marBottom w:val="0"/>
                  <w:divBdr>
                    <w:top w:val="none" w:sz="0" w:space="0" w:color="auto"/>
                    <w:left w:val="none" w:sz="0" w:space="0" w:color="auto"/>
                    <w:bottom w:val="none" w:sz="0" w:space="0" w:color="auto"/>
                    <w:right w:val="none" w:sz="0" w:space="0" w:color="auto"/>
                  </w:divBdr>
                  <w:divsChild>
                    <w:div w:id="74017322">
                      <w:marLeft w:val="0"/>
                      <w:marRight w:val="0"/>
                      <w:marTop w:val="0"/>
                      <w:marBottom w:val="0"/>
                      <w:divBdr>
                        <w:top w:val="none" w:sz="0" w:space="0" w:color="auto"/>
                        <w:left w:val="none" w:sz="0" w:space="0" w:color="auto"/>
                        <w:bottom w:val="none" w:sz="0" w:space="0" w:color="auto"/>
                        <w:right w:val="none" w:sz="0" w:space="0" w:color="auto"/>
                      </w:divBdr>
                    </w:div>
                  </w:divsChild>
                </w:div>
                <w:div w:id="145899039">
                  <w:marLeft w:val="0"/>
                  <w:marRight w:val="0"/>
                  <w:marTop w:val="0"/>
                  <w:marBottom w:val="0"/>
                  <w:divBdr>
                    <w:top w:val="none" w:sz="0" w:space="0" w:color="auto"/>
                    <w:left w:val="none" w:sz="0" w:space="0" w:color="auto"/>
                    <w:bottom w:val="none" w:sz="0" w:space="0" w:color="auto"/>
                    <w:right w:val="none" w:sz="0" w:space="0" w:color="auto"/>
                  </w:divBdr>
                  <w:divsChild>
                    <w:div w:id="972096055">
                      <w:marLeft w:val="0"/>
                      <w:marRight w:val="0"/>
                      <w:marTop w:val="0"/>
                      <w:marBottom w:val="0"/>
                      <w:divBdr>
                        <w:top w:val="none" w:sz="0" w:space="0" w:color="auto"/>
                        <w:left w:val="none" w:sz="0" w:space="0" w:color="auto"/>
                        <w:bottom w:val="none" w:sz="0" w:space="0" w:color="auto"/>
                        <w:right w:val="none" w:sz="0" w:space="0" w:color="auto"/>
                      </w:divBdr>
                    </w:div>
                  </w:divsChild>
                </w:div>
                <w:div w:id="200898172">
                  <w:marLeft w:val="0"/>
                  <w:marRight w:val="0"/>
                  <w:marTop w:val="0"/>
                  <w:marBottom w:val="0"/>
                  <w:divBdr>
                    <w:top w:val="none" w:sz="0" w:space="0" w:color="auto"/>
                    <w:left w:val="none" w:sz="0" w:space="0" w:color="auto"/>
                    <w:bottom w:val="none" w:sz="0" w:space="0" w:color="auto"/>
                    <w:right w:val="none" w:sz="0" w:space="0" w:color="auto"/>
                  </w:divBdr>
                  <w:divsChild>
                    <w:div w:id="219899805">
                      <w:marLeft w:val="0"/>
                      <w:marRight w:val="0"/>
                      <w:marTop w:val="0"/>
                      <w:marBottom w:val="0"/>
                      <w:divBdr>
                        <w:top w:val="none" w:sz="0" w:space="0" w:color="auto"/>
                        <w:left w:val="none" w:sz="0" w:space="0" w:color="auto"/>
                        <w:bottom w:val="none" w:sz="0" w:space="0" w:color="auto"/>
                        <w:right w:val="none" w:sz="0" w:space="0" w:color="auto"/>
                      </w:divBdr>
                    </w:div>
                  </w:divsChild>
                </w:div>
                <w:div w:id="276525278">
                  <w:marLeft w:val="0"/>
                  <w:marRight w:val="0"/>
                  <w:marTop w:val="0"/>
                  <w:marBottom w:val="0"/>
                  <w:divBdr>
                    <w:top w:val="none" w:sz="0" w:space="0" w:color="auto"/>
                    <w:left w:val="none" w:sz="0" w:space="0" w:color="auto"/>
                    <w:bottom w:val="none" w:sz="0" w:space="0" w:color="auto"/>
                    <w:right w:val="none" w:sz="0" w:space="0" w:color="auto"/>
                  </w:divBdr>
                  <w:divsChild>
                    <w:div w:id="649947517">
                      <w:marLeft w:val="0"/>
                      <w:marRight w:val="0"/>
                      <w:marTop w:val="0"/>
                      <w:marBottom w:val="0"/>
                      <w:divBdr>
                        <w:top w:val="none" w:sz="0" w:space="0" w:color="auto"/>
                        <w:left w:val="none" w:sz="0" w:space="0" w:color="auto"/>
                        <w:bottom w:val="none" w:sz="0" w:space="0" w:color="auto"/>
                        <w:right w:val="none" w:sz="0" w:space="0" w:color="auto"/>
                      </w:divBdr>
                    </w:div>
                  </w:divsChild>
                </w:div>
                <w:div w:id="303124930">
                  <w:marLeft w:val="0"/>
                  <w:marRight w:val="0"/>
                  <w:marTop w:val="0"/>
                  <w:marBottom w:val="0"/>
                  <w:divBdr>
                    <w:top w:val="none" w:sz="0" w:space="0" w:color="auto"/>
                    <w:left w:val="none" w:sz="0" w:space="0" w:color="auto"/>
                    <w:bottom w:val="none" w:sz="0" w:space="0" w:color="auto"/>
                    <w:right w:val="none" w:sz="0" w:space="0" w:color="auto"/>
                  </w:divBdr>
                  <w:divsChild>
                    <w:div w:id="1406875175">
                      <w:marLeft w:val="0"/>
                      <w:marRight w:val="0"/>
                      <w:marTop w:val="0"/>
                      <w:marBottom w:val="0"/>
                      <w:divBdr>
                        <w:top w:val="none" w:sz="0" w:space="0" w:color="auto"/>
                        <w:left w:val="none" w:sz="0" w:space="0" w:color="auto"/>
                        <w:bottom w:val="none" w:sz="0" w:space="0" w:color="auto"/>
                        <w:right w:val="none" w:sz="0" w:space="0" w:color="auto"/>
                      </w:divBdr>
                    </w:div>
                  </w:divsChild>
                </w:div>
                <w:div w:id="324287856">
                  <w:marLeft w:val="0"/>
                  <w:marRight w:val="0"/>
                  <w:marTop w:val="0"/>
                  <w:marBottom w:val="0"/>
                  <w:divBdr>
                    <w:top w:val="none" w:sz="0" w:space="0" w:color="auto"/>
                    <w:left w:val="none" w:sz="0" w:space="0" w:color="auto"/>
                    <w:bottom w:val="none" w:sz="0" w:space="0" w:color="auto"/>
                    <w:right w:val="none" w:sz="0" w:space="0" w:color="auto"/>
                  </w:divBdr>
                  <w:divsChild>
                    <w:div w:id="1424568621">
                      <w:marLeft w:val="0"/>
                      <w:marRight w:val="0"/>
                      <w:marTop w:val="0"/>
                      <w:marBottom w:val="0"/>
                      <w:divBdr>
                        <w:top w:val="none" w:sz="0" w:space="0" w:color="auto"/>
                        <w:left w:val="none" w:sz="0" w:space="0" w:color="auto"/>
                        <w:bottom w:val="none" w:sz="0" w:space="0" w:color="auto"/>
                        <w:right w:val="none" w:sz="0" w:space="0" w:color="auto"/>
                      </w:divBdr>
                    </w:div>
                  </w:divsChild>
                </w:div>
                <w:div w:id="396706199">
                  <w:marLeft w:val="0"/>
                  <w:marRight w:val="0"/>
                  <w:marTop w:val="0"/>
                  <w:marBottom w:val="0"/>
                  <w:divBdr>
                    <w:top w:val="none" w:sz="0" w:space="0" w:color="auto"/>
                    <w:left w:val="none" w:sz="0" w:space="0" w:color="auto"/>
                    <w:bottom w:val="none" w:sz="0" w:space="0" w:color="auto"/>
                    <w:right w:val="none" w:sz="0" w:space="0" w:color="auto"/>
                  </w:divBdr>
                  <w:divsChild>
                    <w:div w:id="1604337522">
                      <w:marLeft w:val="0"/>
                      <w:marRight w:val="0"/>
                      <w:marTop w:val="0"/>
                      <w:marBottom w:val="0"/>
                      <w:divBdr>
                        <w:top w:val="none" w:sz="0" w:space="0" w:color="auto"/>
                        <w:left w:val="none" w:sz="0" w:space="0" w:color="auto"/>
                        <w:bottom w:val="none" w:sz="0" w:space="0" w:color="auto"/>
                        <w:right w:val="none" w:sz="0" w:space="0" w:color="auto"/>
                      </w:divBdr>
                    </w:div>
                  </w:divsChild>
                </w:div>
                <w:div w:id="400251316">
                  <w:marLeft w:val="0"/>
                  <w:marRight w:val="0"/>
                  <w:marTop w:val="0"/>
                  <w:marBottom w:val="0"/>
                  <w:divBdr>
                    <w:top w:val="none" w:sz="0" w:space="0" w:color="auto"/>
                    <w:left w:val="none" w:sz="0" w:space="0" w:color="auto"/>
                    <w:bottom w:val="none" w:sz="0" w:space="0" w:color="auto"/>
                    <w:right w:val="none" w:sz="0" w:space="0" w:color="auto"/>
                  </w:divBdr>
                  <w:divsChild>
                    <w:div w:id="351880494">
                      <w:marLeft w:val="0"/>
                      <w:marRight w:val="0"/>
                      <w:marTop w:val="0"/>
                      <w:marBottom w:val="0"/>
                      <w:divBdr>
                        <w:top w:val="none" w:sz="0" w:space="0" w:color="auto"/>
                        <w:left w:val="none" w:sz="0" w:space="0" w:color="auto"/>
                        <w:bottom w:val="none" w:sz="0" w:space="0" w:color="auto"/>
                        <w:right w:val="none" w:sz="0" w:space="0" w:color="auto"/>
                      </w:divBdr>
                    </w:div>
                  </w:divsChild>
                </w:div>
                <w:div w:id="444350055">
                  <w:marLeft w:val="0"/>
                  <w:marRight w:val="0"/>
                  <w:marTop w:val="0"/>
                  <w:marBottom w:val="0"/>
                  <w:divBdr>
                    <w:top w:val="none" w:sz="0" w:space="0" w:color="auto"/>
                    <w:left w:val="none" w:sz="0" w:space="0" w:color="auto"/>
                    <w:bottom w:val="none" w:sz="0" w:space="0" w:color="auto"/>
                    <w:right w:val="none" w:sz="0" w:space="0" w:color="auto"/>
                  </w:divBdr>
                  <w:divsChild>
                    <w:div w:id="693651952">
                      <w:marLeft w:val="0"/>
                      <w:marRight w:val="0"/>
                      <w:marTop w:val="0"/>
                      <w:marBottom w:val="0"/>
                      <w:divBdr>
                        <w:top w:val="none" w:sz="0" w:space="0" w:color="auto"/>
                        <w:left w:val="none" w:sz="0" w:space="0" w:color="auto"/>
                        <w:bottom w:val="none" w:sz="0" w:space="0" w:color="auto"/>
                        <w:right w:val="none" w:sz="0" w:space="0" w:color="auto"/>
                      </w:divBdr>
                    </w:div>
                  </w:divsChild>
                </w:div>
                <w:div w:id="456065554">
                  <w:marLeft w:val="0"/>
                  <w:marRight w:val="0"/>
                  <w:marTop w:val="0"/>
                  <w:marBottom w:val="0"/>
                  <w:divBdr>
                    <w:top w:val="none" w:sz="0" w:space="0" w:color="auto"/>
                    <w:left w:val="none" w:sz="0" w:space="0" w:color="auto"/>
                    <w:bottom w:val="none" w:sz="0" w:space="0" w:color="auto"/>
                    <w:right w:val="none" w:sz="0" w:space="0" w:color="auto"/>
                  </w:divBdr>
                  <w:divsChild>
                    <w:div w:id="166557068">
                      <w:marLeft w:val="0"/>
                      <w:marRight w:val="0"/>
                      <w:marTop w:val="0"/>
                      <w:marBottom w:val="0"/>
                      <w:divBdr>
                        <w:top w:val="none" w:sz="0" w:space="0" w:color="auto"/>
                        <w:left w:val="none" w:sz="0" w:space="0" w:color="auto"/>
                        <w:bottom w:val="none" w:sz="0" w:space="0" w:color="auto"/>
                        <w:right w:val="none" w:sz="0" w:space="0" w:color="auto"/>
                      </w:divBdr>
                    </w:div>
                  </w:divsChild>
                </w:div>
                <w:div w:id="495152454">
                  <w:marLeft w:val="0"/>
                  <w:marRight w:val="0"/>
                  <w:marTop w:val="0"/>
                  <w:marBottom w:val="0"/>
                  <w:divBdr>
                    <w:top w:val="none" w:sz="0" w:space="0" w:color="auto"/>
                    <w:left w:val="none" w:sz="0" w:space="0" w:color="auto"/>
                    <w:bottom w:val="none" w:sz="0" w:space="0" w:color="auto"/>
                    <w:right w:val="none" w:sz="0" w:space="0" w:color="auto"/>
                  </w:divBdr>
                  <w:divsChild>
                    <w:div w:id="2055693880">
                      <w:marLeft w:val="0"/>
                      <w:marRight w:val="0"/>
                      <w:marTop w:val="0"/>
                      <w:marBottom w:val="0"/>
                      <w:divBdr>
                        <w:top w:val="none" w:sz="0" w:space="0" w:color="auto"/>
                        <w:left w:val="none" w:sz="0" w:space="0" w:color="auto"/>
                        <w:bottom w:val="none" w:sz="0" w:space="0" w:color="auto"/>
                        <w:right w:val="none" w:sz="0" w:space="0" w:color="auto"/>
                      </w:divBdr>
                    </w:div>
                  </w:divsChild>
                </w:div>
                <w:div w:id="512885442">
                  <w:marLeft w:val="0"/>
                  <w:marRight w:val="0"/>
                  <w:marTop w:val="0"/>
                  <w:marBottom w:val="0"/>
                  <w:divBdr>
                    <w:top w:val="none" w:sz="0" w:space="0" w:color="auto"/>
                    <w:left w:val="none" w:sz="0" w:space="0" w:color="auto"/>
                    <w:bottom w:val="none" w:sz="0" w:space="0" w:color="auto"/>
                    <w:right w:val="none" w:sz="0" w:space="0" w:color="auto"/>
                  </w:divBdr>
                  <w:divsChild>
                    <w:div w:id="466703043">
                      <w:marLeft w:val="0"/>
                      <w:marRight w:val="0"/>
                      <w:marTop w:val="0"/>
                      <w:marBottom w:val="0"/>
                      <w:divBdr>
                        <w:top w:val="none" w:sz="0" w:space="0" w:color="auto"/>
                        <w:left w:val="none" w:sz="0" w:space="0" w:color="auto"/>
                        <w:bottom w:val="none" w:sz="0" w:space="0" w:color="auto"/>
                        <w:right w:val="none" w:sz="0" w:space="0" w:color="auto"/>
                      </w:divBdr>
                    </w:div>
                  </w:divsChild>
                </w:div>
                <w:div w:id="527259594">
                  <w:marLeft w:val="0"/>
                  <w:marRight w:val="0"/>
                  <w:marTop w:val="0"/>
                  <w:marBottom w:val="0"/>
                  <w:divBdr>
                    <w:top w:val="none" w:sz="0" w:space="0" w:color="auto"/>
                    <w:left w:val="none" w:sz="0" w:space="0" w:color="auto"/>
                    <w:bottom w:val="none" w:sz="0" w:space="0" w:color="auto"/>
                    <w:right w:val="none" w:sz="0" w:space="0" w:color="auto"/>
                  </w:divBdr>
                  <w:divsChild>
                    <w:div w:id="1182817020">
                      <w:marLeft w:val="0"/>
                      <w:marRight w:val="0"/>
                      <w:marTop w:val="0"/>
                      <w:marBottom w:val="0"/>
                      <w:divBdr>
                        <w:top w:val="none" w:sz="0" w:space="0" w:color="auto"/>
                        <w:left w:val="none" w:sz="0" w:space="0" w:color="auto"/>
                        <w:bottom w:val="none" w:sz="0" w:space="0" w:color="auto"/>
                        <w:right w:val="none" w:sz="0" w:space="0" w:color="auto"/>
                      </w:divBdr>
                    </w:div>
                  </w:divsChild>
                </w:div>
                <w:div w:id="665479425">
                  <w:marLeft w:val="0"/>
                  <w:marRight w:val="0"/>
                  <w:marTop w:val="0"/>
                  <w:marBottom w:val="0"/>
                  <w:divBdr>
                    <w:top w:val="none" w:sz="0" w:space="0" w:color="auto"/>
                    <w:left w:val="none" w:sz="0" w:space="0" w:color="auto"/>
                    <w:bottom w:val="none" w:sz="0" w:space="0" w:color="auto"/>
                    <w:right w:val="none" w:sz="0" w:space="0" w:color="auto"/>
                  </w:divBdr>
                  <w:divsChild>
                    <w:div w:id="748428905">
                      <w:marLeft w:val="0"/>
                      <w:marRight w:val="0"/>
                      <w:marTop w:val="0"/>
                      <w:marBottom w:val="0"/>
                      <w:divBdr>
                        <w:top w:val="none" w:sz="0" w:space="0" w:color="auto"/>
                        <w:left w:val="none" w:sz="0" w:space="0" w:color="auto"/>
                        <w:bottom w:val="none" w:sz="0" w:space="0" w:color="auto"/>
                        <w:right w:val="none" w:sz="0" w:space="0" w:color="auto"/>
                      </w:divBdr>
                    </w:div>
                  </w:divsChild>
                </w:div>
                <w:div w:id="672034414">
                  <w:marLeft w:val="0"/>
                  <w:marRight w:val="0"/>
                  <w:marTop w:val="0"/>
                  <w:marBottom w:val="0"/>
                  <w:divBdr>
                    <w:top w:val="none" w:sz="0" w:space="0" w:color="auto"/>
                    <w:left w:val="none" w:sz="0" w:space="0" w:color="auto"/>
                    <w:bottom w:val="none" w:sz="0" w:space="0" w:color="auto"/>
                    <w:right w:val="none" w:sz="0" w:space="0" w:color="auto"/>
                  </w:divBdr>
                  <w:divsChild>
                    <w:div w:id="1282227622">
                      <w:marLeft w:val="0"/>
                      <w:marRight w:val="0"/>
                      <w:marTop w:val="0"/>
                      <w:marBottom w:val="0"/>
                      <w:divBdr>
                        <w:top w:val="none" w:sz="0" w:space="0" w:color="auto"/>
                        <w:left w:val="none" w:sz="0" w:space="0" w:color="auto"/>
                        <w:bottom w:val="none" w:sz="0" w:space="0" w:color="auto"/>
                        <w:right w:val="none" w:sz="0" w:space="0" w:color="auto"/>
                      </w:divBdr>
                    </w:div>
                  </w:divsChild>
                </w:div>
                <w:div w:id="679353838">
                  <w:marLeft w:val="0"/>
                  <w:marRight w:val="0"/>
                  <w:marTop w:val="0"/>
                  <w:marBottom w:val="0"/>
                  <w:divBdr>
                    <w:top w:val="none" w:sz="0" w:space="0" w:color="auto"/>
                    <w:left w:val="none" w:sz="0" w:space="0" w:color="auto"/>
                    <w:bottom w:val="none" w:sz="0" w:space="0" w:color="auto"/>
                    <w:right w:val="none" w:sz="0" w:space="0" w:color="auto"/>
                  </w:divBdr>
                  <w:divsChild>
                    <w:div w:id="322003776">
                      <w:marLeft w:val="0"/>
                      <w:marRight w:val="0"/>
                      <w:marTop w:val="0"/>
                      <w:marBottom w:val="0"/>
                      <w:divBdr>
                        <w:top w:val="none" w:sz="0" w:space="0" w:color="auto"/>
                        <w:left w:val="none" w:sz="0" w:space="0" w:color="auto"/>
                        <w:bottom w:val="none" w:sz="0" w:space="0" w:color="auto"/>
                        <w:right w:val="none" w:sz="0" w:space="0" w:color="auto"/>
                      </w:divBdr>
                    </w:div>
                  </w:divsChild>
                </w:div>
                <w:div w:id="698353512">
                  <w:marLeft w:val="0"/>
                  <w:marRight w:val="0"/>
                  <w:marTop w:val="0"/>
                  <w:marBottom w:val="0"/>
                  <w:divBdr>
                    <w:top w:val="none" w:sz="0" w:space="0" w:color="auto"/>
                    <w:left w:val="none" w:sz="0" w:space="0" w:color="auto"/>
                    <w:bottom w:val="none" w:sz="0" w:space="0" w:color="auto"/>
                    <w:right w:val="none" w:sz="0" w:space="0" w:color="auto"/>
                  </w:divBdr>
                  <w:divsChild>
                    <w:div w:id="7682977">
                      <w:marLeft w:val="0"/>
                      <w:marRight w:val="0"/>
                      <w:marTop w:val="0"/>
                      <w:marBottom w:val="0"/>
                      <w:divBdr>
                        <w:top w:val="none" w:sz="0" w:space="0" w:color="auto"/>
                        <w:left w:val="none" w:sz="0" w:space="0" w:color="auto"/>
                        <w:bottom w:val="none" w:sz="0" w:space="0" w:color="auto"/>
                        <w:right w:val="none" w:sz="0" w:space="0" w:color="auto"/>
                      </w:divBdr>
                    </w:div>
                  </w:divsChild>
                </w:div>
                <w:div w:id="714159617">
                  <w:marLeft w:val="0"/>
                  <w:marRight w:val="0"/>
                  <w:marTop w:val="0"/>
                  <w:marBottom w:val="0"/>
                  <w:divBdr>
                    <w:top w:val="none" w:sz="0" w:space="0" w:color="auto"/>
                    <w:left w:val="none" w:sz="0" w:space="0" w:color="auto"/>
                    <w:bottom w:val="none" w:sz="0" w:space="0" w:color="auto"/>
                    <w:right w:val="none" w:sz="0" w:space="0" w:color="auto"/>
                  </w:divBdr>
                  <w:divsChild>
                    <w:div w:id="882517282">
                      <w:marLeft w:val="0"/>
                      <w:marRight w:val="0"/>
                      <w:marTop w:val="0"/>
                      <w:marBottom w:val="0"/>
                      <w:divBdr>
                        <w:top w:val="none" w:sz="0" w:space="0" w:color="auto"/>
                        <w:left w:val="none" w:sz="0" w:space="0" w:color="auto"/>
                        <w:bottom w:val="none" w:sz="0" w:space="0" w:color="auto"/>
                        <w:right w:val="none" w:sz="0" w:space="0" w:color="auto"/>
                      </w:divBdr>
                    </w:div>
                  </w:divsChild>
                </w:div>
                <w:div w:id="976497652">
                  <w:marLeft w:val="0"/>
                  <w:marRight w:val="0"/>
                  <w:marTop w:val="0"/>
                  <w:marBottom w:val="0"/>
                  <w:divBdr>
                    <w:top w:val="none" w:sz="0" w:space="0" w:color="auto"/>
                    <w:left w:val="none" w:sz="0" w:space="0" w:color="auto"/>
                    <w:bottom w:val="none" w:sz="0" w:space="0" w:color="auto"/>
                    <w:right w:val="none" w:sz="0" w:space="0" w:color="auto"/>
                  </w:divBdr>
                  <w:divsChild>
                    <w:div w:id="744961269">
                      <w:marLeft w:val="0"/>
                      <w:marRight w:val="0"/>
                      <w:marTop w:val="0"/>
                      <w:marBottom w:val="0"/>
                      <w:divBdr>
                        <w:top w:val="none" w:sz="0" w:space="0" w:color="auto"/>
                        <w:left w:val="none" w:sz="0" w:space="0" w:color="auto"/>
                        <w:bottom w:val="none" w:sz="0" w:space="0" w:color="auto"/>
                        <w:right w:val="none" w:sz="0" w:space="0" w:color="auto"/>
                      </w:divBdr>
                    </w:div>
                  </w:divsChild>
                </w:div>
                <w:div w:id="1033458046">
                  <w:marLeft w:val="0"/>
                  <w:marRight w:val="0"/>
                  <w:marTop w:val="0"/>
                  <w:marBottom w:val="0"/>
                  <w:divBdr>
                    <w:top w:val="none" w:sz="0" w:space="0" w:color="auto"/>
                    <w:left w:val="none" w:sz="0" w:space="0" w:color="auto"/>
                    <w:bottom w:val="none" w:sz="0" w:space="0" w:color="auto"/>
                    <w:right w:val="none" w:sz="0" w:space="0" w:color="auto"/>
                  </w:divBdr>
                  <w:divsChild>
                    <w:div w:id="727267333">
                      <w:marLeft w:val="0"/>
                      <w:marRight w:val="0"/>
                      <w:marTop w:val="0"/>
                      <w:marBottom w:val="0"/>
                      <w:divBdr>
                        <w:top w:val="none" w:sz="0" w:space="0" w:color="auto"/>
                        <w:left w:val="none" w:sz="0" w:space="0" w:color="auto"/>
                        <w:bottom w:val="none" w:sz="0" w:space="0" w:color="auto"/>
                        <w:right w:val="none" w:sz="0" w:space="0" w:color="auto"/>
                      </w:divBdr>
                    </w:div>
                  </w:divsChild>
                </w:div>
                <w:div w:id="1050567887">
                  <w:marLeft w:val="0"/>
                  <w:marRight w:val="0"/>
                  <w:marTop w:val="0"/>
                  <w:marBottom w:val="0"/>
                  <w:divBdr>
                    <w:top w:val="none" w:sz="0" w:space="0" w:color="auto"/>
                    <w:left w:val="none" w:sz="0" w:space="0" w:color="auto"/>
                    <w:bottom w:val="none" w:sz="0" w:space="0" w:color="auto"/>
                    <w:right w:val="none" w:sz="0" w:space="0" w:color="auto"/>
                  </w:divBdr>
                  <w:divsChild>
                    <w:div w:id="1717729430">
                      <w:marLeft w:val="0"/>
                      <w:marRight w:val="0"/>
                      <w:marTop w:val="0"/>
                      <w:marBottom w:val="0"/>
                      <w:divBdr>
                        <w:top w:val="none" w:sz="0" w:space="0" w:color="auto"/>
                        <w:left w:val="none" w:sz="0" w:space="0" w:color="auto"/>
                        <w:bottom w:val="none" w:sz="0" w:space="0" w:color="auto"/>
                        <w:right w:val="none" w:sz="0" w:space="0" w:color="auto"/>
                      </w:divBdr>
                    </w:div>
                  </w:divsChild>
                </w:div>
                <w:div w:id="1094664280">
                  <w:marLeft w:val="0"/>
                  <w:marRight w:val="0"/>
                  <w:marTop w:val="0"/>
                  <w:marBottom w:val="0"/>
                  <w:divBdr>
                    <w:top w:val="none" w:sz="0" w:space="0" w:color="auto"/>
                    <w:left w:val="none" w:sz="0" w:space="0" w:color="auto"/>
                    <w:bottom w:val="none" w:sz="0" w:space="0" w:color="auto"/>
                    <w:right w:val="none" w:sz="0" w:space="0" w:color="auto"/>
                  </w:divBdr>
                  <w:divsChild>
                    <w:div w:id="2047831069">
                      <w:marLeft w:val="0"/>
                      <w:marRight w:val="0"/>
                      <w:marTop w:val="0"/>
                      <w:marBottom w:val="0"/>
                      <w:divBdr>
                        <w:top w:val="none" w:sz="0" w:space="0" w:color="auto"/>
                        <w:left w:val="none" w:sz="0" w:space="0" w:color="auto"/>
                        <w:bottom w:val="none" w:sz="0" w:space="0" w:color="auto"/>
                        <w:right w:val="none" w:sz="0" w:space="0" w:color="auto"/>
                      </w:divBdr>
                    </w:div>
                  </w:divsChild>
                </w:div>
                <w:div w:id="1099913371">
                  <w:marLeft w:val="0"/>
                  <w:marRight w:val="0"/>
                  <w:marTop w:val="0"/>
                  <w:marBottom w:val="0"/>
                  <w:divBdr>
                    <w:top w:val="none" w:sz="0" w:space="0" w:color="auto"/>
                    <w:left w:val="none" w:sz="0" w:space="0" w:color="auto"/>
                    <w:bottom w:val="none" w:sz="0" w:space="0" w:color="auto"/>
                    <w:right w:val="none" w:sz="0" w:space="0" w:color="auto"/>
                  </w:divBdr>
                  <w:divsChild>
                    <w:div w:id="1757938833">
                      <w:marLeft w:val="0"/>
                      <w:marRight w:val="0"/>
                      <w:marTop w:val="0"/>
                      <w:marBottom w:val="0"/>
                      <w:divBdr>
                        <w:top w:val="none" w:sz="0" w:space="0" w:color="auto"/>
                        <w:left w:val="none" w:sz="0" w:space="0" w:color="auto"/>
                        <w:bottom w:val="none" w:sz="0" w:space="0" w:color="auto"/>
                        <w:right w:val="none" w:sz="0" w:space="0" w:color="auto"/>
                      </w:divBdr>
                    </w:div>
                  </w:divsChild>
                </w:div>
                <w:div w:id="1102725643">
                  <w:marLeft w:val="0"/>
                  <w:marRight w:val="0"/>
                  <w:marTop w:val="0"/>
                  <w:marBottom w:val="0"/>
                  <w:divBdr>
                    <w:top w:val="none" w:sz="0" w:space="0" w:color="auto"/>
                    <w:left w:val="none" w:sz="0" w:space="0" w:color="auto"/>
                    <w:bottom w:val="none" w:sz="0" w:space="0" w:color="auto"/>
                    <w:right w:val="none" w:sz="0" w:space="0" w:color="auto"/>
                  </w:divBdr>
                  <w:divsChild>
                    <w:div w:id="182671154">
                      <w:marLeft w:val="0"/>
                      <w:marRight w:val="0"/>
                      <w:marTop w:val="0"/>
                      <w:marBottom w:val="0"/>
                      <w:divBdr>
                        <w:top w:val="none" w:sz="0" w:space="0" w:color="auto"/>
                        <w:left w:val="none" w:sz="0" w:space="0" w:color="auto"/>
                        <w:bottom w:val="none" w:sz="0" w:space="0" w:color="auto"/>
                        <w:right w:val="none" w:sz="0" w:space="0" w:color="auto"/>
                      </w:divBdr>
                    </w:div>
                  </w:divsChild>
                </w:div>
                <w:div w:id="1132211927">
                  <w:marLeft w:val="0"/>
                  <w:marRight w:val="0"/>
                  <w:marTop w:val="0"/>
                  <w:marBottom w:val="0"/>
                  <w:divBdr>
                    <w:top w:val="none" w:sz="0" w:space="0" w:color="auto"/>
                    <w:left w:val="none" w:sz="0" w:space="0" w:color="auto"/>
                    <w:bottom w:val="none" w:sz="0" w:space="0" w:color="auto"/>
                    <w:right w:val="none" w:sz="0" w:space="0" w:color="auto"/>
                  </w:divBdr>
                  <w:divsChild>
                    <w:div w:id="1980842290">
                      <w:marLeft w:val="0"/>
                      <w:marRight w:val="0"/>
                      <w:marTop w:val="0"/>
                      <w:marBottom w:val="0"/>
                      <w:divBdr>
                        <w:top w:val="none" w:sz="0" w:space="0" w:color="auto"/>
                        <w:left w:val="none" w:sz="0" w:space="0" w:color="auto"/>
                        <w:bottom w:val="none" w:sz="0" w:space="0" w:color="auto"/>
                        <w:right w:val="none" w:sz="0" w:space="0" w:color="auto"/>
                      </w:divBdr>
                    </w:div>
                  </w:divsChild>
                </w:div>
                <w:div w:id="1142043618">
                  <w:marLeft w:val="0"/>
                  <w:marRight w:val="0"/>
                  <w:marTop w:val="0"/>
                  <w:marBottom w:val="0"/>
                  <w:divBdr>
                    <w:top w:val="none" w:sz="0" w:space="0" w:color="auto"/>
                    <w:left w:val="none" w:sz="0" w:space="0" w:color="auto"/>
                    <w:bottom w:val="none" w:sz="0" w:space="0" w:color="auto"/>
                    <w:right w:val="none" w:sz="0" w:space="0" w:color="auto"/>
                  </w:divBdr>
                  <w:divsChild>
                    <w:div w:id="50152358">
                      <w:marLeft w:val="0"/>
                      <w:marRight w:val="0"/>
                      <w:marTop w:val="0"/>
                      <w:marBottom w:val="0"/>
                      <w:divBdr>
                        <w:top w:val="none" w:sz="0" w:space="0" w:color="auto"/>
                        <w:left w:val="none" w:sz="0" w:space="0" w:color="auto"/>
                        <w:bottom w:val="none" w:sz="0" w:space="0" w:color="auto"/>
                        <w:right w:val="none" w:sz="0" w:space="0" w:color="auto"/>
                      </w:divBdr>
                    </w:div>
                  </w:divsChild>
                </w:div>
                <w:div w:id="1144469350">
                  <w:marLeft w:val="0"/>
                  <w:marRight w:val="0"/>
                  <w:marTop w:val="0"/>
                  <w:marBottom w:val="0"/>
                  <w:divBdr>
                    <w:top w:val="none" w:sz="0" w:space="0" w:color="auto"/>
                    <w:left w:val="none" w:sz="0" w:space="0" w:color="auto"/>
                    <w:bottom w:val="none" w:sz="0" w:space="0" w:color="auto"/>
                    <w:right w:val="none" w:sz="0" w:space="0" w:color="auto"/>
                  </w:divBdr>
                  <w:divsChild>
                    <w:div w:id="78872116">
                      <w:marLeft w:val="0"/>
                      <w:marRight w:val="0"/>
                      <w:marTop w:val="0"/>
                      <w:marBottom w:val="0"/>
                      <w:divBdr>
                        <w:top w:val="none" w:sz="0" w:space="0" w:color="auto"/>
                        <w:left w:val="none" w:sz="0" w:space="0" w:color="auto"/>
                        <w:bottom w:val="none" w:sz="0" w:space="0" w:color="auto"/>
                        <w:right w:val="none" w:sz="0" w:space="0" w:color="auto"/>
                      </w:divBdr>
                    </w:div>
                  </w:divsChild>
                </w:div>
                <w:div w:id="1153642769">
                  <w:marLeft w:val="0"/>
                  <w:marRight w:val="0"/>
                  <w:marTop w:val="0"/>
                  <w:marBottom w:val="0"/>
                  <w:divBdr>
                    <w:top w:val="none" w:sz="0" w:space="0" w:color="auto"/>
                    <w:left w:val="none" w:sz="0" w:space="0" w:color="auto"/>
                    <w:bottom w:val="none" w:sz="0" w:space="0" w:color="auto"/>
                    <w:right w:val="none" w:sz="0" w:space="0" w:color="auto"/>
                  </w:divBdr>
                  <w:divsChild>
                    <w:div w:id="73746145">
                      <w:marLeft w:val="0"/>
                      <w:marRight w:val="0"/>
                      <w:marTop w:val="0"/>
                      <w:marBottom w:val="0"/>
                      <w:divBdr>
                        <w:top w:val="none" w:sz="0" w:space="0" w:color="auto"/>
                        <w:left w:val="none" w:sz="0" w:space="0" w:color="auto"/>
                        <w:bottom w:val="none" w:sz="0" w:space="0" w:color="auto"/>
                        <w:right w:val="none" w:sz="0" w:space="0" w:color="auto"/>
                      </w:divBdr>
                    </w:div>
                  </w:divsChild>
                </w:div>
                <w:div w:id="1173255734">
                  <w:marLeft w:val="0"/>
                  <w:marRight w:val="0"/>
                  <w:marTop w:val="0"/>
                  <w:marBottom w:val="0"/>
                  <w:divBdr>
                    <w:top w:val="none" w:sz="0" w:space="0" w:color="auto"/>
                    <w:left w:val="none" w:sz="0" w:space="0" w:color="auto"/>
                    <w:bottom w:val="none" w:sz="0" w:space="0" w:color="auto"/>
                    <w:right w:val="none" w:sz="0" w:space="0" w:color="auto"/>
                  </w:divBdr>
                  <w:divsChild>
                    <w:div w:id="2013684067">
                      <w:marLeft w:val="0"/>
                      <w:marRight w:val="0"/>
                      <w:marTop w:val="0"/>
                      <w:marBottom w:val="0"/>
                      <w:divBdr>
                        <w:top w:val="none" w:sz="0" w:space="0" w:color="auto"/>
                        <w:left w:val="none" w:sz="0" w:space="0" w:color="auto"/>
                        <w:bottom w:val="none" w:sz="0" w:space="0" w:color="auto"/>
                        <w:right w:val="none" w:sz="0" w:space="0" w:color="auto"/>
                      </w:divBdr>
                    </w:div>
                  </w:divsChild>
                </w:div>
                <w:div w:id="1198277814">
                  <w:marLeft w:val="0"/>
                  <w:marRight w:val="0"/>
                  <w:marTop w:val="0"/>
                  <w:marBottom w:val="0"/>
                  <w:divBdr>
                    <w:top w:val="none" w:sz="0" w:space="0" w:color="auto"/>
                    <w:left w:val="none" w:sz="0" w:space="0" w:color="auto"/>
                    <w:bottom w:val="none" w:sz="0" w:space="0" w:color="auto"/>
                    <w:right w:val="none" w:sz="0" w:space="0" w:color="auto"/>
                  </w:divBdr>
                  <w:divsChild>
                    <w:div w:id="1129670448">
                      <w:marLeft w:val="0"/>
                      <w:marRight w:val="0"/>
                      <w:marTop w:val="0"/>
                      <w:marBottom w:val="0"/>
                      <w:divBdr>
                        <w:top w:val="none" w:sz="0" w:space="0" w:color="auto"/>
                        <w:left w:val="none" w:sz="0" w:space="0" w:color="auto"/>
                        <w:bottom w:val="none" w:sz="0" w:space="0" w:color="auto"/>
                        <w:right w:val="none" w:sz="0" w:space="0" w:color="auto"/>
                      </w:divBdr>
                    </w:div>
                  </w:divsChild>
                </w:div>
                <w:div w:id="1219825147">
                  <w:marLeft w:val="0"/>
                  <w:marRight w:val="0"/>
                  <w:marTop w:val="0"/>
                  <w:marBottom w:val="0"/>
                  <w:divBdr>
                    <w:top w:val="none" w:sz="0" w:space="0" w:color="auto"/>
                    <w:left w:val="none" w:sz="0" w:space="0" w:color="auto"/>
                    <w:bottom w:val="none" w:sz="0" w:space="0" w:color="auto"/>
                    <w:right w:val="none" w:sz="0" w:space="0" w:color="auto"/>
                  </w:divBdr>
                  <w:divsChild>
                    <w:div w:id="1469855890">
                      <w:marLeft w:val="0"/>
                      <w:marRight w:val="0"/>
                      <w:marTop w:val="0"/>
                      <w:marBottom w:val="0"/>
                      <w:divBdr>
                        <w:top w:val="none" w:sz="0" w:space="0" w:color="auto"/>
                        <w:left w:val="none" w:sz="0" w:space="0" w:color="auto"/>
                        <w:bottom w:val="none" w:sz="0" w:space="0" w:color="auto"/>
                        <w:right w:val="none" w:sz="0" w:space="0" w:color="auto"/>
                      </w:divBdr>
                    </w:div>
                  </w:divsChild>
                </w:div>
                <w:div w:id="1244728038">
                  <w:marLeft w:val="0"/>
                  <w:marRight w:val="0"/>
                  <w:marTop w:val="0"/>
                  <w:marBottom w:val="0"/>
                  <w:divBdr>
                    <w:top w:val="none" w:sz="0" w:space="0" w:color="auto"/>
                    <w:left w:val="none" w:sz="0" w:space="0" w:color="auto"/>
                    <w:bottom w:val="none" w:sz="0" w:space="0" w:color="auto"/>
                    <w:right w:val="none" w:sz="0" w:space="0" w:color="auto"/>
                  </w:divBdr>
                  <w:divsChild>
                    <w:div w:id="257761457">
                      <w:marLeft w:val="0"/>
                      <w:marRight w:val="0"/>
                      <w:marTop w:val="0"/>
                      <w:marBottom w:val="0"/>
                      <w:divBdr>
                        <w:top w:val="none" w:sz="0" w:space="0" w:color="auto"/>
                        <w:left w:val="none" w:sz="0" w:space="0" w:color="auto"/>
                        <w:bottom w:val="none" w:sz="0" w:space="0" w:color="auto"/>
                        <w:right w:val="none" w:sz="0" w:space="0" w:color="auto"/>
                      </w:divBdr>
                    </w:div>
                  </w:divsChild>
                </w:div>
                <w:div w:id="1257053087">
                  <w:marLeft w:val="0"/>
                  <w:marRight w:val="0"/>
                  <w:marTop w:val="0"/>
                  <w:marBottom w:val="0"/>
                  <w:divBdr>
                    <w:top w:val="none" w:sz="0" w:space="0" w:color="auto"/>
                    <w:left w:val="none" w:sz="0" w:space="0" w:color="auto"/>
                    <w:bottom w:val="none" w:sz="0" w:space="0" w:color="auto"/>
                    <w:right w:val="none" w:sz="0" w:space="0" w:color="auto"/>
                  </w:divBdr>
                  <w:divsChild>
                    <w:div w:id="981891439">
                      <w:marLeft w:val="0"/>
                      <w:marRight w:val="0"/>
                      <w:marTop w:val="0"/>
                      <w:marBottom w:val="0"/>
                      <w:divBdr>
                        <w:top w:val="none" w:sz="0" w:space="0" w:color="auto"/>
                        <w:left w:val="none" w:sz="0" w:space="0" w:color="auto"/>
                        <w:bottom w:val="none" w:sz="0" w:space="0" w:color="auto"/>
                        <w:right w:val="none" w:sz="0" w:space="0" w:color="auto"/>
                      </w:divBdr>
                    </w:div>
                  </w:divsChild>
                </w:div>
                <w:div w:id="1495998833">
                  <w:marLeft w:val="0"/>
                  <w:marRight w:val="0"/>
                  <w:marTop w:val="0"/>
                  <w:marBottom w:val="0"/>
                  <w:divBdr>
                    <w:top w:val="none" w:sz="0" w:space="0" w:color="auto"/>
                    <w:left w:val="none" w:sz="0" w:space="0" w:color="auto"/>
                    <w:bottom w:val="none" w:sz="0" w:space="0" w:color="auto"/>
                    <w:right w:val="none" w:sz="0" w:space="0" w:color="auto"/>
                  </w:divBdr>
                  <w:divsChild>
                    <w:div w:id="1128817747">
                      <w:marLeft w:val="0"/>
                      <w:marRight w:val="0"/>
                      <w:marTop w:val="0"/>
                      <w:marBottom w:val="0"/>
                      <w:divBdr>
                        <w:top w:val="none" w:sz="0" w:space="0" w:color="auto"/>
                        <w:left w:val="none" w:sz="0" w:space="0" w:color="auto"/>
                        <w:bottom w:val="none" w:sz="0" w:space="0" w:color="auto"/>
                        <w:right w:val="none" w:sz="0" w:space="0" w:color="auto"/>
                      </w:divBdr>
                    </w:div>
                  </w:divsChild>
                </w:div>
                <w:div w:id="1561596771">
                  <w:marLeft w:val="0"/>
                  <w:marRight w:val="0"/>
                  <w:marTop w:val="0"/>
                  <w:marBottom w:val="0"/>
                  <w:divBdr>
                    <w:top w:val="none" w:sz="0" w:space="0" w:color="auto"/>
                    <w:left w:val="none" w:sz="0" w:space="0" w:color="auto"/>
                    <w:bottom w:val="none" w:sz="0" w:space="0" w:color="auto"/>
                    <w:right w:val="none" w:sz="0" w:space="0" w:color="auto"/>
                  </w:divBdr>
                  <w:divsChild>
                    <w:div w:id="2126000614">
                      <w:marLeft w:val="0"/>
                      <w:marRight w:val="0"/>
                      <w:marTop w:val="0"/>
                      <w:marBottom w:val="0"/>
                      <w:divBdr>
                        <w:top w:val="none" w:sz="0" w:space="0" w:color="auto"/>
                        <w:left w:val="none" w:sz="0" w:space="0" w:color="auto"/>
                        <w:bottom w:val="none" w:sz="0" w:space="0" w:color="auto"/>
                        <w:right w:val="none" w:sz="0" w:space="0" w:color="auto"/>
                      </w:divBdr>
                    </w:div>
                  </w:divsChild>
                </w:div>
                <w:div w:id="1562400470">
                  <w:marLeft w:val="0"/>
                  <w:marRight w:val="0"/>
                  <w:marTop w:val="0"/>
                  <w:marBottom w:val="0"/>
                  <w:divBdr>
                    <w:top w:val="none" w:sz="0" w:space="0" w:color="auto"/>
                    <w:left w:val="none" w:sz="0" w:space="0" w:color="auto"/>
                    <w:bottom w:val="none" w:sz="0" w:space="0" w:color="auto"/>
                    <w:right w:val="none" w:sz="0" w:space="0" w:color="auto"/>
                  </w:divBdr>
                  <w:divsChild>
                    <w:div w:id="1379664481">
                      <w:marLeft w:val="0"/>
                      <w:marRight w:val="0"/>
                      <w:marTop w:val="0"/>
                      <w:marBottom w:val="0"/>
                      <w:divBdr>
                        <w:top w:val="none" w:sz="0" w:space="0" w:color="auto"/>
                        <w:left w:val="none" w:sz="0" w:space="0" w:color="auto"/>
                        <w:bottom w:val="none" w:sz="0" w:space="0" w:color="auto"/>
                        <w:right w:val="none" w:sz="0" w:space="0" w:color="auto"/>
                      </w:divBdr>
                    </w:div>
                  </w:divsChild>
                </w:div>
                <w:div w:id="1563832677">
                  <w:marLeft w:val="0"/>
                  <w:marRight w:val="0"/>
                  <w:marTop w:val="0"/>
                  <w:marBottom w:val="0"/>
                  <w:divBdr>
                    <w:top w:val="none" w:sz="0" w:space="0" w:color="auto"/>
                    <w:left w:val="none" w:sz="0" w:space="0" w:color="auto"/>
                    <w:bottom w:val="none" w:sz="0" w:space="0" w:color="auto"/>
                    <w:right w:val="none" w:sz="0" w:space="0" w:color="auto"/>
                  </w:divBdr>
                  <w:divsChild>
                    <w:div w:id="756053076">
                      <w:marLeft w:val="0"/>
                      <w:marRight w:val="0"/>
                      <w:marTop w:val="0"/>
                      <w:marBottom w:val="0"/>
                      <w:divBdr>
                        <w:top w:val="none" w:sz="0" w:space="0" w:color="auto"/>
                        <w:left w:val="none" w:sz="0" w:space="0" w:color="auto"/>
                        <w:bottom w:val="none" w:sz="0" w:space="0" w:color="auto"/>
                        <w:right w:val="none" w:sz="0" w:space="0" w:color="auto"/>
                      </w:divBdr>
                    </w:div>
                  </w:divsChild>
                </w:div>
                <w:div w:id="1686008464">
                  <w:marLeft w:val="0"/>
                  <w:marRight w:val="0"/>
                  <w:marTop w:val="0"/>
                  <w:marBottom w:val="0"/>
                  <w:divBdr>
                    <w:top w:val="none" w:sz="0" w:space="0" w:color="auto"/>
                    <w:left w:val="none" w:sz="0" w:space="0" w:color="auto"/>
                    <w:bottom w:val="none" w:sz="0" w:space="0" w:color="auto"/>
                    <w:right w:val="none" w:sz="0" w:space="0" w:color="auto"/>
                  </w:divBdr>
                  <w:divsChild>
                    <w:div w:id="742025242">
                      <w:marLeft w:val="0"/>
                      <w:marRight w:val="0"/>
                      <w:marTop w:val="0"/>
                      <w:marBottom w:val="0"/>
                      <w:divBdr>
                        <w:top w:val="none" w:sz="0" w:space="0" w:color="auto"/>
                        <w:left w:val="none" w:sz="0" w:space="0" w:color="auto"/>
                        <w:bottom w:val="none" w:sz="0" w:space="0" w:color="auto"/>
                        <w:right w:val="none" w:sz="0" w:space="0" w:color="auto"/>
                      </w:divBdr>
                    </w:div>
                  </w:divsChild>
                </w:div>
                <w:div w:id="1849832036">
                  <w:marLeft w:val="0"/>
                  <w:marRight w:val="0"/>
                  <w:marTop w:val="0"/>
                  <w:marBottom w:val="0"/>
                  <w:divBdr>
                    <w:top w:val="none" w:sz="0" w:space="0" w:color="auto"/>
                    <w:left w:val="none" w:sz="0" w:space="0" w:color="auto"/>
                    <w:bottom w:val="none" w:sz="0" w:space="0" w:color="auto"/>
                    <w:right w:val="none" w:sz="0" w:space="0" w:color="auto"/>
                  </w:divBdr>
                  <w:divsChild>
                    <w:div w:id="915553213">
                      <w:marLeft w:val="0"/>
                      <w:marRight w:val="0"/>
                      <w:marTop w:val="0"/>
                      <w:marBottom w:val="0"/>
                      <w:divBdr>
                        <w:top w:val="none" w:sz="0" w:space="0" w:color="auto"/>
                        <w:left w:val="none" w:sz="0" w:space="0" w:color="auto"/>
                        <w:bottom w:val="none" w:sz="0" w:space="0" w:color="auto"/>
                        <w:right w:val="none" w:sz="0" w:space="0" w:color="auto"/>
                      </w:divBdr>
                    </w:div>
                  </w:divsChild>
                </w:div>
                <w:div w:id="1897202227">
                  <w:marLeft w:val="0"/>
                  <w:marRight w:val="0"/>
                  <w:marTop w:val="0"/>
                  <w:marBottom w:val="0"/>
                  <w:divBdr>
                    <w:top w:val="none" w:sz="0" w:space="0" w:color="auto"/>
                    <w:left w:val="none" w:sz="0" w:space="0" w:color="auto"/>
                    <w:bottom w:val="none" w:sz="0" w:space="0" w:color="auto"/>
                    <w:right w:val="none" w:sz="0" w:space="0" w:color="auto"/>
                  </w:divBdr>
                  <w:divsChild>
                    <w:div w:id="1779449176">
                      <w:marLeft w:val="0"/>
                      <w:marRight w:val="0"/>
                      <w:marTop w:val="0"/>
                      <w:marBottom w:val="0"/>
                      <w:divBdr>
                        <w:top w:val="none" w:sz="0" w:space="0" w:color="auto"/>
                        <w:left w:val="none" w:sz="0" w:space="0" w:color="auto"/>
                        <w:bottom w:val="none" w:sz="0" w:space="0" w:color="auto"/>
                        <w:right w:val="none" w:sz="0" w:space="0" w:color="auto"/>
                      </w:divBdr>
                    </w:div>
                  </w:divsChild>
                </w:div>
                <w:div w:id="1930503972">
                  <w:marLeft w:val="0"/>
                  <w:marRight w:val="0"/>
                  <w:marTop w:val="0"/>
                  <w:marBottom w:val="0"/>
                  <w:divBdr>
                    <w:top w:val="none" w:sz="0" w:space="0" w:color="auto"/>
                    <w:left w:val="none" w:sz="0" w:space="0" w:color="auto"/>
                    <w:bottom w:val="none" w:sz="0" w:space="0" w:color="auto"/>
                    <w:right w:val="none" w:sz="0" w:space="0" w:color="auto"/>
                  </w:divBdr>
                  <w:divsChild>
                    <w:div w:id="608852237">
                      <w:marLeft w:val="0"/>
                      <w:marRight w:val="0"/>
                      <w:marTop w:val="0"/>
                      <w:marBottom w:val="0"/>
                      <w:divBdr>
                        <w:top w:val="none" w:sz="0" w:space="0" w:color="auto"/>
                        <w:left w:val="none" w:sz="0" w:space="0" w:color="auto"/>
                        <w:bottom w:val="none" w:sz="0" w:space="0" w:color="auto"/>
                        <w:right w:val="none" w:sz="0" w:space="0" w:color="auto"/>
                      </w:divBdr>
                    </w:div>
                  </w:divsChild>
                </w:div>
                <w:div w:id="2010786779">
                  <w:marLeft w:val="0"/>
                  <w:marRight w:val="0"/>
                  <w:marTop w:val="0"/>
                  <w:marBottom w:val="0"/>
                  <w:divBdr>
                    <w:top w:val="none" w:sz="0" w:space="0" w:color="auto"/>
                    <w:left w:val="none" w:sz="0" w:space="0" w:color="auto"/>
                    <w:bottom w:val="none" w:sz="0" w:space="0" w:color="auto"/>
                    <w:right w:val="none" w:sz="0" w:space="0" w:color="auto"/>
                  </w:divBdr>
                  <w:divsChild>
                    <w:div w:id="1468090279">
                      <w:marLeft w:val="0"/>
                      <w:marRight w:val="0"/>
                      <w:marTop w:val="0"/>
                      <w:marBottom w:val="0"/>
                      <w:divBdr>
                        <w:top w:val="none" w:sz="0" w:space="0" w:color="auto"/>
                        <w:left w:val="none" w:sz="0" w:space="0" w:color="auto"/>
                        <w:bottom w:val="none" w:sz="0" w:space="0" w:color="auto"/>
                        <w:right w:val="none" w:sz="0" w:space="0" w:color="auto"/>
                      </w:divBdr>
                    </w:div>
                  </w:divsChild>
                </w:div>
                <w:div w:id="2019961870">
                  <w:marLeft w:val="0"/>
                  <w:marRight w:val="0"/>
                  <w:marTop w:val="0"/>
                  <w:marBottom w:val="0"/>
                  <w:divBdr>
                    <w:top w:val="none" w:sz="0" w:space="0" w:color="auto"/>
                    <w:left w:val="none" w:sz="0" w:space="0" w:color="auto"/>
                    <w:bottom w:val="none" w:sz="0" w:space="0" w:color="auto"/>
                    <w:right w:val="none" w:sz="0" w:space="0" w:color="auto"/>
                  </w:divBdr>
                  <w:divsChild>
                    <w:div w:id="1575967820">
                      <w:marLeft w:val="0"/>
                      <w:marRight w:val="0"/>
                      <w:marTop w:val="0"/>
                      <w:marBottom w:val="0"/>
                      <w:divBdr>
                        <w:top w:val="none" w:sz="0" w:space="0" w:color="auto"/>
                        <w:left w:val="none" w:sz="0" w:space="0" w:color="auto"/>
                        <w:bottom w:val="none" w:sz="0" w:space="0" w:color="auto"/>
                        <w:right w:val="none" w:sz="0" w:space="0" w:color="auto"/>
                      </w:divBdr>
                    </w:div>
                  </w:divsChild>
                </w:div>
                <w:div w:id="2035576848">
                  <w:marLeft w:val="0"/>
                  <w:marRight w:val="0"/>
                  <w:marTop w:val="0"/>
                  <w:marBottom w:val="0"/>
                  <w:divBdr>
                    <w:top w:val="none" w:sz="0" w:space="0" w:color="auto"/>
                    <w:left w:val="none" w:sz="0" w:space="0" w:color="auto"/>
                    <w:bottom w:val="none" w:sz="0" w:space="0" w:color="auto"/>
                    <w:right w:val="none" w:sz="0" w:space="0" w:color="auto"/>
                  </w:divBdr>
                  <w:divsChild>
                    <w:div w:id="1069230229">
                      <w:marLeft w:val="0"/>
                      <w:marRight w:val="0"/>
                      <w:marTop w:val="0"/>
                      <w:marBottom w:val="0"/>
                      <w:divBdr>
                        <w:top w:val="none" w:sz="0" w:space="0" w:color="auto"/>
                        <w:left w:val="none" w:sz="0" w:space="0" w:color="auto"/>
                        <w:bottom w:val="none" w:sz="0" w:space="0" w:color="auto"/>
                        <w:right w:val="none" w:sz="0" w:space="0" w:color="auto"/>
                      </w:divBdr>
                    </w:div>
                  </w:divsChild>
                </w:div>
                <w:div w:id="2091652102">
                  <w:marLeft w:val="0"/>
                  <w:marRight w:val="0"/>
                  <w:marTop w:val="0"/>
                  <w:marBottom w:val="0"/>
                  <w:divBdr>
                    <w:top w:val="none" w:sz="0" w:space="0" w:color="auto"/>
                    <w:left w:val="none" w:sz="0" w:space="0" w:color="auto"/>
                    <w:bottom w:val="none" w:sz="0" w:space="0" w:color="auto"/>
                    <w:right w:val="none" w:sz="0" w:space="0" w:color="auto"/>
                  </w:divBdr>
                  <w:divsChild>
                    <w:div w:id="23748835">
                      <w:marLeft w:val="0"/>
                      <w:marRight w:val="0"/>
                      <w:marTop w:val="0"/>
                      <w:marBottom w:val="0"/>
                      <w:divBdr>
                        <w:top w:val="none" w:sz="0" w:space="0" w:color="auto"/>
                        <w:left w:val="none" w:sz="0" w:space="0" w:color="auto"/>
                        <w:bottom w:val="none" w:sz="0" w:space="0" w:color="auto"/>
                        <w:right w:val="none" w:sz="0" w:space="0" w:color="auto"/>
                      </w:divBdr>
                    </w:div>
                  </w:divsChild>
                </w:div>
                <w:div w:id="2115202302">
                  <w:marLeft w:val="0"/>
                  <w:marRight w:val="0"/>
                  <w:marTop w:val="0"/>
                  <w:marBottom w:val="0"/>
                  <w:divBdr>
                    <w:top w:val="none" w:sz="0" w:space="0" w:color="auto"/>
                    <w:left w:val="none" w:sz="0" w:space="0" w:color="auto"/>
                    <w:bottom w:val="none" w:sz="0" w:space="0" w:color="auto"/>
                    <w:right w:val="none" w:sz="0" w:space="0" w:color="auto"/>
                  </w:divBdr>
                  <w:divsChild>
                    <w:div w:id="225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344592">
          <w:marLeft w:val="0"/>
          <w:marRight w:val="0"/>
          <w:marTop w:val="0"/>
          <w:marBottom w:val="0"/>
          <w:divBdr>
            <w:top w:val="none" w:sz="0" w:space="0" w:color="auto"/>
            <w:left w:val="none" w:sz="0" w:space="0" w:color="auto"/>
            <w:bottom w:val="none" w:sz="0" w:space="0" w:color="auto"/>
            <w:right w:val="none" w:sz="0" w:space="0" w:color="auto"/>
          </w:divBdr>
        </w:div>
      </w:divsChild>
    </w:div>
    <w:div w:id="871302509">
      <w:bodyDiv w:val="1"/>
      <w:marLeft w:val="0"/>
      <w:marRight w:val="0"/>
      <w:marTop w:val="0"/>
      <w:marBottom w:val="0"/>
      <w:divBdr>
        <w:top w:val="none" w:sz="0" w:space="0" w:color="auto"/>
        <w:left w:val="none" w:sz="0" w:space="0" w:color="auto"/>
        <w:bottom w:val="none" w:sz="0" w:space="0" w:color="auto"/>
        <w:right w:val="none" w:sz="0" w:space="0" w:color="auto"/>
      </w:divBdr>
    </w:div>
    <w:div w:id="884559226">
      <w:bodyDiv w:val="1"/>
      <w:marLeft w:val="0"/>
      <w:marRight w:val="0"/>
      <w:marTop w:val="0"/>
      <w:marBottom w:val="0"/>
      <w:divBdr>
        <w:top w:val="none" w:sz="0" w:space="0" w:color="auto"/>
        <w:left w:val="none" w:sz="0" w:space="0" w:color="auto"/>
        <w:bottom w:val="none" w:sz="0" w:space="0" w:color="auto"/>
        <w:right w:val="none" w:sz="0" w:space="0" w:color="auto"/>
      </w:divBdr>
    </w:div>
    <w:div w:id="885025371">
      <w:bodyDiv w:val="1"/>
      <w:marLeft w:val="0"/>
      <w:marRight w:val="0"/>
      <w:marTop w:val="0"/>
      <w:marBottom w:val="0"/>
      <w:divBdr>
        <w:top w:val="none" w:sz="0" w:space="0" w:color="auto"/>
        <w:left w:val="none" w:sz="0" w:space="0" w:color="auto"/>
        <w:bottom w:val="none" w:sz="0" w:space="0" w:color="auto"/>
        <w:right w:val="none" w:sz="0" w:space="0" w:color="auto"/>
      </w:divBdr>
    </w:div>
    <w:div w:id="885028010">
      <w:bodyDiv w:val="1"/>
      <w:marLeft w:val="0"/>
      <w:marRight w:val="0"/>
      <w:marTop w:val="0"/>
      <w:marBottom w:val="0"/>
      <w:divBdr>
        <w:top w:val="none" w:sz="0" w:space="0" w:color="auto"/>
        <w:left w:val="none" w:sz="0" w:space="0" w:color="auto"/>
        <w:bottom w:val="none" w:sz="0" w:space="0" w:color="auto"/>
        <w:right w:val="none" w:sz="0" w:space="0" w:color="auto"/>
      </w:divBdr>
    </w:div>
    <w:div w:id="899285052">
      <w:bodyDiv w:val="1"/>
      <w:marLeft w:val="0"/>
      <w:marRight w:val="0"/>
      <w:marTop w:val="0"/>
      <w:marBottom w:val="0"/>
      <w:divBdr>
        <w:top w:val="none" w:sz="0" w:space="0" w:color="auto"/>
        <w:left w:val="none" w:sz="0" w:space="0" w:color="auto"/>
        <w:bottom w:val="none" w:sz="0" w:space="0" w:color="auto"/>
        <w:right w:val="none" w:sz="0" w:space="0" w:color="auto"/>
      </w:divBdr>
      <w:divsChild>
        <w:div w:id="348407545">
          <w:marLeft w:val="274"/>
          <w:marRight w:val="0"/>
          <w:marTop w:val="0"/>
          <w:marBottom w:val="0"/>
          <w:divBdr>
            <w:top w:val="none" w:sz="0" w:space="0" w:color="auto"/>
            <w:left w:val="none" w:sz="0" w:space="0" w:color="auto"/>
            <w:bottom w:val="none" w:sz="0" w:space="0" w:color="auto"/>
            <w:right w:val="none" w:sz="0" w:space="0" w:color="auto"/>
          </w:divBdr>
        </w:div>
        <w:div w:id="476798073">
          <w:marLeft w:val="274"/>
          <w:marRight w:val="0"/>
          <w:marTop w:val="0"/>
          <w:marBottom w:val="0"/>
          <w:divBdr>
            <w:top w:val="none" w:sz="0" w:space="0" w:color="auto"/>
            <w:left w:val="none" w:sz="0" w:space="0" w:color="auto"/>
            <w:bottom w:val="none" w:sz="0" w:space="0" w:color="auto"/>
            <w:right w:val="none" w:sz="0" w:space="0" w:color="auto"/>
          </w:divBdr>
        </w:div>
        <w:div w:id="1250966714">
          <w:marLeft w:val="274"/>
          <w:marRight w:val="0"/>
          <w:marTop w:val="0"/>
          <w:marBottom w:val="0"/>
          <w:divBdr>
            <w:top w:val="none" w:sz="0" w:space="0" w:color="auto"/>
            <w:left w:val="none" w:sz="0" w:space="0" w:color="auto"/>
            <w:bottom w:val="none" w:sz="0" w:space="0" w:color="auto"/>
            <w:right w:val="none" w:sz="0" w:space="0" w:color="auto"/>
          </w:divBdr>
        </w:div>
        <w:div w:id="2081636802">
          <w:marLeft w:val="274"/>
          <w:marRight w:val="0"/>
          <w:marTop w:val="0"/>
          <w:marBottom w:val="0"/>
          <w:divBdr>
            <w:top w:val="none" w:sz="0" w:space="0" w:color="auto"/>
            <w:left w:val="none" w:sz="0" w:space="0" w:color="auto"/>
            <w:bottom w:val="none" w:sz="0" w:space="0" w:color="auto"/>
            <w:right w:val="none" w:sz="0" w:space="0" w:color="auto"/>
          </w:divBdr>
        </w:div>
      </w:divsChild>
    </w:div>
    <w:div w:id="907691353">
      <w:bodyDiv w:val="1"/>
      <w:marLeft w:val="0"/>
      <w:marRight w:val="0"/>
      <w:marTop w:val="0"/>
      <w:marBottom w:val="0"/>
      <w:divBdr>
        <w:top w:val="none" w:sz="0" w:space="0" w:color="auto"/>
        <w:left w:val="none" w:sz="0" w:space="0" w:color="auto"/>
        <w:bottom w:val="none" w:sz="0" w:space="0" w:color="auto"/>
        <w:right w:val="none" w:sz="0" w:space="0" w:color="auto"/>
      </w:divBdr>
    </w:div>
    <w:div w:id="926184727">
      <w:bodyDiv w:val="1"/>
      <w:marLeft w:val="0"/>
      <w:marRight w:val="0"/>
      <w:marTop w:val="0"/>
      <w:marBottom w:val="0"/>
      <w:divBdr>
        <w:top w:val="none" w:sz="0" w:space="0" w:color="auto"/>
        <w:left w:val="none" w:sz="0" w:space="0" w:color="auto"/>
        <w:bottom w:val="none" w:sz="0" w:space="0" w:color="auto"/>
        <w:right w:val="none" w:sz="0" w:space="0" w:color="auto"/>
      </w:divBdr>
      <w:divsChild>
        <w:div w:id="163395699">
          <w:marLeft w:val="0"/>
          <w:marRight w:val="0"/>
          <w:marTop w:val="0"/>
          <w:marBottom w:val="0"/>
          <w:divBdr>
            <w:top w:val="none" w:sz="0" w:space="0" w:color="auto"/>
            <w:left w:val="none" w:sz="0" w:space="0" w:color="auto"/>
            <w:bottom w:val="none" w:sz="0" w:space="0" w:color="auto"/>
            <w:right w:val="none" w:sz="0" w:space="0" w:color="auto"/>
          </w:divBdr>
        </w:div>
        <w:div w:id="164133813">
          <w:marLeft w:val="0"/>
          <w:marRight w:val="0"/>
          <w:marTop w:val="0"/>
          <w:marBottom w:val="0"/>
          <w:divBdr>
            <w:top w:val="none" w:sz="0" w:space="0" w:color="auto"/>
            <w:left w:val="none" w:sz="0" w:space="0" w:color="auto"/>
            <w:bottom w:val="none" w:sz="0" w:space="0" w:color="auto"/>
            <w:right w:val="none" w:sz="0" w:space="0" w:color="auto"/>
          </w:divBdr>
        </w:div>
        <w:div w:id="427041522">
          <w:marLeft w:val="0"/>
          <w:marRight w:val="0"/>
          <w:marTop w:val="0"/>
          <w:marBottom w:val="0"/>
          <w:divBdr>
            <w:top w:val="none" w:sz="0" w:space="0" w:color="auto"/>
            <w:left w:val="none" w:sz="0" w:space="0" w:color="auto"/>
            <w:bottom w:val="none" w:sz="0" w:space="0" w:color="auto"/>
            <w:right w:val="none" w:sz="0" w:space="0" w:color="auto"/>
          </w:divBdr>
        </w:div>
        <w:div w:id="443113670">
          <w:marLeft w:val="0"/>
          <w:marRight w:val="0"/>
          <w:marTop w:val="0"/>
          <w:marBottom w:val="0"/>
          <w:divBdr>
            <w:top w:val="none" w:sz="0" w:space="0" w:color="auto"/>
            <w:left w:val="none" w:sz="0" w:space="0" w:color="auto"/>
            <w:bottom w:val="none" w:sz="0" w:space="0" w:color="auto"/>
            <w:right w:val="none" w:sz="0" w:space="0" w:color="auto"/>
          </w:divBdr>
        </w:div>
        <w:div w:id="454565904">
          <w:marLeft w:val="0"/>
          <w:marRight w:val="0"/>
          <w:marTop w:val="0"/>
          <w:marBottom w:val="0"/>
          <w:divBdr>
            <w:top w:val="none" w:sz="0" w:space="0" w:color="auto"/>
            <w:left w:val="none" w:sz="0" w:space="0" w:color="auto"/>
            <w:bottom w:val="none" w:sz="0" w:space="0" w:color="auto"/>
            <w:right w:val="none" w:sz="0" w:space="0" w:color="auto"/>
          </w:divBdr>
        </w:div>
        <w:div w:id="547959154">
          <w:marLeft w:val="0"/>
          <w:marRight w:val="0"/>
          <w:marTop w:val="0"/>
          <w:marBottom w:val="0"/>
          <w:divBdr>
            <w:top w:val="none" w:sz="0" w:space="0" w:color="auto"/>
            <w:left w:val="none" w:sz="0" w:space="0" w:color="auto"/>
            <w:bottom w:val="none" w:sz="0" w:space="0" w:color="auto"/>
            <w:right w:val="none" w:sz="0" w:space="0" w:color="auto"/>
          </w:divBdr>
        </w:div>
        <w:div w:id="583151131">
          <w:marLeft w:val="0"/>
          <w:marRight w:val="0"/>
          <w:marTop w:val="0"/>
          <w:marBottom w:val="0"/>
          <w:divBdr>
            <w:top w:val="none" w:sz="0" w:space="0" w:color="auto"/>
            <w:left w:val="none" w:sz="0" w:space="0" w:color="auto"/>
            <w:bottom w:val="none" w:sz="0" w:space="0" w:color="auto"/>
            <w:right w:val="none" w:sz="0" w:space="0" w:color="auto"/>
          </w:divBdr>
        </w:div>
        <w:div w:id="608271965">
          <w:marLeft w:val="0"/>
          <w:marRight w:val="0"/>
          <w:marTop w:val="0"/>
          <w:marBottom w:val="0"/>
          <w:divBdr>
            <w:top w:val="none" w:sz="0" w:space="0" w:color="auto"/>
            <w:left w:val="none" w:sz="0" w:space="0" w:color="auto"/>
            <w:bottom w:val="none" w:sz="0" w:space="0" w:color="auto"/>
            <w:right w:val="none" w:sz="0" w:space="0" w:color="auto"/>
          </w:divBdr>
        </w:div>
        <w:div w:id="622808051">
          <w:marLeft w:val="0"/>
          <w:marRight w:val="0"/>
          <w:marTop w:val="0"/>
          <w:marBottom w:val="0"/>
          <w:divBdr>
            <w:top w:val="none" w:sz="0" w:space="0" w:color="auto"/>
            <w:left w:val="none" w:sz="0" w:space="0" w:color="auto"/>
            <w:bottom w:val="none" w:sz="0" w:space="0" w:color="auto"/>
            <w:right w:val="none" w:sz="0" w:space="0" w:color="auto"/>
          </w:divBdr>
        </w:div>
        <w:div w:id="903561161">
          <w:marLeft w:val="0"/>
          <w:marRight w:val="0"/>
          <w:marTop w:val="0"/>
          <w:marBottom w:val="0"/>
          <w:divBdr>
            <w:top w:val="none" w:sz="0" w:space="0" w:color="auto"/>
            <w:left w:val="none" w:sz="0" w:space="0" w:color="auto"/>
            <w:bottom w:val="none" w:sz="0" w:space="0" w:color="auto"/>
            <w:right w:val="none" w:sz="0" w:space="0" w:color="auto"/>
          </w:divBdr>
        </w:div>
        <w:div w:id="1243566915">
          <w:marLeft w:val="0"/>
          <w:marRight w:val="0"/>
          <w:marTop w:val="0"/>
          <w:marBottom w:val="0"/>
          <w:divBdr>
            <w:top w:val="none" w:sz="0" w:space="0" w:color="auto"/>
            <w:left w:val="none" w:sz="0" w:space="0" w:color="auto"/>
            <w:bottom w:val="none" w:sz="0" w:space="0" w:color="auto"/>
            <w:right w:val="none" w:sz="0" w:space="0" w:color="auto"/>
          </w:divBdr>
        </w:div>
        <w:div w:id="1289511039">
          <w:marLeft w:val="0"/>
          <w:marRight w:val="0"/>
          <w:marTop w:val="0"/>
          <w:marBottom w:val="0"/>
          <w:divBdr>
            <w:top w:val="none" w:sz="0" w:space="0" w:color="auto"/>
            <w:left w:val="none" w:sz="0" w:space="0" w:color="auto"/>
            <w:bottom w:val="none" w:sz="0" w:space="0" w:color="auto"/>
            <w:right w:val="none" w:sz="0" w:space="0" w:color="auto"/>
          </w:divBdr>
        </w:div>
        <w:div w:id="1315641960">
          <w:marLeft w:val="0"/>
          <w:marRight w:val="0"/>
          <w:marTop w:val="0"/>
          <w:marBottom w:val="0"/>
          <w:divBdr>
            <w:top w:val="none" w:sz="0" w:space="0" w:color="auto"/>
            <w:left w:val="none" w:sz="0" w:space="0" w:color="auto"/>
            <w:bottom w:val="none" w:sz="0" w:space="0" w:color="auto"/>
            <w:right w:val="none" w:sz="0" w:space="0" w:color="auto"/>
          </w:divBdr>
        </w:div>
        <w:div w:id="1367870884">
          <w:marLeft w:val="0"/>
          <w:marRight w:val="0"/>
          <w:marTop w:val="0"/>
          <w:marBottom w:val="0"/>
          <w:divBdr>
            <w:top w:val="none" w:sz="0" w:space="0" w:color="auto"/>
            <w:left w:val="none" w:sz="0" w:space="0" w:color="auto"/>
            <w:bottom w:val="none" w:sz="0" w:space="0" w:color="auto"/>
            <w:right w:val="none" w:sz="0" w:space="0" w:color="auto"/>
          </w:divBdr>
        </w:div>
        <w:div w:id="1407650751">
          <w:marLeft w:val="0"/>
          <w:marRight w:val="0"/>
          <w:marTop w:val="0"/>
          <w:marBottom w:val="0"/>
          <w:divBdr>
            <w:top w:val="none" w:sz="0" w:space="0" w:color="auto"/>
            <w:left w:val="none" w:sz="0" w:space="0" w:color="auto"/>
            <w:bottom w:val="none" w:sz="0" w:space="0" w:color="auto"/>
            <w:right w:val="none" w:sz="0" w:space="0" w:color="auto"/>
          </w:divBdr>
        </w:div>
        <w:div w:id="1445727822">
          <w:marLeft w:val="0"/>
          <w:marRight w:val="0"/>
          <w:marTop w:val="0"/>
          <w:marBottom w:val="0"/>
          <w:divBdr>
            <w:top w:val="none" w:sz="0" w:space="0" w:color="auto"/>
            <w:left w:val="none" w:sz="0" w:space="0" w:color="auto"/>
            <w:bottom w:val="none" w:sz="0" w:space="0" w:color="auto"/>
            <w:right w:val="none" w:sz="0" w:space="0" w:color="auto"/>
          </w:divBdr>
        </w:div>
        <w:div w:id="1529443672">
          <w:marLeft w:val="0"/>
          <w:marRight w:val="0"/>
          <w:marTop w:val="0"/>
          <w:marBottom w:val="0"/>
          <w:divBdr>
            <w:top w:val="none" w:sz="0" w:space="0" w:color="auto"/>
            <w:left w:val="none" w:sz="0" w:space="0" w:color="auto"/>
            <w:bottom w:val="none" w:sz="0" w:space="0" w:color="auto"/>
            <w:right w:val="none" w:sz="0" w:space="0" w:color="auto"/>
          </w:divBdr>
        </w:div>
        <w:div w:id="1690253453">
          <w:marLeft w:val="0"/>
          <w:marRight w:val="0"/>
          <w:marTop w:val="0"/>
          <w:marBottom w:val="0"/>
          <w:divBdr>
            <w:top w:val="none" w:sz="0" w:space="0" w:color="auto"/>
            <w:left w:val="none" w:sz="0" w:space="0" w:color="auto"/>
            <w:bottom w:val="none" w:sz="0" w:space="0" w:color="auto"/>
            <w:right w:val="none" w:sz="0" w:space="0" w:color="auto"/>
          </w:divBdr>
        </w:div>
        <w:div w:id="1819767370">
          <w:marLeft w:val="0"/>
          <w:marRight w:val="0"/>
          <w:marTop w:val="0"/>
          <w:marBottom w:val="0"/>
          <w:divBdr>
            <w:top w:val="none" w:sz="0" w:space="0" w:color="auto"/>
            <w:left w:val="none" w:sz="0" w:space="0" w:color="auto"/>
            <w:bottom w:val="none" w:sz="0" w:space="0" w:color="auto"/>
            <w:right w:val="none" w:sz="0" w:space="0" w:color="auto"/>
          </w:divBdr>
        </w:div>
        <w:div w:id="1972902290">
          <w:marLeft w:val="0"/>
          <w:marRight w:val="0"/>
          <w:marTop w:val="0"/>
          <w:marBottom w:val="0"/>
          <w:divBdr>
            <w:top w:val="none" w:sz="0" w:space="0" w:color="auto"/>
            <w:left w:val="none" w:sz="0" w:space="0" w:color="auto"/>
            <w:bottom w:val="none" w:sz="0" w:space="0" w:color="auto"/>
            <w:right w:val="none" w:sz="0" w:space="0" w:color="auto"/>
          </w:divBdr>
        </w:div>
        <w:div w:id="1980071202">
          <w:marLeft w:val="0"/>
          <w:marRight w:val="0"/>
          <w:marTop w:val="0"/>
          <w:marBottom w:val="0"/>
          <w:divBdr>
            <w:top w:val="none" w:sz="0" w:space="0" w:color="auto"/>
            <w:left w:val="none" w:sz="0" w:space="0" w:color="auto"/>
            <w:bottom w:val="none" w:sz="0" w:space="0" w:color="auto"/>
            <w:right w:val="none" w:sz="0" w:space="0" w:color="auto"/>
          </w:divBdr>
        </w:div>
        <w:div w:id="2046952431">
          <w:marLeft w:val="0"/>
          <w:marRight w:val="0"/>
          <w:marTop w:val="0"/>
          <w:marBottom w:val="0"/>
          <w:divBdr>
            <w:top w:val="none" w:sz="0" w:space="0" w:color="auto"/>
            <w:left w:val="none" w:sz="0" w:space="0" w:color="auto"/>
            <w:bottom w:val="none" w:sz="0" w:space="0" w:color="auto"/>
            <w:right w:val="none" w:sz="0" w:space="0" w:color="auto"/>
          </w:divBdr>
        </w:div>
        <w:div w:id="2147047729">
          <w:marLeft w:val="0"/>
          <w:marRight w:val="0"/>
          <w:marTop w:val="0"/>
          <w:marBottom w:val="0"/>
          <w:divBdr>
            <w:top w:val="none" w:sz="0" w:space="0" w:color="auto"/>
            <w:left w:val="none" w:sz="0" w:space="0" w:color="auto"/>
            <w:bottom w:val="none" w:sz="0" w:space="0" w:color="auto"/>
            <w:right w:val="none" w:sz="0" w:space="0" w:color="auto"/>
          </w:divBdr>
        </w:div>
      </w:divsChild>
    </w:div>
    <w:div w:id="937831262">
      <w:bodyDiv w:val="1"/>
      <w:marLeft w:val="0"/>
      <w:marRight w:val="0"/>
      <w:marTop w:val="0"/>
      <w:marBottom w:val="0"/>
      <w:divBdr>
        <w:top w:val="none" w:sz="0" w:space="0" w:color="auto"/>
        <w:left w:val="none" w:sz="0" w:space="0" w:color="auto"/>
        <w:bottom w:val="none" w:sz="0" w:space="0" w:color="auto"/>
        <w:right w:val="none" w:sz="0" w:space="0" w:color="auto"/>
      </w:divBdr>
      <w:divsChild>
        <w:div w:id="8216406">
          <w:marLeft w:val="274"/>
          <w:marRight w:val="0"/>
          <w:marTop w:val="0"/>
          <w:marBottom w:val="0"/>
          <w:divBdr>
            <w:top w:val="none" w:sz="0" w:space="0" w:color="auto"/>
            <w:left w:val="none" w:sz="0" w:space="0" w:color="auto"/>
            <w:bottom w:val="none" w:sz="0" w:space="0" w:color="auto"/>
            <w:right w:val="none" w:sz="0" w:space="0" w:color="auto"/>
          </w:divBdr>
        </w:div>
        <w:div w:id="1213082946">
          <w:marLeft w:val="274"/>
          <w:marRight w:val="0"/>
          <w:marTop w:val="0"/>
          <w:marBottom w:val="0"/>
          <w:divBdr>
            <w:top w:val="none" w:sz="0" w:space="0" w:color="auto"/>
            <w:left w:val="none" w:sz="0" w:space="0" w:color="auto"/>
            <w:bottom w:val="none" w:sz="0" w:space="0" w:color="auto"/>
            <w:right w:val="none" w:sz="0" w:space="0" w:color="auto"/>
          </w:divBdr>
        </w:div>
        <w:div w:id="1222904954">
          <w:marLeft w:val="274"/>
          <w:marRight w:val="0"/>
          <w:marTop w:val="0"/>
          <w:marBottom w:val="0"/>
          <w:divBdr>
            <w:top w:val="none" w:sz="0" w:space="0" w:color="auto"/>
            <w:left w:val="none" w:sz="0" w:space="0" w:color="auto"/>
            <w:bottom w:val="none" w:sz="0" w:space="0" w:color="auto"/>
            <w:right w:val="none" w:sz="0" w:space="0" w:color="auto"/>
          </w:divBdr>
        </w:div>
        <w:div w:id="1841659547">
          <w:marLeft w:val="274"/>
          <w:marRight w:val="0"/>
          <w:marTop w:val="0"/>
          <w:marBottom w:val="0"/>
          <w:divBdr>
            <w:top w:val="none" w:sz="0" w:space="0" w:color="auto"/>
            <w:left w:val="none" w:sz="0" w:space="0" w:color="auto"/>
            <w:bottom w:val="none" w:sz="0" w:space="0" w:color="auto"/>
            <w:right w:val="none" w:sz="0" w:space="0" w:color="auto"/>
          </w:divBdr>
        </w:div>
      </w:divsChild>
    </w:div>
    <w:div w:id="940651912">
      <w:bodyDiv w:val="1"/>
      <w:marLeft w:val="0"/>
      <w:marRight w:val="0"/>
      <w:marTop w:val="0"/>
      <w:marBottom w:val="0"/>
      <w:divBdr>
        <w:top w:val="none" w:sz="0" w:space="0" w:color="auto"/>
        <w:left w:val="none" w:sz="0" w:space="0" w:color="auto"/>
        <w:bottom w:val="none" w:sz="0" w:space="0" w:color="auto"/>
        <w:right w:val="none" w:sz="0" w:space="0" w:color="auto"/>
      </w:divBdr>
    </w:div>
    <w:div w:id="947615891">
      <w:bodyDiv w:val="1"/>
      <w:marLeft w:val="0"/>
      <w:marRight w:val="0"/>
      <w:marTop w:val="0"/>
      <w:marBottom w:val="0"/>
      <w:divBdr>
        <w:top w:val="none" w:sz="0" w:space="0" w:color="auto"/>
        <w:left w:val="none" w:sz="0" w:space="0" w:color="auto"/>
        <w:bottom w:val="none" w:sz="0" w:space="0" w:color="auto"/>
        <w:right w:val="none" w:sz="0" w:space="0" w:color="auto"/>
      </w:divBdr>
      <w:divsChild>
        <w:div w:id="878710519">
          <w:marLeft w:val="547"/>
          <w:marRight w:val="0"/>
          <w:marTop w:val="120"/>
          <w:marBottom w:val="120"/>
          <w:divBdr>
            <w:top w:val="none" w:sz="0" w:space="0" w:color="auto"/>
            <w:left w:val="none" w:sz="0" w:space="0" w:color="auto"/>
            <w:bottom w:val="none" w:sz="0" w:space="0" w:color="auto"/>
            <w:right w:val="none" w:sz="0" w:space="0" w:color="auto"/>
          </w:divBdr>
        </w:div>
        <w:div w:id="940837174">
          <w:marLeft w:val="547"/>
          <w:marRight w:val="0"/>
          <w:marTop w:val="120"/>
          <w:marBottom w:val="120"/>
          <w:divBdr>
            <w:top w:val="none" w:sz="0" w:space="0" w:color="auto"/>
            <w:left w:val="none" w:sz="0" w:space="0" w:color="auto"/>
            <w:bottom w:val="none" w:sz="0" w:space="0" w:color="auto"/>
            <w:right w:val="none" w:sz="0" w:space="0" w:color="auto"/>
          </w:divBdr>
        </w:div>
        <w:div w:id="982389176">
          <w:marLeft w:val="547"/>
          <w:marRight w:val="0"/>
          <w:marTop w:val="120"/>
          <w:marBottom w:val="120"/>
          <w:divBdr>
            <w:top w:val="none" w:sz="0" w:space="0" w:color="auto"/>
            <w:left w:val="none" w:sz="0" w:space="0" w:color="auto"/>
            <w:bottom w:val="none" w:sz="0" w:space="0" w:color="auto"/>
            <w:right w:val="none" w:sz="0" w:space="0" w:color="auto"/>
          </w:divBdr>
        </w:div>
        <w:div w:id="1575430389">
          <w:marLeft w:val="547"/>
          <w:marRight w:val="0"/>
          <w:marTop w:val="120"/>
          <w:marBottom w:val="120"/>
          <w:divBdr>
            <w:top w:val="none" w:sz="0" w:space="0" w:color="auto"/>
            <w:left w:val="none" w:sz="0" w:space="0" w:color="auto"/>
            <w:bottom w:val="none" w:sz="0" w:space="0" w:color="auto"/>
            <w:right w:val="none" w:sz="0" w:space="0" w:color="auto"/>
          </w:divBdr>
        </w:div>
        <w:div w:id="2142191388">
          <w:marLeft w:val="547"/>
          <w:marRight w:val="0"/>
          <w:marTop w:val="120"/>
          <w:marBottom w:val="120"/>
          <w:divBdr>
            <w:top w:val="none" w:sz="0" w:space="0" w:color="auto"/>
            <w:left w:val="none" w:sz="0" w:space="0" w:color="auto"/>
            <w:bottom w:val="none" w:sz="0" w:space="0" w:color="auto"/>
            <w:right w:val="none" w:sz="0" w:space="0" w:color="auto"/>
          </w:divBdr>
        </w:div>
      </w:divsChild>
    </w:div>
    <w:div w:id="955284657">
      <w:bodyDiv w:val="1"/>
      <w:marLeft w:val="0"/>
      <w:marRight w:val="0"/>
      <w:marTop w:val="0"/>
      <w:marBottom w:val="0"/>
      <w:divBdr>
        <w:top w:val="none" w:sz="0" w:space="0" w:color="auto"/>
        <w:left w:val="none" w:sz="0" w:space="0" w:color="auto"/>
        <w:bottom w:val="none" w:sz="0" w:space="0" w:color="auto"/>
        <w:right w:val="none" w:sz="0" w:space="0" w:color="auto"/>
      </w:divBdr>
      <w:divsChild>
        <w:div w:id="265043440">
          <w:marLeft w:val="0"/>
          <w:marRight w:val="0"/>
          <w:marTop w:val="0"/>
          <w:marBottom w:val="0"/>
          <w:divBdr>
            <w:top w:val="none" w:sz="0" w:space="0" w:color="auto"/>
            <w:left w:val="none" w:sz="0" w:space="0" w:color="auto"/>
            <w:bottom w:val="none" w:sz="0" w:space="0" w:color="auto"/>
            <w:right w:val="none" w:sz="0" w:space="0" w:color="auto"/>
          </w:divBdr>
          <w:divsChild>
            <w:div w:id="1230732991">
              <w:marLeft w:val="0"/>
              <w:marRight w:val="0"/>
              <w:marTop w:val="0"/>
              <w:marBottom w:val="0"/>
              <w:divBdr>
                <w:top w:val="none" w:sz="0" w:space="0" w:color="auto"/>
                <w:left w:val="none" w:sz="0" w:space="0" w:color="auto"/>
                <w:bottom w:val="none" w:sz="0" w:space="0" w:color="auto"/>
                <w:right w:val="none" w:sz="0" w:space="0" w:color="auto"/>
              </w:divBdr>
            </w:div>
          </w:divsChild>
        </w:div>
        <w:div w:id="513031865">
          <w:marLeft w:val="0"/>
          <w:marRight w:val="0"/>
          <w:marTop w:val="0"/>
          <w:marBottom w:val="0"/>
          <w:divBdr>
            <w:top w:val="none" w:sz="0" w:space="0" w:color="auto"/>
            <w:left w:val="none" w:sz="0" w:space="0" w:color="auto"/>
            <w:bottom w:val="none" w:sz="0" w:space="0" w:color="auto"/>
            <w:right w:val="none" w:sz="0" w:space="0" w:color="auto"/>
          </w:divBdr>
          <w:divsChild>
            <w:div w:id="1620142208">
              <w:marLeft w:val="0"/>
              <w:marRight w:val="0"/>
              <w:marTop w:val="0"/>
              <w:marBottom w:val="0"/>
              <w:divBdr>
                <w:top w:val="none" w:sz="0" w:space="0" w:color="auto"/>
                <w:left w:val="none" w:sz="0" w:space="0" w:color="auto"/>
                <w:bottom w:val="none" w:sz="0" w:space="0" w:color="auto"/>
                <w:right w:val="none" w:sz="0" w:space="0" w:color="auto"/>
              </w:divBdr>
            </w:div>
          </w:divsChild>
        </w:div>
        <w:div w:id="604659349">
          <w:marLeft w:val="0"/>
          <w:marRight w:val="0"/>
          <w:marTop w:val="0"/>
          <w:marBottom w:val="0"/>
          <w:divBdr>
            <w:top w:val="none" w:sz="0" w:space="0" w:color="auto"/>
            <w:left w:val="none" w:sz="0" w:space="0" w:color="auto"/>
            <w:bottom w:val="none" w:sz="0" w:space="0" w:color="auto"/>
            <w:right w:val="none" w:sz="0" w:space="0" w:color="auto"/>
          </w:divBdr>
          <w:divsChild>
            <w:div w:id="799615967">
              <w:marLeft w:val="0"/>
              <w:marRight w:val="0"/>
              <w:marTop w:val="0"/>
              <w:marBottom w:val="0"/>
              <w:divBdr>
                <w:top w:val="none" w:sz="0" w:space="0" w:color="auto"/>
                <w:left w:val="none" w:sz="0" w:space="0" w:color="auto"/>
                <w:bottom w:val="none" w:sz="0" w:space="0" w:color="auto"/>
                <w:right w:val="none" w:sz="0" w:space="0" w:color="auto"/>
              </w:divBdr>
            </w:div>
          </w:divsChild>
        </w:div>
        <w:div w:id="744765745">
          <w:marLeft w:val="0"/>
          <w:marRight w:val="0"/>
          <w:marTop w:val="0"/>
          <w:marBottom w:val="0"/>
          <w:divBdr>
            <w:top w:val="none" w:sz="0" w:space="0" w:color="auto"/>
            <w:left w:val="none" w:sz="0" w:space="0" w:color="auto"/>
            <w:bottom w:val="none" w:sz="0" w:space="0" w:color="auto"/>
            <w:right w:val="none" w:sz="0" w:space="0" w:color="auto"/>
          </w:divBdr>
          <w:divsChild>
            <w:div w:id="965549156">
              <w:marLeft w:val="0"/>
              <w:marRight w:val="0"/>
              <w:marTop w:val="0"/>
              <w:marBottom w:val="0"/>
              <w:divBdr>
                <w:top w:val="none" w:sz="0" w:space="0" w:color="auto"/>
                <w:left w:val="none" w:sz="0" w:space="0" w:color="auto"/>
                <w:bottom w:val="none" w:sz="0" w:space="0" w:color="auto"/>
                <w:right w:val="none" w:sz="0" w:space="0" w:color="auto"/>
              </w:divBdr>
            </w:div>
          </w:divsChild>
        </w:div>
        <w:div w:id="776291610">
          <w:marLeft w:val="0"/>
          <w:marRight w:val="0"/>
          <w:marTop w:val="0"/>
          <w:marBottom w:val="0"/>
          <w:divBdr>
            <w:top w:val="none" w:sz="0" w:space="0" w:color="auto"/>
            <w:left w:val="none" w:sz="0" w:space="0" w:color="auto"/>
            <w:bottom w:val="none" w:sz="0" w:space="0" w:color="auto"/>
            <w:right w:val="none" w:sz="0" w:space="0" w:color="auto"/>
          </w:divBdr>
          <w:divsChild>
            <w:div w:id="1544361940">
              <w:marLeft w:val="0"/>
              <w:marRight w:val="0"/>
              <w:marTop w:val="0"/>
              <w:marBottom w:val="0"/>
              <w:divBdr>
                <w:top w:val="none" w:sz="0" w:space="0" w:color="auto"/>
                <w:left w:val="none" w:sz="0" w:space="0" w:color="auto"/>
                <w:bottom w:val="none" w:sz="0" w:space="0" w:color="auto"/>
                <w:right w:val="none" w:sz="0" w:space="0" w:color="auto"/>
              </w:divBdr>
            </w:div>
          </w:divsChild>
        </w:div>
        <w:div w:id="784694145">
          <w:marLeft w:val="0"/>
          <w:marRight w:val="0"/>
          <w:marTop w:val="0"/>
          <w:marBottom w:val="0"/>
          <w:divBdr>
            <w:top w:val="none" w:sz="0" w:space="0" w:color="auto"/>
            <w:left w:val="none" w:sz="0" w:space="0" w:color="auto"/>
            <w:bottom w:val="none" w:sz="0" w:space="0" w:color="auto"/>
            <w:right w:val="none" w:sz="0" w:space="0" w:color="auto"/>
          </w:divBdr>
          <w:divsChild>
            <w:div w:id="89156683">
              <w:marLeft w:val="0"/>
              <w:marRight w:val="0"/>
              <w:marTop w:val="0"/>
              <w:marBottom w:val="0"/>
              <w:divBdr>
                <w:top w:val="none" w:sz="0" w:space="0" w:color="auto"/>
                <w:left w:val="none" w:sz="0" w:space="0" w:color="auto"/>
                <w:bottom w:val="none" w:sz="0" w:space="0" w:color="auto"/>
                <w:right w:val="none" w:sz="0" w:space="0" w:color="auto"/>
              </w:divBdr>
            </w:div>
          </w:divsChild>
        </w:div>
        <w:div w:id="832522999">
          <w:marLeft w:val="0"/>
          <w:marRight w:val="0"/>
          <w:marTop w:val="0"/>
          <w:marBottom w:val="0"/>
          <w:divBdr>
            <w:top w:val="none" w:sz="0" w:space="0" w:color="auto"/>
            <w:left w:val="none" w:sz="0" w:space="0" w:color="auto"/>
            <w:bottom w:val="none" w:sz="0" w:space="0" w:color="auto"/>
            <w:right w:val="none" w:sz="0" w:space="0" w:color="auto"/>
          </w:divBdr>
          <w:divsChild>
            <w:div w:id="1323006992">
              <w:marLeft w:val="0"/>
              <w:marRight w:val="0"/>
              <w:marTop w:val="0"/>
              <w:marBottom w:val="0"/>
              <w:divBdr>
                <w:top w:val="none" w:sz="0" w:space="0" w:color="auto"/>
                <w:left w:val="none" w:sz="0" w:space="0" w:color="auto"/>
                <w:bottom w:val="none" w:sz="0" w:space="0" w:color="auto"/>
                <w:right w:val="none" w:sz="0" w:space="0" w:color="auto"/>
              </w:divBdr>
            </w:div>
          </w:divsChild>
        </w:div>
        <w:div w:id="895432659">
          <w:marLeft w:val="0"/>
          <w:marRight w:val="0"/>
          <w:marTop w:val="0"/>
          <w:marBottom w:val="0"/>
          <w:divBdr>
            <w:top w:val="none" w:sz="0" w:space="0" w:color="auto"/>
            <w:left w:val="none" w:sz="0" w:space="0" w:color="auto"/>
            <w:bottom w:val="none" w:sz="0" w:space="0" w:color="auto"/>
            <w:right w:val="none" w:sz="0" w:space="0" w:color="auto"/>
          </w:divBdr>
          <w:divsChild>
            <w:div w:id="1593469253">
              <w:marLeft w:val="0"/>
              <w:marRight w:val="0"/>
              <w:marTop w:val="0"/>
              <w:marBottom w:val="0"/>
              <w:divBdr>
                <w:top w:val="none" w:sz="0" w:space="0" w:color="auto"/>
                <w:left w:val="none" w:sz="0" w:space="0" w:color="auto"/>
                <w:bottom w:val="none" w:sz="0" w:space="0" w:color="auto"/>
                <w:right w:val="none" w:sz="0" w:space="0" w:color="auto"/>
              </w:divBdr>
            </w:div>
          </w:divsChild>
        </w:div>
        <w:div w:id="932669130">
          <w:marLeft w:val="0"/>
          <w:marRight w:val="0"/>
          <w:marTop w:val="0"/>
          <w:marBottom w:val="0"/>
          <w:divBdr>
            <w:top w:val="none" w:sz="0" w:space="0" w:color="auto"/>
            <w:left w:val="none" w:sz="0" w:space="0" w:color="auto"/>
            <w:bottom w:val="none" w:sz="0" w:space="0" w:color="auto"/>
            <w:right w:val="none" w:sz="0" w:space="0" w:color="auto"/>
          </w:divBdr>
          <w:divsChild>
            <w:div w:id="1257592402">
              <w:marLeft w:val="0"/>
              <w:marRight w:val="0"/>
              <w:marTop w:val="0"/>
              <w:marBottom w:val="0"/>
              <w:divBdr>
                <w:top w:val="none" w:sz="0" w:space="0" w:color="auto"/>
                <w:left w:val="none" w:sz="0" w:space="0" w:color="auto"/>
                <w:bottom w:val="none" w:sz="0" w:space="0" w:color="auto"/>
                <w:right w:val="none" w:sz="0" w:space="0" w:color="auto"/>
              </w:divBdr>
            </w:div>
          </w:divsChild>
        </w:div>
        <w:div w:id="998732994">
          <w:marLeft w:val="0"/>
          <w:marRight w:val="0"/>
          <w:marTop w:val="0"/>
          <w:marBottom w:val="0"/>
          <w:divBdr>
            <w:top w:val="none" w:sz="0" w:space="0" w:color="auto"/>
            <w:left w:val="none" w:sz="0" w:space="0" w:color="auto"/>
            <w:bottom w:val="none" w:sz="0" w:space="0" w:color="auto"/>
            <w:right w:val="none" w:sz="0" w:space="0" w:color="auto"/>
          </w:divBdr>
          <w:divsChild>
            <w:div w:id="624702582">
              <w:marLeft w:val="0"/>
              <w:marRight w:val="0"/>
              <w:marTop w:val="0"/>
              <w:marBottom w:val="0"/>
              <w:divBdr>
                <w:top w:val="none" w:sz="0" w:space="0" w:color="auto"/>
                <w:left w:val="none" w:sz="0" w:space="0" w:color="auto"/>
                <w:bottom w:val="none" w:sz="0" w:space="0" w:color="auto"/>
                <w:right w:val="none" w:sz="0" w:space="0" w:color="auto"/>
              </w:divBdr>
            </w:div>
          </w:divsChild>
        </w:div>
        <w:div w:id="1086876475">
          <w:marLeft w:val="0"/>
          <w:marRight w:val="0"/>
          <w:marTop w:val="0"/>
          <w:marBottom w:val="0"/>
          <w:divBdr>
            <w:top w:val="none" w:sz="0" w:space="0" w:color="auto"/>
            <w:left w:val="none" w:sz="0" w:space="0" w:color="auto"/>
            <w:bottom w:val="none" w:sz="0" w:space="0" w:color="auto"/>
            <w:right w:val="none" w:sz="0" w:space="0" w:color="auto"/>
          </w:divBdr>
          <w:divsChild>
            <w:div w:id="560943355">
              <w:marLeft w:val="0"/>
              <w:marRight w:val="0"/>
              <w:marTop w:val="0"/>
              <w:marBottom w:val="0"/>
              <w:divBdr>
                <w:top w:val="none" w:sz="0" w:space="0" w:color="auto"/>
                <w:left w:val="none" w:sz="0" w:space="0" w:color="auto"/>
                <w:bottom w:val="none" w:sz="0" w:space="0" w:color="auto"/>
                <w:right w:val="none" w:sz="0" w:space="0" w:color="auto"/>
              </w:divBdr>
            </w:div>
          </w:divsChild>
        </w:div>
        <w:div w:id="1280066624">
          <w:marLeft w:val="0"/>
          <w:marRight w:val="0"/>
          <w:marTop w:val="0"/>
          <w:marBottom w:val="0"/>
          <w:divBdr>
            <w:top w:val="none" w:sz="0" w:space="0" w:color="auto"/>
            <w:left w:val="none" w:sz="0" w:space="0" w:color="auto"/>
            <w:bottom w:val="none" w:sz="0" w:space="0" w:color="auto"/>
            <w:right w:val="none" w:sz="0" w:space="0" w:color="auto"/>
          </w:divBdr>
          <w:divsChild>
            <w:div w:id="1864392709">
              <w:marLeft w:val="0"/>
              <w:marRight w:val="0"/>
              <w:marTop w:val="0"/>
              <w:marBottom w:val="0"/>
              <w:divBdr>
                <w:top w:val="none" w:sz="0" w:space="0" w:color="auto"/>
                <w:left w:val="none" w:sz="0" w:space="0" w:color="auto"/>
                <w:bottom w:val="none" w:sz="0" w:space="0" w:color="auto"/>
                <w:right w:val="none" w:sz="0" w:space="0" w:color="auto"/>
              </w:divBdr>
            </w:div>
          </w:divsChild>
        </w:div>
        <w:div w:id="1691638162">
          <w:marLeft w:val="0"/>
          <w:marRight w:val="0"/>
          <w:marTop w:val="0"/>
          <w:marBottom w:val="0"/>
          <w:divBdr>
            <w:top w:val="none" w:sz="0" w:space="0" w:color="auto"/>
            <w:left w:val="none" w:sz="0" w:space="0" w:color="auto"/>
            <w:bottom w:val="none" w:sz="0" w:space="0" w:color="auto"/>
            <w:right w:val="none" w:sz="0" w:space="0" w:color="auto"/>
          </w:divBdr>
          <w:divsChild>
            <w:div w:id="2041784309">
              <w:marLeft w:val="0"/>
              <w:marRight w:val="0"/>
              <w:marTop w:val="0"/>
              <w:marBottom w:val="0"/>
              <w:divBdr>
                <w:top w:val="none" w:sz="0" w:space="0" w:color="auto"/>
                <w:left w:val="none" w:sz="0" w:space="0" w:color="auto"/>
                <w:bottom w:val="none" w:sz="0" w:space="0" w:color="auto"/>
                <w:right w:val="none" w:sz="0" w:space="0" w:color="auto"/>
              </w:divBdr>
            </w:div>
          </w:divsChild>
        </w:div>
        <w:div w:id="1763914987">
          <w:marLeft w:val="0"/>
          <w:marRight w:val="0"/>
          <w:marTop w:val="0"/>
          <w:marBottom w:val="0"/>
          <w:divBdr>
            <w:top w:val="none" w:sz="0" w:space="0" w:color="auto"/>
            <w:left w:val="none" w:sz="0" w:space="0" w:color="auto"/>
            <w:bottom w:val="none" w:sz="0" w:space="0" w:color="auto"/>
            <w:right w:val="none" w:sz="0" w:space="0" w:color="auto"/>
          </w:divBdr>
          <w:divsChild>
            <w:div w:id="2086491084">
              <w:marLeft w:val="0"/>
              <w:marRight w:val="0"/>
              <w:marTop w:val="0"/>
              <w:marBottom w:val="0"/>
              <w:divBdr>
                <w:top w:val="none" w:sz="0" w:space="0" w:color="auto"/>
                <w:left w:val="none" w:sz="0" w:space="0" w:color="auto"/>
                <w:bottom w:val="none" w:sz="0" w:space="0" w:color="auto"/>
                <w:right w:val="none" w:sz="0" w:space="0" w:color="auto"/>
              </w:divBdr>
            </w:div>
          </w:divsChild>
        </w:div>
        <w:div w:id="1809665386">
          <w:marLeft w:val="0"/>
          <w:marRight w:val="0"/>
          <w:marTop w:val="0"/>
          <w:marBottom w:val="0"/>
          <w:divBdr>
            <w:top w:val="none" w:sz="0" w:space="0" w:color="auto"/>
            <w:left w:val="none" w:sz="0" w:space="0" w:color="auto"/>
            <w:bottom w:val="none" w:sz="0" w:space="0" w:color="auto"/>
            <w:right w:val="none" w:sz="0" w:space="0" w:color="auto"/>
          </w:divBdr>
          <w:divsChild>
            <w:div w:id="1610694346">
              <w:marLeft w:val="0"/>
              <w:marRight w:val="0"/>
              <w:marTop w:val="0"/>
              <w:marBottom w:val="0"/>
              <w:divBdr>
                <w:top w:val="none" w:sz="0" w:space="0" w:color="auto"/>
                <w:left w:val="none" w:sz="0" w:space="0" w:color="auto"/>
                <w:bottom w:val="none" w:sz="0" w:space="0" w:color="auto"/>
                <w:right w:val="none" w:sz="0" w:space="0" w:color="auto"/>
              </w:divBdr>
            </w:div>
          </w:divsChild>
        </w:div>
        <w:div w:id="1895500895">
          <w:marLeft w:val="0"/>
          <w:marRight w:val="0"/>
          <w:marTop w:val="0"/>
          <w:marBottom w:val="0"/>
          <w:divBdr>
            <w:top w:val="none" w:sz="0" w:space="0" w:color="auto"/>
            <w:left w:val="none" w:sz="0" w:space="0" w:color="auto"/>
            <w:bottom w:val="none" w:sz="0" w:space="0" w:color="auto"/>
            <w:right w:val="none" w:sz="0" w:space="0" w:color="auto"/>
          </w:divBdr>
          <w:divsChild>
            <w:div w:id="479157371">
              <w:marLeft w:val="0"/>
              <w:marRight w:val="0"/>
              <w:marTop w:val="0"/>
              <w:marBottom w:val="0"/>
              <w:divBdr>
                <w:top w:val="none" w:sz="0" w:space="0" w:color="auto"/>
                <w:left w:val="none" w:sz="0" w:space="0" w:color="auto"/>
                <w:bottom w:val="none" w:sz="0" w:space="0" w:color="auto"/>
                <w:right w:val="none" w:sz="0" w:space="0" w:color="auto"/>
              </w:divBdr>
            </w:div>
          </w:divsChild>
        </w:div>
        <w:div w:id="1965188656">
          <w:marLeft w:val="0"/>
          <w:marRight w:val="0"/>
          <w:marTop w:val="0"/>
          <w:marBottom w:val="0"/>
          <w:divBdr>
            <w:top w:val="none" w:sz="0" w:space="0" w:color="auto"/>
            <w:left w:val="none" w:sz="0" w:space="0" w:color="auto"/>
            <w:bottom w:val="none" w:sz="0" w:space="0" w:color="auto"/>
            <w:right w:val="none" w:sz="0" w:space="0" w:color="auto"/>
          </w:divBdr>
          <w:divsChild>
            <w:div w:id="922181682">
              <w:marLeft w:val="0"/>
              <w:marRight w:val="0"/>
              <w:marTop w:val="0"/>
              <w:marBottom w:val="0"/>
              <w:divBdr>
                <w:top w:val="none" w:sz="0" w:space="0" w:color="auto"/>
                <w:left w:val="none" w:sz="0" w:space="0" w:color="auto"/>
                <w:bottom w:val="none" w:sz="0" w:space="0" w:color="auto"/>
                <w:right w:val="none" w:sz="0" w:space="0" w:color="auto"/>
              </w:divBdr>
            </w:div>
          </w:divsChild>
        </w:div>
        <w:div w:id="2104642025">
          <w:marLeft w:val="0"/>
          <w:marRight w:val="0"/>
          <w:marTop w:val="0"/>
          <w:marBottom w:val="0"/>
          <w:divBdr>
            <w:top w:val="none" w:sz="0" w:space="0" w:color="auto"/>
            <w:left w:val="none" w:sz="0" w:space="0" w:color="auto"/>
            <w:bottom w:val="none" w:sz="0" w:space="0" w:color="auto"/>
            <w:right w:val="none" w:sz="0" w:space="0" w:color="auto"/>
          </w:divBdr>
          <w:divsChild>
            <w:div w:id="2128235555">
              <w:marLeft w:val="0"/>
              <w:marRight w:val="0"/>
              <w:marTop w:val="0"/>
              <w:marBottom w:val="0"/>
              <w:divBdr>
                <w:top w:val="none" w:sz="0" w:space="0" w:color="auto"/>
                <w:left w:val="none" w:sz="0" w:space="0" w:color="auto"/>
                <w:bottom w:val="none" w:sz="0" w:space="0" w:color="auto"/>
                <w:right w:val="none" w:sz="0" w:space="0" w:color="auto"/>
              </w:divBdr>
            </w:div>
          </w:divsChild>
        </w:div>
        <w:div w:id="2127458810">
          <w:marLeft w:val="0"/>
          <w:marRight w:val="0"/>
          <w:marTop w:val="0"/>
          <w:marBottom w:val="0"/>
          <w:divBdr>
            <w:top w:val="none" w:sz="0" w:space="0" w:color="auto"/>
            <w:left w:val="none" w:sz="0" w:space="0" w:color="auto"/>
            <w:bottom w:val="none" w:sz="0" w:space="0" w:color="auto"/>
            <w:right w:val="none" w:sz="0" w:space="0" w:color="auto"/>
          </w:divBdr>
          <w:divsChild>
            <w:div w:id="1480541312">
              <w:marLeft w:val="0"/>
              <w:marRight w:val="0"/>
              <w:marTop w:val="0"/>
              <w:marBottom w:val="0"/>
              <w:divBdr>
                <w:top w:val="none" w:sz="0" w:space="0" w:color="auto"/>
                <w:left w:val="none" w:sz="0" w:space="0" w:color="auto"/>
                <w:bottom w:val="none" w:sz="0" w:space="0" w:color="auto"/>
                <w:right w:val="none" w:sz="0" w:space="0" w:color="auto"/>
              </w:divBdr>
            </w:div>
          </w:divsChild>
        </w:div>
        <w:div w:id="2131045461">
          <w:marLeft w:val="0"/>
          <w:marRight w:val="0"/>
          <w:marTop w:val="0"/>
          <w:marBottom w:val="0"/>
          <w:divBdr>
            <w:top w:val="none" w:sz="0" w:space="0" w:color="auto"/>
            <w:left w:val="none" w:sz="0" w:space="0" w:color="auto"/>
            <w:bottom w:val="none" w:sz="0" w:space="0" w:color="auto"/>
            <w:right w:val="none" w:sz="0" w:space="0" w:color="auto"/>
          </w:divBdr>
          <w:divsChild>
            <w:div w:id="5241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84322">
      <w:bodyDiv w:val="1"/>
      <w:marLeft w:val="0"/>
      <w:marRight w:val="0"/>
      <w:marTop w:val="0"/>
      <w:marBottom w:val="0"/>
      <w:divBdr>
        <w:top w:val="none" w:sz="0" w:space="0" w:color="auto"/>
        <w:left w:val="none" w:sz="0" w:space="0" w:color="auto"/>
        <w:bottom w:val="none" w:sz="0" w:space="0" w:color="auto"/>
        <w:right w:val="none" w:sz="0" w:space="0" w:color="auto"/>
      </w:divBdr>
      <w:divsChild>
        <w:div w:id="1738438609">
          <w:marLeft w:val="446"/>
          <w:marRight w:val="0"/>
          <w:marTop w:val="120"/>
          <w:marBottom w:val="240"/>
          <w:divBdr>
            <w:top w:val="none" w:sz="0" w:space="0" w:color="auto"/>
            <w:left w:val="none" w:sz="0" w:space="0" w:color="auto"/>
            <w:bottom w:val="none" w:sz="0" w:space="0" w:color="auto"/>
            <w:right w:val="none" w:sz="0" w:space="0" w:color="auto"/>
          </w:divBdr>
        </w:div>
      </w:divsChild>
    </w:div>
    <w:div w:id="991107425">
      <w:bodyDiv w:val="1"/>
      <w:marLeft w:val="0"/>
      <w:marRight w:val="0"/>
      <w:marTop w:val="0"/>
      <w:marBottom w:val="0"/>
      <w:divBdr>
        <w:top w:val="none" w:sz="0" w:space="0" w:color="auto"/>
        <w:left w:val="none" w:sz="0" w:space="0" w:color="auto"/>
        <w:bottom w:val="none" w:sz="0" w:space="0" w:color="auto"/>
        <w:right w:val="none" w:sz="0" w:space="0" w:color="auto"/>
      </w:divBdr>
      <w:divsChild>
        <w:div w:id="1262492862">
          <w:marLeft w:val="0"/>
          <w:marRight w:val="0"/>
          <w:marTop w:val="0"/>
          <w:marBottom w:val="0"/>
          <w:divBdr>
            <w:top w:val="none" w:sz="0" w:space="0" w:color="auto"/>
            <w:left w:val="none" w:sz="0" w:space="0" w:color="auto"/>
            <w:bottom w:val="none" w:sz="0" w:space="0" w:color="auto"/>
            <w:right w:val="none" w:sz="0" w:space="0" w:color="auto"/>
          </w:divBdr>
        </w:div>
      </w:divsChild>
    </w:div>
    <w:div w:id="1002701266">
      <w:bodyDiv w:val="1"/>
      <w:marLeft w:val="0"/>
      <w:marRight w:val="0"/>
      <w:marTop w:val="0"/>
      <w:marBottom w:val="0"/>
      <w:divBdr>
        <w:top w:val="none" w:sz="0" w:space="0" w:color="auto"/>
        <w:left w:val="none" w:sz="0" w:space="0" w:color="auto"/>
        <w:bottom w:val="none" w:sz="0" w:space="0" w:color="auto"/>
        <w:right w:val="none" w:sz="0" w:space="0" w:color="auto"/>
      </w:divBdr>
    </w:div>
    <w:div w:id="1010330589">
      <w:bodyDiv w:val="1"/>
      <w:marLeft w:val="0"/>
      <w:marRight w:val="0"/>
      <w:marTop w:val="0"/>
      <w:marBottom w:val="0"/>
      <w:divBdr>
        <w:top w:val="none" w:sz="0" w:space="0" w:color="auto"/>
        <w:left w:val="none" w:sz="0" w:space="0" w:color="auto"/>
        <w:bottom w:val="none" w:sz="0" w:space="0" w:color="auto"/>
        <w:right w:val="none" w:sz="0" w:space="0" w:color="auto"/>
      </w:divBdr>
      <w:divsChild>
        <w:div w:id="1458840502">
          <w:marLeft w:val="274"/>
          <w:marRight w:val="0"/>
          <w:marTop w:val="0"/>
          <w:marBottom w:val="120"/>
          <w:divBdr>
            <w:top w:val="none" w:sz="0" w:space="0" w:color="auto"/>
            <w:left w:val="none" w:sz="0" w:space="0" w:color="auto"/>
            <w:bottom w:val="none" w:sz="0" w:space="0" w:color="auto"/>
            <w:right w:val="none" w:sz="0" w:space="0" w:color="auto"/>
          </w:divBdr>
        </w:div>
      </w:divsChild>
    </w:div>
    <w:div w:id="1034623038">
      <w:bodyDiv w:val="1"/>
      <w:marLeft w:val="0"/>
      <w:marRight w:val="0"/>
      <w:marTop w:val="0"/>
      <w:marBottom w:val="0"/>
      <w:divBdr>
        <w:top w:val="none" w:sz="0" w:space="0" w:color="auto"/>
        <w:left w:val="none" w:sz="0" w:space="0" w:color="auto"/>
        <w:bottom w:val="none" w:sz="0" w:space="0" w:color="auto"/>
        <w:right w:val="none" w:sz="0" w:space="0" w:color="auto"/>
      </w:divBdr>
    </w:div>
    <w:div w:id="1039354216">
      <w:bodyDiv w:val="1"/>
      <w:marLeft w:val="0"/>
      <w:marRight w:val="0"/>
      <w:marTop w:val="0"/>
      <w:marBottom w:val="0"/>
      <w:divBdr>
        <w:top w:val="none" w:sz="0" w:space="0" w:color="auto"/>
        <w:left w:val="none" w:sz="0" w:space="0" w:color="auto"/>
        <w:bottom w:val="none" w:sz="0" w:space="0" w:color="auto"/>
        <w:right w:val="none" w:sz="0" w:space="0" w:color="auto"/>
      </w:divBdr>
      <w:divsChild>
        <w:div w:id="302007316">
          <w:marLeft w:val="274"/>
          <w:marRight w:val="0"/>
          <w:marTop w:val="0"/>
          <w:marBottom w:val="0"/>
          <w:divBdr>
            <w:top w:val="none" w:sz="0" w:space="0" w:color="auto"/>
            <w:left w:val="none" w:sz="0" w:space="0" w:color="auto"/>
            <w:bottom w:val="none" w:sz="0" w:space="0" w:color="auto"/>
            <w:right w:val="none" w:sz="0" w:space="0" w:color="auto"/>
          </w:divBdr>
        </w:div>
        <w:div w:id="944072101">
          <w:marLeft w:val="274"/>
          <w:marRight w:val="0"/>
          <w:marTop w:val="0"/>
          <w:marBottom w:val="0"/>
          <w:divBdr>
            <w:top w:val="none" w:sz="0" w:space="0" w:color="auto"/>
            <w:left w:val="none" w:sz="0" w:space="0" w:color="auto"/>
            <w:bottom w:val="none" w:sz="0" w:space="0" w:color="auto"/>
            <w:right w:val="none" w:sz="0" w:space="0" w:color="auto"/>
          </w:divBdr>
        </w:div>
        <w:div w:id="1190483624">
          <w:marLeft w:val="274"/>
          <w:marRight w:val="0"/>
          <w:marTop w:val="0"/>
          <w:marBottom w:val="0"/>
          <w:divBdr>
            <w:top w:val="none" w:sz="0" w:space="0" w:color="auto"/>
            <w:left w:val="none" w:sz="0" w:space="0" w:color="auto"/>
            <w:bottom w:val="none" w:sz="0" w:space="0" w:color="auto"/>
            <w:right w:val="none" w:sz="0" w:space="0" w:color="auto"/>
          </w:divBdr>
        </w:div>
        <w:div w:id="1437359582">
          <w:marLeft w:val="274"/>
          <w:marRight w:val="0"/>
          <w:marTop w:val="0"/>
          <w:marBottom w:val="0"/>
          <w:divBdr>
            <w:top w:val="none" w:sz="0" w:space="0" w:color="auto"/>
            <w:left w:val="none" w:sz="0" w:space="0" w:color="auto"/>
            <w:bottom w:val="none" w:sz="0" w:space="0" w:color="auto"/>
            <w:right w:val="none" w:sz="0" w:space="0" w:color="auto"/>
          </w:divBdr>
        </w:div>
        <w:div w:id="1833567883">
          <w:marLeft w:val="274"/>
          <w:marRight w:val="0"/>
          <w:marTop w:val="0"/>
          <w:marBottom w:val="0"/>
          <w:divBdr>
            <w:top w:val="none" w:sz="0" w:space="0" w:color="auto"/>
            <w:left w:val="none" w:sz="0" w:space="0" w:color="auto"/>
            <w:bottom w:val="none" w:sz="0" w:space="0" w:color="auto"/>
            <w:right w:val="none" w:sz="0" w:space="0" w:color="auto"/>
          </w:divBdr>
        </w:div>
      </w:divsChild>
    </w:div>
    <w:div w:id="1045913618">
      <w:bodyDiv w:val="1"/>
      <w:marLeft w:val="0"/>
      <w:marRight w:val="0"/>
      <w:marTop w:val="0"/>
      <w:marBottom w:val="0"/>
      <w:divBdr>
        <w:top w:val="none" w:sz="0" w:space="0" w:color="auto"/>
        <w:left w:val="none" w:sz="0" w:space="0" w:color="auto"/>
        <w:bottom w:val="none" w:sz="0" w:space="0" w:color="auto"/>
        <w:right w:val="none" w:sz="0" w:space="0" w:color="auto"/>
      </w:divBdr>
    </w:div>
    <w:div w:id="1049257336">
      <w:bodyDiv w:val="1"/>
      <w:marLeft w:val="0"/>
      <w:marRight w:val="0"/>
      <w:marTop w:val="0"/>
      <w:marBottom w:val="0"/>
      <w:divBdr>
        <w:top w:val="none" w:sz="0" w:space="0" w:color="auto"/>
        <w:left w:val="none" w:sz="0" w:space="0" w:color="auto"/>
        <w:bottom w:val="none" w:sz="0" w:space="0" w:color="auto"/>
        <w:right w:val="none" w:sz="0" w:space="0" w:color="auto"/>
      </w:divBdr>
    </w:div>
    <w:div w:id="1051687348">
      <w:bodyDiv w:val="1"/>
      <w:marLeft w:val="0"/>
      <w:marRight w:val="0"/>
      <w:marTop w:val="0"/>
      <w:marBottom w:val="0"/>
      <w:divBdr>
        <w:top w:val="none" w:sz="0" w:space="0" w:color="auto"/>
        <w:left w:val="none" w:sz="0" w:space="0" w:color="auto"/>
        <w:bottom w:val="none" w:sz="0" w:space="0" w:color="auto"/>
        <w:right w:val="none" w:sz="0" w:space="0" w:color="auto"/>
      </w:divBdr>
    </w:div>
    <w:div w:id="1068262000">
      <w:bodyDiv w:val="1"/>
      <w:marLeft w:val="0"/>
      <w:marRight w:val="0"/>
      <w:marTop w:val="0"/>
      <w:marBottom w:val="0"/>
      <w:divBdr>
        <w:top w:val="none" w:sz="0" w:space="0" w:color="auto"/>
        <w:left w:val="none" w:sz="0" w:space="0" w:color="auto"/>
        <w:bottom w:val="none" w:sz="0" w:space="0" w:color="auto"/>
        <w:right w:val="none" w:sz="0" w:space="0" w:color="auto"/>
      </w:divBdr>
      <w:divsChild>
        <w:div w:id="97914296">
          <w:marLeft w:val="0"/>
          <w:marRight w:val="0"/>
          <w:marTop w:val="0"/>
          <w:marBottom w:val="0"/>
          <w:divBdr>
            <w:top w:val="none" w:sz="0" w:space="0" w:color="auto"/>
            <w:left w:val="none" w:sz="0" w:space="0" w:color="auto"/>
            <w:bottom w:val="none" w:sz="0" w:space="0" w:color="auto"/>
            <w:right w:val="none" w:sz="0" w:space="0" w:color="auto"/>
          </w:divBdr>
          <w:divsChild>
            <w:div w:id="177282177">
              <w:marLeft w:val="0"/>
              <w:marRight w:val="0"/>
              <w:marTop w:val="0"/>
              <w:marBottom w:val="0"/>
              <w:divBdr>
                <w:top w:val="none" w:sz="0" w:space="0" w:color="auto"/>
                <w:left w:val="none" w:sz="0" w:space="0" w:color="auto"/>
                <w:bottom w:val="none" w:sz="0" w:space="0" w:color="auto"/>
                <w:right w:val="none" w:sz="0" w:space="0" w:color="auto"/>
              </w:divBdr>
            </w:div>
            <w:div w:id="363795264">
              <w:marLeft w:val="0"/>
              <w:marRight w:val="0"/>
              <w:marTop w:val="0"/>
              <w:marBottom w:val="0"/>
              <w:divBdr>
                <w:top w:val="none" w:sz="0" w:space="0" w:color="auto"/>
                <w:left w:val="none" w:sz="0" w:space="0" w:color="auto"/>
                <w:bottom w:val="none" w:sz="0" w:space="0" w:color="auto"/>
                <w:right w:val="none" w:sz="0" w:space="0" w:color="auto"/>
              </w:divBdr>
            </w:div>
            <w:div w:id="477496611">
              <w:marLeft w:val="0"/>
              <w:marRight w:val="0"/>
              <w:marTop w:val="0"/>
              <w:marBottom w:val="0"/>
              <w:divBdr>
                <w:top w:val="none" w:sz="0" w:space="0" w:color="auto"/>
                <w:left w:val="none" w:sz="0" w:space="0" w:color="auto"/>
                <w:bottom w:val="none" w:sz="0" w:space="0" w:color="auto"/>
                <w:right w:val="none" w:sz="0" w:space="0" w:color="auto"/>
              </w:divBdr>
            </w:div>
            <w:div w:id="507795406">
              <w:marLeft w:val="0"/>
              <w:marRight w:val="0"/>
              <w:marTop w:val="0"/>
              <w:marBottom w:val="0"/>
              <w:divBdr>
                <w:top w:val="none" w:sz="0" w:space="0" w:color="auto"/>
                <w:left w:val="none" w:sz="0" w:space="0" w:color="auto"/>
                <w:bottom w:val="none" w:sz="0" w:space="0" w:color="auto"/>
                <w:right w:val="none" w:sz="0" w:space="0" w:color="auto"/>
              </w:divBdr>
            </w:div>
          </w:divsChild>
        </w:div>
        <w:div w:id="330911260">
          <w:marLeft w:val="0"/>
          <w:marRight w:val="0"/>
          <w:marTop w:val="0"/>
          <w:marBottom w:val="0"/>
          <w:divBdr>
            <w:top w:val="none" w:sz="0" w:space="0" w:color="auto"/>
            <w:left w:val="none" w:sz="0" w:space="0" w:color="auto"/>
            <w:bottom w:val="none" w:sz="0" w:space="0" w:color="auto"/>
            <w:right w:val="none" w:sz="0" w:space="0" w:color="auto"/>
          </w:divBdr>
          <w:divsChild>
            <w:div w:id="296642490">
              <w:marLeft w:val="0"/>
              <w:marRight w:val="0"/>
              <w:marTop w:val="0"/>
              <w:marBottom w:val="0"/>
              <w:divBdr>
                <w:top w:val="none" w:sz="0" w:space="0" w:color="auto"/>
                <w:left w:val="none" w:sz="0" w:space="0" w:color="auto"/>
                <w:bottom w:val="none" w:sz="0" w:space="0" w:color="auto"/>
                <w:right w:val="none" w:sz="0" w:space="0" w:color="auto"/>
              </w:divBdr>
            </w:div>
            <w:div w:id="357587711">
              <w:marLeft w:val="0"/>
              <w:marRight w:val="0"/>
              <w:marTop w:val="0"/>
              <w:marBottom w:val="0"/>
              <w:divBdr>
                <w:top w:val="none" w:sz="0" w:space="0" w:color="auto"/>
                <w:left w:val="none" w:sz="0" w:space="0" w:color="auto"/>
                <w:bottom w:val="none" w:sz="0" w:space="0" w:color="auto"/>
                <w:right w:val="none" w:sz="0" w:space="0" w:color="auto"/>
              </w:divBdr>
            </w:div>
            <w:div w:id="1889419035">
              <w:marLeft w:val="0"/>
              <w:marRight w:val="0"/>
              <w:marTop w:val="0"/>
              <w:marBottom w:val="0"/>
              <w:divBdr>
                <w:top w:val="none" w:sz="0" w:space="0" w:color="auto"/>
                <w:left w:val="none" w:sz="0" w:space="0" w:color="auto"/>
                <w:bottom w:val="none" w:sz="0" w:space="0" w:color="auto"/>
                <w:right w:val="none" w:sz="0" w:space="0" w:color="auto"/>
              </w:divBdr>
            </w:div>
          </w:divsChild>
        </w:div>
        <w:div w:id="441536828">
          <w:marLeft w:val="0"/>
          <w:marRight w:val="0"/>
          <w:marTop w:val="0"/>
          <w:marBottom w:val="0"/>
          <w:divBdr>
            <w:top w:val="none" w:sz="0" w:space="0" w:color="auto"/>
            <w:left w:val="none" w:sz="0" w:space="0" w:color="auto"/>
            <w:bottom w:val="none" w:sz="0" w:space="0" w:color="auto"/>
            <w:right w:val="none" w:sz="0" w:space="0" w:color="auto"/>
          </w:divBdr>
          <w:divsChild>
            <w:div w:id="96684114">
              <w:marLeft w:val="0"/>
              <w:marRight w:val="0"/>
              <w:marTop w:val="0"/>
              <w:marBottom w:val="0"/>
              <w:divBdr>
                <w:top w:val="none" w:sz="0" w:space="0" w:color="auto"/>
                <w:left w:val="none" w:sz="0" w:space="0" w:color="auto"/>
                <w:bottom w:val="none" w:sz="0" w:space="0" w:color="auto"/>
                <w:right w:val="none" w:sz="0" w:space="0" w:color="auto"/>
              </w:divBdr>
            </w:div>
          </w:divsChild>
        </w:div>
        <w:div w:id="661739754">
          <w:marLeft w:val="0"/>
          <w:marRight w:val="0"/>
          <w:marTop w:val="0"/>
          <w:marBottom w:val="0"/>
          <w:divBdr>
            <w:top w:val="none" w:sz="0" w:space="0" w:color="auto"/>
            <w:left w:val="none" w:sz="0" w:space="0" w:color="auto"/>
            <w:bottom w:val="none" w:sz="0" w:space="0" w:color="auto"/>
            <w:right w:val="none" w:sz="0" w:space="0" w:color="auto"/>
          </w:divBdr>
          <w:divsChild>
            <w:div w:id="1548952172">
              <w:marLeft w:val="0"/>
              <w:marRight w:val="0"/>
              <w:marTop w:val="0"/>
              <w:marBottom w:val="0"/>
              <w:divBdr>
                <w:top w:val="none" w:sz="0" w:space="0" w:color="auto"/>
                <w:left w:val="none" w:sz="0" w:space="0" w:color="auto"/>
                <w:bottom w:val="none" w:sz="0" w:space="0" w:color="auto"/>
                <w:right w:val="none" w:sz="0" w:space="0" w:color="auto"/>
              </w:divBdr>
            </w:div>
          </w:divsChild>
        </w:div>
        <w:div w:id="701594534">
          <w:marLeft w:val="0"/>
          <w:marRight w:val="0"/>
          <w:marTop w:val="0"/>
          <w:marBottom w:val="0"/>
          <w:divBdr>
            <w:top w:val="none" w:sz="0" w:space="0" w:color="auto"/>
            <w:left w:val="none" w:sz="0" w:space="0" w:color="auto"/>
            <w:bottom w:val="none" w:sz="0" w:space="0" w:color="auto"/>
            <w:right w:val="none" w:sz="0" w:space="0" w:color="auto"/>
          </w:divBdr>
          <w:divsChild>
            <w:div w:id="444930103">
              <w:marLeft w:val="0"/>
              <w:marRight w:val="0"/>
              <w:marTop w:val="0"/>
              <w:marBottom w:val="0"/>
              <w:divBdr>
                <w:top w:val="none" w:sz="0" w:space="0" w:color="auto"/>
                <w:left w:val="none" w:sz="0" w:space="0" w:color="auto"/>
                <w:bottom w:val="none" w:sz="0" w:space="0" w:color="auto"/>
                <w:right w:val="none" w:sz="0" w:space="0" w:color="auto"/>
              </w:divBdr>
            </w:div>
            <w:div w:id="1403984392">
              <w:marLeft w:val="0"/>
              <w:marRight w:val="0"/>
              <w:marTop w:val="0"/>
              <w:marBottom w:val="0"/>
              <w:divBdr>
                <w:top w:val="none" w:sz="0" w:space="0" w:color="auto"/>
                <w:left w:val="none" w:sz="0" w:space="0" w:color="auto"/>
                <w:bottom w:val="none" w:sz="0" w:space="0" w:color="auto"/>
                <w:right w:val="none" w:sz="0" w:space="0" w:color="auto"/>
              </w:divBdr>
            </w:div>
            <w:div w:id="1557155583">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sChild>
        </w:div>
        <w:div w:id="741945258">
          <w:marLeft w:val="0"/>
          <w:marRight w:val="0"/>
          <w:marTop w:val="0"/>
          <w:marBottom w:val="0"/>
          <w:divBdr>
            <w:top w:val="none" w:sz="0" w:space="0" w:color="auto"/>
            <w:left w:val="none" w:sz="0" w:space="0" w:color="auto"/>
            <w:bottom w:val="none" w:sz="0" w:space="0" w:color="auto"/>
            <w:right w:val="none" w:sz="0" w:space="0" w:color="auto"/>
          </w:divBdr>
          <w:divsChild>
            <w:div w:id="269438699">
              <w:marLeft w:val="0"/>
              <w:marRight w:val="0"/>
              <w:marTop w:val="0"/>
              <w:marBottom w:val="0"/>
              <w:divBdr>
                <w:top w:val="none" w:sz="0" w:space="0" w:color="auto"/>
                <w:left w:val="none" w:sz="0" w:space="0" w:color="auto"/>
                <w:bottom w:val="none" w:sz="0" w:space="0" w:color="auto"/>
                <w:right w:val="none" w:sz="0" w:space="0" w:color="auto"/>
              </w:divBdr>
            </w:div>
          </w:divsChild>
        </w:div>
        <w:div w:id="871647867">
          <w:marLeft w:val="0"/>
          <w:marRight w:val="0"/>
          <w:marTop w:val="0"/>
          <w:marBottom w:val="0"/>
          <w:divBdr>
            <w:top w:val="none" w:sz="0" w:space="0" w:color="auto"/>
            <w:left w:val="none" w:sz="0" w:space="0" w:color="auto"/>
            <w:bottom w:val="none" w:sz="0" w:space="0" w:color="auto"/>
            <w:right w:val="none" w:sz="0" w:space="0" w:color="auto"/>
          </w:divBdr>
          <w:divsChild>
            <w:div w:id="586109916">
              <w:marLeft w:val="0"/>
              <w:marRight w:val="0"/>
              <w:marTop w:val="0"/>
              <w:marBottom w:val="0"/>
              <w:divBdr>
                <w:top w:val="none" w:sz="0" w:space="0" w:color="auto"/>
                <w:left w:val="none" w:sz="0" w:space="0" w:color="auto"/>
                <w:bottom w:val="none" w:sz="0" w:space="0" w:color="auto"/>
                <w:right w:val="none" w:sz="0" w:space="0" w:color="auto"/>
              </w:divBdr>
            </w:div>
            <w:div w:id="1254121140">
              <w:marLeft w:val="0"/>
              <w:marRight w:val="0"/>
              <w:marTop w:val="0"/>
              <w:marBottom w:val="0"/>
              <w:divBdr>
                <w:top w:val="none" w:sz="0" w:space="0" w:color="auto"/>
                <w:left w:val="none" w:sz="0" w:space="0" w:color="auto"/>
                <w:bottom w:val="none" w:sz="0" w:space="0" w:color="auto"/>
                <w:right w:val="none" w:sz="0" w:space="0" w:color="auto"/>
              </w:divBdr>
            </w:div>
            <w:div w:id="1275941990">
              <w:marLeft w:val="0"/>
              <w:marRight w:val="0"/>
              <w:marTop w:val="0"/>
              <w:marBottom w:val="0"/>
              <w:divBdr>
                <w:top w:val="none" w:sz="0" w:space="0" w:color="auto"/>
                <w:left w:val="none" w:sz="0" w:space="0" w:color="auto"/>
                <w:bottom w:val="none" w:sz="0" w:space="0" w:color="auto"/>
                <w:right w:val="none" w:sz="0" w:space="0" w:color="auto"/>
              </w:divBdr>
            </w:div>
            <w:div w:id="1932424185">
              <w:marLeft w:val="0"/>
              <w:marRight w:val="0"/>
              <w:marTop w:val="0"/>
              <w:marBottom w:val="0"/>
              <w:divBdr>
                <w:top w:val="none" w:sz="0" w:space="0" w:color="auto"/>
                <w:left w:val="none" w:sz="0" w:space="0" w:color="auto"/>
                <w:bottom w:val="none" w:sz="0" w:space="0" w:color="auto"/>
                <w:right w:val="none" w:sz="0" w:space="0" w:color="auto"/>
              </w:divBdr>
            </w:div>
          </w:divsChild>
        </w:div>
        <w:div w:id="885484580">
          <w:marLeft w:val="0"/>
          <w:marRight w:val="0"/>
          <w:marTop w:val="0"/>
          <w:marBottom w:val="0"/>
          <w:divBdr>
            <w:top w:val="none" w:sz="0" w:space="0" w:color="auto"/>
            <w:left w:val="none" w:sz="0" w:space="0" w:color="auto"/>
            <w:bottom w:val="none" w:sz="0" w:space="0" w:color="auto"/>
            <w:right w:val="none" w:sz="0" w:space="0" w:color="auto"/>
          </w:divBdr>
          <w:divsChild>
            <w:div w:id="410128546">
              <w:marLeft w:val="0"/>
              <w:marRight w:val="0"/>
              <w:marTop w:val="0"/>
              <w:marBottom w:val="0"/>
              <w:divBdr>
                <w:top w:val="none" w:sz="0" w:space="0" w:color="auto"/>
                <w:left w:val="none" w:sz="0" w:space="0" w:color="auto"/>
                <w:bottom w:val="none" w:sz="0" w:space="0" w:color="auto"/>
                <w:right w:val="none" w:sz="0" w:space="0" w:color="auto"/>
              </w:divBdr>
            </w:div>
          </w:divsChild>
        </w:div>
        <w:div w:id="930744982">
          <w:marLeft w:val="0"/>
          <w:marRight w:val="0"/>
          <w:marTop w:val="0"/>
          <w:marBottom w:val="0"/>
          <w:divBdr>
            <w:top w:val="none" w:sz="0" w:space="0" w:color="auto"/>
            <w:left w:val="none" w:sz="0" w:space="0" w:color="auto"/>
            <w:bottom w:val="none" w:sz="0" w:space="0" w:color="auto"/>
            <w:right w:val="none" w:sz="0" w:space="0" w:color="auto"/>
          </w:divBdr>
          <w:divsChild>
            <w:div w:id="11227790">
              <w:marLeft w:val="0"/>
              <w:marRight w:val="0"/>
              <w:marTop w:val="0"/>
              <w:marBottom w:val="0"/>
              <w:divBdr>
                <w:top w:val="none" w:sz="0" w:space="0" w:color="auto"/>
                <w:left w:val="none" w:sz="0" w:space="0" w:color="auto"/>
                <w:bottom w:val="none" w:sz="0" w:space="0" w:color="auto"/>
                <w:right w:val="none" w:sz="0" w:space="0" w:color="auto"/>
              </w:divBdr>
            </w:div>
            <w:div w:id="163325185">
              <w:marLeft w:val="0"/>
              <w:marRight w:val="0"/>
              <w:marTop w:val="0"/>
              <w:marBottom w:val="0"/>
              <w:divBdr>
                <w:top w:val="none" w:sz="0" w:space="0" w:color="auto"/>
                <w:left w:val="none" w:sz="0" w:space="0" w:color="auto"/>
                <w:bottom w:val="none" w:sz="0" w:space="0" w:color="auto"/>
                <w:right w:val="none" w:sz="0" w:space="0" w:color="auto"/>
              </w:divBdr>
            </w:div>
            <w:div w:id="637496581">
              <w:marLeft w:val="0"/>
              <w:marRight w:val="0"/>
              <w:marTop w:val="0"/>
              <w:marBottom w:val="0"/>
              <w:divBdr>
                <w:top w:val="none" w:sz="0" w:space="0" w:color="auto"/>
                <w:left w:val="none" w:sz="0" w:space="0" w:color="auto"/>
                <w:bottom w:val="none" w:sz="0" w:space="0" w:color="auto"/>
                <w:right w:val="none" w:sz="0" w:space="0" w:color="auto"/>
              </w:divBdr>
            </w:div>
          </w:divsChild>
        </w:div>
        <w:div w:id="1055162295">
          <w:marLeft w:val="0"/>
          <w:marRight w:val="0"/>
          <w:marTop w:val="0"/>
          <w:marBottom w:val="0"/>
          <w:divBdr>
            <w:top w:val="none" w:sz="0" w:space="0" w:color="auto"/>
            <w:left w:val="none" w:sz="0" w:space="0" w:color="auto"/>
            <w:bottom w:val="none" w:sz="0" w:space="0" w:color="auto"/>
            <w:right w:val="none" w:sz="0" w:space="0" w:color="auto"/>
          </w:divBdr>
          <w:divsChild>
            <w:div w:id="1957635109">
              <w:marLeft w:val="0"/>
              <w:marRight w:val="0"/>
              <w:marTop w:val="0"/>
              <w:marBottom w:val="0"/>
              <w:divBdr>
                <w:top w:val="none" w:sz="0" w:space="0" w:color="auto"/>
                <w:left w:val="none" w:sz="0" w:space="0" w:color="auto"/>
                <w:bottom w:val="none" w:sz="0" w:space="0" w:color="auto"/>
                <w:right w:val="none" w:sz="0" w:space="0" w:color="auto"/>
              </w:divBdr>
            </w:div>
          </w:divsChild>
        </w:div>
        <w:div w:id="1096176611">
          <w:marLeft w:val="0"/>
          <w:marRight w:val="0"/>
          <w:marTop w:val="0"/>
          <w:marBottom w:val="0"/>
          <w:divBdr>
            <w:top w:val="none" w:sz="0" w:space="0" w:color="auto"/>
            <w:left w:val="none" w:sz="0" w:space="0" w:color="auto"/>
            <w:bottom w:val="none" w:sz="0" w:space="0" w:color="auto"/>
            <w:right w:val="none" w:sz="0" w:space="0" w:color="auto"/>
          </w:divBdr>
          <w:divsChild>
            <w:div w:id="2041469503">
              <w:marLeft w:val="0"/>
              <w:marRight w:val="0"/>
              <w:marTop w:val="0"/>
              <w:marBottom w:val="0"/>
              <w:divBdr>
                <w:top w:val="none" w:sz="0" w:space="0" w:color="auto"/>
                <w:left w:val="none" w:sz="0" w:space="0" w:color="auto"/>
                <w:bottom w:val="none" w:sz="0" w:space="0" w:color="auto"/>
                <w:right w:val="none" w:sz="0" w:space="0" w:color="auto"/>
              </w:divBdr>
            </w:div>
          </w:divsChild>
        </w:div>
        <w:div w:id="1143160457">
          <w:marLeft w:val="0"/>
          <w:marRight w:val="0"/>
          <w:marTop w:val="0"/>
          <w:marBottom w:val="0"/>
          <w:divBdr>
            <w:top w:val="none" w:sz="0" w:space="0" w:color="auto"/>
            <w:left w:val="none" w:sz="0" w:space="0" w:color="auto"/>
            <w:bottom w:val="none" w:sz="0" w:space="0" w:color="auto"/>
            <w:right w:val="none" w:sz="0" w:space="0" w:color="auto"/>
          </w:divBdr>
          <w:divsChild>
            <w:div w:id="301037382">
              <w:marLeft w:val="0"/>
              <w:marRight w:val="0"/>
              <w:marTop w:val="0"/>
              <w:marBottom w:val="0"/>
              <w:divBdr>
                <w:top w:val="none" w:sz="0" w:space="0" w:color="auto"/>
                <w:left w:val="none" w:sz="0" w:space="0" w:color="auto"/>
                <w:bottom w:val="none" w:sz="0" w:space="0" w:color="auto"/>
                <w:right w:val="none" w:sz="0" w:space="0" w:color="auto"/>
              </w:divBdr>
            </w:div>
            <w:div w:id="1424452002">
              <w:marLeft w:val="0"/>
              <w:marRight w:val="0"/>
              <w:marTop w:val="0"/>
              <w:marBottom w:val="0"/>
              <w:divBdr>
                <w:top w:val="none" w:sz="0" w:space="0" w:color="auto"/>
                <w:left w:val="none" w:sz="0" w:space="0" w:color="auto"/>
                <w:bottom w:val="none" w:sz="0" w:space="0" w:color="auto"/>
                <w:right w:val="none" w:sz="0" w:space="0" w:color="auto"/>
              </w:divBdr>
            </w:div>
            <w:div w:id="1822038326">
              <w:marLeft w:val="0"/>
              <w:marRight w:val="0"/>
              <w:marTop w:val="0"/>
              <w:marBottom w:val="0"/>
              <w:divBdr>
                <w:top w:val="none" w:sz="0" w:space="0" w:color="auto"/>
                <w:left w:val="none" w:sz="0" w:space="0" w:color="auto"/>
                <w:bottom w:val="none" w:sz="0" w:space="0" w:color="auto"/>
                <w:right w:val="none" w:sz="0" w:space="0" w:color="auto"/>
              </w:divBdr>
            </w:div>
          </w:divsChild>
        </w:div>
        <w:div w:id="1182742900">
          <w:marLeft w:val="0"/>
          <w:marRight w:val="0"/>
          <w:marTop w:val="0"/>
          <w:marBottom w:val="0"/>
          <w:divBdr>
            <w:top w:val="none" w:sz="0" w:space="0" w:color="auto"/>
            <w:left w:val="none" w:sz="0" w:space="0" w:color="auto"/>
            <w:bottom w:val="none" w:sz="0" w:space="0" w:color="auto"/>
            <w:right w:val="none" w:sz="0" w:space="0" w:color="auto"/>
          </w:divBdr>
          <w:divsChild>
            <w:div w:id="853345619">
              <w:marLeft w:val="0"/>
              <w:marRight w:val="0"/>
              <w:marTop w:val="0"/>
              <w:marBottom w:val="0"/>
              <w:divBdr>
                <w:top w:val="none" w:sz="0" w:space="0" w:color="auto"/>
                <w:left w:val="none" w:sz="0" w:space="0" w:color="auto"/>
                <w:bottom w:val="none" w:sz="0" w:space="0" w:color="auto"/>
                <w:right w:val="none" w:sz="0" w:space="0" w:color="auto"/>
              </w:divBdr>
            </w:div>
            <w:div w:id="929777820">
              <w:marLeft w:val="0"/>
              <w:marRight w:val="0"/>
              <w:marTop w:val="0"/>
              <w:marBottom w:val="0"/>
              <w:divBdr>
                <w:top w:val="none" w:sz="0" w:space="0" w:color="auto"/>
                <w:left w:val="none" w:sz="0" w:space="0" w:color="auto"/>
                <w:bottom w:val="none" w:sz="0" w:space="0" w:color="auto"/>
                <w:right w:val="none" w:sz="0" w:space="0" w:color="auto"/>
              </w:divBdr>
            </w:div>
            <w:div w:id="1765418852">
              <w:marLeft w:val="0"/>
              <w:marRight w:val="0"/>
              <w:marTop w:val="0"/>
              <w:marBottom w:val="0"/>
              <w:divBdr>
                <w:top w:val="none" w:sz="0" w:space="0" w:color="auto"/>
                <w:left w:val="none" w:sz="0" w:space="0" w:color="auto"/>
                <w:bottom w:val="none" w:sz="0" w:space="0" w:color="auto"/>
                <w:right w:val="none" w:sz="0" w:space="0" w:color="auto"/>
              </w:divBdr>
            </w:div>
            <w:div w:id="2077820671">
              <w:marLeft w:val="0"/>
              <w:marRight w:val="0"/>
              <w:marTop w:val="0"/>
              <w:marBottom w:val="0"/>
              <w:divBdr>
                <w:top w:val="none" w:sz="0" w:space="0" w:color="auto"/>
                <w:left w:val="none" w:sz="0" w:space="0" w:color="auto"/>
                <w:bottom w:val="none" w:sz="0" w:space="0" w:color="auto"/>
                <w:right w:val="none" w:sz="0" w:space="0" w:color="auto"/>
              </w:divBdr>
            </w:div>
            <w:div w:id="2134399935">
              <w:marLeft w:val="0"/>
              <w:marRight w:val="0"/>
              <w:marTop w:val="0"/>
              <w:marBottom w:val="0"/>
              <w:divBdr>
                <w:top w:val="none" w:sz="0" w:space="0" w:color="auto"/>
                <w:left w:val="none" w:sz="0" w:space="0" w:color="auto"/>
                <w:bottom w:val="none" w:sz="0" w:space="0" w:color="auto"/>
                <w:right w:val="none" w:sz="0" w:space="0" w:color="auto"/>
              </w:divBdr>
            </w:div>
          </w:divsChild>
        </w:div>
        <w:div w:id="1280067291">
          <w:marLeft w:val="0"/>
          <w:marRight w:val="0"/>
          <w:marTop w:val="0"/>
          <w:marBottom w:val="0"/>
          <w:divBdr>
            <w:top w:val="none" w:sz="0" w:space="0" w:color="auto"/>
            <w:left w:val="none" w:sz="0" w:space="0" w:color="auto"/>
            <w:bottom w:val="none" w:sz="0" w:space="0" w:color="auto"/>
            <w:right w:val="none" w:sz="0" w:space="0" w:color="auto"/>
          </w:divBdr>
          <w:divsChild>
            <w:div w:id="32930109">
              <w:marLeft w:val="0"/>
              <w:marRight w:val="0"/>
              <w:marTop w:val="0"/>
              <w:marBottom w:val="0"/>
              <w:divBdr>
                <w:top w:val="none" w:sz="0" w:space="0" w:color="auto"/>
                <w:left w:val="none" w:sz="0" w:space="0" w:color="auto"/>
                <w:bottom w:val="none" w:sz="0" w:space="0" w:color="auto"/>
                <w:right w:val="none" w:sz="0" w:space="0" w:color="auto"/>
              </w:divBdr>
            </w:div>
            <w:div w:id="282082270">
              <w:marLeft w:val="0"/>
              <w:marRight w:val="0"/>
              <w:marTop w:val="0"/>
              <w:marBottom w:val="0"/>
              <w:divBdr>
                <w:top w:val="none" w:sz="0" w:space="0" w:color="auto"/>
                <w:left w:val="none" w:sz="0" w:space="0" w:color="auto"/>
                <w:bottom w:val="none" w:sz="0" w:space="0" w:color="auto"/>
                <w:right w:val="none" w:sz="0" w:space="0" w:color="auto"/>
              </w:divBdr>
            </w:div>
            <w:div w:id="551893637">
              <w:marLeft w:val="0"/>
              <w:marRight w:val="0"/>
              <w:marTop w:val="0"/>
              <w:marBottom w:val="0"/>
              <w:divBdr>
                <w:top w:val="none" w:sz="0" w:space="0" w:color="auto"/>
                <w:left w:val="none" w:sz="0" w:space="0" w:color="auto"/>
                <w:bottom w:val="none" w:sz="0" w:space="0" w:color="auto"/>
                <w:right w:val="none" w:sz="0" w:space="0" w:color="auto"/>
              </w:divBdr>
            </w:div>
            <w:div w:id="1288856646">
              <w:marLeft w:val="0"/>
              <w:marRight w:val="0"/>
              <w:marTop w:val="0"/>
              <w:marBottom w:val="0"/>
              <w:divBdr>
                <w:top w:val="none" w:sz="0" w:space="0" w:color="auto"/>
                <w:left w:val="none" w:sz="0" w:space="0" w:color="auto"/>
                <w:bottom w:val="none" w:sz="0" w:space="0" w:color="auto"/>
                <w:right w:val="none" w:sz="0" w:space="0" w:color="auto"/>
              </w:divBdr>
            </w:div>
          </w:divsChild>
        </w:div>
        <w:div w:id="1445921156">
          <w:marLeft w:val="0"/>
          <w:marRight w:val="0"/>
          <w:marTop w:val="0"/>
          <w:marBottom w:val="0"/>
          <w:divBdr>
            <w:top w:val="none" w:sz="0" w:space="0" w:color="auto"/>
            <w:left w:val="none" w:sz="0" w:space="0" w:color="auto"/>
            <w:bottom w:val="none" w:sz="0" w:space="0" w:color="auto"/>
            <w:right w:val="none" w:sz="0" w:space="0" w:color="auto"/>
          </w:divBdr>
          <w:divsChild>
            <w:div w:id="459301192">
              <w:marLeft w:val="0"/>
              <w:marRight w:val="0"/>
              <w:marTop w:val="0"/>
              <w:marBottom w:val="0"/>
              <w:divBdr>
                <w:top w:val="none" w:sz="0" w:space="0" w:color="auto"/>
                <w:left w:val="none" w:sz="0" w:space="0" w:color="auto"/>
                <w:bottom w:val="none" w:sz="0" w:space="0" w:color="auto"/>
                <w:right w:val="none" w:sz="0" w:space="0" w:color="auto"/>
              </w:divBdr>
            </w:div>
            <w:div w:id="713311422">
              <w:marLeft w:val="0"/>
              <w:marRight w:val="0"/>
              <w:marTop w:val="0"/>
              <w:marBottom w:val="0"/>
              <w:divBdr>
                <w:top w:val="none" w:sz="0" w:space="0" w:color="auto"/>
                <w:left w:val="none" w:sz="0" w:space="0" w:color="auto"/>
                <w:bottom w:val="none" w:sz="0" w:space="0" w:color="auto"/>
                <w:right w:val="none" w:sz="0" w:space="0" w:color="auto"/>
              </w:divBdr>
            </w:div>
            <w:div w:id="1113330895">
              <w:marLeft w:val="0"/>
              <w:marRight w:val="0"/>
              <w:marTop w:val="0"/>
              <w:marBottom w:val="0"/>
              <w:divBdr>
                <w:top w:val="none" w:sz="0" w:space="0" w:color="auto"/>
                <w:left w:val="none" w:sz="0" w:space="0" w:color="auto"/>
                <w:bottom w:val="none" w:sz="0" w:space="0" w:color="auto"/>
                <w:right w:val="none" w:sz="0" w:space="0" w:color="auto"/>
              </w:divBdr>
            </w:div>
          </w:divsChild>
        </w:div>
        <w:div w:id="1548026606">
          <w:marLeft w:val="0"/>
          <w:marRight w:val="0"/>
          <w:marTop w:val="0"/>
          <w:marBottom w:val="0"/>
          <w:divBdr>
            <w:top w:val="none" w:sz="0" w:space="0" w:color="auto"/>
            <w:left w:val="none" w:sz="0" w:space="0" w:color="auto"/>
            <w:bottom w:val="none" w:sz="0" w:space="0" w:color="auto"/>
            <w:right w:val="none" w:sz="0" w:space="0" w:color="auto"/>
          </w:divBdr>
          <w:divsChild>
            <w:div w:id="232784246">
              <w:marLeft w:val="0"/>
              <w:marRight w:val="0"/>
              <w:marTop w:val="0"/>
              <w:marBottom w:val="0"/>
              <w:divBdr>
                <w:top w:val="none" w:sz="0" w:space="0" w:color="auto"/>
                <w:left w:val="none" w:sz="0" w:space="0" w:color="auto"/>
                <w:bottom w:val="none" w:sz="0" w:space="0" w:color="auto"/>
                <w:right w:val="none" w:sz="0" w:space="0" w:color="auto"/>
              </w:divBdr>
            </w:div>
            <w:div w:id="2001301824">
              <w:marLeft w:val="0"/>
              <w:marRight w:val="0"/>
              <w:marTop w:val="0"/>
              <w:marBottom w:val="0"/>
              <w:divBdr>
                <w:top w:val="none" w:sz="0" w:space="0" w:color="auto"/>
                <w:left w:val="none" w:sz="0" w:space="0" w:color="auto"/>
                <w:bottom w:val="none" w:sz="0" w:space="0" w:color="auto"/>
                <w:right w:val="none" w:sz="0" w:space="0" w:color="auto"/>
              </w:divBdr>
            </w:div>
            <w:div w:id="2022123340">
              <w:marLeft w:val="0"/>
              <w:marRight w:val="0"/>
              <w:marTop w:val="0"/>
              <w:marBottom w:val="0"/>
              <w:divBdr>
                <w:top w:val="none" w:sz="0" w:space="0" w:color="auto"/>
                <w:left w:val="none" w:sz="0" w:space="0" w:color="auto"/>
                <w:bottom w:val="none" w:sz="0" w:space="0" w:color="auto"/>
                <w:right w:val="none" w:sz="0" w:space="0" w:color="auto"/>
              </w:divBdr>
            </w:div>
          </w:divsChild>
        </w:div>
        <w:div w:id="1555382971">
          <w:marLeft w:val="0"/>
          <w:marRight w:val="0"/>
          <w:marTop w:val="0"/>
          <w:marBottom w:val="0"/>
          <w:divBdr>
            <w:top w:val="none" w:sz="0" w:space="0" w:color="auto"/>
            <w:left w:val="none" w:sz="0" w:space="0" w:color="auto"/>
            <w:bottom w:val="none" w:sz="0" w:space="0" w:color="auto"/>
            <w:right w:val="none" w:sz="0" w:space="0" w:color="auto"/>
          </w:divBdr>
          <w:divsChild>
            <w:div w:id="363677453">
              <w:marLeft w:val="0"/>
              <w:marRight w:val="0"/>
              <w:marTop w:val="0"/>
              <w:marBottom w:val="0"/>
              <w:divBdr>
                <w:top w:val="none" w:sz="0" w:space="0" w:color="auto"/>
                <w:left w:val="none" w:sz="0" w:space="0" w:color="auto"/>
                <w:bottom w:val="none" w:sz="0" w:space="0" w:color="auto"/>
                <w:right w:val="none" w:sz="0" w:space="0" w:color="auto"/>
              </w:divBdr>
            </w:div>
            <w:div w:id="986939053">
              <w:marLeft w:val="0"/>
              <w:marRight w:val="0"/>
              <w:marTop w:val="0"/>
              <w:marBottom w:val="0"/>
              <w:divBdr>
                <w:top w:val="none" w:sz="0" w:space="0" w:color="auto"/>
                <w:left w:val="none" w:sz="0" w:space="0" w:color="auto"/>
                <w:bottom w:val="none" w:sz="0" w:space="0" w:color="auto"/>
                <w:right w:val="none" w:sz="0" w:space="0" w:color="auto"/>
              </w:divBdr>
            </w:div>
            <w:div w:id="1322078761">
              <w:marLeft w:val="0"/>
              <w:marRight w:val="0"/>
              <w:marTop w:val="0"/>
              <w:marBottom w:val="0"/>
              <w:divBdr>
                <w:top w:val="none" w:sz="0" w:space="0" w:color="auto"/>
                <w:left w:val="none" w:sz="0" w:space="0" w:color="auto"/>
                <w:bottom w:val="none" w:sz="0" w:space="0" w:color="auto"/>
                <w:right w:val="none" w:sz="0" w:space="0" w:color="auto"/>
              </w:divBdr>
            </w:div>
            <w:div w:id="2124642346">
              <w:marLeft w:val="0"/>
              <w:marRight w:val="0"/>
              <w:marTop w:val="0"/>
              <w:marBottom w:val="0"/>
              <w:divBdr>
                <w:top w:val="none" w:sz="0" w:space="0" w:color="auto"/>
                <w:left w:val="none" w:sz="0" w:space="0" w:color="auto"/>
                <w:bottom w:val="none" w:sz="0" w:space="0" w:color="auto"/>
                <w:right w:val="none" w:sz="0" w:space="0" w:color="auto"/>
              </w:divBdr>
            </w:div>
          </w:divsChild>
        </w:div>
        <w:div w:id="1556819282">
          <w:marLeft w:val="0"/>
          <w:marRight w:val="0"/>
          <w:marTop w:val="0"/>
          <w:marBottom w:val="0"/>
          <w:divBdr>
            <w:top w:val="none" w:sz="0" w:space="0" w:color="auto"/>
            <w:left w:val="none" w:sz="0" w:space="0" w:color="auto"/>
            <w:bottom w:val="none" w:sz="0" w:space="0" w:color="auto"/>
            <w:right w:val="none" w:sz="0" w:space="0" w:color="auto"/>
          </w:divBdr>
          <w:divsChild>
            <w:div w:id="1936134001">
              <w:marLeft w:val="0"/>
              <w:marRight w:val="0"/>
              <w:marTop w:val="0"/>
              <w:marBottom w:val="0"/>
              <w:divBdr>
                <w:top w:val="none" w:sz="0" w:space="0" w:color="auto"/>
                <w:left w:val="none" w:sz="0" w:space="0" w:color="auto"/>
                <w:bottom w:val="none" w:sz="0" w:space="0" w:color="auto"/>
                <w:right w:val="none" w:sz="0" w:space="0" w:color="auto"/>
              </w:divBdr>
            </w:div>
          </w:divsChild>
        </w:div>
        <w:div w:id="1787309610">
          <w:marLeft w:val="0"/>
          <w:marRight w:val="0"/>
          <w:marTop w:val="0"/>
          <w:marBottom w:val="0"/>
          <w:divBdr>
            <w:top w:val="none" w:sz="0" w:space="0" w:color="auto"/>
            <w:left w:val="none" w:sz="0" w:space="0" w:color="auto"/>
            <w:bottom w:val="none" w:sz="0" w:space="0" w:color="auto"/>
            <w:right w:val="none" w:sz="0" w:space="0" w:color="auto"/>
          </w:divBdr>
          <w:divsChild>
            <w:div w:id="664549773">
              <w:marLeft w:val="0"/>
              <w:marRight w:val="0"/>
              <w:marTop w:val="0"/>
              <w:marBottom w:val="0"/>
              <w:divBdr>
                <w:top w:val="none" w:sz="0" w:space="0" w:color="auto"/>
                <w:left w:val="none" w:sz="0" w:space="0" w:color="auto"/>
                <w:bottom w:val="none" w:sz="0" w:space="0" w:color="auto"/>
                <w:right w:val="none" w:sz="0" w:space="0" w:color="auto"/>
              </w:divBdr>
            </w:div>
          </w:divsChild>
        </w:div>
        <w:div w:id="1835677593">
          <w:marLeft w:val="0"/>
          <w:marRight w:val="0"/>
          <w:marTop w:val="0"/>
          <w:marBottom w:val="0"/>
          <w:divBdr>
            <w:top w:val="none" w:sz="0" w:space="0" w:color="auto"/>
            <w:left w:val="none" w:sz="0" w:space="0" w:color="auto"/>
            <w:bottom w:val="none" w:sz="0" w:space="0" w:color="auto"/>
            <w:right w:val="none" w:sz="0" w:space="0" w:color="auto"/>
          </w:divBdr>
          <w:divsChild>
            <w:div w:id="1606107784">
              <w:marLeft w:val="0"/>
              <w:marRight w:val="0"/>
              <w:marTop w:val="0"/>
              <w:marBottom w:val="0"/>
              <w:divBdr>
                <w:top w:val="none" w:sz="0" w:space="0" w:color="auto"/>
                <w:left w:val="none" w:sz="0" w:space="0" w:color="auto"/>
                <w:bottom w:val="none" w:sz="0" w:space="0" w:color="auto"/>
                <w:right w:val="none" w:sz="0" w:space="0" w:color="auto"/>
              </w:divBdr>
            </w:div>
            <w:div w:id="2123570484">
              <w:marLeft w:val="0"/>
              <w:marRight w:val="0"/>
              <w:marTop w:val="0"/>
              <w:marBottom w:val="0"/>
              <w:divBdr>
                <w:top w:val="none" w:sz="0" w:space="0" w:color="auto"/>
                <w:left w:val="none" w:sz="0" w:space="0" w:color="auto"/>
                <w:bottom w:val="none" w:sz="0" w:space="0" w:color="auto"/>
                <w:right w:val="none" w:sz="0" w:space="0" w:color="auto"/>
              </w:divBdr>
            </w:div>
          </w:divsChild>
        </w:div>
        <w:div w:id="1918203298">
          <w:marLeft w:val="0"/>
          <w:marRight w:val="0"/>
          <w:marTop w:val="0"/>
          <w:marBottom w:val="0"/>
          <w:divBdr>
            <w:top w:val="none" w:sz="0" w:space="0" w:color="auto"/>
            <w:left w:val="none" w:sz="0" w:space="0" w:color="auto"/>
            <w:bottom w:val="none" w:sz="0" w:space="0" w:color="auto"/>
            <w:right w:val="none" w:sz="0" w:space="0" w:color="auto"/>
          </w:divBdr>
          <w:divsChild>
            <w:div w:id="86972797">
              <w:marLeft w:val="0"/>
              <w:marRight w:val="0"/>
              <w:marTop w:val="0"/>
              <w:marBottom w:val="0"/>
              <w:divBdr>
                <w:top w:val="none" w:sz="0" w:space="0" w:color="auto"/>
                <w:left w:val="none" w:sz="0" w:space="0" w:color="auto"/>
                <w:bottom w:val="none" w:sz="0" w:space="0" w:color="auto"/>
                <w:right w:val="none" w:sz="0" w:space="0" w:color="auto"/>
              </w:divBdr>
            </w:div>
            <w:div w:id="703212246">
              <w:marLeft w:val="0"/>
              <w:marRight w:val="0"/>
              <w:marTop w:val="0"/>
              <w:marBottom w:val="0"/>
              <w:divBdr>
                <w:top w:val="none" w:sz="0" w:space="0" w:color="auto"/>
                <w:left w:val="none" w:sz="0" w:space="0" w:color="auto"/>
                <w:bottom w:val="none" w:sz="0" w:space="0" w:color="auto"/>
                <w:right w:val="none" w:sz="0" w:space="0" w:color="auto"/>
              </w:divBdr>
            </w:div>
            <w:div w:id="1147628060">
              <w:marLeft w:val="0"/>
              <w:marRight w:val="0"/>
              <w:marTop w:val="0"/>
              <w:marBottom w:val="0"/>
              <w:divBdr>
                <w:top w:val="none" w:sz="0" w:space="0" w:color="auto"/>
                <w:left w:val="none" w:sz="0" w:space="0" w:color="auto"/>
                <w:bottom w:val="none" w:sz="0" w:space="0" w:color="auto"/>
                <w:right w:val="none" w:sz="0" w:space="0" w:color="auto"/>
              </w:divBdr>
            </w:div>
            <w:div w:id="1253394111">
              <w:marLeft w:val="0"/>
              <w:marRight w:val="0"/>
              <w:marTop w:val="0"/>
              <w:marBottom w:val="0"/>
              <w:divBdr>
                <w:top w:val="none" w:sz="0" w:space="0" w:color="auto"/>
                <w:left w:val="none" w:sz="0" w:space="0" w:color="auto"/>
                <w:bottom w:val="none" w:sz="0" w:space="0" w:color="auto"/>
                <w:right w:val="none" w:sz="0" w:space="0" w:color="auto"/>
              </w:divBdr>
            </w:div>
          </w:divsChild>
        </w:div>
        <w:div w:id="1950232643">
          <w:marLeft w:val="0"/>
          <w:marRight w:val="0"/>
          <w:marTop w:val="0"/>
          <w:marBottom w:val="0"/>
          <w:divBdr>
            <w:top w:val="none" w:sz="0" w:space="0" w:color="auto"/>
            <w:left w:val="none" w:sz="0" w:space="0" w:color="auto"/>
            <w:bottom w:val="none" w:sz="0" w:space="0" w:color="auto"/>
            <w:right w:val="none" w:sz="0" w:space="0" w:color="auto"/>
          </w:divBdr>
          <w:divsChild>
            <w:div w:id="1425225627">
              <w:marLeft w:val="0"/>
              <w:marRight w:val="0"/>
              <w:marTop w:val="0"/>
              <w:marBottom w:val="0"/>
              <w:divBdr>
                <w:top w:val="none" w:sz="0" w:space="0" w:color="auto"/>
                <w:left w:val="none" w:sz="0" w:space="0" w:color="auto"/>
                <w:bottom w:val="none" w:sz="0" w:space="0" w:color="auto"/>
                <w:right w:val="none" w:sz="0" w:space="0" w:color="auto"/>
              </w:divBdr>
            </w:div>
            <w:div w:id="1588225307">
              <w:marLeft w:val="0"/>
              <w:marRight w:val="0"/>
              <w:marTop w:val="0"/>
              <w:marBottom w:val="0"/>
              <w:divBdr>
                <w:top w:val="none" w:sz="0" w:space="0" w:color="auto"/>
                <w:left w:val="none" w:sz="0" w:space="0" w:color="auto"/>
                <w:bottom w:val="none" w:sz="0" w:space="0" w:color="auto"/>
                <w:right w:val="none" w:sz="0" w:space="0" w:color="auto"/>
              </w:divBdr>
            </w:div>
          </w:divsChild>
        </w:div>
        <w:div w:id="1961647314">
          <w:marLeft w:val="0"/>
          <w:marRight w:val="0"/>
          <w:marTop w:val="0"/>
          <w:marBottom w:val="0"/>
          <w:divBdr>
            <w:top w:val="none" w:sz="0" w:space="0" w:color="auto"/>
            <w:left w:val="none" w:sz="0" w:space="0" w:color="auto"/>
            <w:bottom w:val="none" w:sz="0" w:space="0" w:color="auto"/>
            <w:right w:val="none" w:sz="0" w:space="0" w:color="auto"/>
          </w:divBdr>
          <w:divsChild>
            <w:div w:id="612323279">
              <w:marLeft w:val="0"/>
              <w:marRight w:val="0"/>
              <w:marTop w:val="0"/>
              <w:marBottom w:val="0"/>
              <w:divBdr>
                <w:top w:val="none" w:sz="0" w:space="0" w:color="auto"/>
                <w:left w:val="none" w:sz="0" w:space="0" w:color="auto"/>
                <w:bottom w:val="none" w:sz="0" w:space="0" w:color="auto"/>
                <w:right w:val="none" w:sz="0" w:space="0" w:color="auto"/>
              </w:divBdr>
            </w:div>
            <w:div w:id="812916439">
              <w:marLeft w:val="0"/>
              <w:marRight w:val="0"/>
              <w:marTop w:val="0"/>
              <w:marBottom w:val="0"/>
              <w:divBdr>
                <w:top w:val="none" w:sz="0" w:space="0" w:color="auto"/>
                <w:left w:val="none" w:sz="0" w:space="0" w:color="auto"/>
                <w:bottom w:val="none" w:sz="0" w:space="0" w:color="auto"/>
                <w:right w:val="none" w:sz="0" w:space="0" w:color="auto"/>
              </w:divBdr>
            </w:div>
            <w:div w:id="1666283136">
              <w:marLeft w:val="0"/>
              <w:marRight w:val="0"/>
              <w:marTop w:val="0"/>
              <w:marBottom w:val="0"/>
              <w:divBdr>
                <w:top w:val="none" w:sz="0" w:space="0" w:color="auto"/>
                <w:left w:val="none" w:sz="0" w:space="0" w:color="auto"/>
                <w:bottom w:val="none" w:sz="0" w:space="0" w:color="auto"/>
                <w:right w:val="none" w:sz="0" w:space="0" w:color="auto"/>
              </w:divBdr>
            </w:div>
            <w:div w:id="16665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51972">
      <w:bodyDiv w:val="1"/>
      <w:marLeft w:val="0"/>
      <w:marRight w:val="0"/>
      <w:marTop w:val="0"/>
      <w:marBottom w:val="0"/>
      <w:divBdr>
        <w:top w:val="none" w:sz="0" w:space="0" w:color="auto"/>
        <w:left w:val="none" w:sz="0" w:space="0" w:color="auto"/>
        <w:bottom w:val="none" w:sz="0" w:space="0" w:color="auto"/>
        <w:right w:val="none" w:sz="0" w:space="0" w:color="auto"/>
      </w:divBdr>
    </w:div>
    <w:div w:id="1073888497">
      <w:bodyDiv w:val="1"/>
      <w:marLeft w:val="0"/>
      <w:marRight w:val="0"/>
      <w:marTop w:val="0"/>
      <w:marBottom w:val="0"/>
      <w:divBdr>
        <w:top w:val="none" w:sz="0" w:space="0" w:color="auto"/>
        <w:left w:val="none" w:sz="0" w:space="0" w:color="auto"/>
        <w:bottom w:val="none" w:sz="0" w:space="0" w:color="auto"/>
        <w:right w:val="none" w:sz="0" w:space="0" w:color="auto"/>
      </w:divBdr>
    </w:div>
    <w:div w:id="1076976844">
      <w:bodyDiv w:val="1"/>
      <w:marLeft w:val="0"/>
      <w:marRight w:val="0"/>
      <w:marTop w:val="0"/>
      <w:marBottom w:val="0"/>
      <w:divBdr>
        <w:top w:val="none" w:sz="0" w:space="0" w:color="auto"/>
        <w:left w:val="none" w:sz="0" w:space="0" w:color="auto"/>
        <w:bottom w:val="none" w:sz="0" w:space="0" w:color="auto"/>
        <w:right w:val="none" w:sz="0" w:space="0" w:color="auto"/>
      </w:divBdr>
    </w:div>
    <w:div w:id="1077166555">
      <w:bodyDiv w:val="1"/>
      <w:marLeft w:val="0"/>
      <w:marRight w:val="0"/>
      <w:marTop w:val="0"/>
      <w:marBottom w:val="0"/>
      <w:divBdr>
        <w:top w:val="none" w:sz="0" w:space="0" w:color="auto"/>
        <w:left w:val="none" w:sz="0" w:space="0" w:color="auto"/>
        <w:bottom w:val="none" w:sz="0" w:space="0" w:color="auto"/>
        <w:right w:val="none" w:sz="0" w:space="0" w:color="auto"/>
      </w:divBdr>
      <w:divsChild>
        <w:div w:id="55133083">
          <w:marLeft w:val="0"/>
          <w:marRight w:val="0"/>
          <w:marTop w:val="0"/>
          <w:marBottom w:val="0"/>
          <w:divBdr>
            <w:top w:val="none" w:sz="0" w:space="0" w:color="auto"/>
            <w:left w:val="none" w:sz="0" w:space="0" w:color="auto"/>
            <w:bottom w:val="none" w:sz="0" w:space="0" w:color="auto"/>
            <w:right w:val="none" w:sz="0" w:space="0" w:color="auto"/>
          </w:divBdr>
        </w:div>
        <w:div w:id="72554363">
          <w:marLeft w:val="0"/>
          <w:marRight w:val="0"/>
          <w:marTop w:val="0"/>
          <w:marBottom w:val="0"/>
          <w:divBdr>
            <w:top w:val="none" w:sz="0" w:space="0" w:color="auto"/>
            <w:left w:val="none" w:sz="0" w:space="0" w:color="auto"/>
            <w:bottom w:val="none" w:sz="0" w:space="0" w:color="auto"/>
            <w:right w:val="none" w:sz="0" w:space="0" w:color="auto"/>
          </w:divBdr>
        </w:div>
        <w:div w:id="107505091">
          <w:marLeft w:val="0"/>
          <w:marRight w:val="0"/>
          <w:marTop w:val="0"/>
          <w:marBottom w:val="0"/>
          <w:divBdr>
            <w:top w:val="none" w:sz="0" w:space="0" w:color="auto"/>
            <w:left w:val="none" w:sz="0" w:space="0" w:color="auto"/>
            <w:bottom w:val="none" w:sz="0" w:space="0" w:color="auto"/>
            <w:right w:val="none" w:sz="0" w:space="0" w:color="auto"/>
          </w:divBdr>
        </w:div>
        <w:div w:id="123891927">
          <w:marLeft w:val="0"/>
          <w:marRight w:val="0"/>
          <w:marTop w:val="0"/>
          <w:marBottom w:val="0"/>
          <w:divBdr>
            <w:top w:val="none" w:sz="0" w:space="0" w:color="auto"/>
            <w:left w:val="none" w:sz="0" w:space="0" w:color="auto"/>
            <w:bottom w:val="none" w:sz="0" w:space="0" w:color="auto"/>
            <w:right w:val="none" w:sz="0" w:space="0" w:color="auto"/>
          </w:divBdr>
        </w:div>
        <w:div w:id="385685929">
          <w:marLeft w:val="0"/>
          <w:marRight w:val="0"/>
          <w:marTop w:val="0"/>
          <w:marBottom w:val="0"/>
          <w:divBdr>
            <w:top w:val="none" w:sz="0" w:space="0" w:color="auto"/>
            <w:left w:val="none" w:sz="0" w:space="0" w:color="auto"/>
            <w:bottom w:val="none" w:sz="0" w:space="0" w:color="auto"/>
            <w:right w:val="none" w:sz="0" w:space="0" w:color="auto"/>
          </w:divBdr>
        </w:div>
        <w:div w:id="428812837">
          <w:marLeft w:val="0"/>
          <w:marRight w:val="0"/>
          <w:marTop w:val="0"/>
          <w:marBottom w:val="0"/>
          <w:divBdr>
            <w:top w:val="none" w:sz="0" w:space="0" w:color="auto"/>
            <w:left w:val="none" w:sz="0" w:space="0" w:color="auto"/>
            <w:bottom w:val="none" w:sz="0" w:space="0" w:color="auto"/>
            <w:right w:val="none" w:sz="0" w:space="0" w:color="auto"/>
          </w:divBdr>
        </w:div>
        <w:div w:id="446892612">
          <w:marLeft w:val="0"/>
          <w:marRight w:val="0"/>
          <w:marTop w:val="0"/>
          <w:marBottom w:val="0"/>
          <w:divBdr>
            <w:top w:val="none" w:sz="0" w:space="0" w:color="auto"/>
            <w:left w:val="none" w:sz="0" w:space="0" w:color="auto"/>
            <w:bottom w:val="none" w:sz="0" w:space="0" w:color="auto"/>
            <w:right w:val="none" w:sz="0" w:space="0" w:color="auto"/>
          </w:divBdr>
        </w:div>
        <w:div w:id="598412904">
          <w:marLeft w:val="0"/>
          <w:marRight w:val="0"/>
          <w:marTop w:val="0"/>
          <w:marBottom w:val="0"/>
          <w:divBdr>
            <w:top w:val="none" w:sz="0" w:space="0" w:color="auto"/>
            <w:left w:val="none" w:sz="0" w:space="0" w:color="auto"/>
            <w:bottom w:val="none" w:sz="0" w:space="0" w:color="auto"/>
            <w:right w:val="none" w:sz="0" w:space="0" w:color="auto"/>
          </w:divBdr>
        </w:div>
        <w:div w:id="726032977">
          <w:marLeft w:val="0"/>
          <w:marRight w:val="0"/>
          <w:marTop w:val="0"/>
          <w:marBottom w:val="0"/>
          <w:divBdr>
            <w:top w:val="none" w:sz="0" w:space="0" w:color="auto"/>
            <w:left w:val="none" w:sz="0" w:space="0" w:color="auto"/>
            <w:bottom w:val="none" w:sz="0" w:space="0" w:color="auto"/>
            <w:right w:val="none" w:sz="0" w:space="0" w:color="auto"/>
          </w:divBdr>
        </w:div>
        <w:div w:id="955452731">
          <w:marLeft w:val="0"/>
          <w:marRight w:val="0"/>
          <w:marTop w:val="0"/>
          <w:marBottom w:val="0"/>
          <w:divBdr>
            <w:top w:val="none" w:sz="0" w:space="0" w:color="auto"/>
            <w:left w:val="none" w:sz="0" w:space="0" w:color="auto"/>
            <w:bottom w:val="none" w:sz="0" w:space="0" w:color="auto"/>
            <w:right w:val="none" w:sz="0" w:space="0" w:color="auto"/>
          </w:divBdr>
        </w:div>
        <w:div w:id="1115246450">
          <w:marLeft w:val="0"/>
          <w:marRight w:val="0"/>
          <w:marTop w:val="0"/>
          <w:marBottom w:val="0"/>
          <w:divBdr>
            <w:top w:val="none" w:sz="0" w:space="0" w:color="auto"/>
            <w:left w:val="none" w:sz="0" w:space="0" w:color="auto"/>
            <w:bottom w:val="none" w:sz="0" w:space="0" w:color="auto"/>
            <w:right w:val="none" w:sz="0" w:space="0" w:color="auto"/>
          </w:divBdr>
        </w:div>
        <w:div w:id="1217428385">
          <w:marLeft w:val="0"/>
          <w:marRight w:val="0"/>
          <w:marTop w:val="0"/>
          <w:marBottom w:val="0"/>
          <w:divBdr>
            <w:top w:val="none" w:sz="0" w:space="0" w:color="auto"/>
            <w:left w:val="none" w:sz="0" w:space="0" w:color="auto"/>
            <w:bottom w:val="none" w:sz="0" w:space="0" w:color="auto"/>
            <w:right w:val="none" w:sz="0" w:space="0" w:color="auto"/>
          </w:divBdr>
        </w:div>
        <w:div w:id="1218737364">
          <w:marLeft w:val="0"/>
          <w:marRight w:val="0"/>
          <w:marTop w:val="0"/>
          <w:marBottom w:val="0"/>
          <w:divBdr>
            <w:top w:val="none" w:sz="0" w:space="0" w:color="auto"/>
            <w:left w:val="none" w:sz="0" w:space="0" w:color="auto"/>
            <w:bottom w:val="none" w:sz="0" w:space="0" w:color="auto"/>
            <w:right w:val="none" w:sz="0" w:space="0" w:color="auto"/>
          </w:divBdr>
        </w:div>
        <w:div w:id="1279528168">
          <w:marLeft w:val="0"/>
          <w:marRight w:val="0"/>
          <w:marTop w:val="0"/>
          <w:marBottom w:val="0"/>
          <w:divBdr>
            <w:top w:val="none" w:sz="0" w:space="0" w:color="auto"/>
            <w:left w:val="none" w:sz="0" w:space="0" w:color="auto"/>
            <w:bottom w:val="none" w:sz="0" w:space="0" w:color="auto"/>
            <w:right w:val="none" w:sz="0" w:space="0" w:color="auto"/>
          </w:divBdr>
        </w:div>
        <w:div w:id="1528374856">
          <w:marLeft w:val="0"/>
          <w:marRight w:val="0"/>
          <w:marTop w:val="0"/>
          <w:marBottom w:val="0"/>
          <w:divBdr>
            <w:top w:val="none" w:sz="0" w:space="0" w:color="auto"/>
            <w:left w:val="none" w:sz="0" w:space="0" w:color="auto"/>
            <w:bottom w:val="none" w:sz="0" w:space="0" w:color="auto"/>
            <w:right w:val="none" w:sz="0" w:space="0" w:color="auto"/>
          </w:divBdr>
        </w:div>
        <w:div w:id="1737388319">
          <w:marLeft w:val="0"/>
          <w:marRight w:val="0"/>
          <w:marTop w:val="0"/>
          <w:marBottom w:val="0"/>
          <w:divBdr>
            <w:top w:val="none" w:sz="0" w:space="0" w:color="auto"/>
            <w:left w:val="none" w:sz="0" w:space="0" w:color="auto"/>
            <w:bottom w:val="none" w:sz="0" w:space="0" w:color="auto"/>
            <w:right w:val="none" w:sz="0" w:space="0" w:color="auto"/>
          </w:divBdr>
        </w:div>
        <w:div w:id="1772242321">
          <w:marLeft w:val="0"/>
          <w:marRight w:val="0"/>
          <w:marTop w:val="0"/>
          <w:marBottom w:val="0"/>
          <w:divBdr>
            <w:top w:val="none" w:sz="0" w:space="0" w:color="auto"/>
            <w:left w:val="none" w:sz="0" w:space="0" w:color="auto"/>
            <w:bottom w:val="none" w:sz="0" w:space="0" w:color="auto"/>
            <w:right w:val="none" w:sz="0" w:space="0" w:color="auto"/>
          </w:divBdr>
        </w:div>
      </w:divsChild>
    </w:div>
    <w:div w:id="1113479057">
      <w:bodyDiv w:val="1"/>
      <w:marLeft w:val="0"/>
      <w:marRight w:val="0"/>
      <w:marTop w:val="0"/>
      <w:marBottom w:val="0"/>
      <w:divBdr>
        <w:top w:val="none" w:sz="0" w:space="0" w:color="auto"/>
        <w:left w:val="none" w:sz="0" w:space="0" w:color="auto"/>
        <w:bottom w:val="none" w:sz="0" w:space="0" w:color="auto"/>
        <w:right w:val="none" w:sz="0" w:space="0" w:color="auto"/>
      </w:divBdr>
    </w:div>
    <w:div w:id="1140801027">
      <w:bodyDiv w:val="1"/>
      <w:marLeft w:val="0"/>
      <w:marRight w:val="0"/>
      <w:marTop w:val="0"/>
      <w:marBottom w:val="0"/>
      <w:divBdr>
        <w:top w:val="none" w:sz="0" w:space="0" w:color="auto"/>
        <w:left w:val="none" w:sz="0" w:space="0" w:color="auto"/>
        <w:bottom w:val="none" w:sz="0" w:space="0" w:color="auto"/>
        <w:right w:val="none" w:sz="0" w:space="0" w:color="auto"/>
      </w:divBdr>
    </w:div>
    <w:div w:id="1142573548">
      <w:bodyDiv w:val="1"/>
      <w:marLeft w:val="0"/>
      <w:marRight w:val="0"/>
      <w:marTop w:val="0"/>
      <w:marBottom w:val="0"/>
      <w:divBdr>
        <w:top w:val="none" w:sz="0" w:space="0" w:color="auto"/>
        <w:left w:val="none" w:sz="0" w:space="0" w:color="auto"/>
        <w:bottom w:val="none" w:sz="0" w:space="0" w:color="auto"/>
        <w:right w:val="none" w:sz="0" w:space="0" w:color="auto"/>
      </w:divBdr>
      <w:divsChild>
        <w:div w:id="123546550">
          <w:marLeft w:val="1080"/>
          <w:marRight w:val="0"/>
          <w:marTop w:val="0"/>
          <w:marBottom w:val="0"/>
          <w:divBdr>
            <w:top w:val="none" w:sz="0" w:space="0" w:color="auto"/>
            <w:left w:val="none" w:sz="0" w:space="0" w:color="auto"/>
            <w:bottom w:val="none" w:sz="0" w:space="0" w:color="auto"/>
            <w:right w:val="none" w:sz="0" w:space="0" w:color="auto"/>
          </w:divBdr>
        </w:div>
        <w:div w:id="160584778">
          <w:marLeft w:val="360"/>
          <w:marRight w:val="0"/>
          <w:marTop w:val="0"/>
          <w:marBottom w:val="0"/>
          <w:divBdr>
            <w:top w:val="none" w:sz="0" w:space="0" w:color="auto"/>
            <w:left w:val="none" w:sz="0" w:space="0" w:color="auto"/>
            <w:bottom w:val="none" w:sz="0" w:space="0" w:color="auto"/>
            <w:right w:val="none" w:sz="0" w:space="0" w:color="auto"/>
          </w:divBdr>
        </w:div>
        <w:div w:id="247547186">
          <w:marLeft w:val="360"/>
          <w:marRight w:val="0"/>
          <w:marTop w:val="0"/>
          <w:marBottom w:val="0"/>
          <w:divBdr>
            <w:top w:val="none" w:sz="0" w:space="0" w:color="auto"/>
            <w:left w:val="none" w:sz="0" w:space="0" w:color="auto"/>
            <w:bottom w:val="none" w:sz="0" w:space="0" w:color="auto"/>
            <w:right w:val="none" w:sz="0" w:space="0" w:color="auto"/>
          </w:divBdr>
        </w:div>
        <w:div w:id="303387423">
          <w:marLeft w:val="360"/>
          <w:marRight w:val="0"/>
          <w:marTop w:val="0"/>
          <w:marBottom w:val="0"/>
          <w:divBdr>
            <w:top w:val="none" w:sz="0" w:space="0" w:color="auto"/>
            <w:left w:val="none" w:sz="0" w:space="0" w:color="auto"/>
            <w:bottom w:val="none" w:sz="0" w:space="0" w:color="auto"/>
            <w:right w:val="none" w:sz="0" w:space="0" w:color="auto"/>
          </w:divBdr>
        </w:div>
        <w:div w:id="441074433">
          <w:marLeft w:val="1080"/>
          <w:marRight w:val="0"/>
          <w:marTop w:val="0"/>
          <w:marBottom w:val="0"/>
          <w:divBdr>
            <w:top w:val="none" w:sz="0" w:space="0" w:color="auto"/>
            <w:left w:val="none" w:sz="0" w:space="0" w:color="auto"/>
            <w:bottom w:val="none" w:sz="0" w:space="0" w:color="auto"/>
            <w:right w:val="none" w:sz="0" w:space="0" w:color="auto"/>
          </w:divBdr>
        </w:div>
        <w:div w:id="493645925">
          <w:marLeft w:val="360"/>
          <w:marRight w:val="0"/>
          <w:marTop w:val="0"/>
          <w:marBottom w:val="0"/>
          <w:divBdr>
            <w:top w:val="none" w:sz="0" w:space="0" w:color="auto"/>
            <w:left w:val="none" w:sz="0" w:space="0" w:color="auto"/>
            <w:bottom w:val="none" w:sz="0" w:space="0" w:color="auto"/>
            <w:right w:val="none" w:sz="0" w:space="0" w:color="auto"/>
          </w:divBdr>
        </w:div>
        <w:div w:id="605160167">
          <w:marLeft w:val="1080"/>
          <w:marRight w:val="0"/>
          <w:marTop w:val="0"/>
          <w:marBottom w:val="0"/>
          <w:divBdr>
            <w:top w:val="none" w:sz="0" w:space="0" w:color="auto"/>
            <w:left w:val="none" w:sz="0" w:space="0" w:color="auto"/>
            <w:bottom w:val="none" w:sz="0" w:space="0" w:color="auto"/>
            <w:right w:val="none" w:sz="0" w:space="0" w:color="auto"/>
          </w:divBdr>
        </w:div>
        <w:div w:id="751706413">
          <w:marLeft w:val="360"/>
          <w:marRight w:val="0"/>
          <w:marTop w:val="0"/>
          <w:marBottom w:val="0"/>
          <w:divBdr>
            <w:top w:val="none" w:sz="0" w:space="0" w:color="auto"/>
            <w:left w:val="none" w:sz="0" w:space="0" w:color="auto"/>
            <w:bottom w:val="none" w:sz="0" w:space="0" w:color="auto"/>
            <w:right w:val="none" w:sz="0" w:space="0" w:color="auto"/>
          </w:divBdr>
        </w:div>
        <w:div w:id="937369335">
          <w:marLeft w:val="360"/>
          <w:marRight w:val="0"/>
          <w:marTop w:val="0"/>
          <w:marBottom w:val="0"/>
          <w:divBdr>
            <w:top w:val="none" w:sz="0" w:space="0" w:color="auto"/>
            <w:left w:val="none" w:sz="0" w:space="0" w:color="auto"/>
            <w:bottom w:val="none" w:sz="0" w:space="0" w:color="auto"/>
            <w:right w:val="none" w:sz="0" w:space="0" w:color="auto"/>
          </w:divBdr>
        </w:div>
        <w:div w:id="1327169858">
          <w:marLeft w:val="1080"/>
          <w:marRight w:val="0"/>
          <w:marTop w:val="0"/>
          <w:marBottom w:val="0"/>
          <w:divBdr>
            <w:top w:val="none" w:sz="0" w:space="0" w:color="auto"/>
            <w:left w:val="none" w:sz="0" w:space="0" w:color="auto"/>
            <w:bottom w:val="none" w:sz="0" w:space="0" w:color="auto"/>
            <w:right w:val="none" w:sz="0" w:space="0" w:color="auto"/>
          </w:divBdr>
        </w:div>
        <w:div w:id="1494298413">
          <w:marLeft w:val="360"/>
          <w:marRight w:val="0"/>
          <w:marTop w:val="0"/>
          <w:marBottom w:val="0"/>
          <w:divBdr>
            <w:top w:val="none" w:sz="0" w:space="0" w:color="auto"/>
            <w:left w:val="none" w:sz="0" w:space="0" w:color="auto"/>
            <w:bottom w:val="none" w:sz="0" w:space="0" w:color="auto"/>
            <w:right w:val="none" w:sz="0" w:space="0" w:color="auto"/>
          </w:divBdr>
        </w:div>
        <w:div w:id="1596864903">
          <w:marLeft w:val="1080"/>
          <w:marRight w:val="0"/>
          <w:marTop w:val="0"/>
          <w:marBottom w:val="0"/>
          <w:divBdr>
            <w:top w:val="none" w:sz="0" w:space="0" w:color="auto"/>
            <w:left w:val="none" w:sz="0" w:space="0" w:color="auto"/>
            <w:bottom w:val="none" w:sz="0" w:space="0" w:color="auto"/>
            <w:right w:val="none" w:sz="0" w:space="0" w:color="auto"/>
          </w:divBdr>
        </w:div>
        <w:div w:id="1655405115">
          <w:marLeft w:val="360"/>
          <w:marRight w:val="0"/>
          <w:marTop w:val="0"/>
          <w:marBottom w:val="0"/>
          <w:divBdr>
            <w:top w:val="none" w:sz="0" w:space="0" w:color="auto"/>
            <w:left w:val="none" w:sz="0" w:space="0" w:color="auto"/>
            <w:bottom w:val="none" w:sz="0" w:space="0" w:color="auto"/>
            <w:right w:val="none" w:sz="0" w:space="0" w:color="auto"/>
          </w:divBdr>
        </w:div>
        <w:div w:id="1824662705">
          <w:marLeft w:val="1080"/>
          <w:marRight w:val="0"/>
          <w:marTop w:val="0"/>
          <w:marBottom w:val="0"/>
          <w:divBdr>
            <w:top w:val="none" w:sz="0" w:space="0" w:color="auto"/>
            <w:left w:val="none" w:sz="0" w:space="0" w:color="auto"/>
            <w:bottom w:val="none" w:sz="0" w:space="0" w:color="auto"/>
            <w:right w:val="none" w:sz="0" w:space="0" w:color="auto"/>
          </w:divBdr>
        </w:div>
        <w:div w:id="1901400153">
          <w:marLeft w:val="360"/>
          <w:marRight w:val="0"/>
          <w:marTop w:val="0"/>
          <w:marBottom w:val="0"/>
          <w:divBdr>
            <w:top w:val="none" w:sz="0" w:space="0" w:color="auto"/>
            <w:left w:val="none" w:sz="0" w:space="0" w:color="auto"/>
            <w:bottom w:val="none" w:sz="0" w:space="0" w:color="auto"/>
            <w:right w:val="none" w:sz="0" w:space="0" w:color="auto"/>
          </w:divBdr>
        </w:div>
      </w:divsChild>
    </w:div>
    <w:div w:id="1143624535">
      <w:bodyDiv w:val="1"/>
      <w:marLeft w:val="0"/>
      <w:marRight w:val="0"/>
      <w:marTop w:val="0"/>
      <w:marBottom w:val="0"/>
      <w:divBdr>
        <w:top w:val="none" w:sz="0" w:space="0" w:color="auto"/>
        <w:left w:val="none" w:sz="0" w:space="0" w:color="auto"/>
        <w:bottom w:val="none" w:sz="0" w:space="0" w:color="auto"/>
        <w:right w:val="none" w:sz="0" w:space="0" w:color="auto"/>
      </w:divBdr>
      <w:divsChild>
        <w:div w:id="87360609">
          <w:marLeft w:val="0"/>
          <w:marRight w:val="0"/>
          <w:marTop w:val="0"/>
          <w:marBottom w:val="0"/>
          <w:divBdr>
            <w:top w:val="none" w:sz="0" w:space="0" w:color="auto"/>
            <w:left w:val="none" w:sz="0" w:space="0" w:color="auto"/>
            <w:bottom w:val="none" w:sz="0" w:space="0" w:color="auto"/>
            <w:right w:val="none" w:sz="0" w:space="0" w:color="auto"/>
          </w:divBdr>
        </w:div>
        <w:div w:id="447043459">
          <w:marLeft w:val="0"/>
          <w:marRight w:val="0"/>
          <w:marTop w:val="0"/>
          <w:marBottom w:val="0"/>
          <w:divBdr>
            <w:top w:val="none" w:sz="0" w:space="0" w:color="auto"/>
            <w:left w:val="none" w:sz="0" w:space="0" w:color="auto"/>
            <w:bottom w:val="none" w:sz="0" w:space="0" w:color="auto"/>
            <w:right w:val="none" w:sz="0" w:space="0" w:color="auto"/>
          </w:divBdr>
        </w:div>
        <w:div w:id="1652951194">
          <w:marLeft w:val="0"/>
          <w:marRight w:val="0"/>
          <w:marTop w:val="0"/>
          <w:marBottom w:val="0"/>
          <w:divBdr>
            <w:top w:val="none" w:sz="0" w:space="0" w:color="auto"/>
            <w:left w:val="none" w:sz="0" w:space="0" w:color="auto"/>
            <w:bottom w:val="none" w:sz="0" w:space="0" w:color="auto"/>
            <w:right w:val="none" w:sz="0" w:space="0" w:color="auto"/>
          </w:divBdr>
        </w:div>
        <w:div w:id="2016029557">
          <w:marLeft w:val="0"/>
          <w:marRight w:val="0"/>
          <w:marTop w:val="0"/>
          <w:marBottom w:val="0"/>
          <w:divBdr>
            <w:top w:val="none" w:sz="0" w:space="0" w:color="auto"/>
            <w:left w:val="none" w:sz="0" w:space="0" w:color="auto"/>
            <w:bottom w:val="none" w:sz="0" w:space="0" w:color="auto"/>
            <w:right w:val="none" w:sz="0" w:space="0" w:color="auto"/>
          </w:divBdr>
        </w:div>
      </w:divsChild>
    </w:div>
    <w:div w:id="1146163813">
      <w:bodyDiv w:val="1"/>
      <w:marLeft w:val="0"/>
      <w:marRight w:val="0"/>
      <w:marTop w:val="0"/>
      <w:marBottom w:val="0"/>
      <w:divBdr>
        <w:top w:val="none" w:sz="0" w:space="0" w:color="auto"/>
        <w:left w:val="none" w:sz="0" w:space="0" w:color="auto"/>
        <w:bottom w:val="none" w:sz="0" w:space="0" w:color="auto"/>
        <w:right w:val="none" w:sz="0" w:space="0" w:color="auto"/>
      </w:divBdr>
    </w:div>
    <w:div w:id="1149832818">
      <w:bodyDiv w:val="1"/>
      <w:marLeft w:val="0"/>
      <w:marRight w:val="0"/>
      <w:marTop w:val="0"/>
      <w:marBottom w:val="0"/>
      <w:divBdr>
        <w:top w:val="none" w:sz="0" w:space="0" w:color="auto"/>
        <w:left w:val="none" w:sz="0" w:space="0" w:color="auto"/>
        <w:bottom w:val="none" w:sz="0" w:space="0" w:color="auto"/>
        <w:right w:val="none" w:sz="0" w:space="0" w:color="auto"/>
      </w:divBdr>
    </w:div>
    <w:div w:id="1162089730">
      <w:bodyDiv w:val="1"/>
      <w:marLeft w:val="0"/>
      <w:marRight w:val="0"/>
      <w:marTop w:val="0"/>
      <w:marBottom w:val="0"/>
      <w:divBdr>
        <w:top w:val="none" w:sz="0" w:space="0" w:color="auto"/>
        <w:left w:val="none" w:sz="0" w:space="0" w:color="auto"/>
        <w:bottom w:val="none" w:sz="0" w:space="0" w:color="auto"/>
        <w:right w:val="none" w:sz="0" w:space="0" w:color="auto"/>
      </w:divBdr>
      <w:divsChild>
        <w:div w:id="288166198">
          <w:marLeft w:val="0"/>
          <w:marRight w:val="0"/>
          <w:marTop w:val="0"/>
          <w:marBottom w:val="0"/>
          <w:divBdr>
            <w:top w:val="none" w:sz="0" w:space="0" w:color="auto"/>
            <w:left w:val="none" w:sz="0" w:space="0" w:color="auto"/>
            <w:bottom w:val="none" w:sz="0" w:space="0" w:color="auto"/>
            <w:right w:val="none" w:sz="0" w:space="0" w:color="auto"/>
          </w:divBdr>
        </w:div>
      </w:divsChild>
    </w:div>
    <w:div w:id="1171872970">
      <w:bodyDiv w:val="1"/>
      <w:marLeft w:val="0"/>
      <w:marRight w:val="0"/>
      <w:marTop w:val="0"/>
      <w:marBottom w:val="0"/>
      <w:divBdr>
        <w:top w:val="none" w:sz="0" w:space="0" w:color="auto"/>
        <w:left w:val="none" w:sz="0" w:space="0" w:color="auto"/>
        <w:bottom w:val="none" w:sz="0" w:space="0" w:color="auto"/>
        <w:right w:val="none" w:sz="0" w:space="0" w:color="auto"/>
      </w:divBdr>
    </w:div>
    <w:div w:id="1173255826">
      <w:bodyDiv w:val="1"/>
      <w:marLeft w:val="0"/>
      <w:marRight w:val="0"/>
      <w:marTop w:val="0"/>
      <w:marBottom w:val="0"/>
      <w:divBdr>
        <w:top w:val="none" w:sz="0" w:space="0" w:color="auto"/>
        <w:left w:val="none" w:sz="0" w:space="0" w:color="auto"/>
        <w:bottom w:val="none" w:sz="0" w:space="0" w:color="auto"/>
        <w:right w:val="none" w:sz="0" w:space="0" w:color="auto"/>
      </w:divBdr>
      <w:divsChild>
        <w:div w:id="4984260">
          <w:marLeft w:val="0"/>
          <w:marRight w:val="0"/>
          <w:marTop w:val="0"/>
          <w:marBottom w:val="0"/>
          <w:divBdr>
            <w:top w:val="none" w:sz="0" w:space="0" w:color="auto"/>
            <w:left w:val="none" w:sz="0" w:space="0" w:color="auto"/>
            <w:bottom w:val="none" w:sz="0" w:space="0" w:color="auto"/>
            <w:right w:val="none" w:sz="0" w:space="0" w:color="auto"/>
          </w:divBdr>
          <w:divsChild>
            <w:div w:id="621351400">
              <w:marLeft w:val="0"/>
              <w:marRight w:val="0"/>
              <w:marTop w:val="0"/>
              <w:marBottom w:val="0"/>
              <w:divBdr>
                <w:top w:val="none" w:sz="0" w:space="0" w:color="auto"/>
                <w:left w:val="none" w:sz="0" w:space="0" w:color="auto"/>
                <w:bottom w:val="none" w:sz="0" w:space="0" w:color="auto"/>
                <w:right w:val="none" w:sz="0" w:space="0" w:color="auto"/>
              </w:divBdr>
            </w:div>
          </w:divsChild>
        </w:div>
        <w:div w:id="21244941">
          <w:marLeft w:val="0"/>
          <w:marRight w:val="0"/>
          <w:marTop w:val="0"/>
          <w:marBottom w:val="0"/>
          <w:divBdr>
            <w:top w:val="none" w:sz="0" w:space="0" w:color="auto"/>
            <w:left w:val="none" w:sz="0" w:space="0" w:color="auto"/>
            <w:bottom w:val="none" w:sz="0" w:space="0" w:color="auto"/>
            <w:right w:val="none" w:sz="0" w:space="0" w:color="auto"/>
          </w:divBdr>
          <w:divsChild>
            <w:div w:id="763958680">
              <w:marLeft w:val="0"/>
              <w:marRight w:val="0"/>
              <w:marTop w:val="0"/>
              <w:marBottom w:val="0"/>
              <w:divBdr>
                <w:top w:val="none" w:sz="0" w:space="0" w:color="auto"/>
                <w:left w:val="none" w:sz="0" w:space="0" w:color="auto"/>
                <w:bottom w:val="none" w:sz="0" w:space="0" w:color="auto"/>
                <w:right w:val="none" w:sz="0" w:space="0" w:color="auto"/>
              </w:divBdr>
            </w:div>
          </w:divsChild>
        </w:div>
        <w:div w:id="49887441">
          <w:marLeft w:val="0"/>
          <w:marRight w:val="0"/>
          <w:marTop w:val="0"/>
          <w:marBottom w:val="0"/>
          <w:divBdr>
            <w:top w:val="none" w:sz="0" w:space="0" w:color="auto"/>
            <w:left w:val="none" w:sz="0" w:space="0" w:color="auto"/>
            <w:bottom w:val="none" w:sz="0" w:space="0" w:color="auto"/>
            <w:right w:val="none" w:sz="0" w:space="0" w:color="auto"/>
          </w:divBdr>
          <w:divsChild>
            <w:div w:id="1181896302">
              <w:marLeft w:val="0"/>
              <w:marRight w:val="0"/>
              <w:marTop w:val="0"/>
              <w:marBottom w:val="0"/>
              <w:divBdr>
                <w:top w:val="none" w:sz="0" w:space="0" w:color="auto"/>
                <w:left w:val="none" w:sz="0" w:space="0" w:color="auto"/>
                <w:bottom w:val="none" w:sz="0" w:space="0" w:color="auto"/>
                <w:right w:val="none" w:sz="0" w:space="0" w:color="auto"/>
              </w:divBdr>
            </w:div>
          </w:divsChild>
        </w:div>
        <w:div w:id="167793554">
          <w:marLeft w:val="0"/>
          <w:marRight w:val="0"/>
          <w:marTop w:val="0"/>
          <w:marBottom w:val="0"/>
          <w:divBdr>
            <w:top w:val="none" w:sz="0" w:space="0" w:color="auto"/>
            <w:left w:val="none" w:sz="0" w:space="0" w:color="auto"/>
            <w:bottom w:val="none" w:sz="0" w:space="0" w:color="auto"/>
            <w:right w:val="none" w:sz="0" w:space="0" w:color="auto"/>
          </w:divBdr>
          <w:divsChild>
            <w:div w:id="628055614">
              <w:marLeft w:val="0"/>
              <w:marRight w:val="0"/>
              <w:marTop w:val="0"/>
              <w:marBottom w:val="0"/>
              <w:divBdr>
                <w:top w:val="none" w:sz="0" w:space="0" w:color="auto"/>
                <w:left w:val="none" w:sz="0" w:space="0" w:color="auto"/>
                <w:bottom w:val="none" w:sz="0" w:space="0" w:color="auto"/>
                <w:right w:val="none" w:sz="0" w:space="0" w:color="auto"/>
              </w:divBdr>
            </w:div>
          </w:divsChild>
        </w:div>
        <w:div w:id="194388475">
          <w:marLeft w:val="0"/>
          <w:marRight w:val="0"/>
          <w:marTop w:val="0"/>
          <w:marBottom w:val="0"/>
          <w:divBdr>
            <w:top w:val="none" w:sz="0" w:space="0" w:color="auto"/>
            <w:left w:val="none" w:sz="0" w:space="0" w:color="auto"/>
            <w:bottom w:val="none" w:sz="0" w:space="0" w:color="auto"/>
            <w:right w:val="none" w:sz="0" w:space="0" w:color="auto"/>
          </w:divBdr>
          <w:divsChild>
            <w:div w:id="986202313">
              <w:marLeft w:val="0"/>
              <w:marRight w:val="0"/>
              <w:marTop w:val="0"/>
              <w:marBottom w:val="0"/>
              <w:divBdr>
                <w:top w:val="none" w:sz="0" w:space="0" w:color="auto"/>
                <w:left w:val="none" w:sz="0" w:space="0" w:color="auto"/>
                <w:bottom w:val="none" w:sz="0" w:space="0" w:color="auto"/>
                <w:right w:val="none" w:sz="0" w:space="0" w:color="auto"/>
              </w:divBdr>
            </w:div>
          </w:divsChild>
        </w:div>
        <w:div w:id="216821739">
          <w:marLeft w:val="0"/>
          <w:marRight w:val="0"/>
          <w:marTop w:val="0"/>
          <w:marBottom w:val="0"/>
          <w:divBdr>
            <w:top w:val="none" w:sz="0" w:space="0" w:color="auto"/>
            <w:left w:val="none" w:sz="0" w:space="0" w:color="auto"/>
            <w:bottom w:val="none" w:sz="0" w:space="0" w:color="auto"/>
            <w:right w:val="none" w:sz="0" w:space="0" w:color="auto"/>
          </w:divBdr>
          <w:divsChild>
            <w:div w:id="924143488">
              <w:marLeft w:val="0"/>
              <w:marRight w:val="0"/>
              <w:marTop w:val="0"/>
              <w:marBottom w:val="0"/>
              <w:divBdr>
                <w:top w:val="none" w:sz="0" w:space="0" w:color="auto"/>
                <w:left w:val="none" w:sz="0" w:space="0" w:color="auto"/>
                <w:bottom w:val="none" w:sz="0" w:space="0" w:color="auto"/>
                <w:right w:val="none" w:sz="0" w:space="0" w:color="auto"/>
              </w:divBdr>
            </w:div>
          </w:divsChild>
        </w:div>
        <w:div w:id="233586429">
          <w:marLeft w:val="0"/>
          <w:marRight w:val="0"/>
          <w:marTop w:val="0"/>
          <w:marBottom w:val="0"/>
          <w:divBdr>
            <w:top w:val="none" w:sz="0" w:space="0" w:color="auto"/>
            <w:left w:val="none" w:sz="0" w:space="0" w:color="auto"/>
            <w:bottom w:val="none" w:sz="0" w:space="0" w:color="auto"/>
            <w:right w:val="none" w:sz="0" w:space="0" w:color="auto"/>
          </w:divBdr>
          <w:divsChild>
            <w:div w:id="830683968">
              <w:marLeft w:val="0"/>
              <w:marRight w:val="0"/>
              <w:marTop w:val="0"/>
              <w:marBottom w:val="0"/>
              <w:divBdr>
                <w:top w:val="none" w:sz="0" w:space="0" w:color="auto"/>
                <w:left w:val="none" w:sz="0" w:space="0" w:color="auto"/>
                <w:bottom w:val="none" w:sz="0" w:space="0" w:color="auto"/>
                <w:right w:val="none" w:sz="0" w:space="0" w:color="auto"/>
              </w:divBdr>
            </w:div>
          </w:divsChild>
        </w:div>
        <w:div w:id="246043294">
          <w:marLeft w:val="0"/>
          <w:marRight w:val="0"/>
          <w:marTop w:val="0"/>
          <w:marBottom w:val="0"/>
          <w:divBdr>
            <w:top w:val="none" w:sz="0" w:space="0" w:color="auto"/>
            <w:left w:val="none" w:sz="0" w:space="0" w:color="auto"/>
            <w:bottom w:val="none" w:sz="0" w:space="0" w:color="auto"/>
            <w:right w:val="none" w:sz="0" w:space="0" w:color="auto"/>
          </w:divBdr>
          <w:divsChild>
            <w:div w:id="593900631">
              <w:marLeft w:val="0"/>
              <w:marRight w:val="0"/>
              <w:marTop w:val="0"/>
              <w:marBottom w:val="0"/>
              <w:divBdr>
                <w:top w:val="none" w:sz="0" w:space="0" w:color="auto"/>
                <w:left w:val="none" w:sz="0" w:space="0" w:color="auto"/>
                <w:bottom w:val="none" w:sz="0" w:space="0" w:color="auto"/>
                <w:right w:val="none" w:sz="0" w:space="0" w:color="auto"/>
              </w:divBdr>
            </w:div>
          </w:divsChild>
        </w:div>
        <w:div w:id="502284294">
          <w:marLeft w:val="0"/>
          <w:marRight w:val="0"/>
          <w:marTop w:val="0"/>
          <w:marBottom w:val="0"/>
          <w:divBdr>
            <w:top w:val="none" w:sz="0" w:space="0" w:color="auto"/>
            <w:left w:val="none" w:sz="0" w:space="0" w:color="auto"/>
            <w:bottom w:val="none" w:sz="0" w:space="0" w:color="auto"/>
            <w:right w:val="none" w:sz="0" w:space="0" w:color="auto"/>
          </w:divBdr>
          <w:divsChild>
            <w:div w:id="105196825">
              <w:marLeft w:val="0"/>
              <w:marRight w:val="0"/>
              <w:marTop w:val="0"/>
              <w:marBottom w:val="0"/>
              <w:divBdr>
                <w:top w:val="none" w:sz="0" w:space="0" w:color="auto"/>
                <w:left w:val="none" w:sz="0" w:space="0" w:color="auto"/>
                <w:bottom w:val="none" w:sz="0" w:space="0" w:color="auto"/>
                <w:right w:val="none" w:sz="0" w:space="0" w:color="auto"/>
              </w:divBdr>
            </w:div>
          </w:divsChild>
        </w:div>
        <w:div w:id="630788270">
          <w:marLeft w:val="0"/>
          <w:marRight w:val="0"/>
          <w:marTop w:val="0"/>
          <w:marBottom w:val="0"/>
          <w:divBdr>
            <w:top w:val="none" w:sz="0" w:space="0" w:color="auto"/>
            <w:left w:val="none" w:sz="0" w:space="0" w:color="auto"/>
            <w:bottom w:val="none" w:sz="0" w:space="0" w:color="auto"/>
            <w:right w:val="none" w:sz="0" w:space="0" w:color="auto"/>
          </w:divBdr>
          <w:divsChild>
            <w:div w:id="1643928823">
              <w:marLeft w:val="0"/>
              <w:marRight w:val="0"/>
              <w:marTop w:val="0"/>
              <w:marBottom w:val="0"/>
              <w:divBdr>
                <w:top w:val="none" w:sz="0" w:space="0" w:color="auto"/>
                <w:left w:val="none" w:sz="0" w:space="0" w:color="auto"/>
                <w:bottom w:val="none" w:sz="0" w:space="0" w:color="auto"/>
                <w:right w:val="none" w:sz="0" w:space="0" w:color="auto"/>
              </w:divBdr>
            </w:div>
          </w:divsChild>
        </w:div>
        <w:div w:id="728503850">
          <w:marLeft w:val="0"/>
          <w:marRight w:val="0"/>
          <w:marTop w:val="0"/>
          <w:marBottom w:val="0"/>
          <w:divBdr>
            <w:top w:val="none" w:sz="0" w:space="0" w:color="auto"/>
            <w:left w:val="none" w:sz="0" w:space="0" w:color="auto"/>
            <w:bottom w:val="none" w:sz="0" w:space="0" w:color="auto"/>
            <w:right w:val="none" w:sz="0" w:space="0" w:color="auto"/>
          </w:divBdr>
          <w:divsChild>
            <w:div w:id="303775649">
              <w:marLeft w:val="0"/>
              <w:marRight w:val="0"/>
              <w:marTop w:val="0"/>
              <w:marBottom w:val="0"/>
              <w:divBdr>
                <w:top w:val="none" w:sz="0" w:space="0" w:color="auto"/>
                <w:left w:val="none" w:sz="0" w:space="0" w:color="auto"/>
                <w:bottom w:val="none" w:sz="0" w:space="0" w:color="auto"/>
                <w:right w:val="none" w:sz="0" w:space="0" w:color="auto"/>
              </w:divBdr>
            </w:div>
          </w:divsChild>
        </w:div>
        <w:div w:id="821581023">
          <w:marLeft w:val="0"/>
          <w:marRight w:val="0"/>
          <w:marTop w:val="0"/>
          <w:marBottom w:val="0"/>
          <w:divBdr>
            <w:top w:val="none" w:sz="0" w:space="0" w:color="auto"/>
            <w:left w:val="none" w:sz="0" w:space="0" w:color="auto"/>
            <w:bottom w:val="none" w:sz="0" w:space="0" w:color="auto"/>
            <w:right w:val="none" w:sz="0" w:space="0" w:color="auto"/>
          </w:divBdr>
          <w:divsChild>
            <w:div w:id="1320958581">
              <w:marLeft w:val="0"/>
              <w:marRight w:val="0"/>
              <w:marTop w:val="0"/>
              <w:marBottom w:val="0"/>
              <w:divBdr>
                <w:top w:val="none" w:sz="0" w:space="0" w:color="auto"/>
                <w:left w:val="none" w:sz="0" w:space="0" w:color="auto"/>
                <w:bottom w:val="none" w:sz="0" w:space="0" w:color="auto"/>
                <w:right w:val="none" w:sz="0" w:space="0" w:color="auto"/>
              </w:divBdr>
            </w:div>
          </w:divsChild>
        </w:div>
        <w:div w:id="825895875">
          <w:marLeft w:val="0"/>
          <w:marRight w:val="0"/>
          <w:marTop w:val="0"/>
          <w:marBottom w:val="0"/>
          <w:divBdr>
            <w:top w:val="none" w:sz="0" w:space="0" w:color="auto"/>
            <w:left w:val="none" w:sz="0" w:space="0" w:color="auto"/>
            <w:bottom w:val="none" w:sz="0" w:space="0" w:color="auto"/>
            <w:right w:val="none" w:sz="0" w:space="0" w:color="auto"/>
          </w:divBdr>
          <w:divsChild>
            <w:div w:id="946817507">
              <w:marLeft w:val="0"/>
              <w:marRight w:val="0"/>
              <w:marTop w:val="0"/>
              <w:marBottom w:val="0"/>
              <w:divBdr>
                <w:top w:val="none" w:sz="0" w:space="0" w:color="auto"/>
                <w:left w:val="none" w:sz="0" w:space="0" w:color="auto"/>
                <w:bottom w:val="none" w:sz="0" w:space="0" w:color="auto"/>
                <w:right w:val="none" w:sz="0" w:space="0" w:color="auto"/>
              </w:divBdr>
            </w:div>
          </w:divsChild>
        </w:div>
        <w:div w:id="839545046">
          <w:marLeft w:val="0"/>
          <w:marRight w:val="0"/>
          <w:marTop w:val="0"/>
          <w:marBottom w:val="0"/>
          <w:divBdr>
            <w:top w:val="none" w:sz="0" w:space="0" w:color="auto"/>
            <w:left w:val="none" w:sz="0" w:space="0" w:color="auto"/>
            <w:bottom w:val="none" w:sz="0" w:space="0" w:color="auto"/>
            <w:right w:val="none" w:sz="0" w:space="0" w:color="auto"/>
          </w:divBdr>
          <w:divsChild>
            <w:div w:id="963192229">
              <w:marLeft w:val="0"/>
              <w:marRight w:val="0"/>
              <w:marTop w:val="0"/>
              <w:marBottom w:val="0"/>
              <w:divBdr>
                <w:top w:val="none" w:sz="0" w:space="0" w:color="auto"/>
                <w:left w:val="none" w:sz="0" w:space="0" w:color="auto"/>
                <w:bottom w:val="none" w:sz="0" w:space="0" w:color="auto"/>
                <w:right w:val="none" w:sz="0" w:space="0" w:color="auto"/>
              </w:divBdr>
            </w:div>
          </w:divsChild>
        </w:div>
        <w:div w:id="979765772">
          <w:marLeft w:val="0"/>
          <w:marRight w:val="0"/>
          <w:marTop w:val="0"/>
          <w:marBottom w:val="0"/>
          <w:divBdr>
            <w:top w:val="none" w:sz="0" w:space="0" w:color="auto"/>
            <w:left w:val="none" w:sz="0" w:space="0" w:color="auto"/>
            <w:bottom w:val="none" w:sz="0" w:space="0" w:color="auto"/>
            <w:right w:val="none" w:sz="0" w:space="0" w:color="auto"/>
          </w:divBdr>
          <w:divsChild>
            <w:div w:id="180097730">
              <w:marLeft w:val="0"/>
              <w:marRight w:val="0"/>
              <w:marTop w:val="0"/>
              <w:marBottom w:val="0"/>
              <w:divBdr>
                <w:top w:val="none" w:sz="0" w:space="0" w:color="auto"/>
                <w:left w:val="none" w:sz="0" w:space="0" w:color="auto"/>
                <w:bottom w:val="none" w:sz="0" w:space="0" w:color="auto"/>
                <w:right w:val="none" w:sz="0" w:space="0" w:color="auto"/>
              </w:divBdr>
            </w:div>
          </w:divsChild>
        </w:div>
        <w:div w:id="1218661193">
          <w:marLeft w:val="0"/>
          <w:marRight w:val="0"/>
          <w:marTop w:val="0"/>
          <w:marBottom w:val="0"/>
          <w:divBdr>
            <w:top w:val="none" w:sz="0" w:space="0" w:color="auto"/>
            <w:left w:val="none" w:sz="0" w:space="0" w:color="auto"/>
            <w:bottom w:val="none" w:sz="0" w:space="0" w:color="auto"/>
            <w:right w:val="none" w:sz="0" w:space="0" w:color="auto"/>
          </w:divBdr>
          <w:divsChild>
            <w:div w:id="27026691">
              <w:marLeft w:val="0"/>
              <w:marRight w:val="0"/>
              <w:marTop w:val="0"/>
              <w:marBottom w:val="0"/>
              <w:divBdr>
                <w:top w:val="none" w:sz="0" w:space="0" w:color="auto"/>
                <w:left w:val="none" w:sz="0" w:space="0" w:color="auto"/>
                <w:bottom w:val="none" w:sz="0" w:space="0" w:color="auto"/>
                <w:right w:val="none" w:sz="0" w:space="0" w:color="auto"/>
              </w:divBdr>
            </w:div>
          </w:divsChild>
        </w:div>
        <w:div w:id="1310940251">
          <w:marLeft w:val="0"/>
          <w:marRight w:val="0"/>
          <w:marTop w:val="0"/>
          <w:marBottom w:val="0"/>
          <w:divBdr>
            <w:top w:val="none" w:sz="0" w:space="0" w:color="auto"/>
            <w:left w:val="none" w:sz="0" w:space="0" w:color="auto"/>
            <w:bottom w:val="none" w:sz="0" w:space="0" w:color="auto"/>
            <w:right w:val="none" w:sz="0" w:space="0" w:color="auto"/>
          </w:divBdr>
          <w:divsChild>
            <w:div w:id="1631206109">
              <w:marLeft w:val="0"/>
              <w:marRight w:val="0"/>
              <w:marTop w:val="0"/>
              <w:marBottom w:val="0"/>
              <w:divBdr>
                <w:top w:val="none" w:sz="0" w:space="0" w:color="auto"/>
                <w:left w:val="none" w:sz="0" w:space="0" w:color="auto"/>
                <w:bottom w:val="none" w:sz="0" w:space="0" w:color="auto"/>
                <w:right w:val="none" w:sz="0" w:space="0" w:color="auto"/>
              </w:divBdr>
            </w:div>
          </w:divsChild>
        </w:div>
        <w:div w:id="1341657768">
          <w:marLeft w:val="0"/>
          <w:marRight w:val="0"/>
          <w:marTop w:val="0"/>
          <w:marBottom w:val="0"/>
          <w:divBdr>
            <w:top w:val="none" w:sz="0" w:space="0" w:color="auto"/>
            <w:left w:val="none" w:sz="0" w:space="0" w:color="auto"/>
            <w:bottom w:val="none" w:sz="0" w:space="0" w:color="auto"/>
            <w:right w:val="none" w:sz="0" w:space="0" w:color="auto"/>
          </w:divBdr>
          <w:divsChild>
            <w:div w:id="1368261694">
              <w:marLeft w:val="0"/>
              <w:marRight w:val="0"/>
              <w:marTop w:val="0"/>
              <w:marBottom w:val="0"/>
              <w:divBdr>
                <w:top w:val="none" w:sz="0" w:space="0" w:color="auto"/>
                <w:left w:val="none" w:sz="0" w:space="0" w:color="auto"/>
                <w:bottom w:val="none" w:sz="0" w:space="0" w:color="auto"/>
                <w:right w:val="none" w:sz="0" w:space="0" w:color="auto"/>
              </w:divBdr>
            </w:div>
          </w:divsChild>
        </w:div>
        <w:div w:id="1512256334">
          <w:marLeft w:val="0"/>
          <w:marRight w:val="0"/>
          <w:marTop w:val="0"/>
          <w:marBottom w:val="0"/>
          <w:divBdr>
            <w:top w:val="none" w:sz="0" w:space="0" w:color="auto"/>
            <w:left w:val="none" w:sz="0" w:space="0" w:color="auto"/>
            <w:bottom w:val="none" w:sz="0" w:space="0" w:color="auto"/>
            <w:right w:val="none" w:sz="0" w:space="0" w:color="auto"/>
          </w:divBdr>
          <w:divsChild>
            <w:div w:id="1040277039">
              <w:marLeft w:val="0"/>
              <w:marRight w:val="0"/>
              <w:marTop w:val="0"/>
              <w:marBottom w:val="0"/>
              <w:divBdr>
                <w:top w:val="none" w:sz="0" w:space="0" w:color="auto"/>
                <w:left w:val="none" w:sz="0" w:space="0" w:color="auto"/>
                <w:bottom w:val="none" w:sz="0" w:space="0" w:color="auto"/>
                <w:right w:val="none" w:sz="0" w:space="0" w:color="auto"/>
              </w:divBdr>
            </w:div>
          </w:divsChild>
        </w:div>
        <w:div w:id="1645044150">
          <w:marLeft w:val="0"/>
          <w:marRight w:val="0"/>
          <w:marTop w:val="0"/>
          <w:marBottom w:val="0"/>
          <w:divBdr>
            <w:top w:val="none" w:sz="0" w:space="0" w:color="auto"/>
            <w:left w:val="none" w:sz="0" w:space="0" w:color="auto"/>
            <w:bottom w:val="none" w:sz="0" w:space="0" w:color="auto"/>
            <w:right w:val="none" w:sz="0" w:space="0" w:color="auto"/>
          </w:divBdr>
          <w:divsChild>
            <w:div w:id="825710023">
              <w:marLeft w:val="0"/>
              <w:marRight w:val="0"/>
              <w:marTop w:val="0"/>
              <w:marBottom w:val="0"/>
              <w:divBdr>
                <w:top w:val="none" w:sz="0" w:space="0" w:color="auto"/>
                <w:left w:val="none" w:sz="0" w:space="0" w:color="auto"/>
                <w:bottom w:val="none" w:sz="0" w:space="0" w:color="auto"/>
                <w:right w:val="none" w:sz="0" w:space="0" w:color="auto"/>
              </w:divBdr>
            </w:div>
          </w:divsChild>
        </w:div>
        <w:div w:id="1689067079">
          <w:marLeft w:val="0"/>
          <w:marRight w:val="0"/>
          <w:marTop w:val="0"/>
          <w:marBottom w:val="0"/>
          <w:divBdr>
            <w:top w:val="none" w:sz="0" w:space="0" w:color="auto"/>
            <w:left w:val="none" w:sz="0" w:space="0" w:color="auto"/>
            <w:bottom w:val="none" w:sz="0" w:space="0" w:color="auto"/>
            <w:right w:val="none" w:sz="0" w:space="0" w:color="auto"/>
          </w:divBdr>
          <w:divsChild>
            <w:div w:id="751513085">
              <w:marLeft w:val="0"/>
              <w:marRight w:val="0"/>
              <w:marTop w:val="0"/>
              <w:marBottom w:val="0"/>
              <w:divBdr>
                <w:top w:val="none" w:sz="0" w:space="0" w:color="auto"/>
                <w:left w:val="none" w:sz="0" w:space="0" w:color="auto"/>
                <w:bottom w:val="none" w:sz="0" w:space="0" w:color="auto"/>
                <w:right w:val="none" w:sz="0" w:space="0" w:color="auto"/>
              </w:divBdr>
            </w:div>
          </w:divsChild>
        </w:div>
        <w:div w:id="1778285000">
          <w:marLeft w:val="0"/>
          <w:marRight w:val="0"/>
          <w:marTop w:val="0"/>
          <w:marBottom w:val="0"/>
          <w:divBdr>
            <w:top w:val="none" w:sz="0" w:space="0" w:color="auto"/>
            <w:left w:val="none" w:sz="0" w:space="0" w:color="auto"/>
            <w:bottom w:val="none" w:sz="0" w:space="0" w:color="auto"/>
            <w:right w:val="none" w:sz="0" w:space="0" w:color="auto"/>
          </w:divBdr>
          <w:divsChild>
            <w:div w:id="1228494857">
              <w:marLeft w:val="0"/>
              <w:marRight w:val="0"/>
              <w:marTop w:val="0"/>
              <w:marBottom w:val="0"/>
              <w:divBdr>
                <w:top w:val="none" w:sz="0" w:space="0" w:color="auto"/>
                <w:left w:val="none" w:sz="0" w:space="0" w:color="auto"/>
                <w:bottom w:val="none" w:sz="0" w:space="0" w:color="auto"/>
                <w:right w:val="none" w:sz="0" w:space="0" w:color="auto"/>
              </w:divBdr>
            </w:div>
          </w:divsChild>
        </w:div>
        <w:div w:id="1987928830">
          <w:marLeft w:val="0"/>
          <w:marRight w:val="0"/>
          <w:marTop w:val="0"/>
          <w:marBottom w:val="0"/>
          <w:divBdr>
            <w:top w:val="none" w:sz="0" w:space="0" w:color="auto"/>
            <w:left w:val="none" w:sz="0" w:space="0" w:color="auto"/>
            <w:bottom w:val="none" w:sz="0" w:space="0" w:color="auto"/>
            <w:right w:val="none" w:sz="0" w:space="0" w:color="auto"/>
          </w:divBdr>
          <w:divsChild>
            <w:div w:id="1934170951">
              <w:marLeft w:val="0"/>
              <w:marRight w:val="0"/>
              <w:marTop w:val="0"/>
              <w:marBottom w:val="0"/>
              <w:divBdr>
                <w:top w:val="none" w:sz="0" w:space="0" w:color="auto"/>
                <w:left w:val="none" w:sz="0" w:space="0" w:color="auto"/>
                <w:bottom w:val="none" w:sz="0" w:space="0" w:color="auto"/>
                <w:right w:val="none" w:sz="0" w:space="0" w:color="auto"/>
              </w:divBdr>
            </w:div>
          </w:divsChild>
        </w:div>
        <w:div w:id="2102874559">
          <w:marLeft w:val="0"/>
          <w:marRight w:val="0"/>
          <w:marTop w:val="0"/>
          <w:marBottom w:val="0"/>
          <w:divBdr>
            <w:top w:val="none" w:sz="0" w:space="0" w:color="auto"/>
            <w:left w:val="none" w:sz="0" w:space="0" w:color="auto"/>
            <w:bottom w:val="none" w:sz="0" w:space="0" w:color="auto"/>
            <w:right w:val="none" w:sz="0" w:space="0" w:color="auto"/>
          </w:divBdr>
          <w:divsChild>
            <w:div w:id="10494898">
              <w:marLeft w:val="0"/>
              <w:marRight w:val="0"/>
              <w:marTop w:val="0"/>
              <w:marBottom w:val="0"/>
              <w:divBdr>
                <w:top w:val="none" w:sz="0" w:space="0" w:color="auto"/>
                <w:left w:val="none" w:sz="0" w:space="0" w:color="auto"/>
                <w:bottom w:val="none" w:sz="0" w:space="0" w:color="auto"/>
                <w:right w:val="none" w:sz="0" w:space="0" w:color="auto"/>
              </w:divBdr>
            </w:div>
          </w:divsChild>
        </w:div>
        <w:div w:id="2140105907">
          <w:marLeft w:val="0"/>
          <w:marRight w:val="0"/>
          <w:marTop w:val="0"/>
          <w:marBottom w:val="0"/>
          <w:divBdr>
            <w:top w:val="none" w:sz="0" w:space="0" w:color="auto"/>
            <w:left w:val="none" w:sz="0" w:space="0" w:color="auto"/>
            <w:bottom w:val="none" w:sz="0" w:space="0" w:color="auto"/>
            <w:right w:val="none" w:sz="0" w:space="0" w:color="auto"/>
          </w:divBdr>
          <w:divsChild>
            <w:div w:id="5767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89678">
      <w:bodyDiv w:val="1"/>
      <w:marLeft w:val="0"/>
      <w:marRight w:val="0"/>
      <w:marTop w:val="0"/>
      <w:marBottom w:val="0"/>
      <w:divBdr>
        <w:top w:val="none" w:sz="0" w:space="0" w:color="auto"/>
        <w:left w:val="none" w:sz="0" w:space="0" w:color="auto"/>
        <w:bottom w:val="none" w:sz="0" w:space="0" w:color="auto"/>
        <w:right w:val="none" w:sz="0" w:space="0" w:color="auto"/>
      </w:divBdr>
    </w:div>
    <w:div w:id="1188103964">
      <w:bodyDiv w:val="1"/>
      <w:marLeft w:val="0"/>
      <w:marRight w:val="0"/>
      <w:marTop w:val="0"/>
      <w:marBottom w:val="0"/>
      <w:divBdr>
        <w:top w:val="none" w:sz="0" w:space="0" w:color="auto"/>
        <w:left w:val="none" w:sz="0" w:space="0" w:color="auto"/>
        <w:bottom w:val="none" w:sz="0" w:space="0" w:color="auto"/>
        <w:right w:val="none" w:sz="0" w:space="0" w:color="auto"/>
      </w:divBdr>
    </w:div>
    <w:div w:id="1221135995">
      <w:bodyDiv w:val="1"/>
      <w:marLeft w:val="0"/>
      <w:marRight w:val="0"/>
      <w:marTop w:val="0"/>
      <w:marBottom w:val="0"/>
      <w:divBdr>
        <w:top w:val="none" w:sz="0" w:space="0" w:color="auto"/>
        <w:left w:val="none" w:sz="0" w:space="0" w:color="auto"/>
        <w:bottom w:val="none" w:sz="0" w:space="0" w:color="auto"/>
        <w:right w:val="none" w:sz="0" w:space="0" w:color="auto"/>
      </w:divBdr>
    </w:div>
    <w:div w:id="1228034093">
      <w:bodyDiv w:val="1"/>
      <w:marLeft w:val="0"/>
      <w:marRight w:val="0"/>
      <w:marTop w:val="0"/>
      <w:marBottom w:val="0"/>
      <w:divBdr>
        <w:top w:val="none" w:sz="0" w:space="0" w:color="auto"/>
        <w:left w:val="none" w:sz="0" w:space="0" w:color="auto"/>
        <w:bottom w:val="none" w:sz="0" w:space="0" w:color="auto"/>
        <w:right w:val="none" w:sz="0" w:space="0" w:color="auto"/>
      </w:divBdr>
      <w:divsChild>
        <w:div w:id="200368166">
          <w:marLeft w:val="446"/>
          <w:marRight w:val="0"/>
          <w:marTop w:val="0"/>
          <w:marBottom w:val="0"/>
          <w:divBdr>
            <w:top w:val="none" w:sz="0" w:space="0" w:color="auto"/>
            <w:left w:val="none" w:sz="0" w:space="0" w:color="auto"/>
            <w:bottom w:val="none" w:sz="0" w:space="0" w:color="auto"/>
            <w:right w:val="none" w:sz="0" w:space="0" w:color="auto"/>
          </w:divBdr>
        </w:div>
        <w:div w:id="204683443">
          <w:marLeft w:val="446"/>
          <w:marRight w:val="0"/>
          <w:marTop w:val="0"/>
          <w:marBottom w:val="0"/>
          <w:divBdr>
            <w:top w:val="none" w:sz="0" w:space="0" w:color="auto"/>
            <w:left w:val="none" w:sz="0" w:space="0" w:color="auto"/>
            <w:bottom w:val="none" w:sz="0" w:space="0" w:color="auto"/>
            <w:right w:val="none" w:sz="0" w:space="0" w:color="auto"/>
          </w:divBdr>
        </w:div>
        <w:div w:id="414977378">
          <w:marLeft w:val="446"/>
          <w:marRight w:val="0"/>
          <w:marTop w:val="0"/>
          <w:marBottom w:val="0"/>
          <w:divBdr>
            <w:top w:val="none" w:sz="0" w:space="0" w:color="auto"/>
            <w:left w:val="none" w:sz="0" w:space="0" w:color="auto"/>
            <w:bottom w:val="none" w:sz="0" w:space="0" w:color="auto"/>
            <w:right w:val="none" w:sz="0" w:space="0" w:color="auto"/>
          </w:divBdr>
        </w:div>
        <w:div w:id="1316907921">
          <w:marLeft w:val="446"/>
          <w:marRight w:val="0"/>
          <w:marTop w:val="0"/>
          <w:marBottom w:val="0"/>
          <w:divBdr>
            <w:top w:val="none" w:sz="0" w:space="0" w:color="auto"/>
            <w:left w:val="none" w:sz="0" w:space="0" w:color="auto"/>
            <w:bottom w:val="none" w:sz="0" w:space="0" w:color="auto"/>
            <w:right w:val="none" w:sz="0" w:space="0" w:color="auto"/>
          </w:divBdr>
        </w:div>
        <w:div w:id="1317998957">
          <w:marLeft w:val="446"/>
          <w:marRight w:val="0"/>
          <w:marTop w:val="0"/>
          <w:marBottom w:val="0"/>
          <w:divBdr>
            <w:top w:val="none" w:sz="0" w:space="0" w:color="auto"/>
            <w:left w:val="none" w:sz="0" w:space="0" w:color="auto"/>
            <w:bottom w:val="none" w:sz="0" w:space="0" w:color="auto"/>
            <w:right w:val="none" w:sz="0" w:space="0" w:color="auto"/>
          </w:divBdr>
        </w:div>
      </w:divsChild>
    </w:div>
    <w:div w:id="1239244062">
      <w:bodyDiv w:val="1"/>
      <w:marLeft w:val="0"/>
      <w:marRight w:val="0"/>
      <w:marTop w:val="0"/>
      <w:marBottom w:val="0"/>
      <w:divBdr>
        <w:top w:val="none" w:sz="0" w:space="0" w:color="auto"/>
        <w:left w:val="none" w:sz="0" w:space="0" w:color="auto"/>
        <w:bottom w:val="none" w:sz="0" w:space="0" w:color="auto"/>
        <w:right w:val="none" w:sz="0" w:space="0" w:color="auto"/>
      </w:divBdr>
    </w:div>
    <w:div w:id="1264728563">
      <w:bodyDiv w:val="1"/>
      <w:marLeft w:val="0"/>
      <w:marRight w:val="0"/>
      <w:marTop w:val="0"/>
      <w:marBottom w:val="0"/>
      <w:divBdr>
        <w:top w:val="none" w:sz="0" w:space="0" w:color="auto"/>
        <w:left w:val="none" w:sz="0" w:space="0" w:color="auto"/>
        <w:bottom w:val="none" w:sz="0" w:space="0" w:color="auto"/>
        <w:right w:val="none" w:sz="0" w:space="0" w:color="auto"/>
      </w:divBdr>
    </w:div>
    <w:div w:id="1273979296">
      <w:bodyDiv w:val="1"/>
      <w:marLeft w:val="0"/>
      <w:marRight w:val="0"/>
      <w:marTop w:val="0"/>
      <w:marBottom w:val="0"/>
      <w:divBdr>
        <w:top w:val="none" w:sz="0" w:space="0" w:color="auto"/>
        <w:left w:val="none" w:sz="0" w:space="0" w:color="auto"/>
        <w:bottom w:val="none" w:sz="0" w:space="0" w:color="auto"/>
        <w:right w:val="none" w:sz="0" w:space="0" w:color="auto"/>
      </w:divBdr>
      <w:divsChild>
        <w:div w:id="1504277338">
          <w:marLeft w:val="274"/>
          <w:marRight w:val="0"/>
          <w:marTop w:val="0"/>
          <w:marBottom w:val="0"/>
          <w:divBdr>
            <w:top w:val="none" w:sz="0" w:space="0" w:color="auto"/>
            <w:left w:val="none" w:sz="0" w:space="0" w:color="auto"/>
            <w:bottom w:val="none" w:sz="0" w:space="0" w:color="auto"/>
            <w:right w:val="none" w:sz="0" w:space="0" w:color="auto"/>
          </w:divBdr>
        </w:div>
        <w:div w:id="1883325660">
          <w:marLeft w:val="274"/>
          <w:marRight w:val="0"/>
          <w:marTop w:val="0"/>
          <w:marBottom w:val="0"/>
          <w:divBdr>
            <w:top w:val="none" w:sz="0" w:space="0" w:color="auto"/>
            <w:left w:val="none" w:sz="0" w:space="0" w:color="auto"/>
            <w:bottom w:val="none" w:sz="0" w:space="0" w:color="auto"/>
            <w:right w:val="none" w:sz="0" w:space="0" w:color="auto"/>
          </w:divBdr>
        </w:div>
      </w:divsChild>
    </w:div>
    <w:div w:id="1279096976">
      <w:bodyDiv w:val="1"/>
      <w:marLeft w:val="0"/>
      <w:marRight w:val="0"/>
      <w:marTop w:val="0"/>
      <w:marBottom w:val="0"/>
      <w:divBdr>
        <w:top w:val="none" w:sz="0" w:space="0" w:color="auto"/>
        <w:left w:val="none" w:sz="0" w:space="0" w:color="auto"/>
        <w:bottom w:val="none" w:sz="0" w:space="0" w:color="auto"/>
        <w:right w:val="none" w:sz="0" w:space="0" w:color="auto"/>
      </w:divBdr>
      <w:divsChild>
        <w:div w:id="94374204">
          <w:marLeft w:val="274"/>
          <w:marRight w:val="0"/>
          <w:marTop w:val="0"/>
          <w:marBottom w:val="120"/>
          <w:divBdr>
            <w:top w:val="none" w:sz="0" w:space="0" w:color="auto"/>
            <w:left w:val="none" w:sz="0" w:space="0" w:color="auto"/>
            <w:bottom w:val="none" w:sz="0" w:space="0" w:color="auto"/>
            <w:right w:val="none" w:sz="0" w:space="0" w:color="auto"/>
          </w:divBdr>
        </w:div>
        <w:div w:id="693580041">
          <w:marLeft w:val="274"/>
          <w:marRight w:val="0"/>
          <w:marTop w:val="0"/>
          <w:marBottom w:val="120"/>
          <w:divBdr>
            <w:top w:val="none" w:sz="0" w:space="0" w:color="auto"/>
            <w:left w:val="none" w:sz="0" w:space="0" w:color="auto"/>
            <w:bottom w:val="none" w:sz="0" w:space="0" w:color="auto"/>
            <w:right w:val="none" w:sz="0" w:space="0" w:color="auto"/>
          </w:divBdr>
        </w:div>
        <w:div w:id="733622834">
          <w:marLeft w:val="274"/>
          <w:marRight w:val="0"/>
          <w:marTop w:val="0"/>
          <w:marBottom w:val="120"/>
          <w:divBdr>
            <w:top w:val="none" w:sz="0" w:space="0" w:color="auto"/>
            <w:left w:val="none" w:sz="0" w:space="0" w:color="auto"/>
            <w:bottom w:val="none" w:sz="0" w:space="0" w:color="auto"/>
            <w:right w:val="none" w:sz="0" w:space="0" w:color="auto"/>
          </w:divBdr>
        </w:div>
        <w:div w:id="962923244">
          <w:marLeft w:val="274"/>
          <w:marRight w:val="0"/>
          <w:marTop w:val="0"/>
          <w:marBottom w:val="120"/>
          <w:divBdr>
            <w:top w:val="none" w:sz="0" w:space="0" w:color="auto"/>
            <w:left w:val="none" w:sz="0" w:space="0" w:color="auto"/>
            <w:bottom w:val="none" w:sz="0" w:space="0" w:color="auto"/>
            <w:right w:val="none" w:sz="0" w:space="0" w:color="auto"/>
          </w:divBdr>
        </w:div>
      </w:divsChild>
    </w:div>
    <w:div w:id="1282539948">
      <w:bodyDiv w:val="1"/>
      <w:marLeft w:val="0"/>
      <w:marRight w:val="0"/>
      <w:marTop w:val="0"/>
      <w:marBottom w:val="0"/>
      <w:divBdr>
        <w:top w:val="none" w:sz="0" w:space="0" w:color="auto"/>
        <w:left w:val="none" w:sz="0" w:space="0" w:color="auto"/>
        <w:bottom w:val="none" w:sz="0" w:space="0" w:color="auto"/>
        <w:right w:val="none" w:sz="0" w:space="0" w:color="auto"/>
      </w:divBdr>
    </w:div>
    <w:div w:id="1282688331">
      <w:bodyDiv w:val="1"/>
      <w:marLeft w:val="0"/>
      <w:marRight w:val="0"/>
      <w:marTop w:val="0"/>
      <w:marBottom w:val="0"/>
      <w:divBdr>
        <w:top w:val="none" w:sz="0" w:space="0" w:color="auto"/>
        <w:left w:val="none" w:sz="0" w:space="0" w:color="auto"/>
        <w:bottom w:val="none" w:sz="0" w:space="0" w:color="auto"/>
        <w:right w:val="none" w:sz="0" w:space="0" w:color="auto"/>
      </w:divBdr>
    </w:div>
    <w:div w:id="1295720279">
      <w:bodyDiv w:val="1"/>
      <w:marLeft w:val="0"/>
      <w:marRight w:val="0"/>
      <w:marTop w:val="0"/>
      <w:marBottom w:val="0"/>
      <w:divBdr>
        <w:top w:val="none" w:sz="0" w:space="0" w:color="auto"/>
        <w:left w:val="none" w:sz="0" w:space="0" w:color="auto"/>
        <w:bottom w:val="none" w:sz="0" w:space="0" w:color="auto"/>
        <w:right w:val="none" w:sz="0" w:space="0" w:color="auto"/>
      </w:divBdr>
      <w:divsChild>
        <w:div w:id="1675380159">
          <w:marLeft w:val="360"/>
          <w:marRight w:val="0"/>
          <w:marTop w:val="0"/>
          <w:marBottom w:val="0"/>
          <w:divBdr>
            <w:top w:val="none" w:sz="0" w:space="0" w:color="auto"/>
            <w:left w:val="none" w:sz="0" w:space="0" w:color="auto"/>
            <w:bottom w:val="none" w:sz="0" w:space="0" w:color="auto"/>
            <w:right w:val="none" w:sz="0" w:space="0" w:color="auto"/>
          </w:divBdr>
        </w:div>
      </w:divsChild>
    </w:div>
    <w:div w:id="1316687447">
      <w:bodyDiv w:val="1"/>
      <w:marLeft w:val="0"/>
      <w:marRight w:val="0"/>
      <w:marTop w:val="0"/>
      <w:marBottom w:val="0"/>
      <w:divBdr>
        <w:top w:val="none" w:sz="0" w:space="0" w:color="auto"/>
        <w:left w:val="none" w:sz="0" w:space="0" w:color="auto"/>
        <w:bottom w:val="none" w:sz="0" w:space="0" w:color="auto"/>
        <w:right w:val="none" w:sz="0" w:space="0" w:color="auto"/>
      </w:divBdr>
    </w:div>
    <w:div w:id="1346708171">
      <w:bodyDiv w:val="1"/>
      <w:marLeft w:val="0"/>
      <w:marRight w:val="0"/>
      <w:marTop w:val="0"/>
      <w:marBottom w:val="0"/>
      <w:divBdr>
        <w:top w:val="none" w:sz="0" w:space="0" w:color="auto"/>
        <w:left w:val="none" w:sz="0" w:space="0" w:color="auto"/>
        <w:bottom w:val="none" w:sz="0" w:space="0" w:color="auto"/>
        <w:right w:val="none" w:sz="0" w:space="0" w:color="auto"/>
      </w:divBdr>
    </w:div>
    <w:div w:id="1352294959">
      <w:bodyDiv w:val="1"/>
      <w:marLeft w:val="0"/>
      <w:marRight w:val="0"/>
      <w:marTop w:val="0"/>
      <w:marBottom w:val="0"/>
      <w:divBdr>
        <w:top w:val="none" w:sz="0" w:space="0" w:color="auto"/>
        <w:left w:val="none" w:sz="0" w:space="0" w:color="auto"/>
        <w:bottom w:val="none" w:sz="0" w:space="0" w:color="auto"/>
        <w:right w:val="none" w:sz="0" w:space="0" w:color="auto"/>
      </w:divBdr>
      <w:divsChild>
        <w:div w:id="29575751">
          <w:marLeft w:val="0"/>
          <w:marRight w:val="0"/>
          <w:marTop w:val="0"/>
          <w:marBottom w:val="0"/>
          <w:divBdr>
            <w:top w:val="none" w:sz="0" w:space="0" w:color="auto"/>
            <w:left w:val="none" w:sz="0" w:space="0" w:color="auto"/>
            <w:bottom w:val="none" w:sz="0" w:space="0" w:color="auto"/>
            <w:right w:val="none" w:sz="0" w:space="0" w:color="auto"/>
          </w:divBdr>
          <w:divsChild>
            <w:div w:id="1431970311">
              <w:marLeft w:val="0"/>
              <w:marRight w:val="0"/>
              <w:marTop w:val="0"/>
              <w:marBottom w:val="0"/>
              <w:divBdr>
                <w:top w:val="none" w:sz="0" w:space="0" w:color="auto"/>
                <w:left w:val="none" w:sz="0" w:space="0" w:color="auto"/>
                <w:bottom w:val="none" w:sz="0" w:space="0" w:color="auto"/>
                <w:right w:val="none" w:sz="0" w:space="0" w:color="auto"/>
              </w:divBdr>
            </w:div>
          </w:divsChild>
        </w:div>
        <w:div w:id="70584541">
          <w:marLeft w:val="0"/>
          <w:marRight w:val="0"/>
          <w:marTop w:val="0"/>
          <w:marBottom w:val="0"/>
          <w:divBdr>
            <w:top w:val="none" w:sz="0" w:space="0" w:color="auto"/>
            <w:left w:val="none" w:sz="0" w:space="0" w:color="auto"/>
            <w:bottom w:val="none" w:sz="0" w:space="0" w:color="auto"/>
            <w:right w:val="none" w:sz="0" w:space="0" w:color="auto"/>
          </w:divBdr>
          <w:divsChild>
            <w:div w:id="1616214335">
              <w:marLeft w:val="0"/>
              <w:marRight w:val="0"/>
              <w:marTop w:val="0"/>
              <w:marBottom w:val="0"/>
              <w:divBdr>
                <w:top w:val="none" w:sz="0" w:space="0" w:color="auto"/>
                <w:left w:val="none" w:sz="0" w:space="0" w:color="auto"/>
                <w:bottom w:val="none" w:sz="0" w:space="0" w:color="auto"/>
                <w:right w:val="none" w:sz="0" w:space="0" w:color="auto"/>
              </w:divBdr>
            </w:div>
          </w:divsChild>
        </w:div>
        <w:div w:id="109785601">
          <w:marLeft w:val="0"/>
          <w:marRight w:val="0"/>
          <w:marTop w:val="0"/>
          <w:marBottom w:val="0"/>
          <w:divBdr>
            <w:top w:val="none" w:sz="0" w:space="0" w:color="auto"/>
            <w:left w:val="none" w:sz="0" w:space="0" w:color="auto"/>
            <w:bottom w:val="none" w:sz="0" w:space="0" w:color="auto"/>
            <w:right w:val="none" w:sz="0" w:space="0" w:color="auto"/>
          </w:divBdr>
          <w:divsChild>
            <w:div w:id="516967239">
              <w:marLeft w:val="0"/>
              <w:marRight w:val="0"/>
              <w:marTop w:val="0"/>
              <w:marBottom w:val="0"/>
              <w:divBdr>
                <w:top w:val="none" w:sz="0" w:space="0" w:color="auto"/>
                <w:left w:val="none" w:sz="0" w:space="0" w:color="auto"/>
                <w:bottom w:val="none" w:sz="0" w:space="0" w:color="auto"/>
                <w:right w:val="none" w:sz="0" w:space="0" w:color="auto"/>
              </w:divBdr>
            </w:div>
          </w:divsChild>
        </w:div>
        <w:div w:id="111484546">
          <w:marLeft w:val="0"/>
          <w:marRight w:val="0"/>
          <w:marTop w:val="0"/>
          <w:marBottom w:val="0"/>
          <w:divBdr>
            <w:top w:val="none" w:sz="0" w:space="0" w:color="auto"/>
            <w:left w:val="none" w:sz="0" w:space="0" w:color="auto"/>
            <w:bottom w:val="none" w:sz="0" w:space="0" w:color="auto"/>
            <w:right w:val="none" w:sz="0" w:space="0" w:color="auto"/>
          </w:divBdr>
          <w:divsChild>
            <w:div w:id="720634073">
              <w:marLeft w:val="0"/>
              <w:marRight w:val="0"/>
              <w:marTop w:val="0"/>
              <w:marBottom w:val="0"/>
              <w:divBdr>
                <w:top w:val="none" w:sz="0" w:space="0" w:color="auto"/>
                <w:left w:val="none" w:sz="0" w:space="0" w:color="auto"/>
                <w:bottom w:val="none" w:sz="0" w:space="0" w:color="auto"/>
                <w:right w:val="none" w:sz="0" w:space="0" w:color="auto"/>
              </w:divBdr>
            </w:div>
          </w:divsChild>
        </w:div>
        <w:div w:id="139275976">
          <w:marLeft w:val="0"/>
          <w:marRight w:val="0"/>
          <w:marTop w:val="0"/>
          <w:marBottom w:val="0"/>
          <w:divBdr>
            <w:top w:val="none" w:sz="0" w:space="0" w:color="auto"/>
            <w:left w:val="none" w:sz="0" w:space="0" w:color="auto"/>
            <w:bottom w:val="none" w:sz="0" w:space="0" w:color="auto"/>
            <w:right w:val="none" w:sz="0" w:space="0" w:color="auto"/>
          </w:divBdr>
          <w:divsChild>
            <w:div w:id="279804536">
              <w:marLeft w:val="0"/>
              <w:marRight w:val="0"/>
              <w:marTop w:val="0"/>
              <w:marBottom w:val="0"/>
              <w:divBdr>
                <w:top w:val="none" w:sz="0" w:space="0" w:color="auto"/>
                <w:left w:val="none" w:sz="0" w:space="0" w:color="auto"/>
                <w:bottom w:val="none" w:sz="0" w:space="0" w:color="auto"/>
                <w:right w:val="none" w:sz="0" w:space="0" w:color="auto"/>
              </w:divBdr>
            </w:div>
          </w:divsChild>
        </w:div>
        <w:div w:id="390883689">
          <w:marLeft w:val="0"/>
          <w:marRight w:val="0"/>
          <w:marTop w:val="0"/>
          <w:marBottom w:val="0"/>
          <w:divBdr>
            <w:top w:val="none" w:sz="0" w:space="0" w:color="auto"/>
            <w:left w:val="none" w:sz="0" w:space="0" w:color="auto"/>
            <w:bottom w:val="none" w:sz="0" w:space="0" w:color="auto"/>
            <w:right w:val="none" w:sz="0" w:space="0" w:color="auto"/>
          </w:divBdr>
          <w:divsChild>
            <w:div w:id="1091050865">
              <w:marLeft w:val="0"/>
              <w:marRight w:val="0"/>
              <w:marTop w:val="0"/>
              <w:marBottom w:val="0"/>
              <w:divBdr>
                <w:top w:val="none" w:sz="0" w:space="0" w:color="auto"/>
                <w:left w:val="none" w:sz="0" w:space="0" w:color="auto"/>
                <w:bottom w:val="none" w:sz="0" w:space="0" w:color="auto"/>
                <w:right w:val="none" w:sz="0" w:space="0" w:color="auto"/>
              </w:divBdr>
            </w:div>
          </w:divsChild>
        </w:div>
        <w:div w:id="432171300">
          <w:marLeft w:val="0"/>
          <w:marRight w:val="0"/>
          <w:marTop w:val="0"/>
          <w:marBottom w:val="0"/>
          <w:divBdr>
            <w:top w:val="none" w:sz="0" w:space="0" w:color="auto"/>
            <w:left w:val="none" w:sz="0" w:space="0" w:color="auto"/>
            <w:bottom w:val="none" w:sz="0" w:space="0" w:color="auto"/>
            <w:right w:val="none" w:sz="0" w:space="0" w:color="auto"/>
          </w:divBdr>
          <w:divsChild>
            <w:div w:id="47070940">
              <w:marLeft w:val="0"/>
              <w:marRight w:val="0"/>
              <w:marTop w:val="0"/>
              <w:marBottom w:val="0"/>
              <w:divBdr>
                <w:top w:val="none" w:sz="0" w:space="0" w:color="auto"/>
                <w:left w:val="none" w:sz="0" w:space="0" w:color="auto"/>
                <w:bottom w:val="none" w:sz="0" w:space="0" w:color="auto"/>
                <w:right w:val="none" w:sz="0" w:space="0" w:color="auto"/>
              </w:divBdr>
            </w:div>
          </w:divsChild>
        </w:div>
        <w:div w:id="471757332">
          <w:marLeft w:val="0"/>
          <w:marRight w:val="0"/>
          <w:marTop w:val="0"/>
          <w:marBottom w:val="0"/>
          <w:divBdr>
            <w:top w:val="none" w:sz="0" w:space="0" w:color="auto"/>
            <w:left w:val="none" w:sz="0" w:space="0" w:color="auto"/>
            <w:bottom w:val="none" w:sz="0" w:space="0" w:color="auto"/>
            <w:right w:val="none" w:sz="0" w:space="0" w:color="auto"/>
          </w:divBdr>
          <w:divsChild>
            <w:div w:id="443428878">
              <w:marLeft w:val="0"/>
              <w:marRight w:val="0"/>
              <w:marTop w:val="0"/>
              <w:marBottom w:val="0"/>
              <w:divBdr>
                <w:top w:val="none" w:sz="0" w:space="0" w:color="auto"/>
                <w:left w:val="none" w:sz="0" w:space="0" w:color="auto"/>
                <w:bottom w:val="none" w:sz="0" w:space="0" w:color="auto"/>
                <w:right w:val="none" w:sz="0" w:space="0" w:color="auto"/>
              </w:divBdr>
            </w:div>
          </w:divsChild>
        </w:div>
        <w:div w:id="562915215">
          <w:marLeft w:val="0"/>
          <w:marRight w:val="0"/>
          <w:marTop w:val="0"/>
          <w:marBottom w:val="0"/>
          <w:divBdr>
            <w:top w:val="none" w:sz="0" w:space="0" w:color="auto"/>
            <w:left w:val="none" w:sz="0" w:space="0" w:color="auto"/>
            <w:bottom w:val="none" w:sz="0" w:space="0" w:color="auto"/>
            <w:right w:val="none" w:sz="0" w:space="0" w:color="auto"/>
          </w:divBdr>
          <w:divsChild>
            <w:div w:id="181284484">
              <w:marLeft w:val="0"/>
              <w:marRight w:val="0"/>
              <w:marTop w:val="0"/>
              <w:marBottom w:val="0"/>
              <w:divBdr>
                <w:top w:val="none" w:sz="0" w:space="0" w:color="auto"/>
                <w:left w:val="none" w:sz="0" w:space="0" w:color="auto"/>
                <w:bottom w:val="none" w:sz="0" w:space="0" w:color="auto"/>
                <w:right w:val="none" w:sz="0" w:space="0" w:color="auto"/>
              </w:divBdr>
            </w:div>
          </w:divsChild>
        </w:div>
        <w:div w:id="707995447">
          <w:marLeft w:val="0"/>
          <w:marRight w:val="0"/>
          <w:marTop w:val="0"/>
          <w:marBottom w:val="0"/>
          <w:divBdr>
            <w:top w:val="none" w:sz="0" w:space="0" w:color="auto"/>
            <w:left w:val="none" w:sz="0" w:space="0" w:color="auto"/>
            <w:bottom w:val="none" w:sz="0" w:space="0" w:color="auto"/>
            <w:right w:val="none" w:sz="0" w:space="0" w:color="auto"/>
          </w:divBdr>
          <w:divsChild>
            <w:div w:id="1416584586">
              <w:marLeft w:val="0"/>
              <w:marRight w:val="0"/>
              <w:marTop w:val="0"/>
              <w:marBottom w:val="0"/>
              <w:divBdr>
                <w:top w:val="none" w:sz="0" w:space="0" w:color="auto"/>
                <w:left w:val="none" w:sz="0" w:space="0" w:color="auto"/>
                <w:bottom w:val="none" w:sz="0" w:space="0" w:color="auto"/>
                <w:right w:val="none" w:sz="0" w:space="0" w:color="auto"/>
              </w:divBdr>
            </w:div>
          </w:divsChild>
        </w:div>
        <w:div w:id="728456282">
          <w:marLeft w:val="0"/>
          <w:marRight w:val="0"/>
          <w:marTop w:val="0"/>
          <w:marBottom w:val="0"/>
          <w:divBdr>
            <w:top w:val="none" w:sz="0" w:space="0" w:color="auto"/>
            <w:left w:val="none" w:sz="0" w:space="0" w:color="auto"/>
            <w:bottom w:val="none" w:sz="0" w:space="0" w:color="auto"/>
            <w:right w:val="none" w:sz="0" w:space="0" w:color="auto"/>
          </w:divBdr>
          <w:divsChild>
            <w:div w:id="1861699163">
              <w:marLeft w:val="0"/>
              <w:marRight w:val="0"/>
              <w:marTop w:val="0"/>
              <w:marBottom w:val="0"/>
              <w:divBdr>
                <w:top w:val="none" w:sz="0" w:space="0" w:color="auto"/>
                <w:left w:val="none" w:sz="0" w:space="0" w:color="auto"/>
                <w:bottom w:val="none" w:sz="0" w:space="0" w:color="auto"/>
                <w:right w:val="none" w:sz="0" w:space="0" w:color="auto"/>
              </w:divBdr>
            </w:div>
          </w:divsChild>
        </w:div>
        <w:div w:id="765224528">
          <w:marLeft w:val="0"/>
          <w:marRight w:val="0"/>
          <w:marTop w:val="0"/>
          <w:marBottom w:val="0"/>
          <w:divBdr>
            <w:top w:val="none" w:sz="0" w:space="0" w:color="auto"/>
            <w:left w:val="none" w:sz="0" w:space="0" w:color="auto"/>
            <w:bottom w:val="none" w:sz="0" w:space="0" w:color="auto"/>
            <w:right w:val="none" w:sz="0" w:space="0" w:color="auto"/>
          </w:divBdr>
          <w:divsChild>
            <w:div w:id="1961649283">
              <w:marLeft w:val="0"/>
              <w:marRight w:val="0"/>
              <w:marTop w:val="0"/>
              <w:marBottom w:val="0"/>
              <w:divBdr>
                <w:top w:val="none" w:sz="0" w:space="0" w:color="auto"/>
                <w:left w:val="none" w:sz="0" w:space="0" w:color="auto"/>
                <w:bottom w:val="none" w:sz="0" w:space="0" w:color="auto"/>
                <w:right w:val="none" w:sz="0" w:space="0" w:color="auto"/>
              </w:divBdr>
            </w:div>
          </w:divsChild>
        </w:div>
        <w:div w:id="900943845">
          <w:marLeft w:val="0"/>
          <w:marRight w:val="0"/>
          <w:marTop w:val="0"/>
          <w:marBottom w:val="0"/>
          <w:divBdr>
            <w:top w:val="none" w:sz="0" w:space="0" w:color="auto"/>
            <w:left w:val="none" w:sz="0" w:space="0" w:color="auto"/>
            <w:bottom w:val="none" w:sz="0" w:space="0" w:color="auto"/>
            <w:right w:val="none" w:sz="0" w:space="0" w:color="auto"/>
          </w:divBdr>
          <w:divsChild>
            <w:div w:id="1027829052">
              <w:marLeft w:val="0"/>
              <w:marRight w:val="0"/>
              <w:marTop w:val="0"/>
              <w:marBottom w:val="0"/>
              <w:divBdr>
                <w:top w:val="none" w:sz="0" w:space="0" w:color="auto"/>
                <w:left w:val="none" w:sz="0" w:space="0" w:color="auto"/>
                <w:bottom w:val="none" w:sz="0" w:space="0" w:color="auto"/>
                <w:right w:val="none" w:sz="0" w:space="0" w:color="auto"/>
              </w:divBdr>
            </w:div>
          </w:divsChild>
        </w:div>
        <w:div w:id="1079911083">
          <w:marLeft w:val="0"/>
          <w:marRight w:val="0"/>
          <w:marTop w:val="0"/>
          <w:marBottom w:val="0"/>
          <w:divBdr>
            <w:top w:val="none" w:sz="0" w:space="0" w:color="auto"/>
            <w:left w:val="none" w:sz="0" w:space="0" w:color="auto"/>
            <w:bottom w:val="none" w:sz="0" w:space="0" w:color="auto"/>
            <w:right w:val="none" w:sz="0" w:space="0" w:color="auto"/>
          </w:divBdr>
          <w:divsChild>
            <w:div w:id="365255775">
              <w:marLeft w:val="0"/>
              <w:marRight w:val="0"/>
              <w:marTop w:val="0"/>
              <w:marBottom w:val="0"/>
              <w:divBdr>
                <w:top w:val="none" w:sz="0" w:space="0" w:color="auto"/>
                <w:left w:val="none" w:sz="0" w:space="0" w:color="auto"/>
                <w:bottom w:val="none" w:sz="0" w:space="0" w:color="auto"/>
                <w:right w:val="none" w:sz="0" w:space="0" w:color="auto"/>
              </w:divBdr>
            </w:div>
          </w:divsChild>
        </w:div>
        <w:div w:id="1143084475">
          <w:marLeft w:val="0"/>
          <w:marRight w:val="0"/>
          <w:marTop w:val="0"/>
          <w:marBottom w:val="0"/>
          <w:divBdr>
            <w:top w:val="none" w:sz="0" w:space="0" w:color="auto"/>
            <w:left w:val="none" w:sz="0" w:space="0" w:color="auto"/>
            <w:bottom w:val="none" w:sz="0" w:space="0" w:color="auto"/>
            <w:right w:val="none" w:sz="0" w:space="0" w:color="auto"/>
          </w:divBdr>
          <w:divsChild>
            <w:div w:id="2024211194">
              <w:marLeft w:val="0"/>
              <w:marRight w:val="0"/>
              <w:marTop w:val="0"/>
              <w:marBottom w:val="0"/>
              <w:divBdr>
                <w:top w:val="none" w:sz="0" w:space="0" w:color="auto"/>
                <w:left w:val="none" w:sz="0" w:space="0" w:color="auto"/>
                <w:bottom w:val="none" w:sz="0" w:space="0" w:color="auto"/>
                <w:right w:val="none" w:sz="0" w:space="0" w:color="auto"/>
              </w:divBdr>
            </w:div>
          </w:divsChild>
        </w:div>
        <w:div w:id="1188328837">
          <w:marLeft w:val="0"/>
          <w:marRight w:val="0"/>
          <w:marTop w:val="0"/>
          <w:marBottom w:val="0"/>
          <w:divBdr>
            <w:top w:val="none" w:sz="0" w:space="0" w:color="auto"/>
            <w:left w:val="none" w:sz="0" w:space="0" w:color="auto"/>
            <w:bottom w:val="none" w:sz="0" w:space="0" w:color="auto"/>
            <w:right w:val="none" w:sz="0" w:space="0" w:color="auto"/>
          </w:divBdr>
          <w:divsChild>
            <w:div w:id="1833718868">
              <w:marLeft w:val="0"/>
              <w:marRight w:val="0"/>
              <w:marTop w:val="0"/>
              <w:marBottom w:val="0"/>
              <w:divBdr>
                <w:top w:val="none" w:sz="0" w:space="0" w:color="auto"/>
                <w:left w:val="none" w:sz="0" w:space="0" w:color="auto"/>
                <w:bottom w:val="none" w:sz="0" w:space="0" w:color="auto"/>
                <w:right w:val="none" w:sz="0" w:space="0" w:color="auto"/>
              </w:divBdr>
            </w:div>
          </w:divsChild>
        </w:div>
        <w:div w:id="1339965411">
          <w:marLeft w:val="0"/>
          <w:marRight w:val="0"/>
          <w:marTop w:val="0"/>
          <w:marBottom w:val="0"/>
          <w:divBdr>
            <w:top w:val="none" w:sz="0" w:space="0" w:color="auto"/>
            <w:left w:val="none" w:sz="0" w:space="0" w:color="auto"/>
            <w:bottom w:val="none" w:sz="0" w:space="0" w:color="auto"/>
            <w:right w:val="none" w:sz="0" w:space="0" w:color="auto"/>
          </w:divBdr>
          <w:divsChild>
            <w:div w:id="566763985">
              <w:marLeft w:val="0"/>
              <w:marRight w:val="0"/>
              <w:marTop w:val="0"/>
              <w:marBottom w:val="0"/>
              <w:divBdr>
                <w:top w:val="none" w:sz="0" w:space="0" w:color="auto"/>
                <w:left w:val="none" w:sz="0" w:space="0" w:color="auto"/>
                <w:bottom w:val="none" w:sz="0" w:space="0" w:color="auto"/>
                <w:right w:val="none" w:sz="0" w:space="0" w:color="auto"/>
              </w:divBdr>
            </w:div>
          </w:divsChild>
        </w:div>
        <w:div w:id="1486359410">
          <w:marLeft w:val="0"/>
          <w:marRight w:val="0"/>
          <w:marTop w:val="0"/>
          <w:marBottom w:val="0"/>
          <w:divBdr>
            <w:top w:val="none" w:sz="0" w:space="0" w:color="auto"/>
            <w:left w:val="none" w:sz="0" w:space="0" w:color="auto"/>
            <w:bottom w:val="none" w:sz="0" w:space="0" w:color="auto"/>
            <w:right w:val="none" w:sz="0" w:space="0" w:color="auto"/>
          </w:divBdr>
          <w:divsChild>
            <w:div w:id="296691050">
              <w:marLeft w:val="0"/>
              <w:marRight w:val="0"/>
              <w:marTop w:val="0"/>
              <w:marBottom w:val="0"/>
              <w:divBdr>
                <w:top w:val="none" w:sz="0" w:space="0" w:color="auto"/>
                <w:left w:val="none" w:sz="0" w:space="0" w:color="auto"/>
                <w:bottom w:val="none" w:sz="0" w:space="0" w:color="auto"/>
                <w:right w:val="none" w:sz="0" w:space="0" w:color="auto"/>
              </w:divBdr>
            </w:div>
          </w:divsChild>
        </w:div>
        <w:div w:id="1581059978">
          <w:marLeft w:val="0"/>
          <w:marRight w:val="0"/>
          <w:marTop w:val="0"/>
          <w:marBottom w:val="0"/>
          <w:divBdr>
            <w:top w:val="none" w:sz="0" w:space="0" w:color="auto"/>
            <w:left w:val="none" w:sz="0" w:space="0" w:color="auto"/>
            <w:bottom w:val="none" w:sz="0" w:space="0" w:color="auto"/>
            <w:right w:val="none" w:sz="0" w:space="0" w:color="auto"/>
          </w:divBdr>
          <w:divsChild>
            <w:div w:id="1893536995">
              <w:marLeft w:val="0"/>
              <w:marRight w:val="0"/>
              <w:marTop w:val="0"/>
              <w:marBottom w:val="0"/>
              <w:divBdr>
                <w:top w:val="none" w:sz="0" w:space="0" w:color="auto"/>
                <w:left w:val="none" w:sz="0" w:space="0" w:color="auto"/>
                <w:bottom w:val="none" w:sz="0" w:space="0" w:color="auto"/>
                <w:right w:val="none" w:sz="0" w:space="0" w:color="auto"/>
              </w:divBdr>
            </w:div>
          </w:divsChild>
        </w:div>
        <w:div w:id="1666665171">
          <w:marLeft w:val="0"/>
          <w:marRight w:val="0"/>
          <w:marTop w:val="0"/>
          <w:marBottom w:val="0"/>
          <w:divBdr>
            <w:top w:val="none" w:sz="0" w:space="0" w:color="auto"/>
            <w:left w:val="none" w:sz="0" w:space="0" w:color="auto"/>
            <w:bottom w:val="none" w:sz="0" w:space="0" w:color="auto"/>
            <w:right w:val="none" w:sz="0" w:space="0" w:color="auto"/>
          </w:divBdr>
          <w:divsChild>
            <w:div w:id="504828828">
              <w:marLeft w:val="0"/>
              <w:marRight w:val="0"/>
              <w:marTop w:val="0"/>
              <w:marBottom w:val="0"/>
              <w:divBdr>
                <w:top w:val="none" w:sz="0" w:space="0" w:color="auto"/>
                <w:left w:val="none" w:sz="0" w:space="0" w:color="auto"/>
                <w:bottom w:val="none" w:sz="0" w:space="0" w:color="auto"/>
                <w:right w:val="none" w:sz="0" w:space="0" w:color="auto"/>
              </w:divBdr>
            </w:div>
          </w:divsChild>
        </w:div>
        <w:div w:id="1668824141">
          <w:marLeft w:val="0"/>
          <w:marRight w:val="0"/>
          <w:marTop w:val="0"/>
          <w:marBottom w:val="0"/>
          <w:divBdr>
            <w:top w:val="none" w:sz="0" w:space="0" w:color="auto"/>
            <w:left w:val="none" w:sz="0" w:space="0" w:color="auto"/>
            <w:bottom w:val="none" w:sz="0" w:space="0" w:color="auto"/>
            <w:right w:val="none" w:sz="0" w:space="0" w:color="auto"/>
          </w:divBdr>
          <w:divsChild>
            <w:div w:id="1899587891">
              <w:marLeft w:val="0"/>
              <w:marRight w:val="0"/>
              <w:marTop w:val="0"/>
              <w:marBottom w:val="0"/>
              <w:divBdr>
                <w:top w:val="none" w:sz="0" w:space="0" w:color="auto"/>
                <w:left w:val="none" w:sz="0" w:space="0" w:color="auto"/>
                <w:bottom w:val="none" w:sz="0" w:space="0" w:color="auto"/>
                <w:right w:val="none" w:sz="0" w:space="0" w:color="auto"/>
              </w:divBdr>
            </w:div>
          </w:divsChild>
        </w:div>
        <w:div w:id="1814786310">
          <w:marLeft w:val="0"/>
          <w:marRight w:val="0"/>
          <w:marTop w:val="0"/>
          <w:marBottom w:val="0"/>
          <w:divBdr>
            <w:top w:val="none" w:sz="0" w:space="0" w:color="auto"/>
            <w:left w:val="none" w:sz="0" w:space="0" w:color="auto"/>
            <w:bottom w:val="none" w:sz="0" w:space="0" w:color="auto"/>
            <w:right w:val="none" w:sz="0" w:space="0" w:color="auto"/>
          </w:divBdr>
          <w:divsChild>
            <w:div w:id="391973161">
              <w:marLeft w:val="0"/>
              <w:marRight w:val="0"/>
              <w:marTop w:val="0"/>
              <w:marBottom w:val="0"/>
              <w:divBdr>
                <w:top w:val="none" w:sz="0" w:space="0" w:color="auto"/>
                <w:left w:val="none" w:sz="0" w:space="0" w:color="auto"/>
                <w:bottom w:val="none" w:sz="0" w:space="0" w:color="auto"/>
                <w:right w:val="none" w:sz="0" w:space="0" w:color="auto"/>
              </w:divBdr>
            </w:div>
          </w:divsChild>
        </w:div>
        <w:div w:id="1877817771">
          <w:marLeft w:val="0"/>
          <w:marRight w:val="0"/>
          <w:marTop w:val="0"/>
          <w:marBottom w:val="0"/>
          <w:divBdr>
            <w:top w:val="none" w:sz="0" w:space="0" w:color="auto"/>
            <w:left w:val="none" w:sz="0" w:space="0" w:color="auto"/>
            <w:bottom w:val="none" w:sz="0" w:space="0" w:color="auto"/>
            <w:right w:val="none" w:sz="0" w:space="0" w:color="auto"/>
          </w:divBdr>
          <w:divsChild>
            <w:div w:id="890263357">
              <w:marLeft w:val="0"/>
              <w:marRight w:val="0"/>
              <w:marTop w:val="0"/>
              <w:marBottom w:val="0"/>
              <w:divBdr>
                <w:top w:val="none" w:sz="0" w:space="0" w:color="auto"/>
                <w:left w:val="none" w:sz="0" w:space="0" w:color="auto"/>
                <w:bottom w:val="none" w:sz="0" w:space="0" w:color="auto"/>
                <w:right w:val="none" w:sz="0" w:space="0" w:color="auto"/>
              </w:divBdr>
            </w:div>
          </w:divsChild>
        </w:div>
        <w:div w:id="1909800480">
          <w:marLeft w:val="0"/>
          <w:marRight w:val="0"/>
          <w:marTop w:val="0"/>
          <w:marBottom w:val="0"/>
          <w:divBdr>
            <w:top w:val="none" w:sz="0" w:space="0" w:color="auto"/>
            <w:left w:val="none" w:sz="0" w:space="0" w:color="auto"/>
            <w:bottom w:val="none" w:sz="0" w:space="0" w:color="auto"/>
            <w:right w:val="none" w:sz="0" w:space="0" w:color="auto"/>
          </w:divBdr>
          <w:divsChild>
            <w:div w:id="536620872">
              <w:marLeft w:val="0"/>
              <w:marRight w:val="0"/>
              <w:marTop w:val="0"/>
              <w:marBottom w:val="0"/>
              <w:divBdr>
                <w:top w:val="none" w:sz="0" w:space="0" w:color="auto"/>
                <w:left w:val="none" w:sz="0" w:space="0" w:color="auto"/>
                <w:bottom w:val="none" w:sz="0" w:space="0" w:color="auto"/>
                <w:right w:val="none" w:sz="0" w:space="0" w:color="auto"/>
              </w:divBdr>
            </w:div>
          </w:divsChild>
        </w:div>
        <w:div w:id="1945189577">
          <w:marLeft w:val="0"/>
          <w:marRight w:val="0"/>
          <w:marTop w:val="0"/>
          <w:marBottom w:val="0"/>
          <w:divBdr>
            <w:top w:val="none" w:sz="0" w:space="0" w:color="auto"/>
            <w:left w:val="none" w:sz="0" w:space="0" w:color="auto"/>
            <w:bottom w:val="none" w:sz="0" w:space="0" w:color="auto"/>
            <w:right w:val="none" w:sz="0" w:space="0" w:color="auto"/>
          </w:divBdr>
          <w:divsChild>
            <w:div w:id="21451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58379">
      <w:bodyDiv w:val="1"/>
      <w:marLeft w:val="0"/>
      <w:marRight w:val="0"/>
      <w:marTop w:val="0"/>
      <w:marBottom w:val="0"/>
      <w:divBdr>
        <w:top w:val="none" w:sz="0" w:space="0" w:color="auto"/>
        <w:left w:val="none" w:sz="0" w:space="0" w:color="auto"/>
        <w:bottom w:val="none" w:sz="0" w:space="0" w:color="auto"/>
        <w:right w:val="none" w:sz="0" w:space="0" w:color="auto"/>
      </w:divBdr>
      <w:divsChild>
        <w:div w:id="296376327">
          <w:marLeft w:val="547"/>
          <w:marRight w:val="0"/>
          <w:marTop w:val="240"/>
          <w:marBottom w:val="120"/>
          <w:divBdr>
            <w:top w:val="none" w:sz="0" w:space="0" w:color="auto"/>
            <w:left w:val="none" w:sz="0" w:space="0" w:color="auto"/>
            <w:bottom w:val="none" w:sz="0" w:space="0" w:color="auto"/>
            <w:right w:val="none" w:sz="0" w:space="0" w:color="auto"/>
          </w:divBdr>
        </w:div>
        <w:div w:id="759568107">
          <w:marLeft w:val="547"/>
          <w:marRight w:val="0"/>
          <w:marTop w:val="240"/>
          <w:marBottom w:val="120"/>
          <w:divBdr>
            <w:top w:val="none" w:sz="0" w:space="0" w:color="auto"/>
            <w:left w:val="none" w:sz="0" w:space="0" w:color="auto"/>
            <w:bottom w:val="none" w:sz="0" w:space="0" w:color="auto"/>
            <w:right w:val="none" w:sz="0" w:space="0" w:color="auto"/>
          </w:divBdr>
        </w:div>
        <w:div w:id="1114405259">
          <w:marLeft w:val="547"/>
          <w:marRight w:val="0"/>
          <w:marTop w:val="240"/>
          <w:marBottom w:val="120"/>
          <w:divBdr>
            <w:top w:val="none" w:sz="0" w:space="0" w:color="auto"/>
            <w:left w:val="none" w:sz="0" w:space="0" w:color="auto"/>
            <w:bottom w:val="none" w:sz="0" w:space="0" w:color="auto"/>
            <w:right w:val="none" w:sz="0" w:space="0" w:color="auto"/>
          </w:divBdr>
        </w:div>
        <w:div w:id="1229340132">
          <w:marLeft w:val="547"/>
          <w:marRight w:val="0"/>
          <w:marTop w:val="240"/>
          <w:marBottom w:val="120"/>
          <w:divBdr>
            <w:top w:val="none" w:sz="0" w:space="0" w:color="auto"/>
            <w:left w:val="none" w:sz="0" w:space="0" w:color="auto"/>
            <w:bottom w:val="none" w:sz="0" w:space="0" w:color="auto"/>
            <w:right w:val="none" w:sz="0" w:space="0" w:color="auto"/>
          </w:divBdr>
        </w:div>
        <w:div w:id="1831677862">
          <w:marLeft w:val="547"/>
          <w:marRight w:val="0"/>
          <w:marTop w:val="240"/>
          <w:marBottom w:val="120"/>
          <w:divBdr>
            <w:top w:val="none" w:sz="0" w:space="0" w:color="auto"/>
            <w:left w:val="none" w:sz="0" w:space="0" w:color="auto"/>
            <w:bottom w:val="none" w:sz="0" w:space="0" w:color="auto"/>
            <w:right w:val="none" w:sz="0" w:space="0" w:color="auto"/>
          </w:divBdr>
        </w:div>
      </w:divsChild>
    </w:div>
    <w:div w:id="1363288578">
      <w:bodyDiv w:val="1"/>
      <w:marLeft w:val="0"/>
      <w:marRight w:val="0"/>
      <w:marTop w:val="0"/>
      <w:marBottom w:val="0"/>
      <w:divBdr>
        <w:top w:val="none" w:sz="0" w:space="0" w:color="auto"/>
        <w:left w:val="none" w:sz="0" w:space="0" w:color="auto"/>
        <w:bottom w:val="none" w:sz="0" w:space="0" w:color="auto"/>
        <w:right w:val="none" w:sz="0" w:space="0" w:color="auto"/>
      </w:divBdr>
      <w:divsChild>
        <w:div w:id="26417153">
          <w:marLeft w:val="0"/>
          <w:marRight w:val="0"/>
          <w:marTop w:val="0"/>
          <w:marBottom w:val="0"/>
          <w:divBdr>
            <w:top w:val="none" w:sz="0" w:space="0" w:color="auto"/>
            <w:left w:val="none" w:sz="0" w:space="0" w:color="auto"/>
            <w:bottom w:val="none" w:sz="0" w:space="0" w:color="auto"/>
            <w:right w:val="none" w:sz="0" w:space="0" w:color="auto"/>
          </w:divBdr>
          <w:divsChild>
            <w:div w:id="307323914">
              <w:marLeft w:val="0"/>
              <w:marRight w:val="0"/>
              <w:marTop w:val="0"/>
              <w:marBottom w:val="0"/>
              <w:divBdr>
                <w:top w:val="none" w:sz="0" w:space="0" w:color="auto"/>
                <w:left w:val="none" w:sz="0" w:space="0" w:color="auto"/>
                <w:bottom w:val="none" w:sz="0" w:space="0" w:color="auto"/>
                <w:right w:val="none" w:sz="0" w:space="0" w:color="auto"/>
              </w:divBdr>
            </w:div>
            <w:div w:id="438599359">
              <w:marLeft w:val="0"/>
              <w:marRight w:val="0"/>
              <w:marTop w:val="0"/>
              <w:marBottom w:val="0"/>
              <w:divBdr>
                <w:top w:val="none" w:sz="0" w:space="0" w:color="auto"/>
                <w:left w:val="none" w:sz="0" w:space="0" w:color="auto"/>
                <w:bottom w:val="none" w:sz="0" w:space="0" w:color="auto"/>
                <w:right w:val="none" w:sz="0" w:space="0" w:color="auto"/>
              </w:divBdr>
            </w:div>
          </w:divsChild>
        </w:div>
        <w:div w:id="188376122">
          <w:marLeft w:val="0"/>
          <w:marRight w:val="0"/>
          <w:marTop w:val="0"/>
          <w:marBottom w:val="0"/>
          <w:divBdr>
            <w:top w:val="none" w:sz="0" w:space="0" w:color="auto"/>
            <w:left w:val="none" w:sz="0" w:space="0" w:color="auto"/>
            <w:bottom w:val="none" w:sz="0" w:space="0" w:color="auto"/>
            <w:right w:val="none" w:sz="0" w:space="0" w:color="auto"/>
          </w:divBdr>
          <w:divsChild>
            <w:div w:id="2072531257">
              <w:marLeft w:val="0"/>
              <w:marRight w:val="0"/>
              <w:marTop w:val="0"/>
              <w:marBottom w:val="0"/>
              <w:divBdr>
                <w:top w:val="none" w:sz="0" w:space="0" w:color="auto"/>
                <w:left w:val="none" w:sz="0" w:space="0" w:color="auto"/>
                <w:bottom w:val="none" w:sz="0" w:space="0" w:color="auto"/>
                <w:right w:val="none" w:sz="0" w:space="0" w:color="auto"/>
              </w:divBdr>
            </w:div>
          </w:divsChild>
        </w:div>
        <w:div w:id="392435225">
          <w:marLeft w:val="0"/>
          <w:marRight w:val="0"/>
          <w:marTop w:val="0"/>
          <w:marBottom w:val="0"/>
          <w:divBdr>
            <w:top w:val="none" w:sz="0" w:space="0" w:color="auto"/>
            <w:left w:val="none" w:sz="0" w:space="0" w:color="auto"/>
            <w:bottom w:val="none" w:sz="0" w:space="0" w:color="auto"/>
            <w:right w:val="none" w:sz="0" w:space="0" w:color="auto"/>
          </w:divBdr>
          <w:divsChild>
            <w:div w:id="1355423683">
              <w:marLeft w:val="0"/>
              <w:marRight w:val="0"/>
              <w:marTop w:val="0"/>
              <w:marBottom w:val="0"/>
              <w:divBdr>
                <w:top w:val="none" w:sz="0" w:space="0" w:color="auto"/>
                <w:left w:val="none" w:sz="0" w:space="0" w:color="auto"/>
                <w:bottom w:val="none" w:sz="0" w:space="0" w:color="auto"/>
                <w:right w:val="none" w:sz="0" w:space="0" w:color="auto"/>
              </w:divBdr>
            </w:div>
          </w:divsChild>
        </w:div>
        <w:div w:id="399250433">
          <w:marLeft w:val="0"/>
          <w:marRight w:val="0"/>
          <w:marTop w:val="0"/>
          <w:marBottom w:val="0"/>
          <w:divBdr>
            <w:top w:val="none" w:sz="0" w:space="0" w:color="auto"/>
            <w:left w:val="none" w:sz="0" w:space="0" w:color="auto"/>
            <w:bottom w:val="none" w:sz="0" w:space="0" w:color="auto"/>
            <w:right w:val="none" w:sz="0" w:space="0" w:color="auto"/>
          </w:divBdr>
          <w:divsChild>
            <w:div w:id="990863040">
              <w:marLeft w:val="0"/>
              <w:marRight w:val="0"/>
              <w:marTop w:val="0"/>
              <w:marBottom w:val="0"/>
              <w:divBdr>
                <w:top w:val="none" w:sz="0" w:space="0" w:color="auto"/>
                <w:left w:val="none" w:sz="0" w:space="0" w:color="auto"/>
                <w:bottom w:val="none" w:sz="0" w:space="0" w:color="auto"/>
                <w:right w:val="none" w:sz="0" w:space="0" w:color="auto"/>
              </w:divBdr>
            </w:div>
          </w:divsChild>
        </w:div>
        <w:div w:id="473061243">
          <w:marLeft w:val="0"/>
          <w:marRight w:val="0"/>
          <w:marTop w:val="0"/>
          <w:marBottom w:val="0"/>
          <w:divBdr>
            <w:top w:val="none" w:sz="0" w:space="0" w:color="auto"/>
            <w:left w:val="none" w:sz="0" w:space="0" w:color="auto"/>
            <w:bottom w:val="none" w:sz="0" w:space="0" w:color="auto"/>
            <w:right w:val="none" w:sz="0" w:space="0" w:color="auto"/>
          </w:divBdr>
          <w:divsChild>
            <w:div w:id="2051612718">
              <w:marLeft w:val="0"/>
              <w:marRight w:val="0"/>
              <w:marTop w:val="0"/>
              <w:marBottom w:val="0"/>
              <w:divBdr>
                <w:top w:val="none" w:sz="0" w:space="0" w:color="auto"/>
                <w:left w:val="none" w:sz="0" w:space="0" w:color="auto"/>
                <w:bottom w:val="none" w:sz="0" w:space="0" w:color="auto"/>
                <w:right w:val="none" w:sz="0" w:space="0" w:color="auto"/>
              </w:divBdr>
            </w:div>
          </w:divsChild>
        </w:div>
        <w:div w:id="475875091">
          <w:marLeft w:val="0"/>
          <w:marRight w:val="0"/>
          <w:marTop w:val="0"/>
          <w:marBottom w:val="0"/>
          <w:divBdr>
            <w:top w:val="none" w:sz="0" w:space="0" w:color="auto"/>
            <w:left w:val="none" w:sz="0" w:space="0" w:color="auto"/>
            <w:bottom w:val="none" w:sz="0" w:space="0" w:color="auto"/>
            <w:right w:val="none" w:sz="0" w:space="0" w:color="auto"/>
          </w:divBdr>
          <w:divsChild>
            <w:div w:id="686060736">
              <w:marLeft w:val="0"/>
              <w:marRight w:val="0"/>
              <w:marTop w:val="0"/>
              <w:marBottom w:val="0"/>
              <w:divBdr>
                <w:top w:val="none" w:sz="0" w:space="0" w:color="auto"/>
                <w:left w:val="none" w:sz="0" w:space="0" w:color="auto"/>
                <w:bottom w:val="none" w:sz="0" w:space="0" w:color="auto"/>
                <w:right w:val="none" w:sz="0" w:space="0" w:color="auto"/>
              </w:divBdr>
            </w:div>
          </w:divsChild>
        </w:div>
        <w:div w:id="506091287">
          <w:marLeft w:val="0"/>
          <w:marRight w:val="0"/>
          <w:marTop w:val="0"/>
          <w:marBottom w:val="0"/>
          <w:divBdr>
            <w:top w:val="none" w:sz="0" w:space="0" w:color="auto"/>
            <w:left w:val="none" w:sz="0" w:space="0" w:color="auto"/>
            <w:bottom w:val="none" w:sz="0" w:space="0" w:color="auto"/>
            <w:right w:val="none" w:sz="0" w:space="0" w:color="auto"/>
          </w:divBdr>
          <w:divsChild>
            <w:div w:id="1412383946">
              <w:marLeft w:val="0"/>
              <w:marRight w:val="0"/>
              <w:marTop w:val="0"/>
              <w:marBottom w:val="0"/>
              <w:divBdr>
                <w:top w:val="none" w:sz="0" w:space="0" w:color="auto"/>
                <w:left w:val="none" w:sz="0" w:space="0" w:color="auto"/>
                <w:bottom w:val="none" w:sz="0" w:space="0" w:color="auto"/>
                <w:right w:val="none" w:sz="0" w:space="0" w:color="auto"/>
              </w:divBdr>
            </w:div>
          </w:divsChild>
        </w:div>
        <w:div w:id="600652069">
          <w:marLeft w:val="0"/>
          <w:marRight w:val="0"/>
          <w:marTop w:val="0"/>
          <w:marBottom w:val="0"/>
          <w:divBdr>
            <w:top w:val="none" w:sz="0" w:space="0" w:color="auto"/>
            <w:left w:val="none" w:sz="0" w:space="0" w:color="auto"/>
            <w:bottom w:val="none" w:sz="0" w:space="0" w:color="auto"/>
            <w:right w:val="none" w:sz="0" w:space="0" w:color="auto"/>
          </w:divBdr>
          <w:divsChild>
            <w:div w:id="1007102816">
              <w:marLeft w:val="0"/>
              <w:marRight w:val="0"/>
              <w:marTop w:val="0"/>
              <w:marBottom w:val="0"/>
              <w:divBdr>
                <w:top w:val="none" w:sz="0" w:space="0" w:color="auto"/>
                <w:left w:val="none" w:sz="0" w:space="0" w:color="auto"/>
                <w:bottom w:val="none" w:sz="0" w:space="0" w:color="auto"/>
                <w:right w:val="none" w:sz="0" w:space="0" w:color="auto"/>
              </w:divBdr>
            </w:div>
          </w:divsChild>
        </w:div>
        <w:div w:id="734163003">
          <w:marLeft w:val="0"/>
          <w:marRight w:val="0"/>
          <w:marTop w:val="0"/>
          <w:marBottom w:val="0"/>
          <w:divBdr>
            <w:top w:val="none" w:sz="0" w:space="0" w:color="auto"/>
            <w:left w:val="none" w:sz="0" w:space="0" w:color="auto"/>
            <w:bottom w:val="none" w:sz="0" w:space="0" w:color="auto"/>
            <w:right w:val="none" w:sz="0" w:space="0" w:color="auto"/>
          </w:divBdr>
          <w:divsChild>
            <w:div w:id="839665123">
              <w:marLeft w:val="0"/>
              <w:marRight w:val="0"/>
              <w:marTop w:val="0"/>
              <w:marBottom w:val="0"/>
              <w:divBdr>
                <w:top w:val="none" w:sz="0" w:space="0" w:color="auto"/>
                <w:left w:val="none" w:sz="0" w:space="0" w:color="auto"/>
                <w:bottom w:val="none" w:sz="0" w:space="0" w:color="auto"/>
                <w:right w:val="none" w:sz="0" w:space="0" w:color="auto"/>
              </w:divBdr>
            </w:div>
          </w:divsChild>
        </w:div>
        <w:div w:id="824399841">
          <w:marLeft w:val="0"/>
          <w:marRight w:val="0"/>
          <w:marTop w:val="0"/>
          <w:marBottom w:val="0"/>
          <w:divBdr>
            <w:top w:val="none" w:sz="0" w:space="0" w:color="auto"/>
            <w:left w:val="none" w:sz="0" w:space="0" w:color="auto"/>
            <w:bottom w:val="none" w:sz="0" w:space="0" w:color="auto"/>
            <w:right w:val="none" w:sz="0" w:space="0" w:color="auto"/>
          </w:divBdr>
          <w:divsChild>
            <w:div w:id="1957104212">
              <w:marLeft w:val="0"/>
              <w:marRight w:val="0"/>
              <w:marTop w:val="0"/>
              <w:marBottom w:val="0"/>
              <w:divBdr>
                <w:top w:val="none" w:sz="0" w:space="0" w:color="auto"/>
                <w:left w:val="none" w:sz="0" w:space="0" w:color="auto"/>
                <w:bottom w:val="none" w:sz="0" w:space="0" w:color="auto"/>
                <w:right w:val="none" w:sz="0" w:space="0" w:color="auto"/>
              </w:divBdr>
            </w:div>
          </w:divsChild>
        </w:div>
        <w:div w:id="836116410">
          <w:marLeft w:val="0"/>
          <w:marRight w:val="0"/>
          <w:marTop w:val="0"/>
          <w:marBottom w:val="0"/>
          <w:divBdr>
            <w:top w:val="none" w:sz="0" w:space="0" w:color="auto"/>
            <w:left w:val="none" w:sz="0" w:space="0" w:color="auto"/>
            <w:bottom w:val="none" w:sz="0" w:space="0" w:color="auto"/>
            <w:right w:val="none" w:sz="0" w:space="0" w:color="auto"/>
          </w:divBdr>
          <w:divsChild>
            <w:div w:id="1543640420">
              <w:marLeft w:val="0"/>
              <w:marRight w:val="0"/>
              <w:marTop w:val="0"/>
              <w:marBottom w:val="0"/>
              <w:divBdr>
                <w:top w:val="none" w:sz="0" w:space="0" w:color="auto"/>
                <w:left w:val="none" w:sz="0" w:space="0" w:color="auto"/>
                <w:bottom w:val="none" w:sz="0" w:space="0" w:color="auto"/>
                <w:right w:val="none" w:sz="0" w:space="0" w:color="auto"/>
              </w:divBdr>
            </w:div>
          </w:divsChild>
        </w:div>
        <w:div w:id="911505558">
          <w:marLeft w:val="0"/>
          <w:marRight w:val="0"/>
          <w:marTop w:val="0"/>
          <w:marBottom w:val="0"/>
          <w:divBdr>
            <w:top w:val="none" w:sz="0" w:space="0" w:color="auto"/>
            <w:left w:val="none" w:sz="0" w:space="0" w:color="auto"/>
            <w:bottom w:val="none" w:sz="0" w:space="0" w:color="auto"/>
            <w:right w:val="none" w:sz="0" w:space="0" w:color="auto"/>
          </w:divBdr>
          <w:divsChild>
            <w:div w:id="912395990">
              <w:marLeft w:val="0"/>
              <w:marRight w:val="0"/>
              <w:marTop w:val="0"/>
              <w:marBottom w:val="0"/>
              <w:divBdr>
                <w:top w:val="none" w:sz="0" w:space="0" w:color="auto"/>
                <w:left w:val="none" w:sz="0" w:space="0" w:color="auto"/>
                <w:bottom w:val="none" w:sz="0" w:space="0" w:color="auto"/>
                <w:right w:val="none" w:sz="0" w:space="0" w:color="auto"/>
              </w:divBdr>
            </w:div>
          </w:divsChild>
        </w:div>
        <w:div w:id="924219399">
          <w:marLeft w:val="0"/>
          <w:marRight w:val="0"/>
          <w:marTop w:val="0"/>
          <w:marBottom w:val="0"/>
          <w:divBdr>
            <w:top w:val="none" w:sz="0" w:space="0" w:color="auto"/>
            <w:left w:val="none" w:sz="0" w:space="0" w:color="auto"/>
            <w:bottom w:val="none" w:sz="0" w:space="0" w:color="auto"/>
            <w:right w:val="none" w:sz="0" w:space="0" w:color="auto"/>
          </w:divBdr>
          <w:divsChild>
            <w:div w:id="1104347618">
              <w:marLeft w:val="0"/>
              <w:marRight w:val="0"/>
              <w:marTop w:val="0"/>
              <w:marBottom w:val="0"/>
              <w:divBdr>
                <w:top w:val="none" w:sz="0" w:space="0" w:color="auto"/>
                <w:left w:val="none" w:sz="0" w:space="0" w:color="auto"/>
                <w:bottom w:val="none" w:sz="0" w:space="0" w:color="auto"/>
                <w:right w:val="none" w:sz="0" w:space="0" w:color="auto"/>
              </w:divBdr>
            </w:div>
          </w:divsChild>
        </w:div>
        <w:div w:id="999578505">
          <w:marLeft w:val="0"/>
          <w:marRight w:val="0"/>
          <w:marTop w:val="0"/>
          <w:marBottom w:val="0"/>
          <w:divBdr>
            <w:top w:val="none" w:sz="0" w:space="0" w:color="auto"/>
            <w:left w:val="none" w:sz="0" w:space="0" w:color="auto"/>
            <w:bottom w:val="none" w:sz="0" w:space="0" w:color="auto"/>
            <w:right w:val="none" w:sz="0" w:space="0" w:color="auto"/>
          </w:divBdr>
          <w:divsChild>
            <w:div w:id="678772542">
              <w:marLeft w:val="0"/>
              <w:marRight w:val="0"/>
              <w:marTop w:val="0"/>
              <w:marBottom w:val="0"/>
              <w:divBdr>
                <w:top w:val="none" w:sz="0" w:space="0" w:color="auto"/>
                <w:left w:val="none" w:sz="0" w:space="0" w:color="auto"/>
                <w:bottom w:val="none" w:sz="0" w:space="0" w:color="auto"/>
                <w:right w:val="none" w:sz="0" w:space="0" w:color="auto"/>
              </w:divBdr>
            </w:div>
          </w:divsChild>
        </w:div>
        <w:div w:id="1036346267">
          <w:marLeft w:val="0"/>
          <w:marRight w:val="0"/>
          <w:marTop w:val="0"/>
          <w:marBottom w:val="0"/>
          <w:divBdr>
            <w:top w:val="none" w:sz="0" w:space="0" w:color="auto"/>
            <w:left w:val="none" w:sz="0" w:space="0" w:color="auto"/>
            <w:bottom w:val="none" w:sz="0" w:space="0" w:color="auto"/>
            <w:right w:val="none" w:sz="0" w:space="0" w:color="auto"/>
          </w:divBdr>
          <w:divsChild>
            <w:div w:id="198977904">
              <w:marLeft w:val="0"/>
              <w:marRight w:val="0"/>
              <w:marTop w:val="0"/>
              <w:marBottom w:val="0"/>
              <w:divBdr>
                <w:top w:val="none" w:sz="0" w:space="0" w:color="auto"/>
                <w:left w:val="none" w:sz="0" w:space="0" w:color="auto"/>
                <w:bottom w:val="none" w:sz="0" w:space="0" w:color="auto"/>
                <w:right w:val="none" w:sz="0" w:space="0" w:color="auto"/>
              </w:divBdr>
            </w:div>
          </w:divsChild>
        </w:div>
        <w:div w:id="1133401166">
          <w:marLeft w:val="0"/>
          <w:marRight w:val="0"/>
          <w:marTop w:val="0"/>
          <w:marBottom w:val="0"/>
          <w:divBdr>
            <w:top w:val="none" w:sz="0" w:space="0" w:color="auto"/>
            <w:left w:val="none" w:sz="0" w:space="0" w:color="auto"/>
            <w:bottom w:val="none" w:sz="0" w:space="0" w:color="auto"/>
            <w:right w:val="none" w:sz="0" w:space="0" w:color="auto"/>
          </w:divBdr>
          <w:divsChild>
            <w:div w:id="857356427">
              <w:marLeft w:val="0"/>
              <w:marRight w:val="0"/>
              <w:marTop w:val="0"/>
              <w:marBottom w:val="0"/>
              <w:divBdr>
                <w:top w:val="none" w:sz="0" w:space="0" w:color="auto"/>
                <w:left w:val="none" w:sz="0" w:space="0" w:color="auto"/>
                <w:bottom w:val="none" w:sz="0" w:space="0" w:color="auto"/>
                <w:right w:val="none" w:sz="0" w:space="0" w:color="auto"/>
              </w:divBdr>
            </w:div>
          </w:divsChild>
        </w:div>
        <w:div w:id="1349059515">
          <w:marLeft w:val="0"/>
          <w:marRight w:val="0"/>
          <w:marTop w:val="0"/>
          <w:marBottom w:val="0"/>
          <w:divBdr>
            <w:top w:val="none" w:sz="0" w:space="0" w:color="auto"/>
            <w:left w:val="none" w:sz="0" w:space="0" w:color="auto"/>
            <w:bottom w:val="none" w:sz="0" w:space="0" w:color="auto"/>
            <w:right w:val="none" w:sz="0" w:space="0" w:color="auto"/>
          </w:divBdr>
          <w:divsChild>
            <w:div w:id="107087951">
              <w:marLeft w:val="0"/>
              <w:marRight w:val="0"/>
              <w:marTop w:val="0"/>
              <w:marBottom w:val="0"/>
              <w:divBdr>
                <w:top w:val="none" w:sz="0" w:space="0" w:color="auto"/>
                <w:left w:val="none" w:sz="0" w:space="0" w:color="auto"/>
                <w:bottom w:val="none" w:sz="0" w:space="0" w:color="auto"/>
                <w:right w:val="none" w:sz="0" w:space="0" w:color="auto"/>
              </w:divBdr>
            </w:div>
          </w:divsChild>
        </w:div>
        <w:div w:id="1383945743">
          <w:marLeft w:val="0"/>
          <w:marRight w:val="0"/>
          <w:marTop w:val="0"/>
          <w:marBottom w:val="0"/>
          <w:divBdr>
            <w:top w:val="none" w:sz="0" w:space="0" w:color="auto"/>
            <w:left w:val="none" w:sz="0" w:space="0" w:color="auto"/>
            <w:bottom w:val="none" w:sz="0" w:space="0" w:color="auto"/>
            <w:right w:val="none" w:sz="0" w:space="0" w:color="auto"/>
          </w:divBdr>
          <w:divsChild>
            <w:div w:id="1607150207">
              <w:marLeft w:val="0"/>
              <w:marRight w:val="0"/>
              <w:marTop w:val="0"/>
              <w:marBottom w:val="0"/>
              <w:divBdr>
                <w:top w:val="none" w:sz="0" w:space="0" w:color="auto"/>
                <w:left w:val="none" w:sz="0" w:space="0" w:color="auto"/>
                <w:bottom w:val="none" w:sz="0" w:space="0" w:color="auto"/>
                <w:right w:val="none" w:sz="0" w:space="0" w:color="auto"/>
              </w:divBdr>
            </w:div>
          </w:divsChild>
        </w:div>
        <w:div w:id="1496414636">
          <w:marLeft w:val="0"/>
          <w:marRight w:val="0"/>
          <w:marTop w:val="0"/>
          <w:marBottom w:val="0"/>
          <w:divBdr>
            <w:top w:val="none" w:sz="0" w:space="0" w:color="auto"/>
            <w:left w:val="none" w:sz="0" w:space="0" w:color="auto"/>
            <w:bottom w:val="none" w:sz="0" w:space="0" w:color="auto"/>
            <w:right w:val="none" w:sz="0" w:space="0" w:color="auto"/>
          </w:divBdr>
          <w:divsChild>
            <w:div w:id="1144933293">
              <w:marLeft w:val="0"/>
              <w:marRight w:val="0"/>
              <w:marTop w:val="0"/>
              <w:marBottom w:val="0"/>
              <w:divBdr>
                <w:top w:val="none" w:sz="0" w:space="0" w:color="auto"/>
                <w:left w:val="none" w:sz="0" w:space="0" w:color="auto"/>
                <w:bottom w:val="none" w:sz="0" w:space="0" w:color="auto"/>
                <w:right w:val="none" w:sz="0" w:space="0" w:color="auto"/>
              </w:divBdr>
            </w:div>
          </w:divsChild>
        </w:div>
        <w:div w:id="1502618103">
          <w:marLeft w:val="0"/>
          <w:marRight w:val="0"/>
          <w:marTop w:val="0"/>
          <w:marBottom w:val="0"/>
          <w:divBdr>
            <w:top w:val="none" w:sz="0" w:space="0" w:color="auto"/>
            <w:left w:val="none" w:sz="0" w:space="0" w:color="auto"/>
            <w:bottom w:val="none" w:sz="0" w:space="0" w:color="auto"/>
            <w:right w:val="none" w:sz="0" w:space="0" w:color="auto"/>
          </w:divBdr>
          <w:divsChild>
            <w:div w:id="584146186">
              <w:marLeft w:val="0"/>
              <w:marRight w:val="0"/>
              <w:marTop w:val="0"/>
              <w:marBottom w:val="0"/>
              <w:divBdr>
                <w:top w:val="none" w:sz="0" w:space="0" w:color="auto"/>
                <w:left w:val="none" w:sz="0" w:space="0" w:color="auto"/>
                <w:bottom w:val="none" w:sz="0" w:space="0" w:color="auto"/>
                <w:right w:val="none" w:sz="0" w:space="0" w:color="auto"/>
              </w:divBdr>
            </w:div>
          </w:divsChild>
        </w:div>
        <w:div w:id="1535724881">
          <w:marLeft w:val="0"/>
          <w:marRight w:val="0"/>
          <w:marTop w:val="0"/>
          <w:marBottom w:val="0"/>
          <w:divBdr>
            <w:top w:val="none" w:sz="0" w:space="0" w:color="auto"/>
            <w:left w:val="none" w:sz="0" w:space="0" w:color="auto"/>
            <w:bottom w:val="none" w:sz="0" w:space="0" w:color="auto"/>
            <w:right w:val="none" w:sz="0" w:space="0" w:color="auto"/>
          </w:divBdr>
          <w:divsChild>
            <w:div w:id="494493521">
              <w:marLeft w:val="0"/>
              <w:marRight w:val="0"/>
              <w:marTop w:val="0"/>
              <w:marBottom w:val="0"/>
              <w:divBdr>
                <w:top w:val="none" w:sz="0" w:space="0" w:color="auto"/>
                <w:left w:val="none" w:sz="0" w:space="0" w:color="auto"/>
                <w:bottom w:val="none" w:sz="0" w:space="0" w:color="auto"/>
                <w:right w:val="none" w:sz="0" w:space="0" w:color="auto"/>
              </w:divBdr>
            </w:div>
          </w:divsChild>
        </w:div>
        <w:div w:id="1549687459">
          <w:marLeft w:val="0"/>
          <w:marRight w:val="0"/>
          <w:marTop w:val="0"/>
          <w:marBottom w:val="0"/>
          <w:divBdr>
            <w:top w:val="none" w:sz="0" w:space="0" w:color="auto"/>
            <w:left w:val="none" w:sz="0" w:space="0" w:color="auto"/>
            <w:bottom w:val="none" w:sz="0" w:space="0" w:color="auto"/>
            <w:right w:val="none" w:sz="0" w:space="0" w:color="auto"/>
          </w:divBdr>
          <w:divsChild>
            <w:div w:id="346492691">
              <w:marLeft w:val="0"/>
              <w:marRight w:val="0"/>
              <w:marTop w:val="0"/>
              <w:marBottom w:val="0"/>
              <w:divBdr>
                <w:top w:val="none" w:sz="0" w:space="0" w:color="auto"/>
                <w:left w:val="none" w:sz="0" w:space="0" w:color="auto"/>
                <w:bottom w:val="none" w:sz="0" w:space="0" w:color="auto"/>
                <w:right w:val="none" w:sz="0" w:space="0" w:color="auto"/>
              </w:divBdr>
            </w:div>
          </w:divsChild>
        </w:div>
        <w:div w:id="1580096078">
          <w:marLeft w:val="0"/>
          <w:marRight w:val="0"/>
          <w:marTop w:val="0"/>
          <w:marBottom w:val="0"/>
          <w:divBdr>
            <w:top w:val="none" w:sz="0" w:space="0" w:color="auto"/>
            <w:left w:val="none" w:sz="0" w:space="0" w:color="auto"/>
            <w:bottom w:val="none" w:sz="0" w:space="0" w:color="auto"/>
            <w:right w:val="none" w:sz="0" w:space="0" w:color="auto"/>
          </w:divBdr>
          <w:divsChild>
            <w:div w:id="458301675">
              <w:marLeft w:val="0"/>
              <w:marRight w:val="0"/>
              <w:marTop w:val="0"/>
              <w:marBottom w:val="0"/>
              <w:divBdr>
                <w:top w:val="none" w:sz="0" w:space="0" w:color="auto"/>
                <w:left w:val="none" w:sz="0" w:space="0" w:color="auto"/>
                <w:bottom w:val="none" w:sz="0" w:space="0" w:color="auto"/>
                <w:right w:val="none" w:sz="0" w:space="0" w:color="auto"/>
              </w:divBdr>
            </w:div>
          </w:divsChild>
        </w:div>
        <w:div w:id="1719545364">
          <w:marLeft w:val="0"/>
          <w:marRight w:val="0"/>
          <w:marTop w:val="0"/>
          <w:marBottom w:val="0"/>
          <w:divBdr>
            <w:top w:val="none" w:sz="0" w:space="0" w:color="auto"/>
            <w:left w:val="none" w:sz="0" w:space="0" w:color="auto"/>
            <w:bottom w:val="none" w:sz="0" w:space="0" w:color="auto"/>
            <w:right w:val="none" w:sz="0" w:space="0" w:color="auto"/>
          </w:divBdr>
          <w:divsChild>
            <w:div w:id="1656957971">
              <w:marLeft w:val="0"/>
              <w:marRight w:val="0"/>
              <w:marTop w:val="0"/>
              <w:marBottom w:val="0"/>
              <w:divBdr>
                <w:top w:val="none" w:sz="0" w:space="0" w:color="auto"/>
                <w:left w:val="none" w:sz="0" w:space="0" w:color="auto"/>
                <w:bottom w:val="none" w:sz="0" w:space="0" w:color="auto"/>
                <w:right w:val="none" w:sz="0" w:space="0" w:color="auto"/>
              </w:divBdr>
            </w:div>
          </w:divsChild>
        </w:div>
        <w:div w:id="1795828640">
          <w:marLeft w:val="0"/>
          <w:marRight w:val="0"/>
          <w:marTop w:val="0"/>
          <w:marBottom w:val="0"/>
          <w:divBdr>
            <w:top w:val="none" w:sz="0" w:space="0" w:color="auto"/>
            <w:left w:val="none" w:sz="0" w:space="0" w:color="auto"/>
            <w:bottom w:val="none" w:sz="0" w:space="0" w:color="auto"/>
            <w:right w:val="none" w:sz="0" w:space="0" w:color="auto"/>
          </w:divBdr>
          <w:divsChild>
            <w:div w:id="1856727397">
              <w:marLeft w:val="0"/>
              <w:marRight w:val="0"/>
              <w:marTop w:val="0"/>
              <w:marBottom w:val="0"/>
              <w:divBdr>
                <w:top w:val="none" w:sz="0" w:space="0" w:color="auto"/>
                <w:left w:val="none" w:sz="0" w:space="0" w:color="auto"/>
                <w:bottom w:val="none" w:sz="0" w:space="0" w:color="auto"/>
                <w:right w:val="none" w:sz="0" w:space="0" w:color="auto"/>
              </w:divBdr>
            </w:div>
          </w:divsChild>
        </w:div>
        <w:div w:id="1815218435">
          <w:marLeft w:val="0"/>
          <w:marRight w:val="0"/>
          <w:marTop w:val="0"/>
          <w:marBottom w:val="0"/>
          <w:divBdr>
            <w:top w:val="none" w:sz="0" w:space="0" w:color="auto"/>
            <w:left w:val="none" w:sz="0" w:space="0" w:color="auto"/>
            <w:bottom w:val="none" w:sz="0" w:space="0" w:color="auto"/>
            <w:right w:val="none" w:sz="0" w:space="0" w:color="auto"/>
          </w:divBdr>
          <w:divsChild>
            <w:div w:id="1771314848">
              <w:marLeft w:val="0"/>
              <w:marRight w:val="0"/>
              <w:marTop w:val="0"/>
              <w:marBottom w:val="0"/>
              <w:divBdr>
                <w:top w:val="none" w:sz="0" w:space="0" w:color="auto"/>
                <w:left w:val="none" w:sz="0" w:space="0" w:color="auto"/>
                <w:bottom w:val="none" w:sz="0" w:space="0" w:color="auto"/>
                <w:right w:val="none" w:sz="0" w:space="0" w:color="auto"/>
              </w:divBdr>
            </w:div>
          </w:divsChild>
        </w:div>
        <w:div w:id="1896425615">
          <w:marLeft w:val="0"/>
          <w:marRight w:val="0"/>
          <w:marTop w:val="0"/>
          <w:marBottom w:val="0"/>
          <w:divBdr>
            <w:top w:val="none" w:sz="0" w:space="0" w:color="auto"/>
            <w:left w:val="none" w:sz="0" w:space="0" w:color="auto"/>
            <w:bottom w:val="none" w:sz="0" w:space="0" w:color="auto"/>
            <w:right w:val="none" w:sz="0" w:space="0" w:color="auto"/>
          </w:divBdr>
          <w:divsChild>
            <w:div w:id="966007312">
              <w:marLeft w:val="0"/>
              <w:marRight w:val="0"/>
              <w:marTop w:val="0"/>
              <w:marBottom w:val="0"/>
              <w:divBdr>
                <w:top w:val="none" w:sz="0" w:space="0" w:color="auto"/>
                <w:left w:val="none" w:sz="0" w:space="0" w:color="auto"/>
                <w:bottom w:val="none" w:sz="0" w:space="0" w:color="auto"/>
                <w:right w:val="none" w:sz="0" w:space="0" w:color="auto"/>
              </w:divBdr>
            </w:div>
          </w:divsChild>
        </w:div>
        <w:div w:id="1927226627">
          <w:marLeft w:val="0"/>
          <w:marRight w:val="0"/>
          <w:marTop w:val="0"/>
          <w:marBottom w:val="0"/>
          <w:divBdr>
            <w:top w:val="none" w:sz="0" w:space="0" w:color="auto"/>
            <w:left w:val="none" w:sz="0" w:space="0" w:color="auto"/>
            <w:bottom w:val="none" w:sz="0" w:space="0" w:color="auto"/>
            <w:right w:val="none" w:sz="0" w:space="0" w:color="auto"/>
          </w:divBdr>
          <w:divsChild>
            <w:div w:id="1113748618">
              <w:marLeft w:val="0"/>
              <w:marRight w:val="0"/>
              <w:marTop w:val="0"/>
              <w:marBottom w:val="0"/>
              <w:divBdr>
                <w:top w:val="none" w:sz="0" w:space="0" w:color="auto"/>
                <w:left w:val="none" w:sz="0" w:space="0" w:color="auto"/>
                <w:bottom w:val="none" w:sz="0" w:space="0" w:color="auto"/>
                <w:right w:val="none" w:sz="0" w:space="0" w:color="auto"/>
              </w:divBdr>
            </w:div>
          </w:divsChild>
        </w:div>
        <w:div w:id="1934315115">
          <w:marLeft w:val="0"/>
          <w:marRight w:val="0"/>
          <w:marTop w:val="0"/>
          <w:marBottom w:val="0"/>
          <w:divBdr>
            <w:top w:val="none" w:sz="0" w:space="0" w:color="auto"/>
            <w:left w:val="none" w:sz="0" w:space="0" w:color="auto"/>
            <w:bottom w:val="none" w:sz="0" w:space="0" w:color="auto"/>
            <w:right w:val="none" w:sz="0" w:space="0" w:color="auto"/>
          </w:divBdr>
          <w:divsChild>
            <w:div w:id="2008825586">
              <w:marLeft w:val="0"/>
              <w:marRight w:val="0"/>
              <w:marTop w:val="0"/>
              <w:marBottom w:val="0"/>
              <w:divBdr>
                <w:top w:val="none" w:sz="0" w:space="0" w:color="auto"/>
                <w:left w:val="none" w:sz="0" w:space="0" w:color="auto"/>
                <w:bottom w:val="none" w:sz="0" w:space="0" w:color="auto"/>
                <w:right w:val="none" w:sz="0" w:space="0" w:color="auto"/>
              </w:divBdr>
            </w:div>
          </w:divsChild>
        </w:div>
        <w:div w:id="1953322334">
          <w:marLeft w:val="0"/>
          <w:marRight w:val="0"/>
          <w:marTop w:val="0"/>
          <w:marBottom w:val="0"/>
          <w:divBdr>
            <w:top w:val="none" w:sz="0" w:space="0" w:color="auto"/>
            <w:left w:val="none" w:sz="0" w:space="0" w:color="auto"/>
            <w:bottom w:val="none" w:sz="0" w:space="0" w:color="auto"/>
            <w:right w:val="none" w:sz="0" w:space="0" w:color="auto"/>
          </w:divBdr>
          <w:divsChild>
            <w:div w:id="709040276">
              <w:marLeft w:val="0"/>
              <w:marRight w:val="0"/>
              <w:marTop w:val="0"/>
              <w:marBottom w:val="0"/>
              <w:divBdr>
                <w:top w:val="none" w:sz="0" w:space="0" w:color="auto"/>
                <w:left w:val="none" w:sz="0" w:space="0" w:color="auto"/>
                <w:bottom w:val="none" w:sz="0" w:space="0" w:color="auto"/>
                <w:right w:val="none" w:sz="0" w:space="0" w:color="auto"/>
              </w:divBdr>
            </w:div>
          </w:divsChild>
        </w:div>
        <w:div w:id="1984233991">
          <w:marLeft w:val="0"/>
          <w:marRight w:val="0"/>
          <w:marTop w:val="0"/>
          <w:marBottom w:val="0"/>
          <w:divBdr>
            <w:top w:val="none" w:sz="0" w:space="0" w:color="auto"/>
            <w:left w:val="none" w:sz="0" w:space="0" w:color="auto"/>
            <w:bottom w:val="none" w:sz="0" w:space="0" w:color="auto"/>
            <w:right w:val="none" w:sz="0" w:space="0" w:color="auto"/>
          </w:divBdr>
          <w:divsChild>
            <w:div w:id="1106653457">
              <w:marLeft w:val="0"/>
              <w:marRight w:val="0"/>
              <w:marTop w:val="0"/>
              <w:marBottom w:val="0"/>
              <w:divBdr>
                <w:top w:val="none" w:sz="0" w:space="0" w:color="auto"/>
                <w:left w:val="none" w:sz="0" w:space="0" w:color="auto"/>
                <w:bottom w:val="none" w:sz="0" w:space="0" w:color="auto"/>
                <w:right w:val="none" w:sz="0" w:space="0" w:color="auto"/>
              </w:divBdr>
            </w:div>
            <w:div w:id="1378431885">
              <w:marLeft w:val="0"/>
              <w:marRight w:val="0"/>
              <w:marTop w:val="0"/>
              <w:marBottom w:val="0"/>
              <w:divBdr>
                <w:top w:val="none" w:sz="0" w:space="0" w:color="auto"/>
                <w:left w:val="none" w:sz="0" w:space="0" w:color="auto"/>
                <w:bottom w:val="none" w:sz="0" w:space="0" w:color="auto"/>
                <w:right w:val="none" w:sz="0" w:space="0" w:color="auto"/>
              </w:divBdr>
            </w:div>
          </w:divsChild>
        </w:div>
        <w:div w:id="2145735708">
          <w:marLeft w:val="0"/>
          <w:marRight w:val="0"/>
          <w:marTop w:val="0"/>
          <w:marBottom w:val="0"/>
          <w:divBdr>
            <w:top w:val="none" w:sz="0" w:space="0" w:color="auto"/>
            <w:left w:val="none" w:sz="0" w:space="0" w:color="auto"/>
            <w:bottom w:val="none" w:sz="0" w:space="0" w:color="auto"/>
            <w:right w:val="none" w:sz="0" w:space="0" w:color="auto"/>
          </w:divBdr>
          <w:divsChild>
            <w:div w:id="69658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09999">
      <w:bodyDiv w:val="1"/>
      <w:marLeft w:val="0"/>
      <w:marRight w:val="0"/>
      <w:marTop w:val="0"/>
      <w:marBottom w:val="0"/>
      <w:divBdr>
        <w:top w:val="none" w:sz="0" w:space="0" w:color="auto"/>
        <w:left w:val="none" w:sz="0" w:space="0" w:color="auto"/>
        <w:bottom w:val="none" w:sz="0" w:space="0" w:color="auto"/>
        <w:right w:val="none" w:sz="0" w:space="0" w:color="auto"/>
      </w:divBdr>
      <w:divsChild>
        <w:div w:id="837967100">
          <w:marLeft w:val="274"/>
          <w:marRight w:val="0"/>
          <w:marTop w:val="0"/>
          <w:marBottom w:val="0"/>
          <w:divBdr>
            <w:top w:val="none" w:sz="0" w:space="0" w:color="auto"/>
            <w:left w:val="none" w:sz="0" w:space="0" w:color="auto"/>
            <w:bottom w:val="none" w:sz="0" w:space="0" w:color="auto"/>
            <w:right w:val="none" w:sz="0" w:space="0" w:color="auto"/>
          </w:divBdr>
        </w:div>
        <w:div w:id="918321155">
          <w:marLeft w:val="274"/>
          <w:marRight w:val="0"/>
          <w:marTop w:val="0"/>
          <w:marBottom w:val="0"/>
          <w:divBdr>
            <w:top w:val="none" w:sz="0" w:space="0" w:color="auto"/>
            <w:left w:val="none" w:sz="0" w:space="0" w:color="auto"/>
            <w:bottom w:val="none" w:sz="0" w:space="0" w:color="auto"/>
            <w:right w:val="none" w:sz="0" w:space="0" w:color="auto"/>
          </w:divBdr>
        </w:div>
        <w:div w:id="944768449">
          <w:marLeft w:val="274"/>
          <w:marRight w:val="0"/>
          <w:marTop w:val="0"/>
          <w:marBottom w:val="0"/>
          <w:divBdr>
            <w:top w:val="none" w:sz="0" w:space="0" w:color="auto"/>
            <w:left w:val="none" w:sz="0" w:space="0" w:color="auto"/>
            <w:bottom w:val="none" w:sz="0" w:space="0" w:color="auto"/>
            <w:right w:val="none" w:sz="0" w:space="0" w:color="auto"/>
          </w:divBdr>
        </w:div>
        <w:div w:id="1724937331">
          <w:marLeft w:val="274"/>
          <w:marRight w:val="0"/>
          <w:marTop w:val="0"/>
          <w:marBottom w:val="0"/>
          <w:divBdr>
            <w:top w:val="none" w:sz="0" w:space="0" w:color="auto"/>
            <w:left w:val="none" w:sz="0" w:space="0" w:color="auto"/>
            <w:bottom w:val="none" w:sz="0" w:space="0" w:color="auto"/>
            <w:right w:val="none" w:sz="0" w:space="0" w:color="auto"/>
          </w:divBdr>
        </w:div>
      </w:divsChild>
    </w:div>
    <w:div w:id="1380322155">
      <w:bodyDiv w:val="1"/>
      <w:marLeft w:val="0"/>
      <w:marRight w:val="0"/>
      <w:marTop w:val="0"/>
      <w:marBottom w:val="0"/>
      <w:divBdr>
        <w:top w:val="none" w:sz="0" w:space="0" w:color="auto"/>
        <w:left w:val="none" w:sz="0" w:space="0" w:color="auto"/>
        <w:bottom w:val="none" w:sz="0" w:space="0" w:color="auto"/>
        <w:right w:val="none" w:sz="0" w:space="0" w:color="auto"/>
      </w:divBdr>
      <w:divsChild>
        <w:div w:id="192768308">
          <w:marLeft w:val="0"/>
          <w:marRight w:val="0"/>
          <w:marTop w:val="0"/>
          <w:marBottom w:val="0"/>
          <w:divBdr>
            <w:top w:val="none" w:sz="0" w:space="0" w:color="auto"/>
            <w:left w:val="none" w:sz="0" w:space="0" w:color="auto"/>
            <w:bottom w:val="none" w:sz="0" w:space="0" w:color="auto"/>
            <w:right w:val="none" w:sz="0" w:space="0" w:color="auto"/>
          </w:divBdr>
          <w:divsChild>
            <w:div w:id="1385256392">
              <w:marLeft w:val="0"/>
              <w:marRight w:val="0"/>
              <w:marTop w:val="0"/>
              <w:marBottom w:val="0"/>
              <w:divBdr>
                <w:top w:val="none" w:sz="0" w:space="0" w:color="auto"/>
                <w:left w:val="none" w:sz="0" w:space="0" w:color="auto"/>
                <w:bottom w:val="none" w:sz="0" w:space="0" w:color="auto"/>
                <w:right w:val="none" w:sz="0" w:space="0" w:color="auto"/>
              </w:divBdr>
            </w:div>
          </w:divsChild>
        </w:div>
        <w:div w:id="227227679">
          <w:marLeft w:val="0"/>
          <w:marRight w:val="0"/>
          <w:marTop w:val="0"/>
          <w:marBottom w:val="0"/>
          <w:divBdr>
            <w:top w:val="none" w:sz="0" w:space="0" w:color="auto"/>
            <w:left w:val="none" w:sz="0" w:space="0" w:color="auto"/>
            <w:bottom w:val="none" w:sz="0" w:space="0" w:color="auto"/>
            <w:right w:val="none" w:sz="0" w:space="0" w:color="auto"/>
          </w:divBdr>
          <w:divsChild>
            <w:div w:id="1901794085">
              <w:marLeft w:val="0"/>
              <w:marRight w:val="0"/>
              <w:marTop w:val="0"/>
              <w:marBottom w:val="0"/>
              <w:divBdr>
                <w:top w:val="none" w:sz="0" w:space="0" w:color="auto"/>
                <w:left w:val="none" w:sz="0" w:space="0" w:color="auto"/>
                <w:bottom w:val="none" w:sz="0" w:space="0" w:color="auto"/>
                <w:right w:val="none" w:sz="0" w:space="0" w:color="auto"/>
              </w:divBdr>
            </w:div>
          </w:divsChild>
        </w:div>
        <w:div w:id="235212693">
          <w:marLeft w:val="0"/>
          <w:marRight w:val="0"/>
          <w:marTop w:val="0"/>
          <w:marBottom w:val="0"/>
          <w:divBdr>
            <w:top w:val="none" w:sz="0" w:space="0" w:color="auto"/>
            <w:left w:val="none" w:sz="0" w:space="0" w:color="auto"/>
            <w:bottom w:val="none" w:sz="0" w:space="0" w:color="auto"/>
            <w:right w:val="none" w:sz="0" w:space="0" w:color="auto"/>
          </w:divBdr>
          <w:divsChild>
            <w:div w:id="566452341">
              <w:marLeft w:val="0"/>
              <w:marRight w:val="0"/>
              <w:marTop w:val="0"/>
              <w:marBottom w:val="0"/>
              <w:divBdr>
                <w:top w:val="none" w:sz="0" w:space="0" w:color="auto"/>
                <w:left w:val="none" w:sz="0" w:space="0" w:color="auto"/>
                <w:bottom w:val="none" w:sz="0" w:space="0" w:color="auto"/>
                <w:right w:val="none" w:sz="0" w:space="0" w:color="auto"/>
              </w:divBdr>
            </w:div>
          </w:divsChild>
        </w:div>
        <w:div w:id="430321347">
          <w:marLeft w:val="0"/>
          <w:marRight w:val="0"/>
          <w:marTop w:val="0"/>
          <w:marBottom w:val="0"/>
          <w:divBdr>
            <w:top w:val="none" w:sz="0" w:space="0" w:color="auto"/>
            <w:left w:val="none" w:sz="0" w:space="0" w:color="auto"/>
            <w:bottom w:val="none" w:sz="0" w:space="0" w:color="auto"/>
            <w:right w:val="none" w:sz="0" w:space="0" w:color="auto"/>
          </w:divBdr>
          <w:divsChild>
            <w:div w:id="237518763">
              <w:marLeft w:val="0"/>
              <w:marRight w:val="0"/>
              <w:marTop w:val="0"/>
              <w:marBottom w:val="0"/>
              <w:divBdr>
                <w:top w:val="none" w:sz="0" w:space="0" w:color="auto"/>
                <w:left w:val="none" w:sz="0" w:space="0" w:color="auto"/>
                <w:bottom w:val="none" w:sz="0" w:space="0" w:color="auto"/>
                <w:right w:val="none" w:sz="0" w:space="0" w:color="auto"/>
              </w:divBdr>
            </w:div>
          </w:divsChild>
        </w:div>
        <w:div w:id="449475119">
          <w:marLeft w:val="0"/>
          <w:marRight w:val="0"/>
          <w:marTop w:val="0"/>
          <w:marBottom w:val="0"/>
          <w:divBdr>
            <w:top w:val="none" w:sz="0" w:space="0" w:color="auto"/>
            <w:left w:val="none" w:sz="0" w:space="0" w:color="auto"/>
            <w:bottom w:val="none" w:sz="0" w:space="0" w:color="auto"/>
            <w:right w:val="none" w:sz="0" w:space="0" w:color="auto"/>
          </w:divBdr>
          <w:divsChild>
            <w:div w:id="606621278">
              <w:marLeft w:val="0"/>
              <w:marRight w:val="0"/>
              <w:marTop w:val="0"/>
              <w:marBottom w:val="0"/>
              <w:divBdr>
                <w:top w:val="none" w:sz="0" w:space="0" w:color="auto"/>
                <w:left w:val="none" w:sz="0" w:space="0" w:color="auto"/>
                <w:bottom w:val="none" w:sz="0" w:space="0" w:color="auto"/>
                <w:right w:val="none" w:sz="0" w:space="0" w:color="auto"/>
              </w:divBdr>
            </w:div>
          </w:divsChild>
        </w:div>
        <w:div w:id="621034408">
          <w:marLeft w:val="0"/>
          <w:marRight w:val="0"/>
          <w:marTop w:val="0"/>
          <w:marBottom w:val="0"/>
          <w:divBdr>
            <w:top w:val="none" w:sz="0" w:space="0" w:color="auto"/>
            <w:left w:val="none" w:sz="0" w:space="0" w:color="auto"/>
            <w:bottom w:val="none" w:sz="0" w:space="0" w:color="auto"/>
            <w:right w:val="none" w:sz="0" w:space="0" w:color="auto"/>
          </w:divBdr>
          <w:divsChild>
            <w:div w:id="103695472">
              <w:marLeft w:val="0"/>
              <w:marRight w:val="0"/>
              <w:marTop w:val="0"/>
              <w:marBottom w:val="0"/>
              <w:divBdr>
                <w:top w:val="none" w:sz="0" w:space="0" w:color="auto"/>
                <w:left w:val="none" w:sz="0" w:space="0" w:color="auto"/>
                <w:bottom w:val="none" w:sz="0" w:space="0" w:color="auto"/>
                <w:right w:val="none" w:sz="0" w:space="0" w:color="auto"/>
              </w:divBdr>
            </w:div>
          </w:divsChild>
        </w:div>
        <w:div w:id="637343937">
          <w:marLeft w:val="0"/>
          <w:marRight w:val="0"/>
          <w:marTop w:val="0"/>
          <w:marBottom w:val="0"/>
          <w:divBdr>
            <w:top w:val="none" w:sz="0" w:space="0" w:color="auto"/>
            <w:left w:val="none" w:sz="0" w:space="0" w:color="auto"/>
            <w:bottom w:val="none" w:sz="0" w:space="0" w:color="auto"/>
            <w:right w:val="none" w:sz="0" w:space="0" w:color="auto"/>
          </w:divBdr>
          <w:divsChild>
            <w:div w:id="1399476040">
              <w:marLeft w:val="0"/>
              <w:marRight w:val="0"/>
              <w:marTop w:val="0"/>
              <w:marBottom w:val="0"/>
              <w:divBdr>
                <w:top w:val="none" w:sz="0" w:space="0" w:color="auto"/>
                <w:left w:val="none" w:sz="0" w:space="0" w:color="auto"/>
                <w:bottom w:val="none" w:sz="0" w:space="0" w:color="auto"/>
                <w:right w:val="none" w:sz="0" w:space="0" w:color="auto"/>
              </w:divBdr>
            </w:div>
          </w:divsChild>
        </w:div>
        <w:div w:id="776565170">
          <w:marLeft w:val="0"/>
          <w:marRight w:val="0"/>
          <w:marTop w:val="0"/>
          <w:marBottom w:val="0"/>
          <w:divBdr>
            <w:top w:val="none" w:sz="0" w:space="0" w:color="auto"/>
            <w:left w:val="none" w:sz="0" w:space="0" w:color="auto"/>
            <w:bottom w:val="none" w:sz="0" w:space="0" w:color="auto"/>
            <w:right w:val="none" w:sz="0" w:space="0" w:color="auto"/>
          </w:divBdr>
          <w:divsChild>
            <w:div w:id="69546389">
              <w:marLeft w:val="0"/>
              <w:marRight w:val="0"/>
              <w:marTop w:val="0"/>
              <w:marBottom w:val="0"/>
              <w:divBdr>
                <w:top w:val="none" w:sz="0" w:space="0" w:color="auto"/>
                <w:left w:val="none" w:sz="0" w:space="0" w:color="auto"/>
                <w:bottom w:val="none" w:sz="0" w:space="0" w:color="auto"/>
                <w:right w:val="none" w:sz="0" w:space="0" w:color="auto"/>
              </w:divBdr>
            </w:div>
          </w:divsChild>
        </w:div>
        <w:div w:id="794059279">
          <w:marLeft w:val="0"/>
          <w:marRight w:val="0"/>
          <w:marTop w:val="0"/>
          <w:marBottom w:val="0"/>
          <w:divBdr>
            <w:top w:val="none" w:sz="0" w:space="0" w:color="auto"/>
            <w:left w:val="none" w:sz="0" w:space="0" w:color="auto"/>
            <w:bottom w:val="none" w:sz="0" w:space="0" w:color="auto"/>
            <w:right w:val="none" w:sz="0" w:space="0" w:color="auto"/>
          </w:divBdr>
          <w:divsChild>
            <w:div w:id="1632051033">
              <w:marLeft w:val="0"/>
              <w:marRight w:val="0"/>
              <w:marTop w:val="0"/>
              <w:marBottom w:val="0"/>
              <w:divBdr>
                <w:top w:val="none" w:sz="0" w:space="0" w:color="auto"/>
                <w:left w:val="none" w:sz="0" w:space="0" w:color="auto"/>
                <w:bottom w:val="none" w:sz="0" w:space="0" w:color="auto"/>
                <w:right w:val="none" w:sz="0" w:space="0" w:color="auto"/>
              </w:divBdr>
            </w:div>
          </w:divsChild>
        </w:div>
        <w:div w:id="807164970">
          <w:marLeft w:val="0"/>
          <w:marRight w:val="0"/>
          <w:marTop w:val="0"/>
          <w:marBottom w:val="0"/>
          <w:divBdr>
            <w:top w:val="none" w:sz="0" w:space="0" w:color="auto"/>
            <w:left w:val="none" w:sz="0" w:space="0" w:color="auto"/>
            <w:bottom w:val="none" w:sz="0" w:space="0" w:color="auto"/>
            <w:right w:val="none" w:sz="0" w:space="0" w:color="auto"/>
          </w:divBdr>
          <w:divsChild>
            <w:div w:id="522206777">
              <w:marLeft w:val="0"/>
              <w:marRight w:val="0"/>
              <w:marTop w:val="0"/>
              <w:marBottom w:val="0"/>
              <w:divBdr>
                <w:top w:val="none" w:sz="0" w:space="0" w:color="auto"/>
                <w:left w:val="none" w:sz="0" w:space="0" w:color="auto"/>
                <w:bottom w:val="none" w:sz="0" w:space="0" w:color="auto"/>
                <w:right w:val="none" w:sz="0" w:space="0" w:color="auto"/>
              </w:divBdr>
            </w:div>
          </w:divsChild>
        </w:div>
        <w:div w:id="856122045">
          <w:marLeft w:val="0"/>
          <w:marRight w:val="0"/>
          <w:marTop w:val="0"/>
          <w:marBottom w:val="0"/>
          <w:divBdr>
            <w:top w:val="none" w:sz="0" w:space="0" w:color="auto"/>
            <w:left w:val="none" w:sz="0" w:space="0" w:color="auto"/>
            <w:bottom w:val="none" w:sz="0" w:space="0" w:color="auto"/>
            <w:right w:val="none" w:sz="0" w:space="0" w:color="auto"/>
          </w:divBdr>
          <w:divsChild>
            <w:div w:id="1067999016">
              <w:marLeft w:val="0"/>
              <w:marRight w:val="0"/>
              <w:marTop w:val="0"/>
              <w:marBottom w:val="0"/>
              <w:divBdr>
                <w:top w:val="none" w:sz="0" w:space="0" w:color="auto"/>
                <w:left w:val="none" w:sz="0" w:space="0" w:color="auto"/>
                <w:bottom w:val="none" w:sz="0" w:space="0" w:color="auto"/>
                <w:right w:val="none" w:sz="0" w:space="0" w:color="auto"/>
              </w:divBdr>
            </w:div>
          </w:divsChild>
        </w:div>
        <w:div w:id="893583377">
          <w:marLeft w:val="0"/>
          <w:marRight w:val="0"/>
          <w:marTop w:val="0"/>
          <w:marBottom w:val="0"/>
          <w:divBdr>
            <w:top w:val="none" w:sz="0" w:space="0" w:color="auto"/>
            <w:left w:val="none" w:sz="0" w:space="0" w:color="auto"/>
            <w:bottom w:val="none" w:sz="0" w:space="0" w:color="auto"/>
            <w:right w:val="none" w:sz="0" w:space="0" w:color="auto"/>
          </w:divBdr>
          <w:divsChild>
            <w:div w:id="135923537">
              <w:marLeft w:val="0"/>
              <w:marRight w:val="0"/>
              <w:marTop w:val="0"/>
              <w:marBottom w:val="0"/>
              <w:divBdr>
                <w:top w:val="none" w:sz="0" w:space="0" w:color="auto"/>
                <w:left w:val="none" w:sz="0" w:space="0" w:color="auto"/>
                <w:bottom w:val="none" w:sz="0" w:space="0" w:color="auto"/>
                <w:right w:val="none" w:sz="0" w:space="0" w:color="auto"/>
              </w:divBdr>
            </w:div>
          </w:divsChild>
        </w:div>
        <w:div w:id="937520858">
          <w:marLeft w:val="0"/>
          <w:marRight w:val="0"/>
          <w:marTop w:val="0"/>
          <w:marBottom w:val="0"/>
          <w:divBdr>
            <w:top w:val="none" w:sz="0" w:space="0" w:color="auto"/>
            <w:left w:val="none" w:sz="0" w:space="0" w:color="auto"/>
            <w:bottom w:val="none" w:sz="0" w:space="0" w:color="auto"/>
            <w:right w:val="none" w:sz="0" w:space="0" w:color="auto"/>
          </w:divBdr>
          <w:divsChild>
            <w:div w:id="1912542351">
              <w:marLeft w:val="0"/>
              <w:marRight w:val="0"/>
              <w:marTop w:val="0"/>
              <w:marBottom w:val="0"/>
              <w:divBdr>
                <w:top w:val="none" w:sz="0" w:space="0" w:color="auto"/>
                <w:left w:val="none" w:sz="0" w:space="0" w:color="auto"/>
                <w:bottom w:val="none" w:sz="0" w:space="0" w:color="auto"/>
                <w:right w:val="none" w:sz="0" w:space="0" w:color="auto"/>
              </w:divBdr>
            </w:div>
          </w:divsChild>
        </w:div>
        <w:div w:id="956718590">
          <w:marLeft w:val="0"/>
          <w:marRight w:val="0"/>
          <w:marTop w:val="0"/>
          <w:marBottom w:val="0"/>
          <w:divBdr>
            <w:top w:val="none" w:sz="0" w:space="0" w:color="auto"/>
            <w:left w:val="none" w:sz="0" w:space="0" w:color="auto"/>
            <w:bottom w:val="none" w:sz="0" w:space="0" w:color="auto"/>
            <w:right w:val="none" w:sz="0" w:space="0" w:color="auto"/>
          </w:divBdr>
          <w:divsChild>
            <w:div w:id="466044751">
              <w:marLeft w:val="0"/>
              <w:marRight w:val="0"/>
              <w:marTop w:val="0"/>
              <w:marBottom w:val="0"/>
              <w:divBdr>
                <w:top w:val="none" w:sz="0" w:space="0" w:color="auto"/>
                <w:left w:val="none" w:sz="0" w:space="0" w:color="auto"/>
                <w:bottom w:val="none" w:sz="0" w:space="0" w:color="auto"/>
                <w:right w:val="none" w:sz="0" w:space="0" w:color="auto"/>
              </w:divBdr>
            </w:div>
          </w:divsChild>
        </w:div>
        <w:div w:id="957612696">
          <w:marLeft w:val="0"/>
          <w:marRight w:val="0"/>
          <w:marTop w:val="0"/>
          <w:marBottom w:val="0"/>
          <w:divBdr>
            <w:top w:val="none" w:sz="0" w:space="0" w:color="auto"/>
            <w:left w:val="none" w:sz="0" w:space="0" w:color="auto"/>
            <w:bottom w:val="none" w:sz="0" w:space="0" w:color="auto"/>
            <w:right w:val="none" w:sz="0" w:space="0" w:color="auto"/>
          </w:divBdr>
          <w:divsChild>
            <w:div w:id="2019306000">
              <w:marLeft w:val="0"/>
              <w:marRight w:val="0"/>
              <w:marTop w:val="0"/>
              <w:marBottom w:val="0"/>
              <w:divBdr>
                <w:top w:val="none" w:sz="0" w:space="0" w:color="auto"/>
                <w:left w:val="none" w:sz="0" w:space="0" w:color="auto"/>
                <w:bottom w:val="none" w:sz="0" w:space="0" w:color="auto"/>
                <w:right w:val="none" w:sz="0" w:space="0" w:color="auto"/>
              </w:divBdr>
            </w:div>
          </w:divsChild>
        </w:div>
        <w:div w:id="1023938234">
          <w:marLeft w:val="0"/>
          <w:marRight w:val="0"/>
          <w:marTop w:val="0"/>
          <w:marBottom w:val="0"/>
          <w:divBdr>
            <w:top w:val="none" w:sz="0" w:space="0" w:color="auto"/>
            <w:left w:val="none" w:sz="0" w:space="0" w:color="auto"/>
            <w:bottom w:val="none" w:sz="0" w:space="0" w:color="auto"/>
            <w:right w:val="none" w:sz="0" w:space="0" w:color="auto"/>
          </w:divBdr>
          <w:divsChild>
            <w:div w:id="337077343">
              <w:marLeft w:val="0"/>
              <w:marRight w:val="0"/>
              <w:marTop w:val="0"/>
              <w:marBottom w:val="0"/>
              <w:divBdr>
                <w:top w:val="none" w:sz="0" w:space="0" w:color="auto"/>
                <w:left w:val="none" w:sz="0" w:space="0" w:color="auto"/>
                <w:bottom w:val="none" w:sz="0" w:space="0" w:color="auto"/>
                <w:right w:val="none" w:sz="0" w:space="0" w:color="auto"/>
              </w:divBdr>
            </w:div>
          </w:divsChild>
        </w:div>
        <w:div w:id="1149440932">
          <w:marLeft w:val="0"/>
          <w:marRight w:val="0"/>
          <w:marTop w:val="0"/>
          <w:marBottom w:val="0"/>
          <w:divBdr>
            <w:top w:val="none" w:sz="0" w:space="0" w:color="auto"/>
            <w:left w:val="none" w:sz="0" w:space="0" w:color="auto"/>
            <w:bottom w:val="none" w:sz="0" w:space="0" w:color="auto"/>
            <w:right w:val="none" w:sz="0" w:space="0" w:color="auto"/>
          </w:divBdr>
          <w:divsChild>
            <w:div w:id="1622684103">
              <w:marLeft w:val="0"/>
              <w:marRight w:val="0"/>
              <w:marTop w:val="0"/>
              <w:marBottom w:val="0"/>
              <w:divBdr>
                <w:top w:val="none" w:sz="0" w:space="0" w:color="auto"/>
                <w:left w:val="none" w:sz="0" w:space="0" w:color="auto"/>
                <w:bottom w:val="none" w:sz="0" w:space="0" w:color="auto"/>
                <w:right w:val="none" w:sz="0" w:space="0" w:color="auto"/>
              </w:divBdr>
            </w:div>
          </w:divsChild>
        </w:div>
        <w:div w:id="1154906487">
          <w:marLeft w:val="0"/>
          <w:marRight w:val="0"/>
          <w:marTop w:val="0"/>
          <w:marBottom w:val="0"/>
          <w:divBdr>
            <w:top w:val="none" w:sz="0" w:space="0" w:color="auto"/>
            <w:left w:val="none" w:sz="0" w:space="0" w:color="auto"/>
            <w:bottom w:val="none" w:sz="0" w:space="0" w:color="auto"/>
            <w:right w:val="none" w:sz="0" w:space="0" w:color="auto"/>
          </w:divBdr>
          <w:divsChild>
            <w:div w:id="290088125">
              <w:marLeft w:val="0"/>
              <w:marRight w:val="0"/>
              <w:marTop w:val="0"/>
              <w:marBottom w:val="0"/>
              <w:divBdr>
                <w:top w:val="none" w:sz="0" w:space="0" w:color="auto"/>
                <w:left w:val="none" w:sz="0" w:space="0" w:color="auto"/>
                <w:bottom w:val="none" w:sz="0" w:space="0" w:color="auto"/>
                <w:right w:val="none" w:sz="0" w:space="0" w:color="auto"/>
              </w:divBdr>
            </w:div>
          </w:divsChild>
        </w:div>
        <w:div w:id="1158424007">
          <w:marLeft w:val="0"/>
          <w:marRight w:val="0"/>
          <w:marTop w:val="0"/>
          <w:marBottom w:val="0"/>
          <w:divBdr>
            <w:top w:val="none" w:sz="0" w:space="0" w:color="auto"/>
            <w:left w:val="none" w:sz="0" w:space="0" w:color="auto"/>
            <w:bottom w:val="none" w:sz="0" w:space="0" w:color="auto"/>
            <w:right w:val="none" w:sz="0" w:space="0" w:color="auto"/>
          </w:divBdr>
          <w:divsChild>
            <w:div w:id="1857235813">
              <w:marLeft w:val="0"/>
              <w:marRight w:val="0"/>
              <w:marTop w:val="0"/>
              <w:marBottom w:val="0"/>
              <w:divBdr>
                <w:top w:val="none" w:sz="0" w:space="0" w:color="auto"/>
                <w:left w:val="none" w:sz="0" w:space="0" w:color="auto"/>
                <w:bottom w:val="none" w:sz="0" w:space="0" w:color="auto"/>
                <w:right w:val="none" w:sz="0" w:space="0" w:color="auto"/>
              </w:divBdr>
            </w:div>
          </w:divsChild>
        </w:div>
        <w:div w:id="1254246232">
          <w:marLeft w:val="0"/>
          <w:marRight w:val="0"/>
          <w:marTop w:val="0"/>
          <w:marBottom w:val="0"/>
          <w:divBdr>
            <w:top w:val="none" w:sz="0" w:space="0" w:color="auto"/>
            <w:left w:val="none" w:sz="0" w:space="0" w:color="auto"/>
            <w:bottom w:val="none" w:sz="0" w:space="0" w:color="auto"/>
            <w:right w:val="none" w:sz="0" w:space="0" w:color="auto"/>
          </w:divBdr>
          <w:divsChild>
            <w:div w:id="1207133770">
              <w:marLeft w:val="0"/>
              <w:marRight w:val="0"/>
              <w:marTop w:val="0"/>
              <w:marBottom w:val="0"/>
              <w:divBdr>
                <w:top w:val="none" w:sz="0" w:space="0" w:color="auto"/>
                <w:left w:val="none" w:sz="0" w:space="0" w:color="auto"/>
                <w:bottom w:val="none" w:sz="0" w:space="0" w:color="auto"/>
                <w:right w:val="none" w:sz="0" w:space="0" w:color="auto"/>
              </w:divBdr>
            </w:div>
          </w:divsChild>
        </w:div>
        <w:div w:id="1277054591">
          <w:marLeft w:val="0"/>
          <w:marRight w:val="0"/>
          <w:marTop w:val="0"/>
          <w:marBottom w:val="0"/>
          <w:divBdr>
            <w:top w:val="none" w:sz="0" w:space="0" w:color="auto"/>
            <w:left w:val="none" w:sz="0" w:space="0" w:color="auto"/>
            <w:bottom w:val="none" w:sz="0" w:space="0" w:color="auto"/>
            <w:right w:val="none" w:sz="0" w:space="0" w:color="auto"/>
          </w:divBdr>
          <w:divsChild>
            <w:div w:id="796870383">
              <w:marLeft w:val="0"/>
              <w:marRight w:val="0"/>
              <w:marTop w:val="0"/>
              <w:marBottom w:val="0"/>
              <w:divBdr>
                <w:top w:val="none" w:sz="0" w:space="0" w:color="auto"/>
                <w:left w:val="none" w:sz="0" w:space="0" w:color="auto"/>
                <w:bottom w:val="none" w:sz="0" w:space="0" w:color="auto"/>
                <w:right w:val="none" w:sz="0" w:space="0" w:color="auto"/>
              </w:divBdr>
            </w:div>
          </w:divsChild>
        </w:div>
        <w:div w:id="1368338187">
          <w:marLeft w:val="0"/>
          <w:marRight w:val="0"/>
          <w:marTop w:val="0"/>
          <w:marBottom w:val="0"/>
          <w:divBdr>
            <w:top w:val="none" w:sz="0" w:space="0" w:color="auto"/>
            <w:left w:val="none" w:sz="0" w:space="0" w:color="auto"/>
            <w:bottom w:val="none" w:sz="0" w:space="0" w:color="auto"/>
            <w:right w:val="none" w:sz="0" w:space="0" w:color="auto"/>
          </w:divBdr>
          <w:divsChild>
            <w:div w:id="1884362842">
              <w:marLeft w:val="0"/>
              <w:marRight w:val="0"/>
              <w:marTop w:val="0"/>
              <w:marBottom w:val="0"/>
              <w:divBdr>
                <w:top w:val="none" w:sz="0" w:space="0" w:color="auto"/>
                <w:left w:val="none" w:sz="0" w:space="0" w:color="auto"/>
                <w:bottom w:val="none" w:sz="0" w:space="0" w:color="auto"/>
                <w:right w:val="none" w:sz="0" w:space="0" w:color="auto"/>
              </w:divBdr>
            </w:div>
          </w:divsChild>
        </w:div>
        <w:div w:id="1432824368">
          <w:marLeft w:val="0"/>
          <w:marRight w:val="0"/>
          <w:marTop w:val="0"/>
          <w:marBottom w:val="0"/>
          <w:divBdr>
            <w:top w:val="none" w:sz="0" w:space="0" w:color="auto"/>
            <w:left w:val="none" w:sz="0" w:space="0" w:color="auto"/>
            <w:bottom w:val="none" w:sz="0" w:space="0" w:color="auto"/>
            <w:right w:val="none" w:sz="0" w:space="0" w:color="auto"/>
          </w:divBdr>
          <w:divsChild>
            <w:div w:id="245267283">
              <w:marLeft w:val="0"/>
              <w:marRight w:val="0"/>
              <w:marTop w:val="0"/>
              <w:marBottom w:val="0"/>
              <w:divBdr>
                <w:top w:val="none" w:sz="0" w:space="0" w:color="auto"/>
                <w:left w:val="none" w:sz="0" w:space="0" w:color="auto"/>
                <w:bottom w:val="none" w:sz="0" w:space="0" w:color="auto"/>
                <w:right w:val="none" w:sz="0" w:space="0" w:color="auto"/>
              </w:divBdr>
            </w:div>
          </w:divsChild>
        </w:div>
        <w:div w:id="1482842921">
          <w:marLeft w:val="0"/>
          <w:marRight w:val="0"/>
          <w:marTop w:val="0"/>
          <w:marBottom w:val="0"/>
          <w:divBdr>
            <w:top w:val="none" w:sz="0" w:space="0" w:color="auto"/>
            <w:left w:val="none" w:sz="0" w:space="0" w:color="auto"/>
            <w:bottom w:val="none" w:sz="0" w:space="0" w:color="auto"/>
            <w:right w:val="none" w:sz="0" w:space="0" w:color="auto"/>
          </w:divBdr>
          <w:divsChild>
            <w:div w:id="262153271">
              <w:marLeft w:val="0"/>
              <w:marRight w:val="0"/>
              <w:marTop w:val="0"/>
              <w:marBottom w:val="0"/>
              <w:divBdr>
                <w:top w:val="none" w:sz="0" w:space="0" w:color="auto"/>
                <w:left w:val="none" w:sz="0" w:space="0" w:color="auto"/>
                <w:bottom w:val="none" w:sz="0" w:space="0" w:color="auto"/>
                <w:right w:val="none" w:sz="0" w:space="0" w:color="auto"/>
              </w:divBdr>
            </w:div>
          </w:divsChild>
        </w:div>
        <w:div w:id="1616476791">
          <w:marLeft w:val="0"/>
          <w:marRight w:val="0"/>
          <w:marTop w:val="0"/>
          <w:marBottom w:val="0"/>
          <w:divBdr>
            <w:top w:val="none" w:sz="0" w:space="0" w:color="auto"/>
            <w:left w:val="none" w:sz="0" w:space="0" w:color="auto"/>
            <w:bottom w:val="none" w:sz="0" w:space="0" w:color="auto"/>
            <w:right w:val="none" w:sz="0" w:space="0" w:color="auto"/>
          </w:divBdr>
          <w:divsChild>
            <w:div w:id="492641484">
              <w:marLeft w:val="0"/>
              <w:marRight w:val="0"/>
              <w:marTop w:val="0"/>
              <w:marBottom w:val="0"/>
              <w:divBdr>
                <w:top w:val="none" w:sz="0" w:space="0" w:color="auto"/>
                <w:left w:val="none" w:sz="0" w:space="0" w:color="auto"/>
                <w:bottom w:val="none" w:sz="0" w:space="0" w:color="auto"/>
                <w:right w:val="none" w:sz="0" w:space="0" w:color="auto"/>
              </w:divBdr>
            </w:div>
          </w:divsChild>
        </w:div>
        <w:div w:id="1678266588">
          <w:marLeft w:val="0"/>
          <w:marRight w:val="0"/>
          <w:marTop w:val="0"/>
          <w:marBottom w:val="0"/>
          <w:divBdr>
            <w:top w:val="none" w:sz="0" w:space="0" w:color="auto"/>
            <w:left w:val="none" w:sz="0" w:space="0" w:color="auto"/>
            <w:bottom w:val="none" w:sz="0" w:space="0" w:color="auto"/>
            <w:right w:val="none" w:sz="0" w:space="0" w:color="auto"/>
          </w:divBdr>
          <w:divsChild>
            <w:div w:id="1050690634">
              <w:marLeft w:val="0"/>
              <w:marRight w:val="0"/>
              <w:marTop w:val="0"/>
              <w:marBottom w:val="0"/>
              <w:divBdr>
                <w:top w:val="none" w:sz="0" w:space="0" w:color="auto"/>
                <w:left w:val="none" w:sz="0" w:space="0" w:color="auto"/>
                <w:bottom w:val="none" w:sz="0" w:space="0" w:color="auto"/>
                <w:right w:val="none" w:sz="0" w:space="0" w:color="auto"/>
              </w:divBdr>
            </w:div>
          </w:divsChild>
        </w:div>
        <w:div w:id="1785266851">
          <w:marLeft w:val="0"/>
          <w:marRight w:val="0"/>
          <w:marTop w:val="0"/>
          <w:marBottom w:val="0"/>
          <w:divBdr>
            <w:top w:val="none" w:sz="0" w:space="0" w:color="auto"/>
            <w:left w:val="none" w:sz="0" w:space="0" w:color="auto"/>
            <w:bottom w:val="none" w:sz="0" w:space="0" w:color="auto"/>
            <w:right w:val="none" w:sz="0" w:space="0" w:color="auto"/>
          </w:divBdr>
          <w:divsChild>
            <w:div w:id="1431240813">
              <w:marLeft w:val="0"/>
              <w:marRight w:val="0"/>
              <w:marTop w:val="0"/>
              <w:marBottom w:val="0"/>
              <w:divBdr>
                <w:top w:val="none" w:sz="0" w:space="0" w:color="auto"/>
                <w:left w:val="none" w:sz="0" w:space="0" w:color="auto"/>
                <w:bottom w:val="none" w:sz="0" w:space="0" w:color="auto"/>
                <w:right w:val="none" w:sz="0" w:space="0" w:color="auto"/>
              </w:divBdr>
            </w:div>
          </w:divsChild>
        </w:div>
        <w:div w:id="1787114480">
          <w:marLeft w:val="0"/>
          <w:marRight w:val="0"/>
          <w:marTop w:val="0"/>
          <w:marBottom w:val="0"/>
          <w:divBdr>
            <w:top w:val="none" w:sz="0" w:space="0" w:color="auto"/>
            <w:left w:val="none" w:sz="0" w:space="0" w:color="auto"/>
            <w:bottom w:val="none" w:sz="0" w:space="0" w:color="auto"/>
            <w:right w:val="none" w:sz="0" w:space="0" w:color="auto"/>
          </w:divBdr>
          <w:divsChild>
            <w:div w:id="1929535027">
              <w:marLeft w:val="0"/>
              <w:marRight w:val="0"/>
              <w:marTop w:val="0"/>
              <w:marBottom w:val="0"/>
              <w:divBdr>
                <w:top w:val="none" w:sz="0" w:space="0" w:color="auto"/>
                <w:left w:val="none" w:sz="0" w:space="0" w:color="auto"/>
                <w:bottom w:val="none" w:sz="0" w:space="0" w:color="auto"/>
                <w:right w:val="none" w:sz="0" w:space="0" w:color="auto"/>
              </w:divBdr>
            </w:div>
          </w:divsChild>
        </w:div>
        <w:div w:id="1899708956">
          <w:marLeft w:val="0"/>
          <w:marRight w:val="0"/>
          <w:marTop w:val="0"/>
          <w:marBottom w:val="0"/>
          <w:divBdr>
            <w:top w:val="none" w:sz="0" w:space="0" w:color="auto"/>
            <w:left w:val="none" w:sz="0" w:space="0" w:color="auto"/>
            <w:bottom w:val="none" w:sz="0" w:space="0" w:color="auto"/>
            <w:right w:val="none" w:sz="0" w:space="0" w:color="auto"/>
          </w:divBdr>
          <w:divsChild>
            <w:div w:id="904337009">
              <w:marLeft w:val="0"/>
              <w:marRight w:val="0"/>
              <w:marTop w:val="0"/>
              <w:marBottom w:val="0"/>
              <w:divBdr>
                <w:top w:val="none" w:sz="0" w:space="0" w:color="auto"/>
                <w:left w:val="none" w:sz="0" w:space="0" w:color="auto"/>
                <w:bottom w:val="none" w:sz="0" w:space="0" w:color="auto"/>
                <w:right w:val="none" w:sz="0" w:space="0" w:color="auto"/>
              </w:divBdr>
            </w:div>
          </w:divsChild>
        </w:div>
        <w:div w:id="1900942430">
          <w:marLeft w:val="0"/>
          <w:marRight w:val="0"/>
          <w:marTop w:val="0"/>
          <w:marBottom w:val="0"/>
          <w:divBdr>
            <w:top w:val="none" w:sz="0" w:space="0" w:color="auto"/>
            <w:left w:val="none" w:sz="0" w:space="0" w:color="auto"/>
            <w:bottom w:val="none" w:sz="0" w:space="0" w:color="auto"/>
            <w:right w:val="none" w:sz="0" w:space="0" w:color="auto"/>
          </w:divBdr>
          <w:divsChild>
            <w:div w:id="300966668">
              <w:marLeft w:val="0"/>
              <w:marRight w:val="0"/>
              <w:marTop w:val="0"/>
              <w:marBottom w:val="0"/>
              <w:divBdr>
                <w:top w:val="none" w:sz="0" w:space="0" w:color="auto"/>
                <w:left w:val="none" w:sz="0" w:space="0" w:color="auto"/>
                <w:bottom w:val="none" w:sz="0" w:space="0" w:color="auto"/>
                <w:right w:val="none" w:sz="0" w:space="0" w:color="auto"/>
              </w:divBdr>
            </w:div>
            <w:div w:id="1839037029">
              <w:marLeft w:val="0"/>
              <w:marRight w:val="0"/>
              <w:marTop w:val="0"/>
              <w:marBottom w:val="0"/>
              <w:divBdr>
                <w:top w:val="none" w:sz="0" w:space="0" w:color="auto"/>
                <w:left w:val="none" w:sz="0" w:space="0" w:color="auto"/>
                <w:bottom w:val="none" w:sz="0" w:space="0" w:color="auto"/>
                <w:right w:val="none" w:sz="0" w:space="0" w:color="auto"/>
              </w:divBdr>
            </w:div>
          </w:divsChild>
        </w:div>
        <w:div w:id="1999067846">
          <w:marLeft w:val="0"/>
          <w:marRight w:val="0"/>
          <w:marTop w:val="0"/>
          <w:marBottom w:val="0"/>
          <w:divBdr>
            <w:top w:val="none" w:sz="0" w:space="0" w:color="auto"/>
            <w:left w:val="none" w:sz="0" w:space="0" w:color="auto"/>
            <w:bottom w:val="none" w:sz="0" w:space="0" w:color="auto"/>
            <w:right w:val="none" w:sz="0" w:space="0" w:color="auto"/>
          </w:divBdr>
          <w:divsChild>
            <w:div w:id="1343779251">
              <w:marLeft w:val="0"/>
              <w:marRight w:val="0"/>
              <w:marTop w:val="0"/>
              <w:marBottom w:val="0"/>
              <w:divBdr>
                <w:top w:val="none" w:sz="0" w:space="0" w:color="auto"/>
                <w:left w:val="none" w:sz="0" w:space="0" w:color="auto"/>
                <w:bottom w:val="none" w:sz="0" w:space="0" w:color="auto"/>
                <w:right w:val="none" w:sz="0" w:space="0" w:color="auto"/>
              </w:divBdr>
            </w:div>
            <w:div w:id="2118672249">
              <w:marLeft w:val="0"/>
              <w:marRight w:val="0"/>
              <w:marTop w:val="0"/>
              <w:marBottom w:val="0"/>
              <w:divBdr>
                <w:top w:val="none" w:sz="0" w:space="0" w:color="auto"/>
                <w:left w:val="none" w:sz="0" w:space="0" w:color="auto"/>
                <w:bottom w:val="none" w:sz="0" w:space="0" w:color="auto"/>
                <w:right w:val="none" w:sz="0" w:space="0" w:color="auto"/>
              </w:divBdr>
            </w:div>
          </w:divsChild>
        </w:div>
        <w:div w:id="2143959569">
          <w:marLeft w:val="0"/>
          <w:marRight w:val="0"/>
          <w:marTop w:val="0"/>
          <w:marBottom w:val="0"/>
          <w:divBdr>
            <w:top w:val="none" w:sz="0" w:space="0" w:color="auto"/>
            <w:left w:val="none" w:sz="0" w:space="0" w:color="auto"/>
            <w:bottom w:val="none" w:sz="0" w:space="0" w:color="auto"/>
            <w:right w:val="none" w:sz="0" w:space="0" w:color="auto"/>
          </w:divBdr>
          <w:divsChild>
            <w:div w:id="8487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36302">
      <w:bodyDiv w:val="1"/>
      <w:marLeft w:val="0"/>
      <w:marRight w:val="0"/>
      <w:marTop w:val="0"/>
      <w:marBottom w:val="0"/>
      <w:divBdr>
        <w:top w:val="none" w:sz="0" w:space="0" w:color="auto"/>
        <w:left w:val="none" w:sz="0" w:space="0" w:color="auto"/>
        <w:bottom w:val="none" w:sz="0" w:space="0" w:color="auto"/>
        <w:right w:val="none" w:sz="0" w:space="0" w:color="auto"/>
      </w:divBdr>
    </w:div>
    <w:div w:id="1389573791">
      <w:bodyDiv w:val="1"/>
      <w:marLeft w:val="0"/>
      <w:marRight w:val="0"/>
      <w:marTop w:val="0"/>
      <w:marBottom w:val="0"/>
      <w:divBdr>
        <w:top w:val="none" w:sz="0" w:space="0" w:color="auto"/>
        <w:left w:val="none" w:sz="0" w:space="0" w:color="auto"/>
        <w:bottom w:val="none" w:sz="0" w:space="0" w:color="auto"/>
        <w:right w:val="none" w:sz="0" w:space="0" w:color="auto"/>
      </w:divBdr>
      <w:divsChild>
        <w:div w:id="133764974">
          <w:marLeft w:val="446"/>
          <w:marRight w:val="0"/>
          <w:marTop w:val="0"/>
          <w:marBottom w:val="0"/>
          <w:divBdr>
            <w:top w:val="none" w:sz="0" w:space="0" w:color="auto"/>
            <w:left w:val="none" w:sz="0" w:space="0" w:color="auto"/>
            <w:bottom w:val="none" w:sz="0" w:space="0" w:color="auto"/>
            <w:right w:val="none" w:sz="0" w:space="0" w:color="auto"/>
          </w:divBdr>
        </w:div>
        <w:div w:id="239099971">
          <w:marLeft w:val="1166"/>
          <w:marRight w:val="0"/>
          <w:marTop w:val="0"/>
          <w:marBottom w:val="0"/>
          <w:divBdr>
            <w:top w:val="none" w:sz="0" w:space="0" w:color="auto"/>
            <w:left w:val="none" w:sz="0" w:space="0" w:color="auto"/>
            <w:bottom w:val="none" w:sz="0" w:space="0" w:color="auto"/>
            <w:right w:val="none" w:sz="0" w:space="0" w:color="auto"/>
          </w:divBdr>
        </w:div>
        <w:div w:id="241716402">
          <w:marLeft w:val="1166"/>
          <w:marRight w:val="0"/>
          <w:marTop w:val="0"/>
          <w:marBottom w:val="0"/>
          <w:divBdr>
            <w:top w:val="none" w:sz="0" w:space="0" w:color="auto"/>
            <w:left w:val="none" w:sz="0" w:space="0" w:color="auto"/>
            <w:bottom w:val="none" w:sz="0" w:space="0" w:color="auto"/>
            <w:right w:val="none" w:sz="0" w:space="0" w:color="auto"/>
          </w:divBdr>
        </w:div>
        <w:div w:id="1318075049">
          <w:marLeft w:val="1166"/>
          <w:marRight w:val="0"/>
          <w:marTop w:val="0"/>
          <w:marBottom w:val="0"/>
          <w:divBdr>
            <w:top w:val="none" w:sz="0" w:space="0" w:color="auto"/>
            <w:left w:val="none" w:sz="0" w:space="0" w:color="auto"/>
            <w:bottom w:val="none" w:sz="0" w:space="0" w:color="auto"/>
            <w:right w:val="none" w:sz="0" w:space="0" w:color="auto"/>
          </w:divBdr>
        </w:div>
        <w:div w:id="2124766131">
          <w:marLeft w:val="446"/>
          <w:marRight w:val="0"/>
          <w:marTop w:val="0"/>
          <w:marBottom w:val="0"/>
          <w:divBdr>
            <w:top w:val="none" w:sz="0" w:space="0" w:color="auto"/>
            <w:left w:val="none" w:sz="0" w:space="0" w:color="auto"/>
            <w:bottom w:val="none" w:sz="0" w:space="0" w:color="auto"/>
            <w:right w:val="none" w:sz="0" w:space="0" w:color="auto"/>
          </w:divBdr>
        </w:div>
      </w:divsChild>
    </w:div>
    <w:div w:id="1397975655">
      <w:bodyDiv w:val="1"/>
      <w:marLeft w:val="0"/>
      <w:marRight w:val="0"/>
      <w:marTop w:val="0"/>
      <w:marBottom w:val="0"/>
      <w:divBdr>
        <w:top w:val="none" w:sz="0" w:space="0" w:color="auto"/>
        <w:left w:val="none" w:sz="0" w:space="0" w:color="auto"/>
        <w:bottom w:val="none" w:sz="0" w:space="0" w:color="auto"/>
        <w:right w:val="none" w:sz="0" w:space="0" w:color="auto"/>
      </w:divBdr>
      <w:divsChild>
        <w:div w:id="16546736">
          <w:marLeft w:val="0"/>
          <w:marRight w:val="0"/>
          <w:marTop w:val="0"/>
          <w:marBottom w:val="0"/>
          <w:divBdr>
            <w:top w:val="none" w:sz="0" w:space="0" w:color="auto"/>
            <w:left w:val="none" w:sz="0" w:space="0" w:color="auto"/>
            <w:bottom w:val="none" w:sz="0" w:space="0" w:color="auto"/>
            <w:right w:val="none" w:sz="0" w:space="0" w:color="auto"/>
          </w:divBdr>
          <w:divsChild>
            <w:div w:id="2052875811">
              <w:marLeft w:val="0"/>
              <w:marRight w:val="0"/>
              <w:marTop w:val="0"/>
              <w:marBottom w:val="0"/>
              <w:divBdr>
                <w:top w:val="none" w:sz="0" w:space="0" w:color="auto"/>
                <w:left w:val="none" w:sz="0" w:space="0" w:color="auto"/>
                <w:bottom w:val="none" w:sz="0" w:space="0" w:color="auto"/>
                <w:right w:val="none" w:sz="0" w:space="0" w:color="auto"/>
              </w:divBdr>
            </w:div>
          </w:divsChild>
        </w:div>
        <w:div w:id="28840792">
          <w:marLeft w:val="0"/>
          <w:marRight w:val="0"/>
          <w:marTop w:val="0"/>
          <w:marBottom w:val="0"/>
          <w:divBdr>
            <w:top w:val="none" w:sz="0" w:space="0" w:color="auto"/>
            <w:left w:val="none" w:sz="0" w:space="0" w:color="auto"/>
            <w:bottom w:val="none" w:sz="0" w:space="0" w:color="auto"/>
            <w:right w:val="none" w:sz="0" w:space="0" w:color="auto"/>
          </w:divBdr>
          <w:divsChild>
            <w:div w:id="1958833400">
              <w:marLeft w:val="0"/>
              <w:marRight w:val="0"/>
              <w:marTop w:val="0"/>
              <w:marBottom w:val="0"/>
              <w:divBdr>
                <w:top w:val="none" w:sz="0" w:space="0" w:color="auto"/>
                <w:left w:val="none" w:sz="0" w:space="0" w:color="auto"/>
                <w:bottom w:val="none" w:sz="0" w:space="0" w:color="auto"/>
                <w:right w:val="none" w:sz="0" w:space="0" w:color="auto"/>
              </w:divBdr>
            </w:div>
          </w:divsChild>
        </w:div>
        <w:div w:id="40522289">
          <w:marLeft w:val="0"/>
          <w:marRight w:val="0"/>
          <w:marTop w:val="0"/>
          <w:marBottom w:val="0"/>
          <w:divBdr>
            <w:top w:val="none" w:sz="0" w:space="0" w:color="auto"/>
            <w:left w:val="none" w:sz="0" w:space="0" w:color="auto"/>
            <w:bottom w:val="none" w:sz="0" w:space="0" w:color="auto"/>
            <w:right w:val="none" w:sz="0" w:space="0" w:color="auto"/>
          </w:divBdr>
          <w:divsChild>
            <w:div w:id="996955135">
              <w:marLeft w:val="0"/>
              <w:marRight w:val="0"/>
              <w:marTop w:val="0"/>
              <w:marBottom w:val="0"/>
              <w:divBdr>
                <w:top w:val="none" w:sz="0" w:space="0" w:color="auto"/>
                <w:left w:val="none" w:sz="0" w:space="0" w:color="auto"/>
                <w:bottom w:val="none" w:sz="0" w:space="0" w:color="auto"/>
                <w:right w:val="none" w:sz="0" w:space="0" w:color="auto"/>
              </w:divBdr>
            </w:div>
          </w:divsChild>
        </w:div>
        <w:div w:id="41096149">
          <w:marLeft w:val="0"/>
          <w:marRight w:val="0"/>
          <w:marTop w:val="0"/>
          <w:marBottom w:val="0"/>
          <w:divBdr>
            <w:top w:val="none" w:sz="0" w:space="0" w:color="auto"/>
            <w:left w:val="none" w:sz="0" w:space="0" w:color="auto"/>
            <w:bottom w:val="none" w:sz="0" w:space="0" w:color="auto"/>
            <w:right w:val="none" w:sz="0" w:space="0" w:color="auto"/>
          </w:divBdr>
          <w:divsChild>
            <w:div w:id="298844400">
              <w:marLeft w:val="0"/>
              <w:marRight w:val="0"/>
              <w:marTop w:val="0"/>
              <w:marBottom w:val="0"/>
              <w:divBdr>
                <w:top w:val="none" w:sz="0" w:space="0" w:color="auto"/>
                <w:left w:val="none" w:sz="0" w:space="0" w:color="auto"/>
                <w:bottom w:val="none" w:sz="0" w:space="0" w:color="auto"/>
                <w:right w:val="none" w:sz="0" w:space="0" w:color="auto"/>
              </w:divBdr>
            </w:div>
          </w:divsChild>
        </w:div>
        <w:div w:id="100492425">
          <w:marLeft w:val="0"/>
          <w:marRight w:val="0"/>
          <w:marTop w:val="0"/>
          <w:marBottom w:val="0"/>
          <w:divBdr>
            <w:top w:val="none" w:sz="0" w:space="0" w:color="auto"/>
            <w:left w:val="none" w:sz="0" w:space="0" w:color="auto"/>
            <w:bottom w:val="none" w:sz="0" w:space="0" w:color="auto"/>
            <w:right w:val="none" w:sz="0" w:space="0" w:color="auto"/>
          </w:divBdr>
          <w:divsChild>
            <w:div w:id="1713848408">
              <w:marLeft w:val="0"/>
              <w:marRight w:val="0"/>
              <w:marTop w:val="0"/>
              <w:marBottom w:val="0"/>
              <w:divBdr>
                <w:top w:val="none" w:sz="0" w:space="0" w:color="auto"/>
                <w:left w:val="none" w:sz="0" w:space="0" w:color="auto"/>
                <w:bottom w:val="none" w:sz="0" w:space="0" w:color="auto"/>
                <w:right w:val="none" w:sz="0" w:space="0" w:color="auto"/>
              </w:divBdr>
            </w:div>
          </w:divsChild>
        </w:div>
        <w:div w:id="101342786">
          <w:marLeft w:val="0"/>
          <w:marRight w:val="0"/>
          <w:marTop w:val="0"/>
          <w:marBottom w:val="0"/>
          <w:divBdr>
            <w:top w:val="none" w:sz="0" w:space="0" w:color="auto"/>
            <w:left w:val="none" w:sz="0" w:space="0" w:color="auto"/>
            <w:bottom w:val="none" w:sz="0" w:space="0" w:color="auto"/>
            <w:right w:val="none" w:sz="0" w:space="0" w:color="auto"/>
          </w:divBdr>
          <w:divsChild>
            <w:div w:id="1116026554">
              <w:marLeft w:val="0"/>
              <w:marRight w:val="0"/>
              <w:marTop w:val="0"/>
              <w:marBottom w:val="0"/>
              <w:divBdr>
                <w:top w:val="none" w:sz="0" w:space="0" w:color="auto"/>
                <w:left w:val="none" w:sz="0" w:space="0" w:color="auto"/>
                <w:bottom w:val="none" w:sz="0" w:space="0" w:color="auto"/>
                <w:right w:val="none" w:sz="0" w:space="0" w:color="auto"/>
              </w:divBdr>
            </w:div>
          </w:divsChild>
        </w:div>
        <w:div w:id="113141641">
          <w:marLeft w:val="0"/>
          <w:marRight w:val="0"/>
          <w:marTop w:val="0"/>
          <w:marBottom w:val="0"/>
          <w:divBdr>
            <w:top w:val="none" w:sz="0" w:space="0" w:color="auto"/>
            <w:left w:val="none" w:sz="0" w:space="0" w:color="auto"/>
            <w:bottom w:val="none" w:sz="0" w:space="0" w:color="auto"/>
            <w:right w:val="none" w:sz="0" w:space="0" w:color="auto"/>
          </w:divBdr>
          <w:divsChild>
            <w:div w:id="921649070">
              <w:marLeft w:val="0"/>
              <w:marRight w:val="0"/>
              <w:marTop w:val="0"/>
              <w:marBottom w:val="0"/>
              <w:divBdr>
                <w:top w:val="none" w:sz="0" w:space="0" w:color="auto"/>
                <w:left w:val="none" w:sz="0" w:space="0" w:color="auto"/>
                <w:bottom w:val="none" w:sz="0" w:space="0" w:color="auto"/>
                <w:right w:val="none" w:sz="0" w:space="0" w:color="auto"/>
              </w:divBdr>
            </w:div>
          </w:divsChild>
        </w:div>
        <w:div w:id="117840920">
          <w:marLeft w:val="0"/>
          <w:marRight w:val="0"/>
          <w:marTop w:val="0"/>
          <w:marBottom w:val="0"/>
          <w:divBdr>
            <w:top w:val="none" w:sz="0" w:space="0" w:color="auto"/>
            <w:left w:val="none" w:sz="0" w:space="0" w:color="auto"/>
            <w:bottom w:val="none" w:sz="0" w:space="0" w:color="auto"/>
            <w:right w:val="none" w:sz="0" w:space="0" w:color="auto"/>
          </w:divBdr>
          <w:divsChild>
            <w:div w:id="977565588">
              <w:marLeft w:val="0"/>
              <w:marRight w:val="0"/>
              <w:marTop w:val="0"/>
              <w:marBottom w:val="0"/>
              <w:divBdr>
                <w:top w:val="none" w:sz="0" w:space="0" w:color="auto"/>
                <w:left w:val="none" w:sz="0" w:space="0" w:color="auto"/>
                <w:bottom w:val="none" w:sz="0" w:space="0" w:color="auto"/>
                <w:right w:val="none" w:sz="0" w:space="0" w:color="auto"/>
              </w:divBdr>
            </w:div>
          </w:divsChild>
        </w:div>
        <w:div w:id="134761672">
          <w:marLeft w:val="0"/>
          <w:marRight w:val="0"/>
          <w:marTop w:val="0"/>
          <w:marBottom w:val="0"/>
          <w:divBdr>
            <w:top w:val="none" w:sz="0" w:space="0" w:color="auto"/>
            <w:left w:val="none" w:sz="0" w:space="0" w:color="auto"/>
            <w:bottom w:val="none" w:sz="0" w:space="0" w:color="auto"/>
            <w:right w:val="none" w:sz="0" w:space="0" w:color="auto"/>
          </w:divBdr>
          <w:divsChild>
            <w:div w:id="494304678">
              <w:marLeft w:val="0"/>
              <w:marRight w:val="0"/>
              <w:marTop w:val="0"/>
              <w:marBottom w:val="0"/>
              <w:divBdr>
                <w:top w:val="none" w:sz="0" w:space="0" w:color="auto"/>
                <w:left w:val="none" w:sz="0" w:space="0" w:color="auto"/>
                <w:bottom w:val="none" w:sz="0" w:space="0" w:color="auto"/>
                <w:right w:val="none" w:sz="0" w:space="0" w:color="auto"/>
              </w:divBdr>
            </w:div>
          </w:divsChild>
        </w:div>
        <w:div w:id="181748659">
          <w:marLeft w:val="0"/>
          <w:marRight w:val="0"/>
          <w:marTop w:val="0"/>
          <w:marBottom w:val="0"/>
          <w:divBdr>
            <w:top w:val="none" w:sz="0" w:space="0" w:color="auto"/>
            <w:left w:val="none" w:sz="0" w:space="0" w:color="auto"/>
            <w:bottom w:val="none" w:sz="0" w:space="0" w:color="auto"/>
            <w:right w:val="none" w:sz="0" w:space="0" w:color="auto"/>
          </w:divBdr>
          <w:divsChild>
            <w:div w:id="1797287417">
              <w:marLeft w:val="0"/>
              <w:marRight w:val="0"/>
              <w:marTop w:val="0"/>
              <w:marBottom w:val="0"/>
              <w:divBdr>
                <w:top w:val="none" w:sz="0" w:space="0" w:color="auto"/>
                <w:left w:val="none" w:sz="0" w:space="0" w:color="auto"/>
                <w:bottom w:val="none" w:sz="0" w:space="0" w:color="auto"/>
                <w:right w:val="none" w:sz="0" w:space="0" w:color="auto"/>
              </w:divBdr>
            </w:div>
          </w:divsChild>
        </w:div>
        <w:div w:id="188876803">
          <w:marLeft w:val="0"/>
          <w:marRight w:val="0"/>
          <w:marTop w:val="0"/>
          <w:marBottom w:val="0"/>
          <w:divBdr>
            <w:top w:val="none" w:sz="0" w:space="0" w:color="auto"/>
            <w:left w:val="none" w:sz="0" w:space="0" w:color="auto"/>
            <w:bottom w:val="none" w:sz="0" w:space="0" w:color="auto"/>
            <w:right w:val="none" w:sz="0" w:space="0" w:color="auto"/>
          </w:divBdr>
          <w:divsChild>
            <w:div w:id="1926258291">
              <w:marLeft w:val="0"/>
              <w:marRight w:val="0"/>
              <w:marTop w:val="0"/>
              <w:marBottom w:val="0"/>
              <w:divBdr>
                <w:top w:val="none" w:sz="0" w:space="0" w:color="auto"/>
                <w:left w:val="none" w:sz="0" w:space="0" w:color="auto"/>
                <w:bottom w:val="none" w:sz="0" w:space="0" w:color="auto"/>
                <w:right w:val="none" w:sz="0" w:space="0" w:color="auto"/>
              </w:divBdr>
            </w:div>
          </w:divsChild>
        </w:div>
        <w:div w:id="192228098">
          <w:marLeft w:val="0"/>
          <w:marRight w:val="0"/>
          <w:marTop w:val="0"/>
          <w:marBottom w:val="0"/>
          <w:divBdr>
            <w:top w:val="none" w:sz="0" w:space="0" w:color="auto"/>
            <w:left w:val="none" w:sz="0" w:space="0" w:color="auto"/>
            <w:bottom w:val="none" w:sz="0" w:space="0" w:color="auto"/>
            <w:right w:val="none" w:sz="0" w:space="0" w:color="auto"/>
          </w:divBdr>
          <w:divsChild>
            <w:div w:id="1038240253">
              <w:marLeft w:val="0"/>
              <w:marRight w:val="0"/>
              <w:marTop w:val="0"/>
              <w:marBottom w:val="0"/>
              <w:divBdr>
                <w:top w:val="none" w:sz="0" w:space="0" w:color="auto"/>
                <w:left w:val="none" w:sz="0" w:space="0" w:color="auto"/>
                <w:bottom w:val="none" w:sz="0" w:space="0" w:color="auto"/>
                <w:right w:val="none" w:sz="0" w:space="0" w:color="auto"/>
              </w:divBdr>
            </w:div>
          </w:divsChild>
        </w:div>
        <w:div w:id="229121400">
          <w:marLeft w:val="0"/>
          <w:marRight w:val="0"/>
          <w:marTop w:val="0"/>
          <w:marBottom w:val="0"/>
          <w:divBdr>
            <w:top w:val="none" w:sz="0" w:space="0" w:color="auto"/>
            <w:left w:val="none" w:sz="0" w:space="0" w:color="auto"/>
            <w:bottom w:val="none" w:sz="0" w:space="0" w:color="auto"/>
            <w:right w:val="none" w:sz="0" w:space="0" w:color="auto"/>
          </w:divBdr>
          <w:divsChild>
            <w:div w:id="2015526844">
              <w:marLeft w:val="0"/>
              <w:marRight w:val="0"/>
              <w:marTop w:val="0"/>
              <w:marBottom w:val="0"/>
              <w:divBdr>
                <w:top w:val="none" w:sz="0" w:space="0" w:color="auto"/>
                <w:left w:val="none" w:sz="0" w:space="0" w:color="auto"/>
                <w:bottom w:val="none" w:sz="0" w:space="0" w:color="auto"/>
                <w:right w:val="none" w:sz="0" w:space="0" w:color="auto"/>
              </w:divBdr>
            </w:div>
          </w:divsChild>
        </w:div>
        <w:div w:id="230313180">
          <w:marLeft w:val="0"/>
          <w:marRight w:val="0"/>
          <w:marTop w:val="0"/>
          <w:marBottom w:val="0"/>
          <w:divBdr>
            <w:top w:val="none" w:sz="0" w:space="0" w:color="auto"/>
            <w:left w:val="none" w:sz="0" w:space="0" w:color="auto"/>
            <w:bottom w:val="none" w:sz="0" w:space="0" w:color="auto"/>
            <w:right w:val="none" w:sz="0" w:space="0" w:color="auto"/>
          </w:divBdr>
          <w:divsChild>
            <w:div w:id="1227302501">
              <w:marLeft w:val="0"/>
              <w:marRight w:val="0"/>
              <w:marTop w:val="0"/>
              <w:marBottom w:val="0"/>
              <w:divBdr>
                <w:top w:val="none" w:sz="0" w:space="0" w:color="auto"/>
                <w:left w:val="none" w:sz="0" w:space="0" w:color="auto"/>
                <w:bottom w:val="none" w:sz="0" w:space="0" w:color="auto"/>
                <w:right w:val="none" w:sz="0" w:space="0" w:color="auto"/>
              </w:divBdr>
            </w:div>
          </w:divsChild>
        </w:div>
        <w:div w:id="238753555">
          <w:marLeft w:val="0"/>
          <w:marRight w:val="0"/>
          <w:marTop w:val="0"/>
          <w:marBottom w:val="0"/>
          <w:divBdr>
            <w:top w:val="none" w:sz="0" w:space="0" w:color="auto"/>
            <w:left w:val="none" w:sz="0" w:space="0" w:color="auto"/>
            <w:bottom w:val="none" w:sz="0" w:space="0" w:color="auto"/>
            <w:right w:val="none" w:sz="0" w:space="0" w:color="auto"/>
          </w:divBdr>
          <w:divsChild>
            <w:div w:id="819003689">
              <w:marLeft w:val="0"/>
              <w:marRight w:val="0"/>
              <w:marTop w:val="0"/>
              <w:marBottom w:val="0"/>
              <w:divBdr>
                <w:top w:val="none" w:sz="0" w:space="0" w:color="auto"/>
                <w:left w:val="none" w:sz="0" w:space="0" w:color="auto"/>
                <w:bottom w:val="none" w:sz="0" w:space="0" w:color="auto"/>
                <w:right w:val="none" w:sz="0" w:space="0" w:color="auto"/>
              </w:divBdr>
            </w:div>
          </w:divsChild>
        </w:div>
        <w:div w:id="316998757">
          <w:marLeft w:val="0"/>
          <w:marRight w:val="0"/>
          <w:marTop w:val="0"/>
          <w:marBottom w:val="0"/>
          <w:divBdr>
            <w:top w:val="none" w:sz="0" w:space="0" w:color="auto"/>
            <w:left w:val="none" w:sz="0" w:space="0" w:color="auto"/>
            <w:bottom w:val="none" w:sz="0" w:space="0" w:color="auto"/>
            <w:right w:val="none" w:sz="0" w:space="0" w:color="auto"/>
          </w:divBdr>
          <w:divsChild>
            <w:div w:id="1988629562">
              <w:marLeft w:val="0"/>
              <w:marRight w:val="0"/>
              <w:marTop w:val="0"/>
              <w:marBottom w:val="0"/>
              <w:divBdr>
                <w:top w:val="none" w:sz="0" w:space="0" w:color="auto"/>
                <w:left w:val="none" w:sz="0" w:space="0" w:color="auto"/>
                <w:bottom w:val="none" w:sz="0" w:space="0" w:color="auto"/>
                <w:right w:val="none" w:sz="0" w:space="0" w:color="auto"/>
              </w:divBdr>
            </w:div>
          </w:divsChild>
        </w:div>
        <w:div w:id="331763565">
          <w:marLeft w:val="0"/>
          <w:marRight w:val="0"/>
          <w:marTop w:val="0"/>
          <w:marBottom w:val="0"/>
          <w:divBdr>
            <w:top w:val="none" w:sz="0" w:space="0" w:color="auto"/>
            <w:left w:val="none" w:sz="0" w:space="0" w:color="auto"/>
            <w:bottom w:val="none" w:sz="0" w:space="0" w:color="auto"/>
            <w:right w:val="none" w:sz="0" w:space="0" w:color="auto"/>
          </w:divBdr>
          <w:divsChild>
            <w:div w:id="288315502">
              <w:marLeft w:val="0"/>
              <w:marRight w:val="0"/>
              <w:marTop w:val="0"/>
              <w:marBottom w:val="0"/>
              <w:divBdr>
                <w:top w:val="none" w:sz="0" w:space="0" w:color="auto"/>
                <w:left w:val="none" w:sz="0" w:space="0" w:color="auto"/>
                <w:bottom w:val="none" w:sz="0" w:space="0" w:color="auto"/>
                <w:right w:val="none" w:sz="0" w:space="0" w:color="auto"/>
              </w:divBdr>
            </w:div>
          </w:divsChild>
        </w:div>
        <w:div w:id="383791741">
          <w:marLeft w:val="0"/>
          <w:marRight w:val="0"/>
          <w:marTop w:val="0"/>
          <w:marBottom w:val="0"/>
          <w:divBdr>
            <w:top w:val="none" w:sz="0" w:space="0" w:color="auto"/>
            <w:left w:val="none" w:sz="0" w:space="0" w:color="auto"/>
            <w:bottom w:val="none" w:sz="0" w:space="0" w:color="auto"/>
            <w:right w:val="none" w:sz="0" w:space="0" w:color="auto"/>
          </w:divBdr>
          <w:divsChild>
            <w:div w:id="1544902492">
              <w:marLeft w:val="0"/>
              <w:marRight w:val="0"/>
              <w:marTop w:val="0"/>
              <w:marBottom w:val="0"/>
              <w:divBdr>
                <w:top w:val="none" w:sz="0" w:space="0" w:color="auto"/>
                <w:left w:val="none" w:sz="0" w:space="0" w:color="auto"/>
                <w:bottom w:val="none" w:sz="0" w:space="0" w:color="auto"/>
                <w:right w:val="none" w:sz="0" w:space="0" w:color="auto"/>
              </w:divBdr>
            </w:div>
          </w:divsChild>
        </w:div>
        <w:div w:id="398328708">
          <w:marLeft w:val="0"/>
          <w:marRight w:val="0"/>
          <w:marTop w:val="0"/>
          <w:marBottom w:val="0"/>
          <w:divBdr>
            <w:top w:val="none" w:sz="0" w:space="0" w:color="auto"/>
            <w:left w:val="none" w:sz="0" w:space="0" w:color="auto"/>
            <w:bottom w:val="none" w:sz="0" w:space="0" w:color="auto"/>
            <w:right w:val="none" w:sz="0" w:space="0" w:color="auto"/>
          </w:divBdr>
          <w:divsChild>
            <w:div w:id="1066338008">
              <w:marLeft w:val="0"/>
              <w:marRight w:val="0"/>
              <w:marTop w:val="0"/>
              <w:marBottom w:val="0"/>
              <w:divBdr>
                <w:top w:val="none" w:sz="0" w:space="0" w:color="auto"/>
                <w:left w:val="none" w:sz="0" w:space="0" w:color="auto"/>
                <w:bottom w:val="none" w:sz="0" w:space="0" w:color="auto"/>
                <w:right w:val="none" w:sz="0" w:space="0" w:color="auto"/>
              </w:divBdr>
            </w:div>
          </w:divsChild>
        </w:div>
        <w:div w:id="409281235">
          <w:marLeft w:val="0"/>
          <w:marRight w:val="0"/>
          <w:marTop w:val="0"/>
          <w:marBottom w:val="0"/>
          <w:divBdr>
            <w:top w:val="none" w:sz="0" w:space="0" w:color="auto"/>
            <w:left w:val="none" w:sz="0" w:space="0" w:color="auto"/>
            <w:bottom w:val="none" w:sz="0" w:space="0" w:color="auto"/>
            <w:right w:val="none" w:sz="0" w:space="0" w:color="auto"/>
          </w:divBdr>
          <w:divsChild>
            <w:div w:id="1345788076">
              <w:marLeft w:val="0"/>
              <w:marRight w:val="0"/>
              <w:marTop w:val="0"/>
              <w:marBottom w:val="0"/>
              <w:divBdr>
                <w:top w:val="none" w:sz="0" w:space="0" w:color="auto"/>
                <w:left w:val="none" w:sz="0" w:space="0" w:color="auto"/>
                <w:bottom w:val="none" w:sz="0" w:space="0" w:color="auto"/>
                <w:right w:val="none" w:sz="0" w:space="0" w:color="auto"/>
              </w:divBdr>
            </w:div>
          </w:divsChild>
        </w:div>
        <w:div w:id="429356170">
          <w:marLeft w:val="0"/>
          <w:marRight w:val="0"/>
          <w:marTop w:val="0"/>
          <w:marBottom w:val="0"/>
          <w:divBdr>
            <w:top w:val="none" w:sz="0" w:space="0" w:color="auto"/>
            <w:left w:val="none" w:sz="0" w:space="0" w:color="auto"/>
            <w:bottom w:val="none" w:sz="0" w:space="0" w:color="auto"/>
            <w:right w:val="none" w:sz="0" w:space="0" w:color="auto"/>
          </w:divBdr>
          <w:divsChild>
            <w:div w:id="443773684">
              <w:marLeft w:val="0"/>
              <w:marRight w:val="0"/>
              <w:marTop w:val="0"/>
              <w:marBottom w:val="0"/>
              <w:divBdr>
                <w:top w:val="none" w:sz="0" w:space="0" w:color="auto"/>
                <w:left w:val="none" w:sz="0" w:space="0" w:color="auto"/>
                <w:bottom w:val="none" w:sz="0" w:space="0" w:color="auto"/>
                <w:right w:val="none" w:sz="0" w:space="0" w:color="auto"/>
              </w:divBdr>
            </w:div>
          </w:divsChild>
        </w:div>
        <w:div w:id="433667923">
          <w:marLeft w:val="0"/>
          <w:marRight w:val="0"/>
          <w:marTop w:val="0"/>
          <w:marBottom w:val="0"/>
          <w:divBdr>
            <w:top w:val="none" w:sz="0" w:space="0" w:color="auto"/>
            <w:left w:val="none" w:sz="0" w:space="0" w:color="auto"/>
            <w:bottom w:val="none" w:sz="0" w:space="0" w:color="auto"/>
            <w:right w:val="none" w:sz="0" w:space="0" w:color="auto"/>
          </w:divBdr>
          <w:divsChild>
            <w:div w:id="1304121127">
              <w:marLeft w:val="0"/>
              <w:marRight w:val="0"/>
              <w:marTop w:val="0"/>
              <w:marBottom w:val="0"/>
              <w:divBdr>
                <w:top w:val="none" w:sz="0" w:space="0" w:color="auto"/>
                <w:left w:val="none" w:sz="0" w:space="0" w:color="auto"/>
                <w:bottom w:val="none" w:sz="0" w:space="0" w:color="auto"/>
                <w:right w:val="none" w:sz="0" w:space="0" w:color="auto"/>
              </w:divBdr>
            </w:div>
          </w:divsChild>
        </w:div>
        <w:div w:id="444271065">
          <w:marLeft w:val="0"/>
          <w:marRight w:val="0"/>
          <w:marTop w:val="0"/>
          <w:marBottom w:val="0"/>
          <w:divBdr>
            <w:top w:val="none" w:sz="0" w:space="0" w:color="auto"/>
            <w:left w:val="none" w:sz="0" w:space="0" w:color="auto"/>
            <w:bottom w:val="none" w:sz="0" w:space="0" w:color="auto"/>
            <w:right w:val="none" w:sz="0" w:space="0" w:color="auto"/>
          </w:divBdr>
          <w:divsChild>
            <w:div w:id="701830149">
              <w:marLeft w:val="0"/>
              <w:marRight w:val="0"/>
              <w:marTop w:val="0"/>
              <w:marBottom w:val="0"/>
              <w:divBdr>
                <w:top w:val="none" w:sz="0" w:space="0" w:color="auto"/>
                <w:left w:val="none" w:sz="0" w:space="0" w:color="auto"/>
                <w:bottom w:val="none" w:sz="0" w:space="0" w:color="auto"/>
                <w:right w:val="none" w:sz="0" w:space="0" w:color="auto"/>
              </w:divBdr>
            </w:div>
          </w:divsChild>
        </w:div>
        <w:div w:id="464470826">
          <w:marLeft w:val="0"/>
          <w:marRight w:val="0"/>
          <w:marTop w:val="0"/>
          <w:marBottom w:val="0"/>
          <w:divBdr>
            <w:top w:val="none" w:sz="0" w:space="0" w:color="auto"/>
            <w:left w:val="none" w:sz="0" w:space="0" w:color="auto"/>
            <w:bottom w:val="none" w:sz="0" w:space="0" w:color="auto"/>
            <w:right w:val="none" w:sz="0" w:space="0" w:color="auto"/>
          </w:divBdr>
          <w:divsChild>
            <w:div w:id="290402228">
              <w:marLeft w:val="0"/>
              <w:marRight w:val="0"/>
              <w:marTop w:val="0"/>
              <w:marBottom w:val="0"/>
              <w:divBdr>
                <w:top w:val="none" w:sz="0" w:space="0" w:color="auto"/>
                <w:left w:val="none" w:sz="0" w:space="0" w:color="auto"/>
                <w:bottom w:val="none" w:sz="0" w:space="0" w:color="auto"/>
                <w:right w:val="none" w:sz="0" w:space="0" w:color="auto"/>
              </w:divBdr>
            </w:div>
          </w:divsChild>
        </w:div>
        <w:div w:id="484318266">
          <w:marLeft w:val="0"/>
          <w:marRight w:val="0"/>
          <w:marTop w:val="0"/>
          <w:marBottom w:val="0"/>
          <w:divBdr>
            <w:top w:val="none" w:sz="0" w:space="0" w:color="auto"/>
            <w:left w:val="none" w:sz="0" w:space="0" w:color="auto"/>
            <w:bottom w:val="none" w:sz="0" w:space="0" w:color="auto"/>
            <w:right w:val="none" w:sz="0" w:space="0" w:color="auto"/>
          </w:divBdr>
          <w:divsChild>
            <w:div w:id="748503469">
              <w:marLeft w:val="0"/>
              <w:marRight w:val="0"/>
              <w:marTop w:val="0"/>
              <w:marBottom w:val="0"/>
              <w:divBdr>
                <w:top w:val="none" w:sz="0" w:space="0" w:color="auto"/>
                <w:left w:val="none" w:sz="0" w:space="0" w:color="auto"/>
                <w:bottom w:val="none" w:sz="0" w:space="0" w:color="auto"/>
                <w:right w:val="none" w:sz="0" w:space="0" w:color="auto"/>
              </w:divBdr>
            </w:div>
          </w:divsChild>
        </w:div>
        <w:div w:id="489832041">
          <w:marLeft w:val="0"/>
          <w:marRight w:val="0"/>
          <w:marTop w:val="0"/>
          <w:marBottom w:val="0"/>
          <w:divBdr>
            <w:top w:val="none" w:sz="0" w:space="0" w:color="auto"/>
            <w:left w:val="none" w:sz="0" w:space="0" w:color="auto"/>
            <w:bottom w:val="none" w:sz="0" w:space="0" w:color="auto"/>
            <w:right w:val="none" w:sz="0" w:space="0" w:color="auto"/>
          </w:divBdr>
          <w:divsChild>
            <w:div w:id="1778986825">
              <w:marLeft w:val="0"/>
              <w:marRight w:val="0"/>
              <w:marTop w:val="0"/>
              <w:marBottom w:val="0"/>
              <w:divBdr>
                <w:top w:val="none" w:sz="0" w:space="0" w:color="auto"/>
                <w:left w:val="none" w:sz="0" w:space="0" w:color="auto"/>
                <w:bottom w:val="none" w:sz="0" w:space="0" w:color="auto"/>
                <w:right w:val="none" w:sz="0" w:space="0" w:color="auto"/>
              </w:divBdr>
            </w:div>
          </w:divsChild>
        </w:div>
        <w:div w:id="513424406">
          <w:marLeft w:val="0"/>
          <w:marRight w:val="0"/>
          <w:marTop w:val="0"/>
          <w:marBottom w:val="0"/>
          <w:divBdr>
            <w:top w:val="none" w:sz="0" w:space="0" w:color="auto"/>
            <w:left w:val="none" w:sz="0" w:space="0" w:color="auto"/>
            <w:bottom w:val="none" w:sz="0" w:space="0" w:color="auto"/>
            <w:right w:val="none" w:sz="0" w:space="0" w:color="auto"/>
          </w:divBdr>
          <w:divsChild>
            <w:div w:id="288248261">
              <w:marLeft w:val="0"/>
              <w:marRight w:val="0"/>
              <w:marTop w:val="0"/>
              <w:marBottom w:val="0"/>
              <w:divBdr>
                <w:top w:val="none" w:sz="0" w:space="0" w:color="auto"/>
                <w:left w:val="none" w:sz="0" w:space="0" w:color="auto"/>
                <w:bottom w:val="none" w:sz="0" w:space="0" w:color="auto"/>
                <w:right w:val="none" w:sz="0" w:space="0" w:color="auto"/>
              </w:divBdr>
            </w:div>
          </w:divsChild>
        </w:div>
        <w:div w:id="522789281">
          <w:marLeft w:val="0"/>
          <w:marRight w:val="0"/>
          <w:marTop w:val="0"/>
          <w:marBottom w:val="0"/>
          <w:divBdr>
            <w:top w:val="none" w:sz="0" w:space="0" w:color="auto"/>
            <w:left w:val="none" w:sz="0" w:space="0" w:color="auto"/>
            <w:bottom w:val="none" w:sz="0" w:space="0" w:color="auto"/>
            <w:right w:val="none" w:sz="0" w:space="0" w:color="auto"/>
          </w:divBdr>
          <w:divsChild>
            <w:div w:id="1117412743">
              <w:marLeft w:val="0"/>
              <w:marRight w:val="0"/>
              <w:marTop w:val="0"/>
              <w:marBottom w:val="0"/>
              <w:divBdr>
                <w:top w:val="none" w:sz="0" w:space="0" w:color="auto"/>
                <w:left w:val="none" w:sz="0" w:space="0" w:color="auto"/>
                <w:bottom w:val="none" w:sz="0" w:space="0" w:color="auto"/>
                <w:right w:val="none" w:sz="0" w:space="0" w:color="auto"/>
              </w:divBdr>
            </w:div>
          </w:divsChild>
        </w:div>
        <w:div w:id="529298603">
          <w:marLeft w:val="0"/>
          <w:marRight w:val="0"/>
          <w:marTop w:val="0"/>
          <w:marBottom w:val="0"/>
          <w:divBdr>
            <w:top w:val="none" w:sz="0" w:space="0" w:color="auto"/>
            <w:left w:val="none" w:sz="0" w:space="0" w:color="auto"/>
            <w:bottom w:val="none" w:sz="0" w:space="0" w:color="auto"/>
            <w:right w:val="none" w:sz="0" w:space="0" w:color="auto"/>
          </w:divBdr>
          <w:divsChild>
            <w:div w:id="672607176">
              <w:marLeft w:val="0"/>
              <w:marRight w:val="0"/>
              <w:marTop w:val="0"/>
              <w:marBottom w:val="0"/>
              <w:divBdr>
                <w:top w:val="none" w:sz="0" w:space="0" w:color="auto"/>
                <w:left w:val="none" w:sz="0" w:space="0" w:color="auto"/>
                <w:bottom w:val="none" w:sz="0" w:space="0" w:color="auto"/>
                <w:right w:val="none" w:sz="0" w:space="0" w:color="auto"/>
              </w:divBdr>
            </w:div>
          </w:divsChild>
        </w:div>
        <w:div w:id="531576964">
          <w:marLeft w:val="0"/>
          <w:marRight w:val="0"/>
          <w:marTop w:val="0"/>
          <w:marBottom w:val="0"/>
          <w:divBdr>
            <w:top w:val="none" w:sz="0" w:space="0" w:color="auto"/>
            <w:left w:val="none" w:sz="0" w:space="0" w:color="auto"/>
            <w:bottom w:val="none" w:sz="0" w:space="0" w:color="auto"/>
            <w:right w:val="none" w:sz="0" w:space="0" w:color="auto"/>
          </w:divBdr>
          <w:divsChild>
            <w:div w:id="1430395646">
              <w:marLeft w:val="0"/>
              <w:marRight w:val="0"/>
              <w:marTop w:val="0"/>
              <w:marBottom w:val="0"/>
              <w:divBdr>
                <w:top w:val="none" w:sz="0" w:space="0" w:color="auto"/>
                <w:left w:val="none" w:sz="0" w:space="0" w:color="auto"/>
                <w:bottom w:val="none" w:sz="0" w:space="0" w:color="auto"/>
                <w:right w:val="none" w:sz="0" w:space="0" w:color="auto"/>
              </w:divBdr>
            </w:div>
          </w:divsChild>
        </w:div>
        <w:div w:id="553347486">
          <w:marLeft w:val="0"/>
          <w:marRight w:val="0"/>
          <w:marTop w:val="0"/>
          <w:marBottom w:val="0"/>
          <w:divBdr>
            <w:top w:val="none" w:sz="0" w:space="0" w:color="auto"/>
            <w:left w:val="none" w:sz="0" w:space="0" w:color="auto"/>
            <w:bottom w:val="none" w:sz="0" w:space="0" w:color="auto"/>
            <w:right w:val="none" w:sz="0" w:space="0" w:color="auto"/>
          </w:divBdr>
          <w:divsChild>
            <w:div w:id="1385712930">
              <w:marLeft w:val="0"/>
              <w:marRight w:val="0"/>
              <w:marTop w:val="0"/>
              <w:marBottom w:val="0"/>
              <w:divBdr>
                <w:top w:val="none" w:sz="0" w:space="0" w:color="auto"/>
                <w:left w:val="none" w:sz="0" w:space="0" w:color="auto"/>
                <w:bottom w:val="none" w:sz="0" w:space="0" w:color="auto"/>
                <w:right w:val="none" w:sz="0" w:space="0" w:color="auto"/>
              </w:divBdr>
            </w:div>
          </w:divsChild>
        </w:div>
        <w:div w:id="581528141">
          <w:marLeft w:val="0"/>
          <w:marRight w:val="0"/>
          <w:marTop w:val="0"/>
          <w:marBottom w:val="0"/>
          <w:divBdr>
            <w:top w:val="none" w:sz="0" w:space="0" w:color="auto"/>
            <w:left w:val="none" w:sz="0" w:space="0" w:color="auto"/>
            <w:bottom w:val="none" w:sz="0" w:space="0" w:color="auto"/>
            <w:right w:val="none" w:sz="0" w:space="0" w:color="auto"/>
          </w:divBdr>
          <w:divsChild>
            <w:div w:id="1217357628">
              <w:marLeft w:val="0"/>
              <w:marRight w:val="0"/>
              <w:marTop w:val="0"/>
              <w:marBottom w:val="0"/>
              <w:divBdr>
                <w:top w:val="none" w:sz="0" w:space="0" w:color="auto"/>
                <w:left w:val="none" w:sz="0" w:space="0" w:color="auto"/>
                <w:bottom w:val="none" w:sz="0" w:space="0" w:color="auto"/>
                <w:right w:val="none" w:sz="0" w:space="0" w:color="auto"/>
              </w:divBdr>
            </w:div>
          </w:divsChild>
        </w:div>
        <w:div w:id="598833218">
          <w:marLeft w:val="0"/>
          <w:marRight w:val="0"/>
          <w:marTop w:val="0"/>
          <w:marBottom w:val="0"/>
          <w:divBdr>
            <w:top w:val="none" w:sz="0" w:space="0" w:color="auto"/>
            <w:left w:val="none" w:sz="0" w:space="0" w:color="auto"/>
            <w:bottom w:val="none" w:sz="0" w:space="0" w:color="auto"/>
            <w:right w:val="none" w:sz="0" w:space="0" w:color="auto"/>
          </w:divBdr>
          <w:divsChild>
            <w:div w:id="705104597">
              <w:marLeft w:val="0"/>
              <w:marRight w:val="0"/>
              <w:marTop w:val="0"/>
              <w:marBottom w:val="0"/>
              <w:divBdr>
                <w:top w:val="none" w:sz="0" w:space="0" w:color="auto"/>
                <w:left w:val="none" w:sz="0" w:space="0" w:color="auto"/>
                <w:bottom w:val="none" w:sz="0" w:space="0" w:color="auto"/>
                <w:right w:val="none" w:sz="0" w:space="0" w:color="auto"/>
              </w:divBdr>
            </w:div>
          </w:divsChild>
        </w:div>
        <w:div w:id="663169236">
          <w:marLeft w:val="0"/>
          <w:marRight w:val="0"/>
          <w:marTop w:val="0"/>
          <w:marBottom w:val="0"/>
          <w:divBdr>
            <w:top w:val="none" w:sz="0" w:space="0" w:color="auto"/>
            <w:left w:val="none" w:sz="0" w:space="0" w:color="auto"/>
            <w:bottom w:val="none" w:sz="0" w:space="0" w:color="auto"/>
            <w:right w:val="none" w:sz="0" w:space="0" w:color="auto"/>
          </w:divBdr>
          <w:divsChild>
            <w:div w:id="298534521">
              <w:marLeft w:val="0"/>
              <w:marRight w:val="0"/>
              <w:marTop w:val="0"/>
              <w:marBottom w:val="0"/>
              <w:divBdr>
                <w:top w:val="none" w:sz="0" w:space="0" w:color="auto"/>
                <w:left w:val="none" w:sz="0" w:space="0" w:color="auto"/>
                <w:bottom w:val="none" w:sz="0" w:space="0" w:color="auto"/>
                <w:right w:val="none" w:sz="0" w:space="0" w:color="auto"/>
              </w:divBdr>
            </w:div>
          </w:divsChild>
        </w:div>
        <w:div w:id="668561014">
          <w:marLeft w:val="0"/>
          <w:marRight w:val="0"/>
          <w:marTop w:val="0"/>
          <w:marBottom w:val="0"/>
          <w:divBdr>
            <w:top w:val="none" w:sz="0" w:space="0" w:color="auto"/>
            <w:left w:val="none" w:sz="0" w:space="0" w:color="auto"/>
            <w:bottom w:val="none" w:sz="0" w:space="0" w:color="auto"/>
            <w:right w:val="none" w:sz="0" w:space="0" w:color="auto"/>
          </w:divBdr>
          <w:divsChild>
            <w:div w:id="1491561874">
              <w:marLeft w:val="0"/>
              <w:marRight w:val="0"/>
              <w:marTop w:val="0"/>
              <w:marBottom w:val="0"/>
              <w:divBdr>
                <w:top w:val="none" w:sz="0" w:space="0" w:color="auto"/>
                <w:left w:val="none" w:sz="0" w:space="0" w:color="auto"/>
                <w:bottom w:val="none" w:sz="0" w:space="0" w:color="auto"/>
                <w:right w:val="none" w:sz="0" w:space="0" w:color="auto"/>
              </w:divBdr>
            </w:div>
          </w:divsChild>
        </w:div>
        <w:div w:id="688412166">
          <w:marLeft w:val="0"/>
          <w:marRight w:val="0"/>
          <w:marTop w:val="0"/>
          <w:marBottom w:val="0"/>
          <w:divBdr>
            <w:top w:val="none" w:sz="0" w:space="0" w:color="auto"/>
            <w:left w:val="none" w:sz="0" w:space="0" w:color="auto"/>
            <w:bottom w:val="none" w:sz="0" w:space="0" w:color="auto"/>
            <w:right w:val="none" w:sz="0" w:space="0" w:color="auto"/>
          </w:divBdr>
          <w:divsChild>
            <w:div w:id="1212764300">
              <w:marLeft w:val="0"/>
              <w:marRight w:val="0"/>
              <w:marTop w:val="0"/>
              <w:marBottom w:val="0"/>
              <w:divBdr>
                <w:top w:val="none" w:sz="0" w:space="0" w:color="auto"/>
                <w:left w:val="none" w:sz="0" w:space="0" w:color="auto"/>
                <w:bottom w:val="none" w:sz="0" w:space="0" w:color="auto"/>
                <w:right w:val="none" w:sz="0" w:space="0" w:color="auto"/>
              </w:divBdr>
            </w:div>
          </w:divsChild>
        </w:div>
        <w:div w:id="698623153">
          <w:marLeft w:val="0"/>
          <w:marRight w:val="0"/>
          <w:marTop w:val="0"/>
          <w:marBottom w:val="0"/>
          <w:divBdr>
            <w:top w:val="none" w:sz="0" w:space="0" w:color="auto"/>
            <w:left w:val="none" w:sz="0" w:space="0" w:color="auto"/>
            <w:bottom w:val="none" w:sz="0" w:space="0" w:color="auto"/>
            <w:right w:val="none" w:sz="0" w:space="0" w:color="auto"/>
          </w:divBdr>
          <w:divsChild>
            <w:div w:id="847057075">
              <w:marLeft w:val="0"/>
              <w:marRight w:val="0"/>
              <w:marTop w:val="0"/>
              <w:marBottom w:val="0"/>
              <w:divBdr>
                <w:top w:val="none" w:sz="0" w:space="0" w:color="auto"/>
                <w:left w:val="none" w:sz="0" w:space="0" w:color="auto"/>
                <w:bottom w:val="none" w:sz="0" w:space="0" w:color="auto"/>
                <w:right w:val="none" w:sz="0" w:space="0" w:color="auto"/>
              </w:divBdr>
            </w:div>
          </w:divsChild>
        </w:div>
        <w:div w:id="712080257">
          <w:marLeft w:val="0"/>
          <w:marRight w:val="0"/>
          <w:marTop w:val="0"/>
          <w:marBottom w:val="0"/>
          <w:divBdr>
            <w:top w:val="none" w:sz="0" w:space="0" w:color="auto"/>
            <w:left w:val="none" w:sz="0" w:space="0" w:color="auto"/>
            <w:bottom w:val="none" w:sz="0" w:space="0" w:color="auto"/>
            <w:right w:val="none" w:sz="0" w:space="0" w:color="auto"/>
          </w:divBdr>
          <w:divsChild>
            <w:div w:id="1813017979">
              <w:marLeft w:val="0"/>
              <w:marRight w:val="0"/>
              <w:marTop w:val="0"/>
              <w:marBottom w:val="0"/>
              <w:divBdr>
                <w:top w:val="none" w:sz="0" w:space="0" w:color="auto"/>
                <w:left w:val="none" w:sz="0" w:space="0" w:color="auto"/>
                <w:bottom w:val="none" w:sz="0" w:space="0" w:color="auto"/>
                <w:right w:val="none" w:sz="0" w:space="0" w:color="auto"/>
              </w:divBdr>
            </w:div>
          </w:divsChild>
        </w:div>
        <w:div w:id="726224054">
          <w:marLeft w:val="0"/>
          <w:marRight w:val="0"/>
          <w:marTop w:val="0"/>
          <w:marBottom w:val="0"/>
          <w:divBdr>
            <w:top w:val="none" w:sz="0" w:space="0" w:color="auto"/>
            <w:left w:val="none" w:sz="0" w:space="0" w:color="auto"/>
            <w:bottom w:val="none" w:sz="0" w:space="0" w:color="auto"/>
            <w:right w:val="none" w:sz="0" w:space="0" w:color="auto"/>
          </w:divBdr>
          <w:divsChild>
            <w:div w:id="1567379593">
              <w:marLeft w:val="0"/>
              <w:marRight w:val="0"/>
              <w:marTop w:val="0"/>
              <w:marBottom w:val="0"/>
              <w:divBdr>
                <w:top w:val="none" w:sz="0" w:space="0" w:color="auto"/>
                <w:left w:val="none" w:sz="0" w:space="0" w:color="auto"/>
                <w:bottom w:val="none" w:sz="0" w:space="0" w:color="auto"/>
                <w:right w:val="none" w:sz="0" w:space="0" w:color="auto"/>
              </w:divBdr>
            </w:div>
          </w:divsChild>
        </w:div>
        <w:div w:id="739014832">
          <w:marLeft w:val="0"/>
          <w:marRight w:val="0"/>
          <w:marTop w:val="0"/>
          <w:marBottom w:val="0"/>
          <w:divBdr>
            <w:top w:val="none" w:sz="0" w:space="0" w:color="auto"/>
            <w:left w:val="none" w:sz="0" w:space="0" w:color="auto"/>
            <w:bottom w:val="none" w:sz="0" w:space="0" w:color="auto"/>
            <w:right w:val="none" w:sz="0" w:space="0" w:color="auto"/>
          </w:divBdr>
          <w:divsChild>
            <w:div w:id="1321612499">
              <w:marLeft w:val="0"/>
              <w:marRight w:val="0"/>
              <w:marTop w:val="0"/>
              <w:marBottom w:val="0"/>
              <w:divBdr>
                <w:top w:val="none" w:sz="0" w:space="0" w:color="auto"/>
                <w:left w:val="none" w:sz="0" w:space="0" w:color="auto"/>
                <w:bottom w:val="none" w:sz="0" w:space="0" w:color="auto"/>
                <w:right w:val="none" w:sz="0" w:space="0" w:color="auto"/>
              </w:divBdr>
            </w:div>
          </w:divsChild>
        </w:div>
        <w:div w:id="752580919">
          <w:marLeft w:val="0"/>
          <w:marRight w:val="0"/>
          <w:marTop w:val="0"/>
          <w:marBottom w:val="0"/>
          <w:divBdr>
            <w:top w:val="none" w:sz="0" w:space="0" w:color="auto"/>
            <w:left w:val="none" w:sz="0" w:space="0" w:color="auto"/>
            <w:bottom w:val="none" w:sz="0" w:space="0" w:color="auto"/>
            <w:right w:val="none" w:sz="0" w:space="0" w:color="auto"/>
          </w:divBdr>
          <w:divsChild>
            <w:div w:id="901672298">
              <w:marLeft w:val="0"/>
              <w:marRight w:val="0"/>
              <w:marTop w:val="0"/>
              <w:marBottom w:val="0"/>
              <w:divBdr>
                <w:top w:val="none" w:sz="0" w:space="0" w:color="auto"/>
                <w:left w:val="none" w:sz="0" w:space="0" w:color="auto"/>
                <w:bottom w:val="none" w:sz="0" w:space="0" w:color="auto"/>
                <w:right w:val="none" w:sz="0" w:space="0" w:color="auto"/>
              </w:divBdr>
            </w:div>
          </w:divsChild>
        </w:div>
        <w:div w:id="757487267">
          <w:marLeft w:val="0"/>
          <w:marRight w:val="0"/>
          <w:marTop w:val="0"/>
          <w:marBottom w:val="0"/>
          <w:divBdr>
            <w:top w:val="none" w:sz="0" w:space="0" w:color="auto"/>
            <w:left w:val="none" w:sz="0" w:space="0" w:color="auto"/>
            <w:bottom w:val="none" w:sz="0" w:space="0" w:color="auto"/>
            <w:right w:val="none" w:sz="0" w:space="0" w:color="auto"/>
          </w:divBdr>
          <w:divsChild>
            <w:div w:id="1786191084">
              <w:marLeft w:val="0"/>
              <w:marRight w:val="0"/>
              <w:marTop w:val="0"/>
              <w:marBottom w:val="0"/>
              <w:divBdr>
                <w:top w:val="none" w:sz="0" w:space="0" w:color="auto"/>
                <w:left w:val="none" w:sz="0" w:space="0" w:color="auto"/>
                <w:bottom w:val="none" w:sz="0" w:space="0" w:color="auto"/>
                <w:right w:val="none" w:sz="0" w:space="0" w:color="auto"/>
              </w:divBdr>
            </w:div>
          </w:divsChild>
        </w:div>
        <w:div w:id="765080598">
          <w:marLeft w:val="0"/>
          <w:marRight w:val="0"/>
          <w:marTop w:val="0"/>
          <w:marBottom w:val="0"/>
          <w:divBdr>
            <w:top w:val="none" w:sz="0" w:space="0" w:color="auto"/>
            <w:left w:val="none" w:sz="0" w:space="0" w:color="auto"/>
            <w:bottom w:val="none" w:sz="0" w:space="0" w:color="auto"/>
            <w:right w:val="none" w:sz="0" w:space="0" w:color="auto"/>
          </w:divBdr>
          <w:divsChild>
            <w:div w:id="113137147">
              <w:marLeft w:val="0"/>
              <w:marRight w:val="0"/>
              <w:marTop w:val="0"/>
              <w:marBottom w:val="0"/>
              <w:divBdr>
                <w:top w:val="none" w:sz="0" w:space="0" w:color="auto"/>
                <w:left w:val="none" w:sz="0" w:space="0" w:color="auto"/>
                <w:bottom w:val="none" w:sz="0" w:space="0" w:color="auto"/>
                <w:right w:val="none" w:sz="0" w:space="0" w:color="auto"/>
              </w:divBdr>
            </w:div>
          </w:divsChild>
        </w:div>
        <w:div w:id="775370906">
          <w:marLeft w:val="0"/>
          <w:marRight w:val="0"/>
          <w:marTop w:val="0"/>
          <w:marBottom w:val="0"/>
          <w:divBdr>
            <w:top w:val="none" w:sz="0" w:space="0" w:color="auto"/>
            <w:left w:val="none" w:sz="0" w:space="0" w:color="auto"/>
            <w:bottom w:val="none" w:sz="0" w:space="0" w:color="auto"/>
            <w:right w:val="none" w:sz="0" w:space="0" w:color="auto"/>
          </w:divBdr>
          <w:divsChild>
            <w:div w:id="841894138">
              <w:marLeft w:val="0"/>
              <w:marRight w:val="0"/>
              <w:marTop w:val="0"/>
              <w:marBottom w:val="0"/>
              <w:divBdr>
                <w:top w:val="none" w:sz="0" w:space="0" w:color="auto"/>
                <w:left w:val="none" w:sz="0" w:space="0" w:color="auto"/>
                <w:bottom w:val="none" w:sz="0" w:space="0" w:color="auto"/>
                <w:right w:val="none" w:sz="0" w:space="0" w:color="auto"/>
              </w:divBdr>
            </w:div>
          </w:divsChild>
        </w:div>
        <w:div w:id="775518460">
          <w:marLeft w:val="0"/>
          <w:marRight w:val="0"/>
          <w:marTop w:val="0"/>
          <w:marBottom w:val="0"/>
          <w:divBdr>
            <w:top w:val="none" w:sz="0" w:space="0" w:color="auto"/>
            <w:left w:val="none" w:sz="0" w:space="0" w:color="auto"/>
            <w:bottom w:val="none" w:sz="0" w:space="0" w:color="auto"/>
            <w:right w:val="none" w:sz="0" w:space="0" w:color="auto"/>
          </w:divBdr>
          <w:divsChild>
            <w:div w:id="2034333735">
              <w:marLeft w:val="0"/>
              <w:marRight w:val="0"/>
              <w:marTop w:val="0"/>
              <w:marBottom w:val="0"/>
              <w:divBdr>
                <w:top w:val="none" w:sz="0" w:space="0" w:color="auto"/>
                <w:left w:val="none" w:sz="0" w:space="0" w:color="auto"/>
                <w:bottom w:val="none" w:sz="0" w:space="0" w:color="auto"/>
                <w:right w:val="none" w:sz="0" w:space="0" w:color="auto"/>
              </w:divBdr>
            </w:div>
          </w:divsChild>
        </w:div>
        <w:div w:id="801189501">
          <w:marLeft w:val="0"/>
          <w:marRight w:val="0"/>
          <w:marTop w:val="0"/>
          <w:marBottom w:val="0"/>
          <w:divBdr>
            <w:top w:val="none" w:sz="0" w:space="0" w:color="auto"/>
            <w:left w:val="none" w:sz="0" w:space="0" w:color="auto"/>
            <w:bottom w:val="none" w:sz="0" w:space="0" w:color="auto"/>
            <w:right w:val="none" w:sz="0" w:space="0" w:color="auto"/>
          </w:divBdr>
          <w:divsChild>
            <w:div w:id="1464040354">
              <w:marLeft w:val="0"/>
              <w:marRight w:val="0"/>
              <w:marTop w:val="0"/>
              <w:marBottom w:val="0"/>
              <w:divBdr>
                <w:top w:val="none" w:sz="0" w:space="0" w:color="auto"/>
                <w:left w:val="none" w:sz="0" w:space="0" w:color="auto"/>
                <w:bottom w:val="none" w:sz="0" w:space="0" w:color="auto"/>
                <w:right w:val="none" w:sz="0" w:space="0" w:color="auto"/>
              </w:divBdr>
            </w:div>
          </w:divsChild>
        </w:div>
        <w:div w:id="832381585">
          <w:marLeft w:val="0"/>
          <w:marRight w:val="0"/>
          <w:marTop w:val="0"/>
          <w:marBottom w:val="0"/>
          <w:divBdr>
            <w:top w:val="none" w:sz="0" w:space="0" w:color="auto"/>
            <w:left w:val="none" w:sz="0" w:space="0" w:color="auto"/>
            <w:bottom w:val="none" w:sz="0" w:space="0" w:color="auto"/>
            <w:right w:val="none" w:sz="0" w:space="0" w:color="auto"/>
          </w:divBdr>
          <w:divsChild>
            <w:div w:id="250630501">
              <w:marLeft w:val="0"/>
              <w:marRight w:val="0"/>
              <w:marTop w:val="0"/>
              <w:marBottom w:val="0"/>
              <w:divBdr>
                <w:top w:val="none" w:sz="0" w:space="0" w:color="auto"/>
                <w:left w:val="none" w:sz="0" w:space="0" w:color="auto"/>
                <w:bottom w:val="none" w:sz="0" w:space="0" w:color="auto"/>
                <w:right w:val="none" w:sz="0" w:space="0" w:color="auto"/>
              </w:divBdr>
            </w:div>
          </w:divsChild>
        </w:div>
        <w:div w:id="833685216">
          <w:marLeft w:val="0"/>
          <w:marRight w:val="0"/>
          <w:marTop w:val="0"/>
          <w:marBottom w:val="0"/>
          <w:divBdr>
            <w:top w:val="none" w:sz="0" w:space="0" w:color="auto"/>
            <w:left w:val="none" w:sz="0" w:space="0" w:color="auto"/>
            <w:bottom w:val="none" w:sz="0" w:space="0" w:color="auto"/>
            <w:right w:val="none" w:sz="0" w:space="0" w:color="auto"/>
          </w:divBdr>
          <w:divsChild>
            <w:div w:id="1003896721">
              <w:marLeft w:val="0"/>
              <w:marRight w:val="0"/>
              <w:marTop w:val="0"/>
              <w:marBottom w:val="0"/>
              <w:divBdr>
                <w:top w:val="none" w:sz="0" w:space="0" w:color="auto"/>
                <w:left w:val="none" w:sz="0" w:space="0" w:color="auto"/>
                <w:bottom w:val="none" w:sz="0" w:space="0" w:color="auto"/>
                <w:right w:val="none" w:sz="0" w:space="0" w:color="auto"/>
              </w:divBdr>
            </w:div>
          </w:divsChild>
        </w:div>
        <w:div w:id="841702656">
          <w:marLeft w:val="0"/>
          <w:marRight w:val="0"/>
          <w:marTop w:val="0"/>
          <w:marBottom w:val="0"/>
          <w:divBdr>
            <w:top w:val="none" w:sz="0" w:space="0" w:color="auto"/>
            <w:left w:val="none" w:sz="0" w:space="0" w:color="auto"/>
            <w:bottom w:val="none" w:sz="0" w:space="0" w:color="auto"/>
            <w:right w:val="none" w:sz="0" w:space="0" w:color="auto"/>
          </w:divBdr>
          <w:divsChild>
            <w:div w:id="133331207">
              <w:marLeft w:val="0"/>
              <w:marRight w:val="0"/>
              <w:marTop w:val="0"/>
              <w:marBottom w:val="0"/>
              <w:divBdr>
                <w:top w:val="none" w:sz="0" w:space="0" w:color="auto"/>
                <w:left w:val="none" w:sz="0" w:space="0" w:color="auto"/>
                <w:bottom w:val="none" w:sz="0" w:space="0" w:color="auto"/>
                <w:right w:val="none" w:sz="0" w:space="0" w:color="auto"/>
              </w:divBdr>
            </w:div>
          </w:divsChild>
        </w:div>
        <w:div w:id="853107183">
          <w:marLeft w:val="0"/>
          <w:marRight w:val="0"/>
          <w:marTop w:val="0"/>
          <w:marBottom w:val="0"/>
          <w:divBdr>
            <w:top w:val="none" w:sz="0" w:space="0" w:color="auto"/>
            <w:left w:val="none" w:sz="0" w:space="0" w:color="auto"/>
            <w:bottom w:val="none" w:sz="0" w:space="0" w:color="auto"/>
            <w:right w:val="none" w:sz="0" w:space="0" w:color="auto"/>
          </w:divBdr>
          <w:divsChild>
            <w:div w:id="556286118">
              <w:marLeft w:val="0"/>
              <w:marRight w:val="0"/>
              <w:marTop w:val="0"/>
              <w:marBottom w:val="0"/>
              <w:divBdr>
                <w:top w:val="none" w:sz="0" w:space="0" w:color="auto"/>
                <w:left w:val="none" w:sz="0" w:space="0" w:color="auto"/>
                <w:bottom w:val="none" w:sz="0" w:space="0" w:color="auto"/>
                <w:right w:val="none" w:sz="0" w:space="0" w:color="auto"/>
              </w:divBdr>
            </w:div>
          </w:divsChild>
        </w:div>
        <w:div w:id="884949069">
          <w:marLeft w:val="0"/>
          <w:marRight w:val="0"/>
          <w:marTop w:val="0"/>
          <w:marBottom w:val="0"/>
          <w:divBdr>
            <w:top w:val="none" w:sz="0" w:space="0" w:color="auto"/>
            <w:left w:val="none" w:sz="0" w:space="0" w:color="auto"/>
            <w:bottom w:val="none" w:sz="0" w:space="0" w:color="auto"/>
            <w:right w:val="none" w:sz="0" w:space="0" w:color="auto"/>
          </w:divBdr>
          <w:divsChild>
            <w:div w:id="191967807">
              <w:marLeft w:val="0"/>
              <w:marRight w:val="0"/>
              <w:marTop w:val="0"/>
              <w:marBottom w:val="0"/>
              <w:divBdr>
                <w:top w:val="none" w:sz="0" w:space="0" w:color="auto"/>
                <w:left w:val="none" w:sz="0" w:space="0" w:color="auto"/>
                <w:bottom w:val="none" w:sz="0" w:space="0" w:color="auto"/>
                <w:right w:val="none" w:sz="0" w:space="0" w:color="auto"/>
              </w:divBdr>
            </w:div>
          </w:divsChild>
        </w:div>
        <w:div w:id="894389864">
          <w:marLeft w:val="0"/>
          <w:marRight w:val="0"/>
          <w:marTop w:val="0"/>
          <w:marBottom w:val="0"/>
          <w:divBdr>
            <w:top w:val="none" w:sz="0" w:space="0" w:color="auto"/>
            <w:left w:val="none" w:sz="0" w:space="0" w:color="auto"/>
            <w:bottom w:val="none" w:sz="0" w:space="0" w:color="auto"/>
            <w:right w:val="none" w:sz="0" w:space="0" w:color="auto"/>
          </w:divBdr>
          <w:divsChild>
            <w:div w:id="883491631">
              <w:marLeft w:val="0"/>
              <w:marRight w:val="0"/>
              <w:marTop w:val="0"/>
              <w:marBottom w:val="0"/>
              <w:divBdr>
                <w:top w:val="none" w:sz="0" w:space="0" w:color="auto"/>
                <w:left w:val="none" w:sz="0" w:space="0" w:color="auto"/>
                <w:bottom w:val="none" w:sz="0" w:space="0" w:color="auto"/>
                <w:right w:val="none" w:sz="0" w:space="0" w:color="auto"/>
              </w:divBdr>
            </w:div>
          </w:divsChild>
        </w:div>
        <w:div w:id="898127953">
          <w:marLeft w:val="0"/>
          <w:marRight w:val="0"/>
          <w:marTop w:val="0"/>
          <w:marBottom w:val="0"/>
          <w:divBdr>
            <w:top w:val="none" w:sz="0" w:space="0" w:color="auto"/>
            <w:left w:val="none" w:sz="0" w:space="0" w:color="auto"/>
            <w:bottom w:val="none" w:sz="0" w:space="0" w:color="auto"/>
            <w:right w:val="none" w:sz="0" w:space="0" w:color="auto"/>
          </w:divBdr>
          <w:divsChild>
            <w:div w:id="1766145370">
              <w:marLeft w:val="0"/>
              <w:marRight w:val="0"/>
              <w:marTop w:val="0"/>
              <w:marBottom w:val="0"/>
              <w:divBdr>
                <w:top w:val="none" w:sz="0" w:space="0" w:color="auto"/>
                <w:left w:val="none" w:sz="0" w:space="0" w:color="auto"/>
                <w:bottom w:val="none" w:sz="0" w:space="0" w:color="auto"/>
                <w:right w:val="none" w:sz="0" w:space="0" w:color="auto"/>
              </w:divBdr>
            </w:div>
          </w:divsChild>
        </w:div>
        <w:div w:id="934706114">
          <w:marLeft w:val="0"/>
          <w:marRight w:val="0"/>
          <w:marTop w:val="0"/>
          <w:marBottom w:val="0"/>
          <w:divBdr>
            <w:top w:val="none" w:sz="0" w:space="0" w:color="auto"/>
            <w:left w:val="none" w:sz="0" w:space="0" w:color="auto"/>
            <w:bottom w:val="none" w:sz="0" w:space="0" w:color="auto"/>
            <w:right w:val="none" w:sz="0" w:space="0" w:color="auto"/>
          </w:divBdr>
          <w:divsChild>
            <w:div w:id="567882016">
              <w:marLeft w:val="0"/>
              <w:marRight w:val="0"/>
              <w:marTop w:val="0"/>
              <w:marBottom w:val="0"/>
              <w:divBdr>
                <w:top w:val="none" w:sz="0" w:space="0" w:color="auto"/>
                <w:left w:val="none" w:sz="0" w:space="0" w:color="auto"/>
                <w:bottom w:val="none" w:sz="0" w:space="0" w:color="auto"/>
                <w:right w:val="none" w:sz="0" w:space="0" w:color="auto"/>
              </w:divBdr>
            </w:div>
          </w:divsChild>
        </w:div>
        <w:div w:id="936910607">
          <w:marLeft w:val="0"/>
          <w:marRight w:val="0"/>
          <w:marTop w:val="0"/>
          <w:marBottom w:val="0"/>
          <w:divBdr>
            <w:top w:val="none" w:sz="0" w:space="0" w:color="auto"/>
            <w:left w:val="none" w:sz="0" w:space="0" w:color="auto"/>
            <w:bottom w:val="none" w:sz="0" w:space="0" w:color="auto"/>
            <w:right w:val="none" w:sz="0" w:space="0" w:color="auto"/>
          </w:divBdr>
          <w:divsChild>
            <w:div w:id="989752929">
              <w:marLeft w:val="0"/>
              <w:marRight w:val="0"/>
              <w:marTop w:val="0"/>
              <w:marBottom w:val="0"/>
              <w:divBdr>
                <w:top w:val="none" w:sz="0" w:space="0" w:color="auto"/>
                <w:left w:val="none" w:sz="0" w:space="0" w:color="auto"/>
                <w:bottom w:val="none" w:sz="0" w:space="0" w:color="auto"/>
                <w:right w:val="none" w:sz="0" w:space="0" w:color="auto"/>
              </w:divBdr>
            </w:div>
          </w:divsChild>
        </w:div>
        <w:div w:id="954290901">
          <w:marLeft w:val="0"/>
          <w:marRight w:val="0"/>
          <w:marTop w:val="0"/>
          <w:marBottom w:val="0"/>
          <w:divBdr>
            <w:top w:val="none" w:sz="0" w:space="0" w:color="auto"/>
            <w:left w:val="none" w:sz="0" w:space="0" w:color="auto"/>
            <w:bottom w:val="none" w:sz="0" w:space="0" w:color="auto"/>
            <w:right w:val="none" w:sz="0" w:space="0" w:color="auto"/>
          </w:divBdr>
          <w:divsChild>
            <w:div w:id="1993214781">
              <w:marLeft w:val="0"/>
              <w:marRight w:val="0"/>
              <w:marTop w:val="0"/>
              <w:marBottom w:val="0"/>
              <w:divBdr>
                <w:top w:val="none" w:sz="0" w:space="0" w:color="auto"/>
                <w:left w:val="none" w:sz="0" w:space="0" w:color="auto"/>
                <w:bottom w:val="none" w:sz="0" w:space="0" w:color="auto"/>
                <w:right w:val="none" w:sz="0" w:space="0" w:color="auto"/>
              </w:divBdr>
            </w:div>
          </w:divsChild>
        </w:div>
        <w:div w:id="962542472">
          <w:marLeft w:val="0"/>
          <w:marRight w:val="0"/>
          <w:marTop w:val="0"/>
          <w:marBottom w:val="0"/>
          <w:divBdr>
            <w:top w:val="none" w:sz="0" w:space="0" w:color="auto"/>
            <w:left w:val="none" w:sz="0" w:space="0" w:color="auto"/>
            <w:bottom w:val="none" w:sz="0" w:space="0" w:color="auto"/>
            <w:right w:val="none" w:sz="0" w:space="0" w:color="auto"/>
          </w:divBdr>
          <w:divsChild>
            <w:div w:id="831944784">
              <w:marLeft w:val="0"/>
              <w:marRight w:val="0"/>
              <w:marTop w:val="0"/>
              <w:marBottom w:val="0"/>
              <w:divBdr>
                <w:top w:val="none" w:sz="0" w:space="0" w:color="auto"/>
                <w:left w:val="none" w:sz="0" w:space="0" w:color="auto"/>
                <w:bottom w:val="none" w:sz="0" w:space="0" w:color="auto"/>
                <w:right w:val="none" w:sz="0" w:space="0" w:color="auto"/>
              </w:divBdr>
            </w:div>
          </w:divsChild>
        </w:div>
        <w:div w:id="979112808">
          <w:marLeft w:val="0"/>
          <w:marRight w:val="0"/>
          <w:marTop w:val="0"/>
          <w:marBottom w:val="0"/>
          <w:divBdr>
            <w:top w:val="none" w:sz="0" w:space="0" w:color="auto"/>
            <w:left w:val="none" w:sz="0" w:space="0" w:color="auto"/>
            <w:bottom w:val="none" w:sz="0" w:space="0" w:color="auto"/>
            <w:right w:val="none" w:sz="0" w:space="0" w:color="auto"/>
          </w:divBdr>
          <w:divsChild>
            <w:div w:id="1059864372">
              <w:marLeft w:val="0"/>
              <w:marRight w:val="0"/>
              <w:marTop w:val="0"/>
              <w:marBottom w:val="0"/>
              <w:divBdr>
                <w:top w:val="none" w:sz="0" w:space="0" w:color="auto"/>
                <w:left w:val="none" w:sz="0" w:space="0" w:color="auto"/>
                <w:bottom w:val="none" w:sz="0" w:space="0" w:color="auto"/>
                <w:right w:val="none" w:sz="0" w:space="0" w:color="auto"/>
              </w:divBdr>
            </w:div>
          </w:divsChild>
        </w:div>
        <w:div w:id="1021971737">
          <w:marLeft w:val="0"/>
          <w:marRight w:val="0"/>
          <w:marTop w:val="0"/>
          <w:marBottom w:val="0"/>
          <w:divBdr>
            <w:top w:val="none" w:sz="0" w:space="0" w:color="auto"/>
            <w:left w:val="none" w:sz="0" w:space="0" w:color="auto"/>
            <w:bottom w:val="none" w:sz="0" w:space="0" w:color="auto"/>
            <w:right w:val="none" w:sz="0" w:space="0" w:color="auto"/>
          </w:divBdr>
          <w:divsChild>
            <w:div w:id="677317681">
              <w:marLeft w:val="0"/>
              <w:marRight w:val="0"/>
              <w:marTop w:val="0"/>
              <w:marBottom w:val="0"/>
              <w:divBdr>
                <w:top w:val="none" w:sz="0" w:space="0" w:color="auto"/>
                <w:left w:val="none" w:sz="0" w:space="0" w:color="auto"/>
                <w:bottom w:val="none" w:sz="0" w:space="0" w:color="auto"/>
                <w:right w:val="none" w:sz="0" w:space="0" w:color="auto"/>
              </w:divBdr>
            </w:div>
          </w:divsChild>
        </w:div>
        <w:div w:id="1036195327">
          <w:marLeft w:val="0"/>
          <w:marRight w:val="0"/>
          <w:marTop w:val="0"/>
          <w:marBottom w:val="0"/>
          <w:divBdr>
            <w:top w:val="none" w:sz="0" w:space="0" w:color="auto"/>
            <w:left w:val="none" w:sz="0" w:space="0" w:color="auto"/>
            <w:bottom w:val="none" w:sz="0" w:space="0" w:color="auto"/>
            <w:right w:val="none" w:sz="0" w:space="0" w:color="auto"/>
          </w:divBdr>
          <w:divsChild>
            <w:div w:id="1415317056">
              <w:marLeft w:val="0"/>
              <w:marRight w:val="0"/>
              <w:marTop w:val="0"/>
              <w:marBottom w:val="0"/>
              <w:divBdr>
                <w:top w:val="none" w:sz="0" w:space="0" w:color="auto"/>
                <w:left w:val="none" w:sz="0" w:space="0" w:color="auto"/>
                <w:bottom w:val="none" w:sz="0" w:space="0" w:color="auto"/>
                <w:right w:val="none" w:sz="0" w:space="0" w:color="auto"/>
              </w:divBdr>
            </w:div>
          </w:divsChild>
        </w:div>
        <w:div w:id="1039016038">
          <w:marLeft w:val="0"/>
          <w:marRight w:val="0"/>
          <w:marTop w:val="0"/>
          <w:marBottom w:val="0"/>
          <w:divBdr>
            <w:top w:val="none" w:sz="0" w:space="0" w:color="auto"/>
            <w:left w:val="none" w:sz="0" w:space="0" w:color="auto"/>
            <w:bottom w:val="none" w:sz="0" w:space="0" w:color="auto"/>
            <w:right w:val="none" w:sz="0" w:space="0" w:color="auto"/>
          </w:divBdr>
          <w:divsChild>
            <w:div w:id="203450971">
              <w:marLeft w:val="0"/>
              <w:marRight w:val="0"/>
              <w:marTop w:val="0"/>
              <w:marBottom w:val="0"/>
              <w:divBdr>
                <w:top w:val="none" w:sz="0" w:space="0" w:color="auto"/>
                <w:left w:val="none" w:sz="0" w:space="0" w:color="auto"/>
                <w:bottom w:val="none" w:sz="0" w:space="0" w:color="auto"/>
                <w:right w:val="none" w:sz="0" w:space="0" w:color="auto"/>
              </w:divBdr>
            </w:div>
          </w:divsChild>
        </w:div>
        <w:div w:id="1094322479">
          <w:marLeft w:val="0"/>
          <w:marRight w:val="0"/>
          <w:marTop w:val="0"/>
          <w:marBottom w:val="0"/>
          <w:divBdr>
            <w:top w:val="none" w:sz="0" w:space="0" w:color="auto"/>
            <w:left w:val="none" w:sz="0" w:space="0" w:color="auto"/>
            <w:bottom w:val="none" w:sz="0" w:space="0" w:color="auto"/>
            <w:right w:val="none" w:sz="0" w:space="0" w:color="auto"/>
          </w:divBdr>
          <w:divsChild>
            <w:div w:id="340395420">
              <w:marLeft w:val="0"/>
              <w:marRight w:val="0"/>
              <w:marTop w:val="0"/>
              <w:marBottom w:val="0"/>
              <w:divBdr>
                <w:top w:val="none" w:sz="0" w:space="0" w:color="auto"/>
                <w:left w:val="none" w:sz="0" w:space="0" w:color="auto"/>
                <w:bottom w:val="none" w:sz="0" w:space="0" w:color="auto"/>
                <w:right w:val="none" w:sz="0" w:space="0" w:color="auto"/>
              </w:divBdr>
            </w:div>
          </w:divsChild>
        </w:div>
        <w:div w:id="1118840471">
          <w:marLeft w:val="0"/>
          <w:marRight w:val="0"/>
          <w:marTop w:val="0"/>
          <w:marBottom w:val="0"/>
          <w:divBdr>
            <w:top w:val="none" w:sz="0" w:space="0" w:color="auto"/>
            <w:left w:val="none" w:sz="0" w:space="0" w:color="auto"/>
            <w:bottom w:val="none" w:sz="0" w:space="0" w:color="auto"/>
            <w:right w:val="none" w:sz="0" w:space="0" w:color="auto"/>
          </w:divBdr>
          <w:divsChild>
            <w:div w:id="211890465">
              <w:marLeft w:val="0"/>
              <w:marRight w:val="0"/>
              <w:marTop w:val="0"/>
              <w:marBottom w:val="0"/>
              <w:divBdr>
                <w:top w:val="none" w:sz="0" w:space="0" w:color="auto"/>
                <w:left w:val="none" w:sz="0" w:space="0" w:color="auto"/>
                <w:bottom w:val="none" w:sz="0" w:space="0" w:color="auto"/>
                <w:right w:val="none" w:sz="0" w:space="0" w:color="auto"/>
              </w:divBdr>
            </w:div>
          </w:divsChild>
        </w:div>
        <w:div w:id="1133641924">
          <w:marLeft w:val="0"/>
          <w:marRight w:val="0"/>
          <w:marTop w:val="0"/>
          <w:marBottom w:val="0"/>
          <w:divBdr>
            <w:top w:val="none" w:sz="0" w:space="0" w:color="auto"/>
            <w:left w:val="none" w:sz="0" w:space="0" w:color="auto"/>
            <w:bottom w:val="none" w:sz="0" w:space="0" w:color="auto"/>
            <w:right w:val="none" w:sz="0" w:space="0" w:color="auto"/>
          </w:divBdr>
          <w:divsChild>
            <w:div w:id="685861864">
              <w:marLeft w:val="0"/>
              <w:marRight w:val="0"/>
              <w:marTop w:val="0"/>
              <w:marBottom w:val="0"/>
              <w:divBdr>
                <w:top w:val="none" w:sz="0" w:space="0" w:color="auto"/>
                <w:left w:val="none" w:sz="0" w:space="0" w:color="auto"/>
                <w:bottom w:val="none" w:sz="0" w:space="0" w:color="auto"/>
                <w:right w:val="none" w:sz="0" w:space="0" w:color="auto"/>
              </w:divBdr>
            </w:div>
          </w:divsChild>
        </w:div>
        <w:div w:id="1173031328">
          <w:marLeft w:val="0"/>
          <w:marRight w:val="0"/>
          <w:marTop w:val="0"/>
          <w:marBottom w:val="0"/>
          <w:divBdr>
            <w:top w:val="none" w:sz="0" w:space="0" w:color="auto"/>
            <w:left w:val="none" w:sz="0" w:space="0" w:color="auto"/>
            <w:bottom w:val="none" w:sz="0" w:space="0" w:color="auto"/>
            <w:right w:val="none" w:sz="0" w:space="0" w:color="auto"/>
          </w:divBdr>
          <w:divsChild>
            <w:div w:id="615213008">
              <w:marLeft w:val="0"/>
              <w:marRight w:val="0"/>
              <w:marTop w:val="0"/>
              <w:marBottom w:val="0"/>
              <w:divBdr>
                <w:top w:val="none" w:sz="0" w:space="0" w:color="auto"/>
                <w:left w:val="none" w:sz="0" w:space="0" w:color="auto"/>
                <w:bottom w:val="none" w:sz="0" w:space="0" w:color="auto"/>
                <w:right w:val="none" w:sz="0" w:space="0" w:color="auto"/>
              </w:divBdr>
            </w:div>
          </w:divsChild>
        </w:div>
        <w:div w:id="1186410064">
          <w:marLeft w:val="0"/>
          <w:marRight w:val="0"/>
          <w:marTop w:val="0"/>
          <w:marBottom w:val="0"/>
          <w:divBdr>
            <w:top w:val="none" w:sz="0" w:space="0" w:color="auto"/>
            <w:left w:val="none" w:sz="0" w:space="0" w:color="auto"/>
            <w:bottom w:val="none" w:sz="0" w:space="0" w:color="auto"/>
            <w:right w:val="none" w:sz="0" w:space="0" w:color="auto"/>
          </w:divBdr>
          <w:divsChild>
            <w:div w:id="1179809879">
              <w:marLeft w:val="0"/>
              <w:marRight w:val="0"/>
              <w:marTop w:val="0"/>
              <w:marBottom w:val="0"/>
              <w:divBdr>
                <w:top w:val="none" w:sz="0" w:space="0" w:color="auto"/>
                <w:left w:val="none" w:sz="0" w:space="0" w:color="auto"/>
                <w:bottom w:val="none" w:sz="0" w:space="0" w:color="auto"/>
                <w:right w:val="none" w:sz="0" w:space="0" w:color="auto"/>
              </w:divBdr>
            </w:div>
          </w:divsChild>
        </w:div>
        <w:div w:id="1214317834">
          <w:marLeft w:val="0"/>
          <w:marRight w:val="0"/>
          <w:marTop w:val="0"/>
          <w:marBottom w:val="0"/>
          <w:divBdr>
            <w:top w:val="none" w:sz="0" w:space="0" w:color="auto"/>
            <w:left w:val="none" w:sz="0" w:space="0" w:color="auto"/>
            <w:bottom w:val="none" w:sz="0" w:space="0" w:color="auto"/>
            <w:right w:val="none" w:sz="0" w:space="0" w:color="auto"/>
          </w:divBdr>
          <w:divsChild>
            <w:div w:id="102576253">
              <w:marLeft w:val="0"/>
              <w:marRight w:val="0"/>
              <w:marTop w:val="0"/>
              <w:marBottom w:val="0"/>
              <w:divBdr>
                <w:top w:val="none" w:sz="0" w:space="0" w:color="auto"/>
                <w:left w:val="none" w:sz="0" w:space="0" w:color="auto"/>
                <w:bottom w:val="none" w:sz="0" w:space="0" w:color="auto"/>
                <w:right w:val="none" w:sz="0" w:space="0" w:color="auto"/>
              </w:divBdr>
            </w:div>
          </w:divsChild>
        </w:div>
        <w:div w:id="1225023650">
          <w:marLeft w:val="0"/>
          <w:marRight w:val="0"/>
          <w:marTop w:val="0"/>
          <w:marBottom w:val="0"/>
          <w:divBdr>
            <w:top w:val="none" w:sz="0" w:space="0" w:color="auto"/>
            <w:left w:val="none" w:sz="0" w:space="0" w:color="auto"/>
            <w:bottom w:val="none" w:sz="0" w:space="0" w:color="auto"/>
            <w:right w:val="none" w:sz="0" w:space="0" w:color="auto"/>
          </w:divBdr>
          <w:divsChild>
            <w:div w:id="1407921260">
              <w:marLeft w:val="0"/>
              <w:marRight w:val="0"/>
              <w:marTop w:val="0"/>
              <w:marBottom w:val="0"/>
              <w:divBdr>
                <w:top w:val="none" w:sz="0" w:space="0" w:color="auto"/>
                <w:left w:val="none" w:sz="0" w:space="0" w:color="auto"/>
                <w:bottom w:val="none" w:sz="0" w:space="0" w:color="auto"/>
                <w:right w:val="none" w:sz="0" w:space="0" w:color="auto"/>
              </w:divBdr>
            </w:div>
          </w:divsChild>
        </w:div>
        <w:div w:id="1235776805">
          <w:marLeft w:val="0"/>
          <w:marRight w:val="0"/>
          <w:marTop w:val="0"/>
          <w:marBottom w:val="0"/>
          <w:divBdr>
            <w:top w:val="none" w:sz="0" w:space="0" w:color="auto"/>
            <w:left w:val="none" w:sz="0" w:space="0" w:color="auto"/>
            <w:bottom w:val="none" w:sz="0" w:space="0" w:color="auto"/>
            <w:right w:val="none" w:sz="0" w:space="0" w:color="auto"/>
          </w:divBdr>
          <w:divsChild>
            <w:div w:id="855920033">
              <w:marLeft w:val="0"/>
              <w:marRight w:val="0"/>
              <w:marTop w:val="0"/>
              <w:marBottom w:val="0"/>
              <w:divBdr>
                <w:top w:val="none" w:sz="0" w:space="0" w:color="auto"/>
                <w:left w:val="none" w:sz="0" w:space="0" w:color="auto"/>
                <w:bottom w:val="none" w:sz="0" w:space="0" w:color="auto"/>
                <w:right w:val="none" w:sz="0" w:space="0" w:color="auto"/>
              </w:divBdr>
            </w:div>
          </w:divsChild>
        </w:div>
        <w:div w:id="1269191876">
          <w:marLeft w:val="0"/>
          <w:marRight w:val="0"/>
          <w:marTop w:val="0"/>
          <w:marBottom w:val="0"/>
          <w:divBdr>
            <w:top w:val="none" w:sz="0" w:space="0" w:color="auto"/>
            <w:left w:val="none" w:sz="0" w:space="0" w:color="auto"/>
            <w:bottom w:val="none" w:sz="0" w:space="0" w:color="auto"/>
            <w:right w:val="none" w:sz="0" w:space="0" w:color="auto"/>
          </w:divBdr>
          <w:divsChild>
            <w:div w:id="765462947">
              <w:marLeft w:val="0"/>
              <w:marRight w:val="0"/>
              <w:marTop w:val="0"/>
              <w:marBottom w:val="0"/>
              <w:divBdr>
                <w:top w:val="none" w:sz="0" w:space="0" w:color="auto"/>
                <w:left w:val="none" w:sz="0" w:space="0" w:color="auto"/>
                <w:bottom w:val="none" w:sz="0" w:space="0" w:color="auto"/>
                <w:right w:val="none" w:sz="0" w:space="0" w:color="auto"/>
              </w:divBdr>
            </w:div>
          </w:divsChild>
        </w:div>
        <w:div w:id="1291010691">
          <w:marLeft w:val="0"/>
          <w:marRight w:val="0"/>
          <w:marTop w:val="0"/>
          <w:marBottom w:val="0"/>
          <w:divBdr>
            <w:top w:val="none" w:sz="0" w:space="0" w:color="auto"/>
            <w:left w:val="none" w:sz="0" w:space="0" w:color="auto"/>
            <w:bottom w:val="none" w:sz="0" w:space="0" w:color="auto"/>
            <w:right w:val="none" w:sz="0" w:space="0" w:color="auto"/>
          </w:divBdr>
          <w:divsChild>
            <w:div w:id="2088917477">
              <w:marLeft w:val="0"/>
              <w:marRight w:val="0"/>
              <w:marTop w:val="0"/>
              <w:marBottom w:val="0"/>
              <w:divBdr>
                <w:top w:val="none" w:sz="0" w:space="0" w:color="auto"/>
                <w:left w:val="none" w:sz="0" w:space="0" w:color="auto"/>
                <w:bottom w:val="none" w:sz="0" w:space="0" w:color="auto"/>
                <w:right w:val="none" w:sz="0" w:space="0" w:color="auto"/>
              </w:divBdr>
            </w:div>
          </w:divsChild>
        </w:div>
        <w:div w:id="1291519367">
          <w:marLeft w:val="0"/>
          <w:marRight w:val="0"/>
          <w:marTop w:val="0"/>
          <w:marBottom w:val="0"/>
          <w:divBdr>
            <w:top w:val="none" w:sz="0" w:space="0" w:color="auto"/>
            <w:left w:val="none" w:sz="0" w:space="0" w:color="auto"/>
            <w:bottom w:val="none" w:sz="0" w:space="0" w:color="auto"/>
            <w:right w:val="none" w:sz="0" w:space="0" w:color="auto"/>
          </w:divBdr>
          <w:divsChild>
            <w:div w:id="1512139095">
              <w:marLeft w:val="0"/>
              <w:marRight w:val="0"/>
              <w:marTop w:val="0"/>
              <w:marBottom w:val="0"/>
              <w:divBdr>
                <w:top w:val="none" w:sz="0" w:space="0" w:color="auto"/>
                <w:left w:val="none" w:sz="0" w:space="0" w:color="auto"/>
                <w:bottom w:val="none" w:sz="0" w:space="0" w:color="auto"/>
                <w:right w:val="none" w:sz="0" w:space="0" w:color="auto"/>
              </w:divBdr>
            </w:div>
          </w:divsChild>
        </w:div>
        <w:div w:id="1302887994">
          <w:marLeft w:val="0"/>
          <w:marRight w:val="0"/>
          <w:marTop w:val="0"/>
          <w:marBottom w:val="0"/>
          <w:divBdr>
            <w:top w:val="none" w:sz="0" w:space="0" w:color="auto"/>
            <w:left w:val="none" w:sz="0" w:space="0" w:color="auto"/>
            <w:bottom w:val="none" w:sz="0" w:space="0" w:color="auto"/>
            <w:right w:val="none" w:sz="0" w:space="0" w:color="auto"/>
          </w:divBdr>
          <w:divsChild>
            <w:div w:id="492450034">
              <w:marLeft w:val="0"/>
              <w:marRight w:val="0"/>
              <w:marTop w:val="0"/>
              <w:marBottom w:val="0"/>
              <w:divBdr>
                <w:top w:val="none" w:sz="0" w:space="0" w:color="auto"/>
                <w:left w:val="none" w:sz="0" w:space="0" w:color="auto"/>
                <w:bottom w:val="none" w:sz="0" w:space="0" w:color="auto"/>
                <w:right w:val="none" w:sz="0" w:space="0" w:color="auto"/>
              </w:divBdr>
            </w:div>
          </w:divsChild>
        </w:div>
        <w:div w:id="1316565243">
          <w:marLeft w:val="0"/>
          <w:marRight w:val="0"/>
          <w:marTop w:val="0"/>
          <w:marBottom w:val="0"/>
          <w:divBdr>
            <w:top w:val="none" w:sz="0" w:space="0" w:color="auto"/>
            <w:left w:val="none" w:sz="0" w:space="0" w:color="auto"/>
            <w:bottom w:val="none" w:sz="0" w:space="0" w:color="auto"/>
            <w:right w:val="none" w:sz="0" w:space="0" w:color="auto"/>
          </w:divBdr>
          <w:divsChild>
            <w:div w:id="753434568">
              <w:marLeft w:val="0"/>
              <w:marRight w:val="0"/>
              <w:marTop w:val="0"/>
              <w:marBottom w:val="0"/>
              <w:divBdr>
                <w:top w:val="none" w:sz="0" w:space="0" w:color="auto"/>
                <w:left w:val="none" w:sz="0" w:space="0" w:color="auto"/>
                <w:bottom w:val="none" w:sz="0" w:space="0" w:color="auto"/>
                <w:right w:val="none" w:sz="0" w:space="0" w:color="auto"/>
              </w:divBdr>
            </w:div>
          </w:divsChild>
        </w:div>
        <w:div w:id="1322078387">
          <w:marLeft w:val="0"/>
          <w:marRight w:val="0"/>
          <w:marTop w:val="0"/>
          <w:marBottom w:val="0"/>
          <w:divBdr>
            <w:top w:val="none" w:sz="0" w:space="0" w:color="auto"/>
            <w:left w:val="none" w:sz="0" w:space="0" w:color="auto"/>
            <w:bottom w:val="none" w:sz="0" w:space="0" w:color="auto"/>
            <w:right w:val="none" w:sz="0" w:space="0" w:color="auto"/>
          </w:divBdr>
          <w:divsChild>
            <w:div w:id="977027262">
              <w:marLeft w:val="0"/>
              <w:marRight w:val="0"/>
              <w:marTop w:val="0"/>
              <w:marBottom w:val="0"/>
              <w:divBdr>
                <w:top w:val="none" w:sz="0" w:space="0" w:color="auto"/>
                <w:left w:val="none" w:sz="0" w:space="0" w:color="auto"/>
                <w:bottom w:val="none" w:sz="0" w:space="0" w:color="auto"/>
                <w:right w:val="none" w:sz="0" w:space="0" w:color="auto"/>
              </w:divBdr>
            </w:div>
          </w:divsChild>
        </w:div>
        <w:div w:id="1323580594">
          <w:marLeft w:val="0"/>
          <w:marRight w:val="0"/>
          <w:marTop w:val="0"/>
          <w:marBottom w:val="0"/>
          <w:divBdr>
            <w:top w:val="none" w:sz="0" w:space="0" w:color="auto"/>
            <w:left w:val="none" w:sz="0" w:space="0" w:color="auto"/>
            <w:bottom w:val="none" w:sz="0" w:space="0" w:color="auto"/>
            <w:right w:val="none" w:sz="0" w:space="0" w:color="auto"/>
          </w:divBdr>
          <w:divsChild>
            <w:div w:id="898244535">
              <w:marLeft w:val="0"/>
              <w:marRight w:val="0"/>
              <w:marTop w:val="0"/>
              <w:marBottom w:val="0"/>
              <w:divBdr>
                <w:top w:val="none" w:sz="0" w:space="0" w:color="auto"/>
                <w:left w:val="none" w:sz="0" w:space="0" w:color="auto"/>
                <w:bottom w:val="none" w:sz="0" w:space="0" w:color="auto"/>
                <w:right w:val="none" w:sz="0" w:space="0" w:color="auto"/>
              </w:divBdr>
            </w:div>
          </w:divsChild>
        </w:div>
        <w:div w:id="1324090768">
          <w:marLeft w:val="0"/>
          <w:marRight w:val="0"/>
          <w:marTop w:val="0"/>
          <w:marBottom w:val="0"/>
          <w:divBdr>
            <w:top w:val="none" w:sz="0" w:space="0" w:color="auto"/>
            <w:left w:val="none" w:sz="0" w:space="0" w:color="auto"/>
            <w:bottom w:val="none" w:sz="0" w:space="0" w:color="auto"/>
            <w:right w:val="none" w:sz="0" w:space="0" w:color="auto"/>
          </w:divBdr>
          <w:divsChild>
            <w:div w:id="389502420">
              <w:marLeft w:val="0"/>
              <w:marRight w:val="0"/>
              <w:marTop w:val="0"/>
              <w:marBottom w:val="0"/>
              <w:divBdr>
                <w:top w:val="none" w:sz="0" w:space="0" w:color="auto"/>
                <w:left w:val="none" w:sz="0" w:space="0" w:color="auto"/>
                <w:bottom w:val="none" w:sz="0" w:space="0" w:color="auto"/>
                <w:right w:val="none" w:sz="0" w:space="0" w:color="auto"/>
              </w:divBdr>
            </w:div>
          </w:divsChild>
        </w:div>
        <w:div w:id="1339960292">
          <w:marLeft w:val="0"/>
          <w:marRight w:val="0"/>
          <w:marTop w:val="0"/>
          <w:marBottom w:val="0"/>
          <w:divBdr>
            <w:top w:val="none" w:sz="0" w:space="0" w:color="auto"/>
            <w:left w:val="none" w:sz="0" w:space="0" w:color="auto"/>
            <w:bottom w:val="none" w:sz="0" w:space="0" w:color="auto"/>
            <w:right w:val="none" w:sz="0" w:space="0" w:color="auto"/>
          </w:divBdr>
          <w:divsChild>
            <w:div w:id="1622149730">
              <w:marLeft w:val="0"/>
              <w:marRight w:val="0"/>
              <w:marTop w:val="0"/>
              <w:marBottom w:val="0"/>
              <w:divBdr>
                <w:top w:val="none" w:sz="0" w:space="0" w:color="auto"/>
                <w:left w:val="none" w:sz="0" w:space="0" w:color="auto"/>
                <w:bottom w:val="none" w:sz="0" w:space="0" w:color="auto"/>
                <w:right w:val="none" w:sz="0" w:space="0" w:color="auto"/>
              </w:divBdr>
            </w:div>
          </w:divsChild>
        </w:div>
        <w:div w:id="1358894951">
          <w:marLeft w:val="0"/>
          <w:marRight w:val="0"/>
          <w:marTop w:val="0"/>
          <w:marBottom w:val="0"/>
          <w:divBdr>
            <w:top w:val="none" w:sz="0" w:space="0" w:color="auto"/>
            <w:left w:val="none" w:sz="0" w:space="0" w:color="auto"/>
            <w:bottom w:val="none" w:sz="0" w:space="0" w:color="auto"/>
            <w:right w:val="none" w:sz="0" w:space="0" w:color="auto"/>
          </w:divBdr>
          <w:divsChild>
            <w:div w:id="1057701157">
              <w:marLeft w:val="0"/>
              <w:marRight w:val="0"/>
              <w:marTop w:val="0"/>
              <w:marBottom w:val="0"/>
              <w:divBdr>
                <w:top w:val="none" w:sz="0" w:space="0" w:color="auto"/>
                <w:left w:val="none" w:sz="0" w:space="0" w:color="auto"/>
                <w:bottom w:val="none" w:sz="0" w:space="0" w:color="auto"/>
                <w:right w:val="none" w:sz="0" w:space="0" w:color="auto"/>
              </w:divBdr>
            </w:div>
          </w:divsChild>
        </w:div>
        <w:div w:id="1359089377">
          <w:marLeft w:val="0"/>
          <w:marRight w:val="0"/>
          <w:marTop w:val="0"/>
          <w:marBottom w:val="0"/>
          <w:divBdr>
            <w:top w:val="none" w:sz="0" w:space="0" w:color="auto"/>
            <w:left w:val="none" w:sz="0" w:space="0" w:color="auto"/>
            <w:bottom w:val="none" w:sz="0" w:space="0" w:color="auto"/>
            <w:right w:val="none" w:sz="0" w:space="0" w:color="auto"/>
          </w:divBdr>
          <w:divsChild>
            <w:div w:id="987787537">
              <w:marLeft w:val="0"/>
              <w:marRight w:val="0"/>
              <w:marTop w:val="0"/>
              <w:marBottom w:val="0"/>
              <w:divBdr>
                <w:top w:val="none" w:sz="0" w:space="0" w:color="auto"/>
                <w:left w:val="none" w:sz="0" w:space="0" w:color="auto"/>
                <w:bottom w:val="none" w:sz="0" w:space="0" w:color="auto"/>
                <w:right w:val="none" w:sz="0" w:space="0" w:color="auto"/>
              </w:divBdr>
            </w:div>
          </w:divsChild>
        </w:div>
        <w:div w:id="1366907225">
          <w:marLeft w:val="0"/>
          <w:marRight w:val="0"/>
          <w:marTop w:val="0"/>
          <w:marBottom w:val="0"/>
          <w:divBdr>
            <w:top w:val="none" w:sz="0" w:space="0" w:color="auto"/>
            <w:left w:val="none" w:sz="0" w:space="0" w:color="auto"/>
            <w:bottom w:val="none" w:sz="0" w:space="0" w:color="auto"/>
            <w:right w:val="none" w:sz="0" w:space="0" w:color="auto"/>
          </w:divBdr>
          <w:divsChild>
            <w:div w:id="2018926651">
              <w:marLeft w:val="0"/>
              <w:marRight w:val="0"/>
              <w:marTop w:val="0"/>
              <w:marBottom w:val="0"/>
              <w:divBdr>
                <w:top w:val="none" w:sz="0" w:space="0" w:color="auto"/>
                <w:left w:val="none" w:sz="0" w:space="0" w:color="auto"/>
                <w:bottom w:val="none" w:sz="0" w:space="0" w:color="auto"/>
                <w:right w:val="none" w:sz="0" w:space="0" w:color="auto"/>
              </w:divBdr>
            </w:div>
          </w:divsChild>
        </w:div>
        <w:div w:id="1373965111">
          <w:marLeft w:val="0"/>
          <w:marRight w:val="0"/>
          <w:marTop w:val="0"/>
          <w:marBottom w:val="0"/>
          <w:divBdr>
            <w:top w:val="none" w:sz="0" w:space="0" w:color="auto"/>
            <w:left w:val="none" w:sz="0" w:space="0" w:color="auto"/>
            <w:bottom w:val="none" w:sz="0" w:space="0" w:color="auto"/>
            <w:right w:val="none" w:sz="0" w:space="0" w:color="auto"/>
          </w:divBdr>
          <w:divsChild>
            <w:div w:id="572282117">
              <w:marLeft w:val="0"/>
              <w:marRight w:val="0"/>
              <w:marTop w:val="0"/>
              <w:marBottom w:val="0"/>
              <w:divBdr>
                <w:top w:val="none" w:sz="0" w:space="0" w:color="auto"/>
                <w:left w:val="none" w:sz="0" w:space="0" w:color="auto"/>
                <w:bottom w:val="none" w:sz="0" w:space="0" w:color="auto"/>
                <w:right w:val="none" w:sz="0" w:space="0" w:color="auto"/>
              </w:divBdr>
            </w:div>
          </w:divsChild>
        </w:div>
        <w:div w:id="1422137838">
          <w:marLeft w:val="0"/>
          <w:marRight w:val="0"/>
          <w:marTop w:val="0"/>
          <w:marBottom w:val="0"/>
          <w:divBdr>
            <w:top w:val="none" w:sz="0" w:space="0" w:color="auto"/>
            <w:left w:val="none" w:sz="0" w:space="0" w:color="auto"/>
            <w:bottom w:val="none" w:sz="0" w:space="0" w:color="auto"/>
            <w:right w:val="none" w:sz="0" w:space="0" w:color="auto"/>
          </w:divBdr>
          <w:divsChild>
            <w:div w:id="1352223401">
              <w:marLeft w:val="0"/>
              <w:marRight w:val="0"/>
              <w:marTop w:val="0"/>
              <w:marBottom w:val="0"/>
              <w:divBdr>
                <w:top w:val="none" w:sz="0" w:space="0" w:color="auto"/>
                <w:left w:val="none" w:sz="0" w:space="0" w:color="auto"/>
                <w:bottom w:val="none" w:sz="0" w:space="0" w:color="auto"/>
                <w:right w:val="none" w:sz="0" w:space="0" w:color="auto"/>
              </w:divBdr>
            </w:div>
          </w:divsChild>
        </w:div>
        <w:div w:id="1438674172">
          <w:marLeft w:val="0"/>
          <w:marRight w:val="0"/>
          <w:marTop w:val="0"/>
          <w:marBottom w:val="0"/>
          <w:divBdr>
            <w:top w:val="none" w:sz="0" w:space="0" w:color="auto"/>
            <w:left w:val="none" w:sz="0" w:space="0" w:color="auto"/>
            <w:bottom w:val="none" w:sz="0" w:space="0" w:color="auto"/>
            <w:right w:val="none" w:sz="0" w:space="0" w:color="auto"/>
          </w:divBdr>
          <w:divsChild>
            <w:div w:id="253443806">
              <w:marLeft w:val="0"/>
              <w:marRight w:val="0"/>
              <w:marTop w:val="0"/>
              <w:marBottom w:val="0"/>
              <w:divBdr>
                <w:top w:val="none" w:sz="0" w:space="0" w:color="auto"/>
                <w:left w:val="none" w:sz="0" w:space="0" w:color="auto"/>
                <w:bottom w:val="none" w:sz="0" w:space="0" w:color="auto"/>
                <w:right w:val="none" w:sz="0" w:space="0" w:color="auto"/>
              </w:divBdr>
            </w:div>
          </w:divsChild>
        </w:div>
        <w:div w:id="1491410300">
          <w:marLeft w:val="0"/>
          <w:marRight w:val="0"/>
          <w:marTop w:val="0"/>
          <w:marBottom w:val="0"/>
          <w:divBdr>
            <w:top w:val="none" w:sz="0" w:space="0" w:color="auto"/>
            <w:left w:val="none" w:sz="0" w:space="0" w:color="auto"/>
            <w:bottom w:val="none" w:sz="0" w:space="0" w:color="auto"/>
            <w:right w:val="none" w:sz="0" w:space="0" w:color="auto"/>
          </w:divBdr>
          <w:divsChild>
            <w:div w:id="1945110150">
              <w:marLeft w:val="0"/>
              <w:marRight w:val="0"/>
              <w:marTop w:val="0"/>
              <w:marBottom w:val="0"/>
              <w:divBdr>
                <w:top w:val="none" w:sz="0" w:space="0" w:color="auto"/>
                <w:left w:val="none" w:sz="0" w:space="0" w:color="auto"/>
                <w:bottom w:val="none" w:sz="0" w:space="0" w:color="auto"/>
                <w:right w:val="none" w:sz="0" w:space="0" w:color="auto"/>
              </w:divBdr>
            </w:div>
          </w:divsChild>
        </w:div>
        <w:div w:id="1492790476">
          <w:marLeft w:val="0"/>
          <w:marRight w:val="0"/>
          <w:marTop w:val="0"/>
          <w:marBottom w:val="0"/>
          <w:divBdr>
            <w:top w:val="none" w:sz="0" w:space="0" w:color="auto"/>
            <w:left w:val="none" w:sz="0" w:space="0" w:color="auto"/>
            <w:bottom w:val="none" w:sz="0" w:space="0" w:color="auto"/>
            <w:right w:val="none" w:sz="0" w:space="0" w:color="auto"/>
          </w:divBdr>
          <w:divsChild>
            <w:div w:id="1495564239">
              <w:marLeft w:val="0"/>
              <w:marRight w:val="0"/>
              <w:marTop w:val="0"/>
              <w:marBottom w:val="0"/>
              <w:divBdr>
                <w:top w:val="none" w:sz="0" w:space="0" w:color="auto"/>
                <w:left w:val="none" w:sz="0" w:space="0" w:color="auto"/>
                <w:bottom w:val="none" w:sz="0" w:space="0" w:color="auto"/>
                <w:right w:val="none" w:sz="0" w:space="0" w:color="auto"/>
              </w:divBdr>
            </w:div>
          </w:divsChild>
        </w:div>
        <w:div w:id="1508445629">
          <w:marLeft w:val="0"/>
          <w:marRight w:val="0"/>
          <w:marTop w:val="0"/>
          <w:marBottom w:val="0"/>
          <w:divBdr>
            <w:top w:val="none" w:sz="0" w:space="0" w:color="auto"/>
            <w:left w:val="none" w:sz="0" w:space="0" w:color="auto"/>
            <w:bottom w:val="none" w:sz="0" w:space="0" w:color="auto"/>
            <w:right w:val="none" w:sz="0" w:space="0" w:color="auto"/>
          </w:divBdr>
          <w:divsChild>
            <w:div w:id="737675584">
              <w:marLeft w:val="0"/>
              <w:marRight w:val="0"/>
              <w:marTop w:val="0"/>
              <w:marBottom w:val="0"/>
              <w:divBdr>
                <w:top w:val="none" w:sz="0" w:space="0" w:color="auto"/>
                <w:left w:val="none" w:sz="0" w:space="0" w:color="auto"/>
                <w:bottom w:val="none" w:sz="0" w:space="0" w:color="auto"/>
                <w:right w:val="none" w:sz="0" w:space="0" w:color="auto"/>
              </w:divBdr>
            </w:div>
          </w:divsChild>
        </w:div>
        <w:div w:id="1533377870">
          <w:marLeft w:val="0"/>
          <w:marRight w:val="0"/>
          <w:marTop w:val="0"/>
          <w:marBottom w:val="0"/>
          <w:divBdr>
            <w:top w:val="none" w:sz="0" w:space="0" w:color="auto"/>
            <w:left w:val="none" w:sz="0" w:space="0" w:color="auto"/>
            <w:bottom w:val="none" w:sz="0" w:space="0" w:color="auto"/>
            <w:right w:val="none" w:sz="0" w:space="0" w:color="auto"/>
          </w:divBdr>
          <w:divsChild>
            <w:div w:id="1994210277">
              <w:marLeft w:val="0"/>
              <w:marRight w:val="0"/>
              <w:marTop w:val="0"/>
              <w:marBottom w:val="0"/>
              <w:divBdr>
                <w:top w:val="none" w:sz="0" w:space="0" w:color="auto"/>
                <w:left w:val="none" w:sz="0" w:space="0" w:color="auto"/>
                <w:bottom w:val="none" w:sz="0" w:space="0" w:color="auto"/>
                <w:right w:val="none" w:sz="0" w:space="0" w:color="auto"/>
              </w:divBdr>
            </w:div>
          </w:divsChild>
        </w:div>
        <w:div w:id="1539199650">
          <w:marLeft w:val="0"/>
          <w:marRight w:val="0"/>
          <w:marTop w:val="0"/>
          <w:marBottom w:val="0"/>
          <w:divBdr>
            <w:top w:val="none" w:sz="0" w:space="0" w:color="auto"/>
            <w:left w:val="none" w:sz="0" w:space="0" w:color="auto"/>
            <w:bottom w:val="none" w:sz="0" w:space="0" w:color="auto"/>
            <w:right w:val="none" w:sz="0" w:space="0" w:color="auto"/>
          </w:divBdr>
          <w:divsChild>
            <w:div w:id="1306279722">
              <w:marLeft w:val="0"/>
              <w:marRight w:val="0"/>
              <w:marTop w:val="0"/>
              <w:marBottom w:val="0"/>
              <w:divBdr>
                <w:top w:val="none" w:sz="0" w:space="0" w:color="auto"/>
                <w:left w:val="none" w:sz="0" w:space="0" w:color="auto"/>
                <w:bottom w:val="none" w:sz="0" w:space="0" w:color="auto"/>
                <w:right w:val="none" w:sz="0" w:space="0" w:color="auto"/>
              </w:divBdr>
            </w:div>
          </w:divsChild>
        </w:div>
        <w:div w:id="1563982904">
          <w:marLeft w:val="0"/>
          <w:marRight w:val="0"/>
          <w:marTop w:val="0"/>
          <w:marBottom w:val="0"/>
          <w:divBdr>
            <w:top w:val="none" w:sz="0" w:space="0" w:color="auto"/>
            <w:left w:val="none" w:sz="0" w:space="0" w:color="auto"/>
            <w:bottom w:val="none" w:sz="0" w:space="0" w:color="auto"/>
            <w:right w:val="none" w:sz="0" w:space="0" w:color="auto"/>
          </w:divBdr>
          <w:divsChild>
            <w:div w:id="1351835694">
              <w:marLeft w:val="0"/>
              <w:marRight w:val="0"/>
              <w:marTop w:val="0"/>
              <w:marBottom w:val="0"/>
              <w:divBdr>
                <w:top w:val="none" w:sz="0" w:space="0" w:color="auto"/>
                <w:left w:val="none" w:sz="0" w:space="0" w:color="auto"/>
                <w:bottom w:val="none" w:sz="0" w:space="0" w:color="auto"/>
                <w:right w:val="none" w:sz="0" w:space="0" w:color="auto"/>
              </w:divBdr>
            </w:div>
          </w:divsChild>
        </w:div>
        <w:div w:id="1635024159">
          <w:marLeft w:val="0"/>
          <w:marRight w:val="0"/>
          <w:marTop w:val="0"/>
          <w:marBottom w:val="0"/>
          <w:divBdr>
            <w:top w:val="none" w:sz="0" w:space="0" w:color="auto"/>
            <w:left w:val="none" w:sz="0" w:space="0" w:color="auto"/>
            <w:bottom w:val="none" w:sz="0" w:space="0" w:color="auto"/>
            <w:right w:val="none" w:sz="0" w:space="0" w:color="auto"/>
          </w:divBdr>
          <w:divsChild>
            <w:div w:id="1616715057">
              <w:marLeft w:val="0"/>
              <w:marRight w:val="0"/>
              <w:marTop w:val="0"/>
              <w:marBottom w:val="0"/>
              <w:divBdr>
                <w:top w:val="none" w:sz="0" w:space="0" w:color="auto"/>
                <w:left w:val="none" w:sz="0" w:space="0" w:color="auto"/>
                <w:bottom w:val="none" w:sz="0" w:space="0" w:color="auto"/>
                <w:right w:val="none" w:sz="0" w:space="0" w:color="auto"/>
              </w:divBdr>
            </w:div>
          </w:divsChild>
        </w:div>
        <w:div w:id="1655065069">
          <w:marLeft w:val="0"/>
          <w:marRight w:val="0"/>
          <w:marTop w:val="0"/>
          <w:marBottom w:val="0"/>
          <w:divBdr>
            <w:top w:val="none" w:sz="0" w:space="0" w:color="auto"/>
            <w:left w:val="none" w:sz="0" w:space="0" w:color="auto"/>
            <w:bottom w:val="none" w:sz="0" w:space="0" w:color="auto"/>
            <w:right w:val="none" w:sz="0" w:space="0" w:color="auto"/>
          </w:divBdr>
          <w:divsChild>
            <w:div w:id="220292489">
              <w:marLeft w:val="0"/>
              <w:marRight w:val="0"/>
              <w:marTop w:val="0"/>
              <w:marBottom w:val="0"/>
              <w:divBdr>
                <w:top w:val="none" w:sz="0" w:space="0" w:color="auto"/>
                <w:left w:val="none" w:sz="0" w:space="0" w:color="auto"/>
                <w:bottom w:val="none" w:sz="0" w:space="0" w:color="auto"/>
                <w:right w:val="none" w:sz="0" w:space="0" w:color="auto"/>
              </w:divBdr>
            </w:div>
          </w:divsChild>
        </w:div>
        <w:div w:id="1684629946">
          <w:marLeft w:val="0"/>
          <w:marRight w:val="0"/>
          <w:marTop w:val="0"/>
          <w:marBottom w:val="0"/>
          <w:divBdr>
            <w:top w:val="none" w:sz="0" w:space="0" w:color="auto"/>
            <w:left w:val="none" w:sz="0" w:space="0" w:color="auto"/>
            <w:bottom w:val="none" w:sz="0" w:space="0" w:color="auto"/>
            <w:right w:val="none" w:sz="0" w:space="0" w:color="auto"/>
          </w:divBdr>
          <w:divsChild>
            <w:div w:id="831601347">
              <w:marLeft w:val="0"/>
              <w:marRight w:val="0"/>
              <w:marTop w:val="0"/>
              <w:marBottom w:val="0"/>
              <w:divBdr>
                <w:top w:val="none" w:sz="0" w:space="0" w:color="auto"/>
                <w:left w:val="none" w:sz="0" w:space="0" w:color="auto"/>
                <w:bottom w:val="none" w:sz="0" w:space="0" w:color="auto"/>
                <w:right w:val="none" w:sz="0" w:space="0" w:color="auto"/>
              </w:divBdr>
            </w:div>
          </w:divsChild>
        </w:div>
        <w:div w:id="1700543536">
          <w:marLeft w:val="0"/>
          <w:marRight w:val="0"/>
          <w:marTop w:val="0"/>
          <w:marBottom w:val="0"/>
          <w:divBdr>
            <w:top w:val="none" w:sz="0" w:space="0" w:color="auto"/>
            <w:left w:val="none" w:sz="0" w:space="0" w:color="auto"/>
            <w:bottom w:val="none" w:sz="0" w:space="0" w:color="auto"/>
            <w:right w:val="none" w:sz="0" w:space="0" w:color="auto"/>
          </w:divBdr>
          <w:divsChild>
            <w:div w:id="48113619">
              <w:marLeft w:val="0"/>
              <w:marRight w:val="0"/>
              <w:marTop w:val="0"/>
              <w:marBottom w:val="0"/>
              <w:divBdr>
                <w:top w:val="none" w:sz="0" w:space="0" w:color="auto"/>
                <w:left w:val="none" w:sz="0" w:space="0" w:color="auto"/>
                <w:bottom w:val="none" w:sz="0" w:space="0" w:color="auto"/>
                <w:right w:val="none" w:sz="0" w:space="0" w:color="auto"/>
              </w:divBdr>
            </w:div>
          </w:divsChild>
        </w:div>
        <w:div w:id="1724402085">
          <w:marLeft w:val="0"/>
          <w:marRight w:val="0"/>
          <w:marTop w:val="0"/>
          <w:marBottom w:val="0"/>
          <w:divBdr>
            <w:top w:val="none" w:sz="0" w:space="0" w:color="auto"/>
            <w:left w:val="none" w:sz="0" w:space="0" w:color="auto"/>
            <w:bottom w:val="none" w:sz="0" w:space="0" w:color="auto"/>
            <w:right w:val="none" w:sz="0" w:space="0" w:color="auto"/>
          </w:divBdr>
          <w:divsChild>
            <w:div w:id="311065234">
              <w:marLeft w:val="0"/>
              <w:marRight w:val="0"/>
              <w:marTop w:val="0"/>
              <w:marBottom w:val="0"/>
              <w:divBdr>
                <w:top w:val="none" w:sz="0" w:space="0" w:color="auto"/>
                <w:left w:val="none" w:sz="0" w:space="0" w:color="auto"/>
                <w:bottom w:val="none" w:sz="0" w:space="0" w:color="auto"/>
                <w:right w:val="none" w:sz="0" w:space="0" w:color="auto"/>
              </w:divBdr>
            </w:div>
          </w:divsChild>
        </w:div>
        <w:div w:id="1732847747">
          <w:marLeft w:val="0"/>
          <w:marRight w:val="0"/>
          <w:marTop w:val="0"/>
          <w:marBottom w:val="0"/>
          <w:divBdr>
            <w:top w:val="none" w:sz="0" w:space="0" w:color="auto"/>
            <w:left w:val="none" w:sz="0" w:space="0" w:color="auto"/>
            <w:bottom w:val="none" w:sz="0" w:space="0" w:color="auto"/>
            <w:right w:val="none" w:sz="0" w:space="0" w:color="auto"/>
          </w:divBdr>
          <w:divsChild>
            <w:div w:id="387608403">
              <w:marLeft w:val="0"/>
              <w:marRight w:val="0"/>
              <w:marTop w:val="0"/>
              <w:marBottom w:val="0"/>
              <w:divBdr>
                <w:top w:val="none" w:sz="0" w:space="0" w:color="auto"/>
                <w:left w:val="none" w:sz="0" w:space="0" w:color="auto"/>
                <w:bottom w:val="none" w:sz="0" w:space="0" w:color="auto"/>
                <w:right w:val="none" w:sz="0" w:space="0" w:color="auto"/>
              </w:divBdr>
            </w:div>
          </w:divsChild>
        </w:div>
        <w:div w:id="1738891892">
          <w:marLeft w:val="0"/>
          <w:marRight w:val="0"/>
          <w:marTop w:val="0"/>
          <w:marBottom w:val="0"/>
          <w:divBdr>
            <w:top w:val="none" w:sz="0" w:space="0" w:color="auto"/>
            <w:left w:val="none" w:sz="0" w:space="0" w:color="auto"/>
            <w:bottom w:val="none" w:sz="0" w:space="0" w:color="auto"/>
            <w:right w:val="none" w:sz="0" w:space="0" w:color="auto"/>
          </w:divBdr>
          <w:divsChild>
            <w:div w:id="1917742157">
              <w:marLeft w:val="0"/>
              <w:marRight w:val="0"/>
              <w:marTop w:val="0"/>
              <w:marBottom w:val="0"/>
              <w:divBdr>
                <w:top w:val="none" w:sz="0" w:space="0" w:color="auto"/>
                <w:left w:val="none" w:sz="0" w:space="0" w:color="auto"/>
                <w:bottom w:val="none" w:sz="0" w:space="0" w:color="auto"/>
                <w:right w:val="none" w:sz="0" w:space="0" w:color="auto"/>
              </w:divBdr>
            </w:div>
          </w:divsChild>
        </w:div>
        <w:div w:id="1761559239">
          <w:marLeft w:val="0"/>
          <w:marRight w:val="0"/>
          <w:marTop w:val="0"/>
          <w:marBottom w:val="0"/>
          <w:divBdr>
            <w:top w:val="none" w:sz="0" w:space="0" w:color="auto"/>
            <w:left w:val="none" w:sz="0" w:space="0" w:color="auto"/>
            <w:bottom w:val="none" w:sz="0" w:space="0" w:color="auto"/>
            <w:right w:val="none" w:sz="0" w:space="0" w:color="auto"/>
          </w:divBdr>
          <w:divsChild>
            <w:div w:id="1545483604">
              <w:marLeft w:val="0"/>
              <w:marRight w:val="0"/>
              <w:marTop w:val="0"/>
              <w:marBottom w:val="0"/>
              <w:divBdr>
                <w:top w:val="none" w:sz="0" w:space="0" w:color="auto"/>
                <w:left w:val="none" w:sz="0" w:space="0" w:color="auto"/>
                <w:bottom w:val="none" w:sz="0" w:space="0" w:color="auto"/>
                <w:right w:val="none" w:sz="0" w:space="0" w:color="auto"/>
              </w:divBdr>
            </w:div>
          </w:divsChild>
        </w:div>
        <w:div w:id="1769352837">
          <w:marLeft w:val="0"/>
          <w:marRight w:val="0"/>
          <w:marTop w:val="0"/>
          <w:marBottom w:val="0"/>
          <w:divBdr>
            <w:top w:val="none" w:sz="0" w:space="0" w:color="auto"/>
            <w:left w:val="none" w:sz="0" w:space="0" w:color="auto"/>
            <w:bottom w:val="none" w:sz="0" w:space="0" w:color="auto"/>
            <w:right w:val="none" w:sz="0" w:space="0" w:color="auto"/>
          </w:divBdr>
          <w:divsChild>
            <w:div w:id="2075547977">
              <w:marLeft w:val="0"/>
              <w:marRight w:val="0"/>
              <w:marTop w:val="0"/>
              <w:marBottom w:val="0"/>
              <w:divBdr>
                <w:top w:val="none" w:sz="0" w:space="0" w:color="auto"/>
                <w:left w:val="none" w:sz="0" w:space="0" w:color="auto"/>
                <w:bottom w:val="none" w:sz="0" w:space="0" w:color="auto"/>
                <w:right w:val="none" w:sz="0" w:space="0" w:color="auto"/>
              </w:divBdr>
            </w:div>
          </w:divsChild>
        </w:div>
        <w:div w:id="1780679033">
          <w:marLeft w:val="0"/>
          <w:marRight w:val="0"/>
          <w:marTop w:val="0"/>
          <w:marBottom w:val="0"/>
          <w:divBdr>
            <w:top w:val="none" w:sz="0" w:space="0" w:color="auto"/>
            <w:left w:val="none" w:sz="0" w:space="0" w:color="auto"/>
            <w:bottom w:val="none" w:sz="0" w:space="0" w:color="auto"/>
            <w:right w:val="none" w:sz="0" w:space="0" w:color="auto"/>
          </w:divBdr>
          <w:divsChild>
            <w:div w:id="378282196">
              <w:marLeft w:val="0"/>
              <w:marRight w:val="0"/>
              <w:marTop w:val="0"/>
              <w:marBottom w:val="0"/>
              <w:divBdr>
                <w:top w:val="none" w:sz="0" w:space="0" w:color="auto"/>
                <w:left w:val="none" w:sz="0" w:space="0" w:color="auto"/>
                <w:bottom w:val="none" w:sz="0" w:space="0" w:color="auto"/>
                <w:right w:val="none" w:sz="0" w:space="0" w:color="auto"/>
              </w:divBdr>
            </w:div>
          </w:divsChild>
        </w:div>
        <w:div w:id="1796409028">
          <w:marLeft w:val="0"/>
          <w:marRight w:val="0"/>
          <w:marTop w:val="0"/>
          <w:marBottom w:val="0"/>
          <w:divBdr>
            <w:top w:val="none" w:sz="0" w:space="0" w:color="auto"/>
            <w:left w:val="none" w:sz="0" w:space="0" w:color="auto"/>
            <w:bottom w:val="none" w:sz="0" w:space="0" w:color="auto"/>
            <w:right w:val="none" w:sz="0" w:space="0" w:color="auto"/>
          </w:divBdr>
          <w:divsChild>
            <w:div w:id="39671033">
              <w:marLeft w:val="0"/>
              <w:marRight w:val="0"/>
              <w:marTop w:val="0"/>
              <w:marBottom w:val="0"/>
              <w:divBdr>
                <w:top w:val="none" w:sz="0" w:space="0" w:color="auto"/>
                <w:left w:val="none" w:sz="0" w:space="0" w:color="auto"/>
                <w:bottom w:val="none" w:sz="0" w:space="0" w:color="auto"/>
                <w:right w:val="none" w:sz="0" w:space="0" w:color="auto"/>
              </w:divBdr>
            </w:div>
          </w:divsChild>
        </w:div>
        <w:div w:id="1816481534">
          <w:marLeft w:val="0"/>
          <w:marRight w:val="0"/>
          <w:marTop w:val="0"/>
          <w:marBottom w:val="0"/>
          <w:divBdr>
            <w:top w:val="none" w:sz="0" w:space="0" w:color="auto"/>
            <w:left w:val="none" w:sz="0" w:space="0" w:color="auto"/>
            <w:bottom w:val="none" w:sz="0" w:space="0" w:color="auto"/>
            <w:right w:val="none" w:sz="0" w:space="0" w:color="auto"/>
          </w:divBdr>
          <w:divsChild>
            <w:div w:id="1864240952">
              <w:marLeft w:val="0"/>
              <w:marRight w:val="0"/>
              <w:marTop w:val="0"/>
              <w:marBottom w:val="0"/>
              <w:divBdr>
                <w:top w:val="none" w:sz="0" w:space="0" w:color="auto"/>
                <w:left w:val="none" w:sz="0" w:space="0" w:color="auto"/>
                <w:bottom w:val="none" w:sz="0" w:space="0" w:color="auto"/>
                <w:right w:val="none" w:sz="0" w:space="0" w:color="auto"/>
              </w:divBdr>
            </w:div>
          </w:divsChild>
        </w:div>
        <w:div w:id="1844277937">
          <w:marLeft w:val="0"/>
          <w:marRight w:val="0"/>
          <w:marTop w:val="0"/>
          <w:marBottom w:val="0"/>
          <w:divBdr>
            <w:top w:val="none" w:sz="0" w:space="0" w:color="auto"/>
            <w:left w:val="none" w:sz="0" w:space="0" w:color="auto"/>
            <w:bottom w:val="none" w:sz="0" w:space="0" w:color="auto"/>
            <w:right w:val="none" w:sz="0" w:space="0" w:color="auto"/>
          </w:divBdr>
          <w:divsChild>
            <w:div w:id="1167477921">
              <w:marLeft w:val="0"/>
              <w:marRight w:val="0"/>
              <w:marTop w:val="0"/>
              <w:marBottom w:val="0"/>
              <w:divBdr>
                <w:top w:val="none" w:sz="0" w:space="0" w:color="auto"/>
                <w:left w:val="none" w:sz="0" w:space="0" w:color="auto"/>
                <w:bottom w:val="none" w:sz="0" w:space="0" w:color="auto"/>
                <w:right w:val="none" w:sz="0" w:space="0" w:color="auto"/>
              </w:divBdr>
            </w:div>
          </w:divsChild>
        </w:div>
        <w:div w:id="1865438875">
          <w:marLeft w:val="0"/>
          <w:marRight w:val="0"/>
          <w:marTop w:val="0"/>
          <w:marBottom w:val="0"/>
          <w:divBdr>
            <w:top w:val="none" w:sz="0" w:space="0" w:color="auto"/>
            <w:left w:val="none" w:sz="0" w:space="0" w:color="auto"/>
            <w:bottom w:val="none" w:sz="0" w:space="0" w:color="auto"/>
            <w:right w:val="none" w:sz="0" w:space="0" w:color="auto"/>
          </w:divBdr>
          <w:divsChild>
            <w:div w:id="1315571932">
              <w:marLeft w:val="0"/>
              <w:marRight w:val="0"/>
              <w:marTop w:val="0"/>
              <w:marBottom w:val="0"/>
              <w:divBdr>
                <w:top w:val="none" w:sz="0" w:space="0" w:color="auto"/>
                <w:left w:val="none" w:sz="0" w:space="0" w:color="auto"/>
                <w:bottom w:val="none" w:sz="0" w:space="0" w:color="auto"/>
                <w:right w:val="none" w:sz="0" w:space="0" w:color="auto"/>
              </w:divBdr>
            </w:div>
          </w:divsChild>
        </w:div>
        <w:div w:id="1874533945">
          <w:marLeft w:val="0"/>
          <w:marRight w:val="0"/>
          <w:marTop w:val="0"/>
          <w:marBottom w:val="0"/>
          <w:divBdr>
            <w:top w:val="none" w:sz="0" w:space="0" w:color="auto"/>
            <w:left w:val="none" w:sz="0" w:space="0" w:color="auto"/>
            <w:bottom w:val="none" w:sz="0" w:space="0" w:color="auto"/>
            <w:right w:val="none" w:sz="0" w:space="0" w:color="auto"/>
          </w:divBdr>
          <w:divsChild>
            <w:div w:id="979001550">
              <w:marLeft w:val="0"/>
              <w:marRight w:val="0"/>
              <w:marTop w:val="0"/>
              <w:marBottom w:val="0"/>
              <w:divBdr>
                <w:top w:val="none" w:sz="0" w:space="0" w:color="auto"/>
                <w:left w:val="none" w:sz="0" w:space="0" w:color="auto"/>
                <w:bottom w:val="none" w:sz="0" w:space="0" w:color="auto"/>
                <w:right w:val="none" w:sz="0" w:space="0" w:color="auto"/>
              </w:divBdr>
            </w:div>
          </w:divsChild>
        </w:div>
        <w:div w:id="1920017941">
          <w:marLeft w:val="0"/>
          <w:marRight w:val="0"/>
          <w:marTop w:val="0"/>
          <w:marBottom w:val="0"/>
          <w:divBdr>
            <w:top w:val="none" w:sz="0" w:space="0" w:color="auto"/>
            <w:left w:val="none" w:sz="0" w:space="0" w:color="auto"/>
            <w:bottom w:val="none" w:sz="0" w:space="0" w:color="auto"/>
            <w:right w:val="none" w:sz="0" w:space="0" w:color="auto"/>
          </w:divBdr>
          <w:divsChild>
            <w:div w:id="942225458">
              <w:marLeft w:val="0"/>
              <w:marRight w:val="0"/>
              <w:marTop w:val="0"/>
              <w:marBottom w:val="0"/>
              <w:divBdr>
                <w:top w:val="none" w:sz="0" w:space="0" w:color="auto"/>
                <w:left w:val="none" w:sz="0" w:space="0" w:color="auto"/>
                <w:bottom w:val="none" w:sz="0" w:space="0" w:color="auto"/>
                <w:right w:val="none" w:sz="0" w:space="0" w:color="auto"/>
              </w:divBdr>
            </w:div>
          </w:divsChild>
        </w:div>
        <w:div w:id="1923634301">
          <w:marLeft w:val="0"/>
          <w:marRight w:val="0"/>
          <w:marTop w:val="0"/>
          <w:marBottom w:val="0"/>
          <w:divBdr>
            <w:top w:val="none" w:sz="0" w:space="0" w:color="auto"/>
            <w:left w:val="none" w:sz="0" w:space="0" w:color="auto"/>
            <w:bottom w:val="none" w:sz="0" w:space="0" w:color="auto"/>
            <w:right w:val="none" w:sz="0" w:space="0" w:color="auto"/>
          </w:divBdr>
          <w:divsChild>
            <w:div w:id="1555383070">
              <w:marLeft w:val="0"/>
              <w:marRight w:val="0"/>
              <w:marTop w:val="0"/>
              <w:marBottom w:val="0"/>
              <w:divBdr>
                <w:top w:val="none" w:sz="0" w:space="0" w:color="auto"/>
                <w:left w:val="none" w:sz="0" w:space="0" w:color="auto"/>
                <w:bottom w:val="none" w:sz="0" w:space="0" w:color="auto"/>
                <w:right w:val="none" w:sz="0" w:space="0" w:color="auto"/>
              </w:divBdr>
            </w:div>
          </w:divsChild>
        </w:div>
        <w:div w:id="1946112181">
          <w:marLeft w:val="0"/>
          <w:marRight w:val="0"/>
          <w:marTop w:val="0"/>
          <w:marBottom w:val="0"/>
          <w:divBdr>
            <w:top w:val="none" w:sz="0" w:space="0" w:color="auto"/>
            <w:left w:val="none" w:sz="0" w:space="0" w:color="auto"/>
            <w:bottom w:val="none" w:sz="0" w:space="0" w:color="auto"/>
            <w:right w:val="none" w:sz="0" w:space="0" w:color="auto"/>
          </w:divBdr>
          <w:divsChild>
            <w:div w:id="1857695854">
              <w:marLeft w:val="0"/>
              <w:marRight w:val="0"/>
              <w:marTop w:val="0"/>
              <w:marBottom w:val="0"/>
              <w:divBdr>
                <w:top w:val="none" w:sz="0" w:space="0" w:color="auto"/>
                <w:left w:val="none" w:sz="0" w:space="0" w:color="auto"/>
                <w:bottom w:val="none" w:sz="0" w:space="0" w:color="auto"/>
                <w:right w:val="none" w:sz="0" w:space="0" w:color="auto"/>
              </w:divBdr>
            </w:div>
          </w:divsChild>
        </w:div>
        <w:div w:id="1966693955">
          <w:marLeft w:val="0"/>
          <w:marRight w:val="0"/>
          <w:marTop w:val="0"/>
          <w:marBottom w:val="0"/>
          <w:divBdr>
            <w:top w:val="none" w:sz="0" w:space="0" w:color="auto"/>
            <w:left w:val="none" w:sz="0" w:space="0" w:color="auto"/>
            <w:bottom w:val="none" w:sz="0" w:space="0" w:color="auto"/>
            <w:right w:val="none" w:sz="0" w:space="0" w:color="auto"/>
          </w:divBdr>
          <w:divsChild>
            <w:div w:id="1595478507">
              <w:marLeft w:val="0"/>
              <w:marRight w:val="0"/>
              <w:marTop w:val="0"/>
              <w:marBottom w:val="0"/>
              <w:divBdr>
                <w:top w:val="none" w:sz="0" w:space="0" w:color="auto"/>
                <w:left w:val="none" w:sz="0" w:space="0" w:color="auto"/>
                <w:bottom w:val="none" w:sz="0" w:space="0" w:color="auto"/>
                <w:right w:val="none" w:sz="0" w:space="0" w:color="auto"/>
              </w:divBdr>
            </w:div>
          </w:divsChild>
        </w:div>
        <w:div w:id="1987709247">
          <w:marLeft w:val="0"/>
          <w:marRight w:val="0"/>
          <w:marTop w:val="0"/>
          <w:marBottom w:val="0"/>
          <w:divBdr>
            <w:top w:val="none" w:sz="0" w:space="0" w:color="auto"/>
            <w:left w:val="none" w:sz="0" w:space="0" w:color="auto"/>
            <w:bottom w:val="none" w:sz="0" w:space="0" w:color="auto"/>
            <w:right w:val="none" w:sz="0" w:space="0" w:color="auto"/>
          </w:divBdr>
          <w:divsChild>
            <w:div w:id="361592860">
              <w:marLeft w:val="0"/>
              <w:marRight w:val="0"/>
              <w:marTop w:val="0"/>
              <w:marBottom w:val="0"/>
              <w:divBdr>
                <w:top w:val="none" w:sz="0" w:space="0" w:color="auto"/>
                <w:left w:val="none" w:sz="0" w:space="0" w:color="auto"/>
                <w:bottom w:val="none" w:sz="0" w:space="0" w:color="auto"/>
                <w:right w:val="none" w:sz="0" w:space="0" w:color="auto"/>
              </w:divBdr>
            </w:div>
          </w:divsChild>
        </w:div>
        <w:div w:id="2000378833">
          <w:marLeft w:val="0"/>
          <w:marRight w:val="0"/>
          <w:marTop w:val="0"/>
          <w:marBottom w:val="0"/>
          <w:divBdr>
            <w:top w:val="none" w:sz="0" w:space="0" w:color="auto"/>
            <w:left w:val="none" w:sz="0" w:space="0" w:color="auto"/>
            <w:bottom w:val="none" w:sz="0" w:space="0" w:color="auto"/>
            <w:right w:val="none" w:sz="0" w:space="0" w:color="auto"/>
          </w:divBdr>
          <w:divsChild>
            <w:div w:id="2076707764">
              <w:marLeft w:val="0"/>
              <w:marRight w:val="0"/>
              <w:marTop w:val="0"/>
              <w:marBottom w:val="0"/>
              <w:divBdr>
                <w:top w:val="none" w:sz="0" w:space="0" w:color="auto"/>
                <w:left w:val="none" w:sz="0" w:space="0" w:color="auto"/>
                <w:bottom w:val="none" w:sz="0" w:space="0" w:color="auto"/>
                <w:right w:val="none" w:sz="0" w:space="0" w:color="auto"/>
              </w:divBdr>
            </w:div>
          </w:divsChild>
        </w:div>
        <w:div w:id="2000618146">
          <w:marLeft w:val="0"/>
          <w:marRight w:val="0"/>
          <w:marTop w:val="0"/>
          <w:marBottom w:val="0"/>
          <w:divBdr>
            <w:top w:val="none" w:sz="0" w:space="0" w:color="auto"/>
            <w:left w:val="none" w:sz="0" w:space="0" w:color="auto"/>
            <w:bottom w:val="none" w:sz="0" w:space="0" w:color="auto"/>
            <w:right w:val="none" w:sz="0" w:space="0" w:color="auto"/>
          </w:divBdr>
          <w:divsChild>
            <w:div w:id="731655181">
              <w:marLeft w:val="0"/>
              <w:marRight w:val="0"/>
              <w:marTop w:val="0"/>
              <w:marBottom w:val="0"/>
              <w:divBdr>
                <w:top w:val="none" w:sz="0" w:space="0" w:color="auto"/>
                <w:left w:val="none" w:sz="0" w:space="0" w:color="auto"/>
                <w:bottom w:val="none" w:sz="0" w:space="0" w:color="auto"/>
                <w:right w:val="none" w:sz="0" w:space="0" w:color="auto"/>
              </w:divBdr>
            </w:div>
          </w:divsChild>
        </w:div>
        <w:div w:id="2009286245">
          <w:marLeft w:val="0"/>
          <w:marRight w:val="0"/>
          <w:marTop w:val="0"/>
          <w:marBottom w:val="0"/>
          <w:divBdr>
            <w:top w:val="none" w:sz="0" w:space="0" w:color="auto"/>
            <w:left w:val="none" w:sz="0" w:space="0" w:color="auto"/>
            <w:bottom w:val="none" w:sz="0" w:space="0" w:color="auto"/>
            <w:right w:val="none" w:sz="0" w:space="0" w:color="auto"/>
          </w:divBdr>
          <w:divsChild>
            <w:div w:id="807093242">
              <w:marLeft w:val="0"/>
              <w:marRight w:val="0"/>
              <w:marTop w:val="0"/>
              <w:marBottom w:val="0"/>
              <w:divBdr>
                <w:top w:val="none" w:sz="0" w:space="0" w:color="auto"/>
                <w:left w:val="none" w:sz="0" w:space="0" w:color="auto"/>
                <w:bottom w:val="none" w:sz="0" w:space="0" w:color="auto"/>
                <w:right w:val="none" w:sz="0" w:space="0" w:color="auto"/>
              </w:divBdr>
            </w:div>
          </w:divsChild>
        </w:div>
        <w:div w:id="2024283784">
          <w:marLeft w:val="0"/>
          <w:marRight w:val="0"/>
          <w:marTop w:val="0"/>
          <w:marBottom w:val="0"/>
          <w:divBdr>
            <w:top w:val="none" w:sz="0" w:space="0" w:color="auto"/>
            <w:left w:val="none" w:sz="0" w:space="0" w:color="auto"/>
            <w:bottom w:val="none" w:sz="0" w:space="0" w:color="auto"/>
            <w:right w:val="none" w:sz="0" w:space="0" w:color="auto"/>
          </w:divBdr>
          <w:divsChild>
            <w:div w:id="962733308">
              <w:marLeft w:val="0"/>
              <w:marRight w:val="0"/>
              <w:marTop w:val="0"/>
              <w:marBottom w:val="0"/>
              <w:divBdr>
                <w:top w:val="none" w:sz="0" w:space="0" w:color="auto"/>
                <w:left w:val="none" w:sz="0" w:space="0" w:color="auto"/>
                <w:bottom w:val="none" w:sz="0" w:space="0" w:color="auto"/>
                <w:right w:val="none" w:sz="0" w:space="0" w:color="auto"/>
              </w:divBdr>
            </w:div>
          </w:divsChild>
        </w:div>
        <w:div w:id="2060131110">
          <w:marLeft w:val="0"/>
          <w:marRight w:val="0"/>
          <w:marTop w:val="0"/>
          <w:marBottom w:val="0"/>
          <w:divBdr>
            <w:top w:val="none" w:sz="0" w:space="0" w:color="auto"/>
            <w:left w:val="none" w:sz="0" w:space="0" w:color="auto"/>
            <w:bottom w:val="none" w:sz="0" w:space="0" w:color="auto"/>
            <w:right w:val="none" w:sz="0" w:space="0" w:color="auto"/>
          </w:divBdr>
          <w:divsChild>
            <w:div w:id="1971200676">
              <w:marLeft w:val="0"/>
              <w:marRight w:val="0"/>
              <w:marTop w:val="0"/>
              <w:marBottom w:val="0"/>
              <w:divBdr>
                <w:top w:val="none" w:sz="0" w:space="0" w:color="auto"/>
                <w:left w:val="none" w:sz="0" w:space="0" w:color="auto"/>
                <w:bottom w:val="none" w:sz="0" w:space="0" w:color="auto"/>
                <w:right w:val="none" w:sz="0" w:space="0" w:color="auto"/>
              </w:divBdr>
            </w:div>
          </w:divsChild>
        </w:div>
        <w:div w:id="2068454946">
          <w:marLeft w:val="0"/>
          <w:marRight w:val="0"/>
          <w:marTop w:val="0"/>
          <w:marBottom w:val="0"/>
          <w:divBdr>
            <w:top w:val="none" w:sz="0" w:space="0" w:color="auto"/>
            <w:left w:val="none" w:sz="0" w:space="0" w:color="auto"/>
            <w:bottom w:val="none" w:sz="0" w:space="0" w:color="auto"/>
            <w:right w:val="none" w:sz="0" w:space="0" w:color="auto"/>
          </w:divBdr>
          <w:divsChild>
            <w:div w:id="313605561">
              <w:marLeft w:val="0"/>
              <w:marRight w:val="0"/>
              <w:marTop w:val="0"/>
              <w:marBottom w:val="0"/>
              <w:divBdr>
                <w:top w:val="none" w:sz="0" w:space="0" w:color="auto"/>
                <w:left w:val="none" w:sz="0" w:space="0" w:color="auto"/>
                <w:bottom w:val="none" w:sz="0" w:space="0" w:color="auto"/>
                <w:right w:val="none" w:sz="0" w:space="0" w:color="auto"/>
              </w:divBdr>
            </w:div>
          </w:divsChild>
        </w:div>
        <w:div w:id="2111855877">
          <w:marLeft w:val="0"/>
          <w:marRight w:val="0"/>
          <w:marTop w:val="0"/>
          <w:marBottom w:val="0"/>
          <w:divBdr>
            <w:top w:val="none" w:sz="0" w:space="0" w:color="auto"/>
            <w:left w:val="none" w:sz="0" w:space="0" w:color="auto"/>
            <w:bottom w:val="none" w:sz="0" w:space="0" w:color="auto"/>
            <w:right w:val="none" w:sz="0" w:space="0" w:color="auto"/>
          </w:divBdr>
          <w:divsChild>
            <w:div w:id="1434976476">
              <w:marLeft w:val="0"/>
              <w:marRight w:val="0"/>
              <w:marTop w:val="0"/>
              <w:marBottom w:val="0"/>
              <w:divBdr>
                <w:top w:val="none" w:sz="0" w:space="0" w:color="auto"/>
                <w:left w:val="none" w:sz="0" w:space="0" w:color="auto"/>
                <w:bottom w:val="none" w:sz="0" w:space="0" w:color="auto"/>
                <w:right w:val="none" w:sz="0" w:space="0" w:color="auto"/>
              </w:divBdr>
            </w:div>
          </w:divsChild>
        </w:div>
        <w:div w:id="2114782976">
          <w:marLeft w:val="0"/>
          <w:marRight w:val="0"/>
          <w:marTop w:val="0"/>
          <w:marBottom w:val="0"/>
          <w:divBdr>
            <w:top w:val="none" w:sz="0" w:space="0" w:color="auto"/>
            <w:left w:val="none" w:sz="0" w:space="0" w:color="auto"/>
            <w:bottom w:val="none" w:sz="0" w:space="0" w:color="auto"/>
            <w:right w:val="none" w:sz="0" w:space="0" w:color="auto"/>
          </w:divBdr>
          <w:divsChild>
            <w:div w:id="1830095756">
              <w:marLeft w:val="0"/>
              <w:marRight w:val="0"/>
              <w:marTop w:val="0"/>
              <w:marBottom w:val="0"/>
              <w:divBdr>
                <w:top w:val="none" w:sz="0" w:space="0" w:color="auto"/>
                <w:left w:val="none" w:sz="0" w:space="0" w:color="auto"/>
                <w:bottom w:val="none" w:sz="0" w:space="0" w:color="auto"/>
                <w:right w:val="none" w:sz="0" w:space="0" w:color="auto"/>
              </w:divBdr>
            </w:div>
          </w:divsChild>
        </w:div>
        <w:div w:id="2117822271">
          <w:marLeft w:val="0"/>
          <w:marRight w:val="0"/>
          <w:marTop w:val="0"/>
          <w:marBottom w:val="0"/>
          <w:divBdr>
            <w:top w:val="none" w:sz="0" w:space="0" w:color="auto"/>
            <w:left w:val="none" w:sz="0" w:space="0" w:color="auto"/>
            <w:bottom w:val="none" w:sz="0" w:space="0" w:color="auto"/>
            <w:right w:val="none" w:sz="0" w:space="0" w:color="auto"/>
          </w:divBdr>
          <w:divsChild>
            <w:div w:id="245922184">
              <w:marLeft w:val="0"/>
              <w:marRight w:val="0"/>
              <w:marTop w:val="0"/>
              <w:marBottom w:val="0"/>
              <w:divBdr>
                <w:top w:val="none" w:sz="0" w:space="0" w:color="auto"/>
                <w:left w:val="none" w:sz="0" w:space="0" w:color="auto"/>
                <w:bottom w:val="none" w:sz="0" w:space="0" w:color="auto"/>
                <w:right w:val="none" w:sz="0" w:space="0" w:color="auto"/>
              </w:divBdr>
            </w:div>
          </w:divsChild>
        </w:div>
        <w:div w:id="2130465672">
          <w:marLeft w:val="0"/>
          <w:marRight w:val="0"/>
          <w:marTop w:val="0"/>
          <w:marBottom w:val="0"/>
          <w:divBdr>
            <w:top w:val="none" w:sz="0" w:space="0" w:color="auto"/>
            <w:left w:val="none" w:sz="0" w:space="0" w:color="auto"/>
            <w:bottom w:val="none" w:sz="0" w:space="0" w:color="auto"/>
            <w:right w:val="none" w:sz="0" w:space="0" w:color="auto"/>
          </w:divBdr>
          <w:divsChild>
            <w:div w:id="13197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65071">
      <w:bodyDiv w:val="1"/>
      <w:marLeft w:val="0"/>
      <w:marRight w:val="0"/>
      <w:marTop w:val="0"/>
      <w:marBottom w:val="0"/>
      <w:divBdr>
        <w:top w:val="none" w:sz="0" w:space="0" w:color="auto"/>
        <w:left w:val="none" w:sz="0" w:space="0" w:color="auto"/>
        <w:bottom w:val="none" w:sz="0" w:space="0" w:color="auto"/>
        <w:right w:val="none" w:sz="0" w:space="0" w:color="auto"/>
      </w:divBdr>
      <w:divsChild>
        <w:div w:id="422071467">
          <w:marLeft w:val="360"/>
          <w:marRight w:val="0"/>
          <w:marTop w:val="0"/>
          <w:marBottom w:val="0"/>
          <w:divBdr>
            <w:top w:val="none" w:sz="0" w:space="0" w:color="auto"/>
            <w:left w:val="none" w:sz="0" w:space="0" w:color="auto"/>
            <w:bottom w:val="none" w:sz="0" w:space="0" w:color="auto"/>
            <w:right w:val="none" w:sz="0" w:space="0" w:color="auto"/>
          </w:divBdr>
        </w:div>
      </w:divsChild>
    </w:div>
    <w:div w:id="1427994742">
      <w:bodyDiv w:val="1"/>
      <w:marLeft w:val="0"/>
      <w:marRight w:val="0"/>
      <w:marTop w:val="0"/>
      <w:marBottom w:val="0"/>
      <w:divBdr>
        <w:top w:val="none" w:sz="0" w:space="0" w:color="auto"/>
        <w:left w:val="none" w:sz="0" w:space="0" w:color="auto"/>
        <w:bottom w:val="none" w:sz="0" w:space="0" w:color="auto"/>
        <w:right w:val="none" w:sz="0" w:space="0" w:color="auto"/>
      </w:divBdr>
    </w:div>
    <w:div w:id="1435049650">
      <w:bodyDiv w:val="1"/>
      <w:marLeft w:val="0"/>
      <w:marRight w:val="0"/>
      <w:marTop w:val="0"/>
      <w:marBottom w:val="0"/>
      <w:divBdr>
        <w:top w:val="none" w:sz="0" w:space="0" w:color="auto"/>
        <w:left w:val="none" w:sz="0" w:space="0" w:color="auto"/>
        <w:bottom w:val="none" w:sz="0" w:space="0" w:color="auto"/>
        <w:right w:val="none" w:sz="0" w:space="0" w:color="auto"/>
      </w:divBdr>
      <w:divsChild>
        <w:div w:id="143931006">
          <w:marLeft w:val="2563"/>
          <w:marRight w:val="0"/>
          <w:marTop w:val="120"/>
          <w:marBottom w:val="120"/>
          <w:divBdr>
            <w:top w:val="none" w:sz="0" w:space="0" w:color="auto"/>
            <w:left w:val="none" w:sz="0" w:space="0" w:color="auto"/>
            <w:bottom w:val="none" w:sz="0" w:space="0" w:color="auto"/>
            <w:right w:val="none" w:sz="0" w:space="0" w:color="auto"/>
          </w:divBdr>
        </w:div>
        <w:div w:id="358549451">
          <w:marLeft w:val="2563"/>
          <w:marRight w:val="0"/>
          <w:marTop w:val="120"/>
          <w:marBottom w:val="120"/>
          <w:divBdr>
            <w:top w:val="none" w:sz="0" w:space="0" w:color="auto"/>
            <w:left w:val="none" w:sz="0" w:space="0" w:color="auto"/>
            <w:bottom w:val="none" w:sz="0" w:space="0" w:color="auto"/>
            <w:right w:val="none" w:sz="0" w:space="0" w:color="auto"/>
          </w:divBdr>
        </w:div>
        <w:div w:id="469708459">
          <w:marLeft w:val="1123"/>
          <w:marRight w:val="0"/>
          <w:marTop w:val="120"/>
          <w:marBottom w:val="120"/>
          <w:divBdr>
            <w:top w:val="none" w:sz="0" w:space="0" w:color="auto"/>
            <w:left w:val="none" w:sz="0" w:space="0" w:color="auto"/>
            <w:bottom w:val="none" w:sz="0" w:space="0" w:color="auto"/>
            <w:right w:val="none" w:sz="0" w:space="0" w:color="auto"/>
          </w:divBdr>
        </w:div>
        <w:div w:id="581259700">
          <w:marLeft w:val="2563"/>
          <w:marRight w:val="0"/>
          <w:marTop w:val="120"/>
          <w:marBottom w:val="120"/>
          <w:divBdr>
            <w:top w:val="none" w:sz="0" w:space="0" w:color="auto"/>
            <w:left w:val="none" w:sz="0" w:space="0" w:color="auto"/>
            <w:bottom w:val="none" w:sz="0" w:space="0" w:color="auto"/>
            <w:right w:val="none" w:sz="0" w:space="0" w:color="auto"/>
          </w:divBdr>
        </w:div>
        <w:div w:id="698165166">
          <w:marLeft w:val="2563"/>
          <w:marRight w:val="0"/>
          <w:marTop w:val="120"/>
          <w:marBottom w:val="120"/>
          <w:divBdr>
            <w:top w:val="none" w:sz="0" w:space="0" w:color="auto"/>
            <w:left w:val="none" w:sz="0" w:space="0" w:color="auto"/>
            <w:bottom w:val="none" w:sz="0" w:space="0" w:color="auto"/>
            <w:right w:val="none" w:sz="0" w:space="0" w:color="auto"/>
          </w:divBdr>
        </w:div>
        <w:div w:id="1559364615">
          <w:marLeft w:val="1123"/>
          <w:marRight w:val="0"/>
          <w:marTop w:val="120"/>
          <w:marBottom w:val="120"/>
          <w:divBdr>
            <w:top w:val="none" w:sz="0" w:space="0" w:color="auto"/>
            <w:left w:val="none" w:sz="0" w:space="0" w:color="auto"/>
            <w:bottom w:val="none" w:sz="0" w:space="0" w:color="auto"/>
            <w:right w:val="none" w:sz="0" w:space="0" w:color="auto"/>
          </w:divBdr>
        </w:div>
        <w:div w:id="1678732057">
          <w:marLeft w:val="1123"/>
          <w:marRight w:val="0"/>
          <w:marTop w:val="120"/>
          <w:marBottom w:val="120"/>
          <w:divBdr>
            <w:top w:val="none" w:sz="0" w:space="0" w:color="auto"/>
            <w:left w:val="none" w:sz="0" w:space="0" w:color="auto"/>
            <w:bottom w:val="none" w:sz="0" w:space="0" w:color="auto"/>
            <w:right w:val="none" w:sz="0" w:space="0" w:color="auto"/>
          </w:divBdr>
        </w:div>
        <w:div w:id="2023509135">
          <w:marLeft w:val="1123"/>
          <w:marRight w:val="0"/>
          <w:marTop w:val="120"/>
          <w:marBottom w:val="120"/>
          <w:divBdr>
            <w:top w:val="none" w:sz="0" w:space="0" w:color="auto"/>
            <w:left w:val="none" w:sz="0" w:space="0" w:color="auto"/>
            <w:bottom w:val="none" w:sz="0" w:space="0" w:color="auto"/>
            <w:right w:val="none" w:sz="0" w:space="0" w:color="auto"/>
          </w:divBdr>
        </w:div>
      </w:divsChild>
    </w:div>
    <w:div w:id="1441215661">
      <w:bodyDiv w:val="1"/>
      <w:marLeft w:val="0"/>
      <w:marRight w:val="0"/>
      <w:marTop w:val="0"/>
      <w:marBottom w:val="0"/>
      <w:divBdr>
        <w:top w:val="none" w:sz="0" w:space="0" w:color="auto"/>
        <w:left w:val="none" w:sz="0" w:space="0" w:color="auto"/>
        <w:bottom w:val="none" w:sz="0" w:space="0" w:color="auto"/>
        <w:right w:val="none" w:sz="0" w:space="0" w:color="auto"/>
      </w:divBdr>
    </w:div>
    <w:div w:id="1441875860">
      <w:bodyDiv w:val="1"/>
      <w:marLeft w:val="0"/>
      <w:marRight w:val="0"/>
      <w:marTop w:val="0"/>
      <w:marBottom w:val="0"/>
      <w:divBdr>
        <w:top w:val="none" w:sz="0" w:space="0" w:color="auto"/>
        <w:left w:val="none" w:sz="0" w:space="0" w:color="auto"/>
        <w:bottom w:val="none" w:sz="0" w:space="0" w:color="auto"/>
        <w:right w:val="none" w:sz="0" w:space="0" w:color="auto"/>
      </w:divBdr>
    </w:div>
    <w:div w:id="1461147883">
      <w:bodyDiv w:val="1"/>
      <w:marLeft w:val="0"/>
      <w:marRight w:val="0"/>
      <w:marTop w:val="0"/>
      <w:marBottom w:val="0"/>
      <w:divBdr>
        <w:top w:val="none" w:sz="0" w:space="0" w:color="auto"/>
        <w:left w:val="none" w:sz="0" w:space="0" w:color="auto"/>
        <w:bottom w:val="none" w:sz="0" w:space="0" w:color="auto"/>
        <w:right w:val="none" w:sz="0" w:space="0" w:color="auto"/>
      </w:divBdr>
    </w:div>
    <w:div w:id="1482623416">
      <w:bodyDiv w:val="1"/>
      <w:marLeft w:val="0"/>
      <w:marRight w:val="0"/>
      <w:marTop w:val="0"/>
      <w:marBottom w:val="0"/>
      <w:divBdr>
        <w:top w:val="none" w:sz="0" w:space="0" w:color="auto"/>
        <w:left w:val="none" w:sz="0" w:space="0" w:color="auto"/>
        <w:bottom w:val="none" w:sz="0" w:space="0" w:color="auto"/>
        <w:right w:val="none" w:sz="0" w:space="0" w:color="auto"/>
      </w:divBdr>
      <w:divsChild>
        <w:div w:id="720790394">
          <w:marLeft w:val="0"/>
          <w:marRight w:val="0"/>
          <w:marTop w:val="0"/>
          <w:marBottom w:val="0"/>
          <w:divBdr>
            <w:top w:val="none" w:sz="0" w:space="0" w:color="auto"/>
            <w:left w:val="none" w:sz="0" w:space="0" w:color="auto"/>
            <w:bottom w:val="none" w:sz="0" w:space="0" w:color="auto"/>
            <w:right w:val="none" w:sz="0" w:space="0" w:color="auto"/>
          </w:divBdr>
        </w:div>
        <w:div w:id="1401366475">
          <w:marLeft w:val="0"/>
          <w:marRight w:val="0"/>
          <w:marTop w:val="0"/>
          <w:marBottom w:val="0"/>
          <w:divBdr>
            <w:top w:val="none" w:sz="0" w:space="0" w:color="auto"/>
            <w:left w:val="none" w:sz="0" w:space="0" w:color="auto"/>
            <w:bottom w:val="none" w:sz="0" w:space="0" w:color="auto"/>
            <w:right w:val="none" w:sz="0" w:space="0" w:color="auto"/>
          </w:divBdr>
        </w:div>
        <w:div w:id="1583031333">
          <w:marLeft w:val="0"/>
          <w:marRight w:val="0"/>
          <w:marTop w:val="0"/>
          <w:marBottom w:val="0"/>
          <w:divBdr>
            <w:top w:val="none" w:sz="0" w:space="0" w:color="auto"/>
            <w:left w:val="none" w:sz="0" w:space="0" w:color="auto"/>
            <w:bottom w:val="none" w:sz="0" w:space="0" w:color="auto"/>
            <w:right w:val="none" w:sz="0" w:space="0" w:color="auto"/>
          </w:divBdr>
          <w:divsChild>
            <w:div w:id="179975671">
              <w:marLeft w:val="-75"/>
              <w:marRight w:val="0"/>
              <w:marTop w:val="30"/>
              <w:marBottom w:val="30"/>
              <w:divBdr>
                <w:top w:val="none" w:sz="0" w:space="0" w:color="auto"/>
                <w:left w:val="none" w:sz="0" w:space="0" w:color="auto"/>
                <w:bottom w:val="none" w:sz="0" w:space="0" w:color="auto"/>
                <w:right w:val="none" w:sz="0" w:space="0" w:color="auto"/>
              </w:divBdr>
              <w:divsChild>
                <w:div w:id="149254366">
                  <w:marLeft w:val="0"/>
                  <w:marRight w:val="0"/>
                  <w:marTop w:val="0"/>
                  <w:marBottom w:val="0"/>
                  <w:divBdr>
                    <w:top w:val="none" w:sz="0" w:space="0" w:color="auto"/>
                    <w:left w:val="none" w:sz="0" w:space="0" w:color="auto"/>
                    <w:bottom w:val="none" w:sz="0" w:space="0" w:color="auto"/>
                    <w:right w:val="none" w:sz="0" w:space="0" w:color="auto"/>
                  </w:divBdr>
                  <w:divsChild>
                    <w:div w:id="488057412">
                      <w:marLeft w:val="0"/>
                      <w:marRight w:val="0"/>
                      <w:marTop w:val="0"/>
                      <w:marBottom w:val="0"/>
                      <w:divBdr>
                        <w:top w:val="none" w:sz="0" w:space="0" w:color="auto"/>
                        <w:left w:val="none" w:sz="0" w:space="0" w:color="auto"/>
                        <w:bottom w:val="none" w:sz="0" w:space="0" w:color="auto"/>
                        <w:right w:val="none" w:sz="0" w:space="0" w:color="auto"/>
                      </w:divBdr>
                    </w:div>
                  </w:divsChild>
                </w:div>
                <w:div w:id="623539331">
                  <w:marLeft w:val="0"/>
                  <w:marRight w:val="0"/>
                  <w:marTop w:val="0"/>
                  <w:marBottom w:val="0"/>
                  <w:divBdr>
                    <w:top w:val="none" w:sz="0" w:space="0" w:color="auto"/>
                    <w:left w:val="none" w:sz="0" w:space="0" w:color="auto"/>
                    <w:bottom w:val="none" w:sz="0" w:space="0" w:color="auto"/>
                    <w:right w:val="none" w:sz="0" w:space="0" w:color="auto"/>
                  </w:divBdr>
                  <w:divsChild>
                    <w:div w:id="4747643">
                      <w:marLeft w:val="0"/>
                      <w:marRight w:val="0"/>
                      <w:marTop w:val="0"/>
                      <w:marBottom w:val="0"/>
                      <w:divBdr>
                        <w:top w:val="none" w:sz="0" w:space="0" w:color="auto"/>
                        <w:left w:val="none" w:sz="0" w:space="0" w:color="auto"/>
                        <w:bottom w:val="none" w:sz="0" w:space="0" w:color="auto"/>
                        <w:right w:val="none" w:sz="0" w:space="0" w:color="auto"/>
                      </w:divBdr>
                    </w:div>
                  </w:divsChild>
                </w:div>
                <w:div w:id="686491606">
                  <w:marLeft w:val="0"/>
                  <w:marRight w:val="0"/>
                  <w:marTop w:val="0"/>
                  <w:marBottom w:val="0"/>
                  <w:divBdr>
                    <w:top w:val="none" w:sz="0" w:space="0" w:color="auto"/>
                    <w:left w:val="none" w:sz="0" w:space="0" w:color="auto"/>
                    <w:bottom w:val="none" w:sz="0" w:space="0" w:color="auto"/>
                    <w:right w:val="none" w:sz="0" w:space="0" w:color="auto"/>
                  </w:divBdr>
                  <w:divsChild>
                    <w:div w:id="2066172150">
                      <w:marLeft w:val="0"/>
                      <w:marRight w:val="0"/>
                      <w:marTop w:val="0"/>
                      <w:marBottom w:val="0"/>
                      <w:divBdr>
                        <w:top w:val="none" w:sz="0" w:space="0" w:color="auto"/>
                        <w:left w:val="none" w:sz="0" w:space="0" w:color="auto"/>
                        <w:bottom w:val="none" w:sz="0" w:space="0" w:color="auto"/>
                        <w:right w:val="none" w:sz="0" w:space="0" w:color="auto"/>
                      </w:divBdr>
                    </w:div>
                  </w:divsChild>
                </w:div>
                <w:div w:id="740906177">
                  <w:marLeft w:val="0"/>
                  <w:marRight w:val="0"/>
                  <w:marTop w:val="0"/>
                  <w:marBottom w:val="0"/>
                  <w:divBdr>
                    <w:top w:val="none" w:sz="0" w:space="0" w:color="auto"/>
                    <w:left w:val="none" w:sz="0" w:space="0" w:color="auto"/>
                    <w:bottom w:val="none" w:sz="0" w:space="0" w:color="auto"/>
                    <w:right w:val="none" w:sz="0" w:space="0" w:color="auto"/>
                  </w:divBdr>
                  <w:divsChild>
                    <w:div w:id="733236270">
                      <w:marLeft w:val="0"/>
                      <w:marRight w:val="0"/>
                      <w:marTop w:val="0"/>
                      <w:marBottom w:val="0"/>
                      <w:divBdr>
                        <w:top w:val="none" w:sz="0" w:space="0" w:color="auto"/>
                        <w:left w:val="none" w:sz="0" w:space="0" w:color="auto"/>
                        <w:bottom w:val="none" w:sz="0" w:space="0" w:color="auto"/>
                        <w:right w:val="none" w:sz="0" w:space="0" w:color="auto"/>
                      </w:divBdr>
                    </w:div>
                  </w:divsChild>
                </w:div>
                <w:div w:id="849031309">
                  <w:marLeft w:val="0"/>
                  <w:marRight w:val="0"/>
                  <w:marTop w:val="0"/>
                  <w:marBottom w:val="0"/>
                  <w:divBdr>
                    <w:top w:val="none" w:sz="0" w:space="0" w:color="auto"/>
                    <w:left w:val="none" w:sz="0" w:space="0" w:color="auto"/>
                    <w:bottom w:val="none" w:sz="0" w:space="0" w:color="auto"/>
                    <w:right w:val="none" w:sz="0" w:space="0" w:color="auto"/>
                  </w:divBdr>
                  <w:divsChild>
                    <w:div w:id="1292662997">
                      <w:marLeft w:val="0"/>
                      <w:marRight w:val="0"/>
                      <w:marTop w:val="0"/>
                      <w:marBottom w:val="0"/>
                      <w:divBdr>
                        <w:top w:val="none" w:sz="0" w:space="0" w:color="auto"/>
                        <w:left w:val="none" w:sz="0" w:space="0" w:color="auto"/>
                        <w:bottom w:val="none" w:sz="0" w:space="0" w:color="auto"/>
                        <w:right w:val="none" w:sz="0" w:space="0" w:color="auto"/>
                      </w:divBdr>
                    </w:div>
                  </w:divsChild>
                </w:div>
                <w:div w:id="983584296">
                  <w:marLeft w:val="0"/>
                  <w:marRight w:val="0"/>
                  <w:marTop w:val="0"/>
                  <w:marBottom w:val="0"/>
                  <w:divBdr>
                    <w:top w:val="none" w:sz="0" w:space="0" w:color="auto"/>
                    <w:left w:val="none" w:sz="0" w:space="0" w:color="auto"/>
                    <w:bottom w:val="none" w:sz="0" w:space="0" w:color="auto"/>
                    <w:right w:val="none" w:sz="0" w:space="0" w:color="auto"/>
                  </w:divBdr>
                  <w:divsChild>
                    <w:div w:id="1961187719">
                      <w:marLeft w:val="0"/>
                      <w:marRight w:val="0"/>
                      <w:marTop w:val="0"/>
                      <w:marBottom w:val="0"/>
                      <w:divBdr>
                        <w:top w:val="none" w:sz="0" w:space="0" w:color="auto"/>
                        <w:left w:val="none" w:sz="0" w:space="0" w:color="auto"/>
                        <w:bottom w:val="none" w:sz="0" w:space="0" w:color="auto"/>
                        <w:right w:val="none" w:sz="0" w:space="0" w:color="auto"/>
                      </w:divBdr>
                    </w:div>
                  </w:divsChild>
                </w:div>
                <w:div w:id="997806252">
                  <w:marLeft w:val="0"/>
                  <w:marRight w:val="0"/>
                  <w:marTop w:val="0"/>
                  <w:marBottom w:val="0"/>
                  <w:divBdr>
                    <w:top w:val="none" w:sz="0" w:space="0" w:color="auto"/>
                    <w:left w:val="none" w:sz="0" w:space="0" w:color="auto"/>
                    <w:bottom w:val="none" w:sz="0" w:space="0" w:color="auto"/>
                    <w:right w:val="none" w:sz="0" w:space="0" w:color="auto"/>
                  </w:divBdr>
                  <w:divsChild>
                    <w:div w:id="840394961">
                      <w:marLeft w:val="0"/>
                      <w:marRight w:val="0"/>
                      <w:marTop w:val="0"/>
                      <w:marBottom w:val="0"/>
                      <w:divBdr>
                        <w:top w:val="none" w:sz="0" w:space="0" w:color="auto"/>
                        <w:left w:val="none" w:sz="0" w:space="0" w:color="auto"/>
                        <w:bottom w:val="none" w:sz="0" w:space="0" w:color="auto"/>
                        <w:right w:val="none" w:sz="0" w:space="0" w:color="auto"/>
                      </w:divBdr>
                    </w:div>
                  </w:divsChild>
                </w:div>
                <w:div w:id="1136685642">
                  <w:marLeft w:val="0"/>
                  <w:marRight w:val="0"/>
                  <w:marTop w:val="0"/>
                  <w:marBottom w:val="0"/>
                  <w:divBdr>
                    <w:top w:val="none" w:sz="0" w:space="0" w:color="auto"/>
                    <w:left w:val="none" w:sz="0" w:space="0" w:color="auto"/>
                    <w:bottom w:val="none" w:sz="0" w:space="0" w:color="auto"/>
                    <w:right w:val="none" w:sz="0" w:space="0" w:color="auto"/>
                  </w:divBdr>
                  <w:divsChild>
                    <w:div w:id="576860358">
                      <w:marLeft w:val="0"/>
                      <w:marRight w:val="0"/>
                      <w:marTop w:val="0"/>
                      <w:marBottom w:val="0"/>
                      <w:divBdr>
                        <w:top w:val="none" w:sz="0" w:space="0" w:color="auto"/>
                        <w:left w:val="none" w:sz="0" w:space="0" w:color="auto"/>
                        <w:bottom w:val="none" w:sz="0" w:space="0" w:color="auto"/>
                        <w:right w:val="none" w:sz="0" w:space="0" w:color="auto"/>
                      </w:divBdr>
                    </w:div>
                  </w:divsChild>
                </w:div>
                <w:div w:id="1146581309">
                  <w:marLeft w:val="0"/>
                  <w:marRight w:val="0"/>
                  <w:marTop w:val="0"/>
                  <w:marBottom w:val="0"/>
                  <w:divBdr>
                    <w:top w:val="none" w:sz="0" w:space="0" w:color="auto"/>
                    <w:left w:val="none" w:sz="0" w:space="0" w:color="auto"/>
                    <w:bottom w:val="none" w:sz="0" w:space="0" w:color="auto"/>
                    <w:right w:val="none" w:sz="0" w:space="0" w:color="auto"/>
                  </w:divBdr>
                  <w:divsChild>
                    <w:div w:id="118687890">
                      <w:marLeft w:val="0"/>
                      <w:marRight w:val="0"/>
                      <w:marTop w:val="0"/>
                      <w:marBottom w:val="0"/>
                      <w:divBdr>
                        <w:top w:val="none" w:sz="0" w:space="0" w:color="auto"/>
                        <w:left w:val="none" w:sz="0" w:space="0" w:color="auto"/>
                        <w:bottom w:val="none" w:sz="0" w:space="0" w:color="auto"/>
                        <w:right w:val="none" w:sz="0" w:space="0" w:color="auto"/>
                      </w:divBdr>
                    </w:div>
                  </w:divsChild>
                </w:div>
                <w:div w:id="1201210899">
                  <w:marLeft w:val="0"/>
                  <w:marRight w:val="0"/>
                  <w:marTop w:val="0"/>
                  <w:marBottom w:val="0"/>
                  <w:divBdr>
                    <w:top w:val="none" w:sz="0" w:space="0" w:color="auto"/>
                    <w:left w:val="none" w:sz="0" w:space="0" w:color="auto"/>
                    <w:bottom w:val="none" w:sz="0" w:space="0" w:color="auto"/>
                    <w:right w:val="none" w:sz="0" w:space="0" w:color="auto"/>
                  </w:divBdr>
                  <w:divsChild>
                    <w:div w:id="1283730764">
                      <w:marLeft w:val="0"/>
                      <w:marRight w:val="0"/>
                      <w:marTop w:val="0"/>
                      <w:marBottom w:val="0"/>
                      <w:divBdr>
                        <w:top w:val="none" w:sz="0" w:space="0" w:color="auto"/>
                        <w:left w:val="none" w:sz="0" w:space="0" w:color="auto"/>
                        <w:bottom w:val="none" w:sz="0" w:space="0" w:color="auto"/>
                        <w:right w:val="none" w:sz="0" w:space="0" w:color="auto"/>
                      </w:divBdr>
                    </w:div>
                  </w:divsChild>
                </w:div>
                <w:div w:id="1338926320">
                  <w:marLeft w:val="0"/>
                  <w:marRight w:val="0"/>
                  <w:marTop w:val="0"/>
                  <w:marBottom w:val="0"/>
                  <w:divBdr>
                    <w:top w:val="none" w:sz="0" w:space="0" w:color="auto"/>
                    <w:left w:val="none" w:sz="0" w:space="0" w:color="auto"/>
                    <w:bottom w:val="none" w:sz="0" w:space="0" w:color="auto"/>
                    <w:right w:val="none" w:sz="0" w:space="0" w:color="auto"/>
                  </w:divBdr>
                  <w:divsChild>
                    <w:div w:id="1909991759">
                      <w:marLeft w:val="0"/>
                      <w:marRight w:val="0"/>
                      <w:marTop w:val="0"/>
                      <w:marBottom w:val="0"/>
                      <w:divBdr>
                        <w:top w:val="none" w:sz="0" w:space="0" w:color="auto"/>
                        <w:left w:val="none" w:sz="0" w:space="0" w:color="auto"/>
                        <w:bottom w:val="none" w:sz="0" w:space="0" w:color="auto"/>
                        <w:right w:val="none" w:sz="0" w:space="0" w:color="auto"/>
                      </w:divBdr>
                    </w:div>
                  </w:divsChild>
                </w:div>
                <w:div w:id="1387535247">
                  <w:marLeft w:val="0"/>
                  <w:marRight w:val="0"/>
                  <w:marTop w:val="0"/>
                  <w:marBottom w:val="0"/>
                  <w:divBdr>
                    <w:top w:val="none" w:sz="0" w:space="0" w:color="auto"/>
                    <w:left w:val="none" w:sz="0" w:space="0" w:color="auto"/>
                    <w:bottom w:val="none" w:sz="0" w:space="0" w:color="auto"/>
                    <w:right w:val="none" w:sz="0" w:space="0" w:color="auto"/>
                  </w:divBdr>
                  <w:divsChild>
                    <w:div w:id="875391372">
                      <w:marLeft w:val="0"/>
                      <w:marRight w:val="0"/>
                      <w:marTop w:val="0"/>
                      <w:marBottom w:val="0"/>
                      <w:divBdr>
                        <w:top w:val="none" w:sz="0" w:space="0" w:color="auto"/>
                        <w:left w:val="none" w:sz="0" w:space="0" w:color="auto"/>
                        <w:bottom w:val="none" w:sz="0" w:space="0" w:color="auto"/>
                        <w:right w:val="none" w:sz="0" w:space="0" w:color="auto"/>
                      </w:divBdr>
                    </w:div>
                  </w:divsChild>
                </w:div>
                <w:div w:id="1780906367">
                  <w:marLeft w:val="0"/>
                  <w:marRight w:val="0"/>
                  <w:marTop w:val="0"/>
                  <w:marBottom w:val="0"/>
                  <w:divBdr>
                    <w:top w:val="none" w:sz="0" w:space="0" w:color="auto"/>
                    <w:left w:val="none" w:sz="0" w:space="0" w:color="auto"/>
                    <w:bottom w:val="none" w:sz="0" w:space="0" w:color="auto"/>
                    <w:right w:val="none" w:sz="0" w:space="0" w:color="auto"/>
                  </w:divBdr>
                  <w:divsChild>
                    <w:div w:id="2140415725">
                      <w:marLeft w:val="0"/>
                      <w:marRight w:val="0"/>
                      <w:marTop w:val="0"/>
                      <w:marBottom w:val="0"/>
                      <w:divBdr>
                        <w:top w:val="none" w:sz="0" w:space="0" w:color="auto"/>
                        <w:left w:val="none" w:sz="0" w:space="0" w:color="auto"/>
                        <w:bottom w:val="none" w:sz="0" w:space="0" w:color="auto"/>
                        <w:right w:val="none" w:sz="0" w:space="0" w:color="auto"/>
                      </w:divBdr>
                    </w:div>
                  </w:divsChild>
                </w:div>
                <w:div w:id="2020501668">
                  <w:marLeft w:val="0"/>
                  <w:marRight w:val="0"/>
                  <w:marTop w:val="0"/>
                  <w:marBottom w:val="0"/>
                  <w:divBdr>
                    <w:top w:val="none" w:sz="0" w:space="0" w:color="auto"/>
                    <w:left w:val="none" w:sz="0" w:space="0" w:color="auto"/>
                    <w:bottom w:val="none" w:sz="0" w:space="0" w:color="auto"/>
                    <w:right w:val="none" w:sz="0" w:space="0" w:color="auto"/>
                  </w:divBdr>
                  <w:divsChild>
                    <w:div w:id="5876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9701">
      <w:bodyDiv w:val="1"/>
      <w:marLeft w:val="0"/>
      <w:marRight w:val="0"/>
      <w:marTop w:val="0"/>
      <w:marBottom w:val="0"/>
      <w:divBdr>
        <w:top w:val="none" w:sz="0" w:space="0" w:color="auto"/>
        <w:left w:val="none" w:sz="0" w:space="0" w:color="auto"/>
        <w:bottom w:val="none" w:sz="0" w:space="0" w:color="auto"/>
        <w:right w:val="none" w:sz="0" w:space="0" w:color="auto"/>
      </w:divBdr>
      <w:divsChild>
        <w:div w:id="67043357">
          <w:marLeft w:val="720"/>
          <w:marRight w:val="0"/>
          <w:marTop w:val="120"/>
          <w:marBottom w:val="120"/>
          <w:divBdr>
            <w:top w:val="none" w:sz="0" w:space="0" w:color="auto"/>
            <w:left w:val="none" w:sz="0" w:space="0" w:color="auto"/>
            <w:bottom w:val="none" w:sz="0" w:space="0" w:color="auto"/>
            <w:right w:val="none" w:sz="0" w:space="0" w:color="auto"/>
          </w:divBdr>
        </w:div>
        <w:div w:id="494033217">
          <w:marLeft w:val="720"/>
          <w:marRight w:val="0"/>
          <w:marTop w:val="120"/>
          <w:marBottom w:val="120"/>
          <w:divBdr>
            <w:top w:val="none" w:sz="0" w:space="0" w:color="auto"/>
            <w:left w:val="none" w:sz="0" w:space="0" w:color="auto"/>
            <w:bottom w:val="none" w:sz="0" w:space="0" w:color="auto"/>
            <w:right w:val="none" w:sz="0" w:space="0" w:color="auto"/>
          </w:divBdr>
        </w:div>
        <w:div w:id="1942755559">
          <w:marLeft w:val="720"/>
          <w:marRight w:val="0"/>
          <w:marTop w:val="120"/>
          <w:marBottom w:val="120"/>
          <w:divBdr>
            <w:top w:val="none" w:sz="0" w:space="0" w:color="auto"/>
            <w:left w:val="none" w:sz="0" w:space="0" w:color="auto"/>
            <w:bottom w:val="none" w:sz="0" w:space="0" w:color="auto"/>
            <w:right w:val="none" w:sz="0" w:space="0" w:color="auto"/>
          </w:divBdr>
        </w:div>
      </w:divsChild>
    </w:div>
    <w:div w:id="1502356722">
      <w:bodyDiv w:val="1"/>
      <w:marLeft w:val="0"/>
      <w:marRight w:val="0"/>
      <w:marTop w:val="0"/>
      <w:marBottom w:val="0"/>
      <w:divBdr>
        <w:top w:val="none" w:sz="0" w:space="0" w:color="auto"/>
        <w:left w:val="none" w:sz="0" w:space="0" w:color="auto"/>
        <w:bottom w:val="none" w:sz="0" w:space="0" w:color="auto"/>
        <w:right w:val="none" w:sz="0" w:space="0" w:color="auto"/>
      </w:divBdr>
      <w:divsChild>
        <w:div w:id="15542868">
          <w:marLeft w:val="0"/>
          <w:marRight w:val="0"/>
          <w:marTop w:val="0"/>
          <w:marBottom w:val="0"/>
          <w:divBdr>
            <w:top w:val="none" w:sz="0" w:space="0" w:color="auto"/>
            <w:left w:val="none" w:sz="0" w:space="0" w:color="auto"/>
            <w:bottom w:val="none" w:sz="0" w:space="0" w:color="auto"/>
            <w:right w:val="none" w:sz="0" w:space="0" w:color="auto"/>
          </w:divBdr>
          <w:divsChild>
            <w:div w:id="1218081119">
              <w:marLeft w:val="0"/>
              <w:marRight w:val="0"/>
              <w:marTop w:val="0"/>
              <w:marBottom w:val="0"/>
              <w:divBdr>
                <w:top w:val="none" w:sz="0" w:space="0" w:color="auto"/>
                <w:left w:val="none" w:sz="0" w:space="0" w:color="auto"/>
                <w:bottom w:val="none" w:sz="0" w:space="0" w:color="auto"/>
                <w:right w:val="none" w:sz="0" w:space="0" w:color="auto"/>
              </w:divBdr>
            </w:div>
          </w:divsChild>
        </w:div>
        <w:div w:id="198786214">
          <w:marLeft w:val="0"/>
          <w:marRight w:val="0"/>
          <w:marTop w:val="0"/>
          <w:marBottom w:val="0"/>
          <w:divBdr>
            <w:top w:val="none" w:sz="0" w:space="0" w:color="auto"/>
            <w:left w:val="none" w:sz="0" w:space="0" w:color="auto"/>
            <w:bottom w:val="none" w:sz="0" w:space="0" w:color="auto"/>
            <w:right w:val="none" w:sz="0" w:space="0" w:color="auto"/>
          </w:divBdr>
          <w:divsChild>
            <w:div w:id="1536649420">
              <w:marLeft w:val="0"/>
              <w:marRight w:val="0"/>
              <w:marTop w:val="0"/>
              <w:marBottom w:val="0"/>
              <w:divBdr>
                <w:top w:val="none" w:sz="0" w:space="0" w:color="auto"/>
                <w:left w:val="none" w:sz="0" w:space="0" w:color="auto"/>
                <w:bottom w:val="none" w:sz="0" w:space="0" w:color="auto"/>
                <w:right w:val="none" w:sz="0" w:space="0" w:color="auto"/>
              </w:divBdr>
            </w:div>
          </w:divsChild>
        </w:div>
        <w:div w:id="341125884">
          <w:marLeft w:val="0"/>
          <w:marRight w:val="0"/>
          <w:marTop w:val="0"/>
          <w:marBottom w:val="0"/>
          <w:divBdr>
            <w:top w:val="none" w:sz="0" w:space="0" w:color="auto"/>
            <w:left w:val="none" w:sz="0" w:space="0" w:color="auto"/>
            <w:bottom w:val="none" w:sz="0" w:space="0" w:color="auto"/>
            <w:right w:val="none" w:sz="0" w:space="0" w:color="auto"/>
          </w:divBdr>
          <w:divsChild>
            <w:div w:id="1718889953">
              <w:marLeft w:val="0"/>
              <w:marRight w:val="0"/>
              <w:marTop w:val="0"/>
              <w:marBottom w:val="0"/>
              <w:divBdr>
                <w:top w:val="none" w:sz="0" w:space="0" w:color="auto"/>
                <w:left w:val="none" w:sz="0" w:space="0" w:color="auto"/>
                <w:bottom w:val="none" w:sz="0" w:space="0" w:color="auto"/>
                <w:right w:val="none" w:sz="0" w:space="0" w:color="auto"/>
              </w:divBdr>
            </w:div>
          </w:divsChild>
        </w:div>
        <w:div w:id="519048320">
          <w:marLeft w:val="0"/>
          <w:marRight w:val="0"/>
          <w:marTop w:val="0"/>
          <w:marBottom w:val="0"/>
          <w:divBdr>
            <w:top w:val="none" w:sz="0" w:space="0" w:color="auto"/>
            <w:left w:val="none" w:sz="0" w:space="0" w:color="auto"/>
            <w:bottom w:val="none" w:sz="0" w:space="0" w:color="auto"/>
            <w:right w:val="none" w:sz="0" w:space="0" w:color="auto"/>
          </w:divBdr>
          <w:divsChild>
            <w:div w:id="1079909152">
              <w:marLeft w:val="0"/>
              <w:marRight w:val="0"/>
              <w:marTop w:val="0"/>
              <w:marBottom w:val="0"/>
              <w:divBdr>
                <w:top w:val="none" w:sz="0" w:space="0" w:color="auto"/>
                <w:left w:val="none" w:sz="0" w:space="0" w:color="auto"/>
                <w:bottom w:val="none" w:sz="0" w:space="0" w:color="auto"/>
                <w:right w:val="none" w:sz="0" w:space="0" w:color="auto"/>
              </w:divBdr>
            </w:div>
          </w:divsChild>
        </w:div>
        <w:div w:id="621039567">
          <w:marLeft w:val="0"/>
          <w:marRight w:val="0"/>
          <w:marTop w:val="0"/>
          <w:marBottom w:val="0"/>
          <w:divBdr>
            <w:top w:val="none" w:sz="0" w:space="0" w:color="auto"/>
            <w:left w:val="none" w:sz="0" w:space="0" w:color="auto"/>
            <w:bottom w:val="none" w:sz="0" w:space="0" w:color="auto"/>
            <w:right w:val="none" w:sz="0" w:space="0" w:color="auto"/>
          </w:divBdr>
          <w:divsChild>
            <w:div w:id="1593006778">
              <w:marLeft w:val="0"/>
              <w:marRight w:val="0"/>
              <w:marTop w:val="0"/>
              <w:marBottom w:val="0"/>
              <w:divBdr>
                <w:top w:val="none" w:sz="0" w:space="0" w:color="auto"/>
                <w:left w:val="none" w:sz="0" w:space="0" w:color="auto"/>
                <w:bottom w:val="none" w:sz="0" w:space="0" w:color="auto"/>
                <w:right w:val="none" w:sz="0" w:space="0" w:color="auto"/>
              </w:divBdr>
            </w:div>
          </w:divsChild>
        </w:div>
        <w:div w:id="1552571040">
          <w:marLeft w:val="0"/>
          <w:marRight w:val="0"/>
          <w:marTop w:val="0"/>
          <w:marBottom w:val="0"/>
          <w:divBdr>
            <w:top w:val="none" w:sz="0" w:space="0" w:color="auto"/>
            <w:left w:val="none" w:sz="0" w:space="0" w:color="auto"/>
            <w:bottom w:val="none" w:sz="0" w:space="0" w:color="auto"/>
            <w:right w:val="none" w:sz="0" w:space="0" w:color="auto"/>
          </w:divBdr>
          <w:divsChild>
            <w:div w:id="1450203338">
              <w:marLeft w:val="0"/>
              <w:marRight w:val="0"/>
              <w:marTop w:val="0"/>
              <w:marBottom w:val="0"/>
              <w:divBdr>
                <w:top w:val="none" w:sz="0" w:space="0" w:color="auto"/>
                <w:left w:val="none" w:sz="0" w:space="0" w:color="auto"/>
                <w:bottom w:val="none" w:sz="0" w:space="0" w:color="auto"/>
                <w:right w:val="none" w:sz="0" w:space="0" w:color="auto"/>
              </w:divBdr>
            </w:div>
          </w:divsChild>
        </w:div>
        <w:div w:id="1803575442">
          <w:marLeft w:val="0"/>
          <w:marRight w:val="0"/>
          <w:marTop w:val="0"/>
          <w:marBottom w:val="0"/>
          <w:divBdr>
            <w:top w:val="none" w:sz="0" w:space="0" w:color="auto"/>
            <w:left w:val="none" w:sz="0" w:space="0" w:color="auto"/>
            <w:bottom w:val="none" w:sz="0" w:space="0" w:color="auto"/>
            <w:right w:val="none" w:sz="0" w:space="0" w:color="auto"/>
          </w:divBdr>
          <w:divsChild>
            <w:div w:id="2084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08334">
      <w:bodyDiv w:val="1"/>
      <w:marLeft w:val="0"/>
      <w:marRight w:val="0"/>
      <w:marTop w:val="0"/>
      <w:marBottom w:val="0"/>
      <w:divBdr>
        <w:top w:val="none" w:sz="0" w:space="0" w:color="auto"/>
        <w:left w:val="none" w:sz="0" w:space="0" w:color="auto"/>
        <w:bottom w:val="none" w:sz="0" w:space="0" w:color="auto"/>
        <w:right w:val="none" w:sz="0" w:space="0" w:color="auto"/>
      </w:divBdr>
    </w:div>
    <w:div w:id="1532647063">
      <w:bodyDiv w:val="1"/>
      <w:marLeft w:val="0"/>
      <w:marRight w:val="0"/>
      <w:marTop w:val="0"/>
      <w:marBottom w:val="0"/>
      <w:divBdr>
        <w:top w:val="none" w:sz="0" w:space="0" w:color="auto"/>
        <w:left w:val="none" w:sz="0" w:space="0" w:color="auto"/>
        <w:bottom w:val="none" w:sz="0" w:space="0" w:color="auto"/>
        <w:right w:val="none" w:sz="0" w:space="0" w:color="auto"/>
      </w:divBdr>
      <w:divsChild>
        <w:div w:id="811749851">
          <w:marLeft w:val="0"/>
          <w:marRight w:val="0"/>
          <w:marTop w:val="0"/>
          <w:marBottom w:val="0"/>
          <w:divBdr>
            <w:top w:val="none" w:sz="0" w:space="0" w:color="auto"/>
            <w:left w:val="none" w:sz="0" w:space="0" w:color="auto"/>
            <w:bottom w:val="none" w:sz="0" w:space="0" w:color="auto"/>
            <w:right w:val="none" w:sz="0" w:space="0" w:color="auto"/>
          </w:divBdr>
        </w:div>
        <w:div w:id="2082091626">
          <w:marLeft w:val="0"/>
          <w:marRight w:val="0"/>
          <w:marTop w:val="0"/>
          <w:marBottom w:val="0"/>
          <w:divBdr>
            <w:top w:val="none" w:sz="0" w:space="0" w:color="auto"/>
            <w:left w:val="none" w:sz="0" w:space="0" w:color="auto"/>
            <w:bottom w:val="none" w:sz="0" w:space="0" w:color="auto"/>
            <w:right w:val="none" w:sz="0" w:space="0" w:color="auto"/>
          </w:divBdr>
        </w:div>
      </w:divsChild>
    </w:div>
    <w:div w:id="1548030538">
      <w:bodyDiv w:val="1"/>
      <w:marLeft w:val="0"/>
      <w:marRight w:val="0"/>
      <w:marTop w:val="0"/>
      <w:marBottom w:val="0"/>
      <w:divBdr>
        <w:top w:val="none" w:sz="0" w:space="0" w:color="auto"/>
        <w:left w:val="none" w:sz="0" w:space="0" w:color="auto"/>
        <w:bottom w:val="none" w:sz="0" w:space="0" w:color="auto"/>
        <w:right w:val="none" w:sz="0" w:space="0" w:color="auto"/>
      </w:divBdr>
    </w:div>
    <w:div w:id="1552812258">
      <w:bodyDiv w:val="1"/>
      <w:marLeft w:val="0"/>
      <w:marRight w:val="0"/>
      <w:marTop w:val="0"/>
      <w:marBottom w:val="0"/>
      <w:divBdr>
        <w:top w:val="none" w:sz="0" w:space="0" w:color="auto"/>
        <w:left w:val="none" w:sz="0" w:space="0" w:color="auto"/>
        <w:bottom w:val="none" w:sz="0" w:space="0" w:color="auto"/>
        <w:right w:val="none" w:sz="0" w:space="0" w:color="auto"/>
      </w:divBdr>
    </w:div>
    <w:div w:id="1560701845">
      <w:bodyDiv w:val="1"/>
      <w:marLeft w:val="0"/>
      <w:marRight w:val="0"/>
      <w:marTop w:val="0"/>
      <w:marBottom w:val="0"/>
      <w:divBdr>
        <w:top w:val="none" w:sz="0" w:space="0" w:color="auto"/>
        <w:left w:val="none" w:sz="0" w:space="0" w:color="auto"/>
        <w:bottom w:val="none" w:sz="0" w:space="0" w:color="auto"/>
        <w:right w:val="none" w:sz="0" w:space="0" w:color="auto"/>
      </w:divBdr>
    </w:div>
    <w:div w:id="1578709749">
      <w:bodyDiv w:val="1"/>
      <w:marLeft w:val="0"/>
      <w:marRight w:val="0"/>
      <w:marTop w:val="0"/>
      <w:marBottom w:val="0"/>
      <w:divBdr>
        <w:top w:val="none" w:sz="0" w:space="0" w:color="auto"/>
        <w:left w:val="none" w:sz="0" w:space="0" w:color="auto"/>
        <w:bottom w:val="none" w:sz="0" w:space="0" w:color="auto"/>
        <w:right w:val="none" w:sz="0" w:space="0" w:color="auto"/>
      </w:divBdr>
    </w:div>
    <w:div w:id="1613512493">
      <w:bodyDiv w:val="1"/>
      <w:marLeft w:val="0"/>
      <w:marRight w:val="0"/>
      <w:marTop w:val="0"/>
      <w:marBottom w:val="0"/>
      <w:divBdr>
        <w:top w:val="none" w:sz="0" w:space="0" w:color="auto"/>
        <w:left w:val="none" w:sz="0" w:space="0" w:color="auto"/>
        <w:bottom w:val="none" w:sz="0" w:space="0" w:color="auto"/>
        <w:right w:val="none" w:sz="0" w:space="0" w:color="auto"/>
      </w:divBdr>
    </w:div>
    <w:div w:id="1618023675">
      <w:bodyDiv w:val="1"/>
      <w:marLeft w:val="0"/>
      <w:marRight w:val="0"/>
      <w:marTop w:val="0"/>
      <w:marBottom w:val="0"/>
      <w:divBdr>
        <w:top w:val="none" w:sz="0" w:space="0" w:color="auto"/>
        <w:left w:val="none" w:sz="0" w:space="0" w:color="auto"/>
        <w:bottom w:val="none" w:sz="0" w:space="0" w:color="auto"/>
        <w:right w:val="none" w:sz="0" w:space="0" w:color="auto"/>
      </w:divBdr>
      <w:divsChild>
        <w:div w:id="1064716609">
          <w:marLeft w:val="274"/>
          <w:marRight w:val="0"/>
          <w:marTop w:val="0"/>
          <w:marBottom w:val="0"/>
          <w:divBdr>
            <w:top w:val="none" w:sz="0" w:space="0" w:color="auto"/>
            <w:left w:val="none" w:sz="0" w:space="0" w:color="auto"/>
            <w:bottom w:val="none" w:sz="0" w:space="0" w:color="auto"/>
            <w:right w:val="none" w:sz="0" w:space="0" w:color="auto"/>
          </w:divBdr>
        </w:div>
        <w:div w:id="1836646660">
          <w:marLeft w:val="274"/>
          <w:marRight w:val="0"/>
          <w:marTop w:val="0"/>
          <w:marBottom w:val="0"/>
          <w:divBdr>
            <w:top w:val="none" w:sz="0" w:space="0" w:color="auto"/>
            <w:left w:val="none" w:sz="0" w:space="0" w:color="auto"/>
            <w:bottom w:val="none" w:sz="0" w:space="0" w:color="auto"/>
            <w:right w:val="none" w:sz="0" w:space="0" w:color="auto"/>
          </w:divBdr>
        </w:div>
      </w:divsChild>
    </w:div>
    <w:div w:id="1624772517">
      <w:bodyDiv w:val="1"/>
      <w:marLeft w:val="0"/>
      <w:marRight w:val="0"/>
      <w:marTop w:val="0"/>
      <w:marBottom w:val="0"/>
      <w:divBdr>
        <w:top w:val="none" w:sz="0" w:space="0" w:color="auto"/>
        <w:left w:val="none" w:sz="0" w:space="0" w:color="auto"/>
        <w:bottom w:val="none" w:sz="0" w:space="0" w:color="auto"/>
        <w:right w:val="none" w:sz="0" w:space="0" w:color="auto"/>
      </w:divBdr>
      <w:divsChild>
        <w:div w:id="1262375218">
          <w:marLeft w:val="360"/>
          <w:marRight w:val="0"/>
          <w:marTop w:val="120"/>
          <w:marBottom w:val="120"/>
          <w:divBdr>
            <w:top w:val="none" w:sz="0" w:space="0" w:color="auto"/>
            <w:left w:val="none" w:sz="0" w:space="0" w:color="auto"/>
            <w:bottom w:val="none" w:sz="0" w:space="0" w:color="auto"/>
            <w:right w:val="none" w:sz="0" w:space="0" w:color="auto"/>
          </w:divBdr>
        </w:div>
        <w:div w:id="1272128997">
          <w:marLeft w:val="360"/>
          <w:marRight w:val="0"/>
          <w:marTop w:val="120"/>
          <w:marBottom w:val="120"/>
          <w:divBdr>
            <w:top w:val="none" w:sz="0" w:space="0" w:color="auto"/>
            <w:left w:val="none" w:sz="0" w:space="0" w:color="auto"/>
            <w:bottom w:val="none" w:sz="0" w:space="0" w:color="auto"/>
            <w:right w:val="none" w:sz="0" w:space="0" w:color="auto"/>
          </w:divBdr>
        </w:div>
        <w:div w:id="1621648944">
          <w:marLeft w:val="360"/>
          <w:marRight w:val="0"/>
          <w:marTop w:val="120"/>
          <w:marBottom w:val="120"/>
          <w:divBdr>
            <w:top w:val="none" w:sz="0" w:space="0" w:color="auto"/>
            <w:left w:val="none" w:sz="0" w:space="0" w:color="auto"/>
            <w:bottom w:val="none" w:sz="0" w:space="0" w:color="auto"/>
            <w:right w:val="none" w:sz="0" w:space="0" w:color="auto"/>
          </w:divBdr>
        </w:div>
      </w:divsChild>
    </w:div>
    <w:div w:id="1630084620">
      <w:bodyDiv w:val="1"/>
      <w:marLeft w:val="0"/>
      <w:marRight w:val="0"/>
      <w:marTop w:val="0"/>
      <w:marBottom w:val="0"/>
      <w:divBdr>
        <w:top w:val="none" w:sz="0" w:space="0" w:color="auto"/>
        <w:left w:val="none" w:sz="0" w:space="0" w:color="auto"/>
        <w:bottom w:val="none" w:sz="0" w:space="0" w:color="auto"/>
        <w:right w:val="none" w:sz="0" w:space="0" w:color="auto"/>
      </w:divBdr>
    </w:div>
    <w:div w:id="1643268220">
      <w:bodyDiv w:val="1"/>
      <w:marLeft w:val="0"/>
      <w:marRight w:val="0"/>
      <w:marTop w:val="0"/>
      <w:marBottom w:val="0"/>
      <w:divBdr>
        <w:top w:val="none" w:sz="0" w:space="0" w:color="auto"/>
        <w:left w:val="none" w:sz="0" w:space="0" w:color="auto"/>
        <w:bottom w:val="none" w:sz="0" w:space="0" w:color="auto"/>
        <w:right w:val="none" w:sz="0" w:space="0" w:color="auto"/>
      </w:divBdr>
      <w:divsChild>
        <w:div w:id="270742636">
          <w:marLeft w:val="446"/>
          <w:marRight w:val="0"/>
          <w:marTop w:val="0"/>
          <w:marBottom w:val="0"/>
          <w:divBdr>
            <w:top w:val="none" w:sz="0" w:space="0" w:color="auto"/>
            <w:left w:val="none" w:sz="0" w:space="0" w:color="auto"/>
            <w:bottom w:val="none" w:sz="0" w:space="0" w:color="auto"/>
            <w:right w:val="none" w:sz="0" w:space="0" w:color="auto"/>
          </w:divBdr>
        </w:div>
        <w:div w:id="297148760">
          <w:marLeft w:val="446"/>
          <w:marRight w:val="0"/>
          <w:marTop w:val="0"/>
          <w:marBottom w:val="0"/>
          <w:divBdr>
            <w:top w:val="none" w:sz="0" w:space="0" w:color="auto"/>
            <w:left w:val="none" w:sz="0" w:space="0" w:color="auto"/>
            <w:bottom w:val="none" w:sz="0" w:space="0" w:color="auto"/>
            <w:right w:val="none" w:sz="0" w:space="0" w:color="auto"/>
          </w:divBdr>
        </w:div>
        <w:div w:id="360522676">
          <w:marLeft w:val="446"/>
          <w:marRight w:val="0"/>
          <w:marTop w:val="0"/>
          <w:marBottom w:val="0"/>
          <w:divBdr>
            <w:top w:val="none" w:sz="0" w:space="0" w:color="auto"/>
            <w:left w:val="none" w:sz="0" w:space="0" w:color="auto"/>
            <w:bottom w:val="none" w:sz="0" w:space="0" w:color="auto"/>
            <w:right w:val="none" w:sz="0" w:space="0" w:color="auto"/>
          </w:divBdr>
        </w:div>
        <w:div w:id="405765971">
          <w:marLeft w:val="446"/>
          <w:marRight w:val="0"/>
          <w:marTop w:val="0"/>
          <w:marBottom w:val="0"/>
          <w:divBdr>
            <w:top w:val="none" w:sz="0" w:space="0" w:color="auto"/>
            <w:left w:val="none" w:sz="0" w:space="0" w:color="auto"/>
            <w:bottom w:val="none" w:sz="0" w:space="0" w:color="auto"/>
            <w:right w:val="none" w:sz="0" w:space="0" w:color="auto"/>
          </w:divBdr>
        </w:div>
        <w:div w:id="457063921">
          <w:marLeft w:val="446"/>
          <w:marRight w:val="0"/>
          <w:marTop w:val="0"/>
          <w:marBottom w:val="0"/>
          <w:divBdr>
            <w:top w:val="none" w:sz="0" w:space="0" w:color="auto"/>
            <w:left w:val="none" w:sz="0" w:space="0" w:color="auto"/>
            <w:bottom w:val="none" w:sz="0" w:space="0" w:color="auto"/>
            <w:right w:val="none" w:sz="0" w:space="0" w:color="auto"/>
          </w:divBdr>
        </w:div>
        <w:div w:id="518734826">
          <w:marLeft w:val="446"/>
          <w:marRight w:val="0"/>
          <w:marTop w:val="0"/>
          <w:marBottom w:val="0"/>
          <w:divBdr>
            <w:top w:val="none" w:sz="0" w:space="0" w:color="auto"/>
            <w:left w:val="none" w:sz="0" w:space="0" w:color="auto"/>
            <w:bottom w:val="none" w:sz="0" w:space="0" w:color="auto"/>
            <w:right w:val="none" w:sz="0" w:space="0" w:color="auto"/>
          </w:divBdr>
        </w:div>
        <w:div w:id="1125657588">
          <w:marLeft w:val="446"/>
          <w:marRight w:val="0"/>
          <w:marTop w:val="0"/>
          <w:marBottom w:val="0"/>
          <w:divBdr>
            <w:top w:val="none" w:sz="0" w:space="0" w:color="auto"/>
            <w:left w:val="none" w:sz="0" w:space="0" w:color="auto"/>
            <w:bottom w:val="none" w:sz="0" w:space="0" w:color="auto"/>
            <w:right w:val="none" w:sz="0" w:space="0" w:color="auto"/>
          </w:divBdr>
        </w:div>
        <w:div w:id="1217205751">
          <w:marLeft w:val="446"/>
          <w:marRight w:val="0"/>
          <w:marTop w:val="0"/>
          <w:marBottom w:val="0"/>
          <w:divBdr>
            <w:top w:val="none" w:sz="0" w:space="0" w:color="auto"/>
            <w:left w:val="none" w:sz="0" w:space="0" w:color="auto"/>
            <w:bottom w:val="none" w:sz="0" w:space="0" w:color="auto"/>
            <w:right w:val="none" w:sz="0" w:space="0" w:color="auto"/>
          </w:divBdr>
        </w:div>
        <w:div w:id="1581207802">
          <w:marLeft w:val="446"/>
          <w:marRight w:val="0"/>
          <w:marTop w:val="0"/>
          <w:marBottom w:val="0"/>
          <w:divBdr>
            <w:top w:val="none" w:sz="0" w:space="0" w:color="auto"/>
            <w:left w:val="none" w:sz="0" w:space="0" w:color="auto"/>
            <w:bottom w:val="none" w:sz="0" w:space="0" w:color="auto"/>
            <w:right w:val="none" w:sz="0" w:space="0" w:color="auto"/>
          </w:divBdr>
        </w:div>
        <w:div w:id="1736975025">
          <w:marLeft w:val="446"/>
          <w:marRight w:val="0"/>
          <w:marTop w:val="0"/>
          <w:marBottom w:val="0"/>
          <w:divBdr>
            <w:top w:val="none" w:sz="0" w:space="0" w:color="auto"/>
            <w:left w:val="none" w:sz="0" w:space="0" w:color="auto"/>
            <w:bottom w:val="none" w:sz="0" w:space="0" w:color="auto"/>
            <w:right w:val="none" w:sz="0" w:space="0" w:color="auto"/>
          </w:divBdr>
        </w:div>
      </w:divsChild>
    </w:div>
    <w:div w:id="1646350115">
      <w:bodyDiv w:val="1"/>
      <w:marLeft w:val="0"/>
      <w:marRight w:val="0"/>
      <w:marTop w:val="0"/>
      <w:marBottom w:val="0"/>
      <w:divBdr>
        <w:top w:val="none" w:sz="0" w:space="0" w:color="auto"/>
        <w:left w:val="none" w:sz="0" w:space="0" w:color="auto"/>
        <w:bottom w:val="none" w:sz="0" w:space="0" w:color="auto"/>
        <w:right w:val="none" w:sz="0" w:space="0" w:color="auto"/>
      </w:divBdr>
      <w:divsChild>
        <w:div w:id="1849708377">
          <w:marLeft w:val="274"/>
          <w:marRight w:val="0"/>
          <w:marTop w:val="0"/>
          <w:marBottom w:val="120"/>
          <w:divBdr>
            <w:top w:val="none" w:sz="0" w:space="0" w:color="auto"/>
            <w:left w:val="none" w:sz="0" w:space="0" w:color="auto"/>
            <w:bottom w:val="none" w:sz="0" w:space="0" w:color="auto"/>
            <w:right w:val="none" w:sz="0" w:space="0" w:color="auto"/>
          </w:divBdr>
        </w:div>
      </w:divsChild>
    </w:div>
    <w:div w:id="1654991642">
      <w:bodyDiv w:val="1"/>
      <w:marLeft w:val="0"/>
      <w:marRight w:val="0"/>
      <w:marTop w:val="0"/>
      <w:marBottom w:val="0"/>
      <w:divBdr>
        <w:top w:val="none" w:sz="0" w:space="0" w:color="auto"/>
        <w:left w:val="none" w:sz="0" w:space="0" w:color="auto"/>
        <w:bottom w:val="none" w:sz="0" w:space="0" w:color="auto"/>
        <w:right w:val="none" w:sz="0" w:space="0" w:color="auto"/>
      </w:divBdr>
    </w:div>
    <w:div w:id="1677338944">
      <w:bodyDiv w:val="1"/>
      <w:marLeft w:val="0"/>
      <w:marRight w:val="0"/>
      <w:marTop w:val="0"/>
      <w:marBottom w:val="0"/>
      <w:divBdr>
        <w:top w:val="none" w:sz="0" w:space="0" w:color="auto"/>
        <w:left w:val="none" w:sz="0" w:space="0" w:color="auto"/>
        <w:bottom w:val="none" w:sz="0" w:space="0" w:color="auto"/>
        <w:right w:val="none" w:sz="0" w:space="0" w:color="auto"/>
      </w:divBdr>
      <w:divsChild>
        <w:div w:id="1363625678">
          <w:marLeft w:val="0"/>
          <w:marRight w:val="0"/>
          <w:marTop w:val="0"/>
          <w:marBottom w:val="0"/>
          <w:divBdr>
            <w:top w:val="none" w:sz="0" w:space="0" w:color="auto"/>
            <w:left w:val="none" w:sz="0" w:space="0" w:color="auto"/>
            <w:bottom w:val="none" w:sz="0" w:space="0" w:color="auto"/>
            <w:right w:val="none" w:sz="0" w:space="0" w:color="auto"/>
          </w:divBdr>
        </w:div>
      </w:divsChild>
    </w:div>
    <w:div w:id="1678531117">
      <w:bodyDiv w:val="1"/>
      <w:marLeft w:val="0"/>
      <w:marRight w:val="0"/>
      <w:marTop w:val="0"/>
      <w:marBottom w:val="0"/>
      <w:divBdr>
        <w:top w:val="none" w:sz="0" w:space="0" w:color="auto"/>
        <w:left w:val="none" w:sz="0" w:space="0" w:color="auto"/>
        <w:bottom w:val="none" w:sz="0" w:space="0" w:color="auto"/>
        <w:right w:val="none" w:sz="0" w:space="0" w:color="auto"/>
      </w:divBdr>
      <w:divsChild>
        <w:div w:id="705981201">
          <w:marLeft w:val="0"/>
          <w:marRight w:val="0"/>
          <w:marTop w:val="0"/>
          <w:marBottom w:val="0"/>
          <w:divBdr>
            <w:top w:val="none" w:sz="0" w:space="0" w:color="auto"/>
            <w:left w:val="none" w:sz="0" w:space="0" w:color="auto"/>
            <w:bottom w:val="none" w:sz="0" w:space="0" w:color="auto"/>
            <w:right w:val="none" w:sz="0" w:space="0" w:color="auto"/>
          </w:divBdr>
          <w:divsChild>
            <w:div w:id="149836972">
              <w:marLeft w:val="0"/>
              <w:marRight w:val="0"/>
              <w:marTop w:val="0"/>
              <w:marBottom w:val="0"/>
              <w:divBdr>
                <w:top w:val="none" w:sz="0" w:space="0" w:color="auto"/>
                <w:left w:val="none" w:sz="0" w:space="0" w:color="auto"/>
                <w:bottom w:val="none" w:sz="0" w:space="0" w:color="auto"/>
                <w:right w:val="none" w:sz="0" w:space="0" w:color="auto"/>
              </w:divBdr>
            </w:div>
            <w:div w:id="166095730">
              <w:marLeft w:val="0"/>
              <w:marRight w:val="0"/>
              <w:marTop w:val="0"/>
              <w:marBottom w:val="0"/>
              <w:divBdr>
                <w:top w:val="none" w:sz="0" w:space="0" w:color="auto"/>
                <w:left w:val="none" w:sz="0" w:space="0" w:color="auto"/>
                <w:bottom w:val="none" w:sz="0" w:space="0" w:color="auto"/>
                <w:right w:val="none" w:sz="0" w:space="0" w:color="auto"/>
              </w:divBdr>
            </w:div>
            <w:div w:id="282151496">
              <w:marLeft w:val="0"/>
              <w:marRight w:val="0"/>
              <w:marTop w:val="0"/>
              <w:marBottom w:val="0"/>
              <w:divBdr>
                <w:top w:val="none" w:sz="0" w:space="0" w:color="auto"/>
                <w:left w:val="none" w:sz="0" w:space="0" w:color="auto"/>
                <w:bottom w:val="none" w:sz="0" w:space="0" w:color="auto"/>
                <w:right w:val="none" w:sz="0" w:space="0" w:color="auto"/>
              </w:divBdr>
            </w:div>
            <w:div w:id="325792022">
              <w:marLeft w:val="0"/>
              <w:marRight w:val="0"/>
              <w:marTop w:val="0"/>
              <w:marBottom w:val="0"/>
              <w:divBdr>
                <w:top w:val="none" w:sz="0" w:space="0" w:color="auto"/>
                <w:left w:val="none" w:sz="0" w:space="0" w:color="auto"/>
                <w:bottom w:val="none" w:sz="0" w:space="0" w:color="auto"/>
                <w:right w:val="none" w:sz="0" w:space="0" w:color="auto"/>
              </w:divBdr>
            </w:div>
            <w:div w:id="349138414">
              <w:marLeft w:val="0"/>
              <w:marRight w:val="0"/>
              <w:marTop w:val="0"/>
              <w:marBottom w:val="0"/>
              <w:divBdr>
                <w:top w:val="none" w:sz="0" w:space="0" w:color="auto"/>
                <w:left w:val="none" w:sz="0" w:space="0" w:color="auto"/>
                <w:bottom w:val="none" w:sz="0" w:space="0" w:color="auto"/>
                <w:right w:val="none" w:sz="0" w:space="0" w:color="auto"/>
              </w:divBdr>
            </w:div>
            <w:div w:id="592708188">
              <w:marLeft w:val="0"/>
              <w:marRight w:val="0"/>
              <w:marTop w:val="0"/>
              <w:marBottom w:val="0"/>
              <w:divBdr>
                <w:top w:val="none" w:sz="0" w:space="0" w:color="auto"/>
                <w:left w:val="none" w:sz="0" w:space="0" w:color="auto"/>
                <w:bottom w:val="none" w:sz="0" w:space="0" w:color="auto"/>
                <w:right w:val="none" w:sz="0" w:space="0" w:color="auto"/>
              </w:divBdr>
            </w:div>
            <w:div w:id="606040144">
              <w:marLeft w:val="0"/>
              <w:marRight w:val="0"/>
              <w:marTop w:val="0"/>
              <w:marBottom w:val="0"/>
              <w:divBdr>
                <w:top w:val="none" w:sz="0" w:space="0" w:color="auto"/>
                <w:left w:val="none" w:sz="0" w:space="0" w:color="auto"/>
                <w:bottom w:val="none" w:sz="0" w:space="0" w:color="auto"/>
                <w:right w:val="none" w:sz="0" w:space="0" w:color="auto"/>
              </w:divBdr>
            </w:div>
            <w:div w:id="887839417">
              <w:marLeft w:val="0"/>
              <w:marRight w:val="0"/>
              <w:marTop w:val="0"/>
              <w:marBottom w:val="0"/>
              <w:divBdr>
                <w:top w:val="none" w:sz="0" w:space="0" w:color="auto"/>
                <w:left w:val="none" w:sz="0" w:space="0" w:color="auto"/>
                <w:bottom w:val="none" w:sz="0" w:space="0" w:color="auto"/>
                <w:right w:val="none" w:sz="0" w:space="0" w:color="auto"/>
              </w:divBdr>
            </w:div>
            <w:div w:id="913314764">
              <w:marLeft w:val="0"/>
              <w:marRight w:val="0"/>
              <w:marTop w:val="0"/>
              <w:marBottom w:val="0"/>
              <w:divBdr>
                <w:top w:val="none" w:sz="0" w:space="0" w:color="auto"/>
                <w:left w:val="none" w:sz="0" w:space="0" w:color="auto"/>
                <w:bottom w:val="none" w:sz="0" w:space="0" w:color="auto"/>
                <w:right w:val="none" w:sz="0" w:space="0" w:color="auto"/>
              </w:divBdr>
            </w:div>
            <w:div w:id="1428506406">
              <w:marLeft w:val="0"/>
              <w:marRight w:val="0"/>
              <w:marTop w:val="0"/>
              <w:marBottom w:val="0"/>
              <w:divBdr>
                <w:top w:val="none" w:sz="0" w:space="0" w:color="auto"/>
                <w:left w:val="none" w:sz="0" w:space="0" w:color="auto"/>
                <w:bottom w:val="none" w:sz="0" w:space="0" w:color="auto"/>
                <w:right w:val="none" w:sz="0" w:space="0" w:color="auto"/>
              </w:divBdr>
            </w:div>
            <w:div w:id="1526674841">
              <w:marLeft w:val="0"/>
              <w:marRight w:val="0"/>
              <w:marTop w:val="0"/>
              <w:marBottom w:val="0"/>
              <w:divBdr>
                <w:top w:val="none" w:sz="0" w:space="0" w:color="auto"/>
                <w:left w:val="none" w:sz="0" w:space="0" w:color="auto"/>
                <w:bottom w:val="none" w:sz="0" w:space="0" w:color="auto"/>
                <w:right w:val="none" w:sz="0" w:space="0" w:color="auto"/>
              </w:divBdr>
            </w:div>
            <w:div w:id="1547520903">
              <w:marLeft w:val="0"/>
              <w:marRight w:val="0"/>
              <w:marTop w:val="0"/>
              <w:marBottom w:val="0"/>
              <w:divBdr>
                <w:top w:val="none" w:sz="0" w:space="0" w:color="auto"/>
                <w:left w:val="none" w:sz="0" w:space="0" w:color="auto"/>
                <w:bottom w:val="none" w:sz="0" w:space="0" w:color="auto"/>
                <w:right w:val="none" w:sz="0" w:space="0" w:color="auto"/>
              </w:divBdr>
            </w:div>
            <w:div w:id="1552888074">
              <w:marLeft w:val="0"/>
              <w:marRight w:val="0"/>
              <w:marTop w:val="0"/>
              <w:marBottom w:val="0"/>
              <w:divBdr>
                <w:top w:val="none" w:sz="0" w:space="0" w:color="auto"/>
                <w:left w:val="none" w:sz="0" w:space="0" w:color="auto"/>
                <w:bottom w:val="none" w:sz="0" w:space="0" w:color="auto"/>
                <w:right w:val="none" w:sz="0" w:space="0" w:color="auto"/>
              </w:divBdr>
            </w:div>
            <w:div w:id="1597714059">
              <w:marLeft w:val="0"/>
              <w:marRight w:val="0"/>
              <w:marTop w:val="0"/>
              <w:marBottom w:val="0"/>
              <w:divBdr>
                <w:top w:val="none" w:sz="0" w:space="0" w:color="auto"/>
                <w:left w:val="none" w:sz="0" w:space="0" w:color="auto"/>
                <w:bottom w:val="none" w:sz="0" w:space="0" w:color="auto"/>
                <w:right w:val="none" w:sz="0" w:space="0" w:color="auto"/>
              </w:divBdr>
            </w:div>
            <w:div w:id="1741168525">
              <w:marLeft w:val="0"/>
              <w:marRight w:val="0"/>
              <w:marTop w:val="0"/>
              <w:marBottom w:val="0"/>
              <w:divBdr>
                <w:top w:val="none" w:sz="0" w:space="0" w:color="auto"/>
                <w:left w:val="none" w:sz="0" w:space="0" w:color="auto"/>
                <w:bottom w:val="none" w:sz="0" w:space="0" w:color="auto"/>
                <w:right w:val="none" w:sz="0" w:space="0" w:color="auto"/>
              </w:divBdr>
            </w:div>
            <w:div w:id="1748650340">
              <w:marLeft w:val="0"/>
              <w:marRight w:val="0"/>
              <w:marTop w:val="0"/>
              <w:marBottom w:val="0"/>
              <w:divBdr>
                <w:top w:val="none" w:sz="0" w:space="0" w:color="auto"/>
                <w:left w:val="none" w:sz="0" w:space="0" w:color="auto"/>
                <w:bottom w:val="none" w:sz="0" w:space="0" w:color="auto"/>
                <w:right w:val="none" w:sz="0" w:space="0" w:color="auto"/>
              </w:divBdr>
            </w:div>
            <w:div w:id="1755399141">
              <w:marLeft w:val="0"/>
              <w:marRight w:val="0"/>
              <w:marTop w:val="0"/>
              <w:marBottom w:val="0"/>
              <w:divBdr>
                <w:top w:val="none" w:sz="0" w:space="0" w:color="auto"/>
                <w:left w:val="none" w:sz="0" w:space="0" w:color="auto"/>
                <w:bottom w:val="none" w:sz="0" w:space="0" w:color="auto"/>
                <w:right w:val="none" w:sz="0" w:space="0" w:color="auto"/>
              </w:divBdr>
            </w:div>
            <w:div w:id="1806659093">
              <w:marLeft w:val="0"/>
              <w:marRight w:val="0"/>
              <w:marTop w:val="0"/>
              <w:marBottom w:val="0"/>
              <w:divBdr>
                <w:top w:val="none" w:sz="0" w:space="0" w:color="auto"/>
                <w:left w:val="none" w:sz="0" w:space="0" w:color="auto"/>
                <w:bottom w:val="none" w:sz="0" w:space="0" w:color="auto"/>
                <w:right w:val="none" w:sz="0" w:space="0" w:color="auto"/>
              </w:divBdr>
            </w:div>
            <w:div w:id="1894459914">
              <w:marLeft w:val="0"/>
              <w:marRight w:val="0"/>
              <w:marTop w:val="0"/>
              <w:marBottom w:val="0"/>
              <w:divBdr>
                <w:top w:val="none" w:sz="0" w:space="0" w:color="auto"/>
                <w:left w:val="none" w:sz="0" w:space="0" w:color="auto"/>
                <w:bottom w:val="none" w:sz="0" w:space="0" w:color="auto"/>
                <w:right w:val="none" w:sz="0" w:space="0" w:color="auto"/>
              </w:divBdr>
            </w:div>
            <w:div w:id="1949194080">
              <w:marLeft w:val="0"/>
              <w:marRight w:val="0"/>
              <w:marTop w:val="0"/>
              <w:marBottom w:val="0"/>
              <w:divBdr>
                <w:top w:val="none" w:sz="0" w:space="0" w:color="auto"/>
                <w:left w:val="none" w:sz="0" w:space="0" w:color="auto"/>
                <w:bottom w:val="none" w:sz="0" w:space="0" w:color="auto"/>
                <w:right w:val="none" w:sz="0" w:space="0" w:color="auto"/>
              </w:divBdr>
            </w:div>
          </w:divsChild>
        </w:div>
        <w:div w:id="754087143">
          <w:marLeft w:val="0"/>
          <w:marRight w:val="0"/>
          <w:marTop w:val="0"/>
          <w:marBottom w:val="0"/>
          <w:divBdr>
            <w:top w:val="none" w:sz="0" w:space="0" w:color="auto"/>
            <w:left w:val="none" w:sz="0" w:space="0" w:color="auto"/>
            <w:bottom w:val="none" w:sz="0" w:space="0" w:color="auto"/>
            <w:right w:val="none" w:sz="0" w:space="0" w:color="auto"/>
          </w:divBdr>
          <w:divsChild>
            <w:div w:id="23866356">
              <w:marLeft w:val="0"/>
              <w:marRight w:val="0"/>
              <w:marTop w:val="0"/>
              <w:marBottom w:val="0"/>
              <w:divBdr>
                <w:top w:val="none" w:sz="0" w:space="0" w:color="auto"/>
                <w:left w:val="none" w:sz="0" w:space="0" w:color="auto"/>
                <w:bottom w:val="none" w:sz="0" w:space="0" w:color="auto"/>
                <w:right w:val="none" w:sz="0" w:space="0" w:color="auto"/>
              </w:divBdr>
            </w:div>
            <w:div w:id="32317590">
              <w:marLeft w:val="0"/>
              <w:marRight w:val="0"/>
              <w:marTop w:val="0"/>
              <w:marBottom w:val="0"/>
              <w:divBdr>
                <w:top w:val="none" w:sz="0" w:space="0" w:color="auto"/>
                <w:left w:val="none" w:sz="0" w:space="0" w:color="auto"/>
                <w:bottom w:val="none" w:sz="0" w:space="0" w:color="auto"/>
                <w:right w:val="none" w:sz="0" w:space="0" w:color="auto"/>
              </w:divBdr>
            </w:div>
            <w:div w:id="218980086">
              <w:marLeft w:val="0"/>
              <w:marRight w:val="0"/>
              <w:marTop w:val="0"/>
              <w:marBottom w:val="0"/>
              <w:divBdr>
                <w:top w:val="none" w:sz="0" w:space="0" w:color="auto"/>
                <w:left w:val="none" w:sz="0" w:space="0" w:color="auto"/>
                <w:bottom w:val="none" w:sz="0" w:space="0" w:color="auto"/>
                <w:right w:val="none" w:sz="0" w:space="0" w:color="auto"/>
              </w:divBdr>
            </w:div>
            <w:div w:id="302581718">
              <w:marLeft w:val="0"/>
              <w:marRight w:val="0"/>
              <w:marTop w:val="0"/>
              <w:marBottom w:val="0"/>
              <w:divBdr>
                <w:top w:val="none" w:sz="0" w:space="0" w:color="auto"/>
                <w:left w:val="none" w:sz="0" w:space="0" w:color="auto"/>
                <w:bottom w:val="none" w:sz="0" w:space="0" w:color="auto"/>
                <w:right w:val="none" w:sz="0" w:space="0" w:color="auto"/>
              </w:divBdr>
            </w:div>
            <w:div w:id="307249847">
              <w:marLeft w:val="0"/>
              <w:marRight w:val="0"/>
              <w:marTop w:val="0"/>
              <w:marBottom w:val="0"/>
              <w:divBdr>
                <w:top w:val="none" w:sz="0" w:space="0" w:color="auto"/>
                <w:left w:val="none" w:sz="0" w:space="0" w:color="auto"/>
                <w:bottom w:val="none" w:sz="0" w:space="0" w:color="auto"/>
                <w:right w:val="none" w:sz="0" w:space="0" w:color="auto"/>
              </w:divBdr>
            </w:div>
            <w:div w:id="507989644">
              <w:marLeft w:val="0"/>
              <w:marRight w:val="0"/>
              <w:marTop w:val="0"/>
              <w:marBottom w:val="0"/>
              <w:divBdr>
                <w:top w:val="none" w:sz="0" w:space="0" w:color="auto"/>
                <w:left w:val="none" w:sz="0" w:space="0" w:color="auto"/>
                <w:bottom w:val="none" w:sz="0" w:space="0" w:color="auto"/>
                <w:right w:val="none" w:sz="0" w:space="0" w:color="auto"/>
              </w:divBdr>
            </w:div>
            <w:div w:id="515388097">
              <w:marLeft w:val="0"/>
              <w:marRight w:val="0"/>
              <w:marTop w:val="0"/>
              <w:marBottom w:val="0"/>
              <w:divBdr>
                <w:top w:val="none" w:sz="0" w:space="0" w:color="auto"/>
                <w:left w:val="none" w:sz="0" w:space="0" w:color="auto"/>
                <w:bottom w:val="none" w:sz="0" w:space="0" w:color="auto"/>
                <w:right w:val="none" w:sz="0" w:space="0" w:color="auto"/>
              </w:divBdr>
            </w:div>
            <w:div w:id="728113632">
              <w:marLeft w:val="0"/>
              <w:marRight w:val="0"/>
              <w:marTop w:val="0"/>
              <w:marBottom w:val="0"/>
              <w:divBdr>
                <w:top w:val="none" w:sz="0" w:space="0" w:color="auto"/>
                <w:left w:val="none" w:sz="0" w:space="0" w:color="auto"/>
                <w:bottom w:val="none" w:sz="0" w:space="0" w:color="auto"/>
                <w:right w:val="none" w:sz="0" w:space="0" w:color="auto"/>
              </w:divBdr>
            </w:div>
            <w:div w:id="831482337">
              <w:marLeft w:val="0"/>
              <w:marRight w:val="0"/>
              <w:marTop w:val="0"/>
              <w:marBottom w:val="0"/>
              <w:divBdr>
                <w:top w:val="none" w:sz="0" w:space="0" w:color="auto"/>
                <w:left w:val="none" w:sz="0" w:space="0" w:color="auto"/>
                <w:bottom w:val="none" w:sz="0" w:space="0" w:color="auto"/>
                <w:right w:val="none" w:sz="0" w:space="0" w:color="auto"/>
              </w:divBdr>
            </w:div>
            <w:div w:id="907378334">
              <w:marLeft w:val="0"/>
              <w:marRight w:val="0"/>
              <w:marTop w:val="0"/>
              <w:marBottom w:val="0"/>
              <w:divBdr>
                <w:top w:val="none" w:sz="0" w:space="0" w:color="auto"/>
                <w:left w:val="none" w:sz="0" w:space="0" w:color="auto"/>
                <w:bottom w:val="none" w:sz="0" w:space="0" w:color="auto"/>
                <w:right w:val="none" w:sz="0" w:space="0" w:color="auto"/>
              </w:divBdr>
            </w:div>
            <w:div w:id="914977355">
              <w:marLeft w:val="0"/>
              <w:marRight w:val="0"/>
              <w:marTop w:val="0"/>
              <w:marBottom w:val="0"/>
              <w:divBdr>
                <w:top w:val="none" w:sz="0" w:space="0" w:color="auto"/>
                <w:left w:val="none" w:sz="0" w:space="0" w:color="auto"/>
                <w:bottom w:val="none" w:sz="0" w:space="0" w:color="auto"/>
                <w:right w:val="none" w:sz="0" w:space="0" w:color="auto"/>
              </w:divBdr>
            </w:div>
            <w:div w:id="933977792">
              <w:marLeft w:val="0"/>
              <w:marRight w:val="0"/>
              <w:marTop w:val="0"/>
              <w:marBottom w:val="0"/>
              <w:divBdr>
                <w:top w:val="none" w:sz="0" w:space="0" w:color="auto"/>
                <w:left w:val="none" w:sz="0" w:space="0" w:color="auto"/>
                <w:bottom w:val="none" w:sz="0" w:space="0" w:color="auto"/>
                <w:right w:val="none" w:sz="0" w:space="0" w:color="auto"/>
              </w:divBdr>
            </w:div>
            <w:div w:id="1013998170">
              <w:marLeft w:val="0"/>
              <w:marRight w:val="0"/>
              <w:marTop w:val="0"/>
              <w:marBottom w:val="0"/>
              <w:divBdr>
                <w:top w:val="none" w:sz="0" w:space="0" w:color="auto"/>
                <w:left w:val="none" w:sz="0" w:space="0" w:color="auto"/>
                <w:bottom w:val="none" w:sz="0" w:space="0" w:color="auto"/>
                <w:right w:val="none" w:sz="0" w:space="0" w:color="auto"/>
              </w:divBdr>
            </w:div>
            <w:div w:id="1058699627">
              <w:marLeft w:val="0"/>
              <w:marRight w:val="0"/>
              <w:marTop w:val="0"/>
              <w:marBottom w:val="0"/>
              <w:divBdr>
                <w:top w:val="none" w:sz="0" w:space="0" w:color="auto"/>
                <w:left w:val="none" w:sz="0" w:space="0" w:color="auto"/>
                <w:bottom w:val="none" w:sz="0" w:space="0" w:color="auto"/>
                <w:right w:val="none" w:sz="0" w:space="0" w:color="auto"/>
              </w:divBdr>
            </w:div>
            <w:div w:id="1211267487">
              <w:marLeft w:val="0"/>
              <w:marRight w:val="0"/>
              <w:marTop w:val="0"/>
              <w:marBottom w:val="0"/>
              <w:divBdr>
                <w:top w:val="none" w:sz="0" w:space="0" w:color="auto"/>
                <w:left w:val="none" w:sz="0" w:space="0" w:color="auto"/>
                <w:bottom w:val="none" w:sz="0" w:space="0" w:color="auto"/>
                <w:right w:val="none" w:sz="0" w:space="0" w:color="auto"/>
              </w:divBdr>
            </w:div>
            <w:div w:id="1228420976">
              <w:marLeft w:val="0"/>
              <w:marRight w:val="0"/>
              <w:marTop w:val="0"/>
              <w:marBottom w:val="0"/>
              <w:divBdr>
                <w:top w:val="none" w:sz="0" w:space="0" w:color="auto"/>
                <w:left w:val="none" w:sz="0" w:space="0" w:color="auto"/>
                <w:bottom w:val="none" w:sz="0" w:space="0" w:color="auto"/>
                <w:right w:val="none" w:sz="0" w:space="0" w:color="auto"/>
              </w:divBdr>
            </w:div>
            <w:div w:id="1298141973">
              <w:marLeft w:val="0"/>
              <w:marRight w:val="0"/>
              <w:marTop w:val="0"/>
              <w:marBottom w:val="0"/>
              <w:divBdr>
                <w:top w:val="none" w:sz="0" w:space="0" w:color="auto"/>
                <w:left w:val="none" w:sz="0" w:space="0" w:color="auto"/>
                <w:bottom w:val="none" w:sz="0" w:space="0" w:color="auto"/>
                <w:right w:val="none" w:sz="0" w:space="0" w:color="auto"/>
              </w:divBdr>
            </w:div>
            <w:div w:id="1332295416">
              <w:marLeft w:val="0"/>
              <w:marRight w:val="0"/>
              <w:marTop w:val="0"/>
              <w:marBottom w:val="0"/>
              <w:divBdr>
                <w:top w:val="none" w:sz="0" w:space="0" w:color="auto"/>
                <w:left w:val="none" w:sz="0" w:space="0" w:color="auto"/>
                <w:bottom w:val="none" w:sz="0" w:space="0" w:color="auto"/>
                <w:right w:val="none" w:sz="0" w:space="0" w:color="auto"/>
              </w:divBdr>
            </w:div>
            <w:div w:id="1830752825">
              <w:marLeft w:val="0"/>
              <w:marRight w:val="0"/>
              <w:marTop w:val="0"/>
              <w:marBottom w:val="0"/>
              <w:divBdr>
                <w:top w:val="none" w:sz="0" w:space="0" w:color="auto"/>
                <w:left w:val="none" w:sz="0" w:space="0" w:color="auto"/>
                <w:bottom w:val="none" w:sz="0" w:space="0" w:color="auto"/>
                <w:right w:val="none" w:sz="0" w:space="0" w:color="auto"/>
              </w:divBdr>
            </w:div>
            <w:div w:id="1885825336">
              <w:marLeft w:val="0"/>
              <w:marRight w:val="0"/>
              <w:marTop w:val="0"/>
              <w:marBottom w:val="0"/>
              <w:divBdr>
                <w:top w:val="none" w:sz="0" w:space="0" w:color="auto"/>
                <w:left w:val="none" w:sz="0" w:space="0" w:color="auto"/>
                <w:bottom w:val="none" w:sz="0" w:space="0" w:color="auto"/>
                <w:right w:val="none" w:sz="0" w:space="0" w:color="auto"/>
              </w:divBdr>
            </w:div>
          </w:divsChild>
        </w:div>
        <w:div w:id="2056345535">
          <w:marLeft w:val="0"/>
          <w:marRight w:val="0"/>
          <w:marTop w:val="0"/>
          <w:marBottom w:val="0"/>
          <w:divBdr>
            <w:top w:val="none" w:sz="0" w:space="0" w:color="auto"/>
            <w:left w:val="none" w:sz="0" w:space="0" w:color="auto"/>
            <w:bottom w:val="none" w:sz="0" w:space="0" w:color="auto"/>
            <w:right w:val="none" w:sz="0" w:space="0" w:color="auto"/>
          </w:divBdr>
          <w:divsChild>
            <w:div w:id="62072878">
              <w:marLeft w:val="0"/>
              <w:marRight w:val="0"/>
              <w:marTop w:val="0"/>
              <w:marBottom w:val="0"/>
              <w:divBdr>
                <w:top w:val="none" w:sz="0" w:space="0" w:color="auto"/>
                <w:left w:val="none" w:sz="0" w:space="0" w:color="auto"/>
                <w:bottom w:val="none" w:sz="0" w:space="0" w:color="auto"/>
                <w:right w:val="none" w:sz="0" w:space="0" w:color="auto"/>
              </w:divBdr>
            </w:div>
            <w:div w:id="140081017">
              <w:marLeft w:val="0"/>
              <w:marRight w:val="0"/>
              <w:marTop w:val="0"/>
              <w:marBottom w:val="0"/>
              <w:divBdr>
                <w:top w:val="none" w:sz="0" w:space="0" w:color="auto"/>
                <w:left w:val="none" w:sz="0" w:space="0" w:color="auto"/>
                <w:bottom w:val="none" w:sz="0" w:space="0" w:color="auto"/>
                <w:right w:val="none" w:sz="0" w:space="0" w:color="auto"/>
              </w:divBdr>
            </w:div>
            <w:div w:id="246234798">
              <w:marLeft w:val="0"/>
              <w:marRight w:val="0"/>
              <w:marTop w:val="0"/>
              <w:marBottom w:val="0"/>
              <w:divBdr>
                <w:top w:val="none" w:sz="0" w:space="0" w:color="auto"/>
                <w:left w:val="none" w:sz="0" w:space="0" w:color="auto"/>
                <w:bottom w:val="none" w:sz="0" w:space="0" w:color="auto"/>
                <w:right w:val="none" w:sz="0" w:space="0" w:color="auto"/>
              </w:divBdr>
            </w:div>
            <w:div w:id="396709407">
              <w:marLeft w:val="0"/>
              <w:marRight w:val="0"/>
              <w:marTop w:val="0"/>
              <w:marBottom w:val="0"/>
              <w:divBdr>
                <w:top w:val="none" w:sz="0" w:space="0" w:color="auto"/>
                <w:left w:val="none" w:sz="0" w:space="0" w:color="auto"/>
                <w:bottom w:val="none" w:sz="0" w:space="0" w:color="auto"/>
                <w:right w:val="none" w:sz="0" w:space="0" w:color="auto"/>
              </w:divBdr>
            </w:div>
            <w:div w:id="517086423">
              <w:marLeft w:val="0"/>
              <w:marRight w:val="0"/>
              <w:marTop w:val="0"/>
              <w:marBottom w:val="0"/>
              <w:divBdr>
                <w:top w:val="none" w:sz="0" w:space="0" w:color="auto"/>
                <w:left w:val="none" w:sz="0" w:space="0" w:color="auto"/>
                <w:bottom w:val="none" w:sz="0" w:space="0" w:color="auto"/>
                <w:right w:val="none" w:sz="0" w:space="0" w:color="auto"/>
              </w:divBdr>
            </w:div>
            <w:div w:id="542981773">
              <w:marLeft w:val="0"/>
              <w:marRight w:val="0"/>
              <w:marTop w:val="0"/>
              <w:marBottom w:val="0"/>
              <w:divBdr>
                <w:top w:val="none" w:sz="0" w:space="0" w:color="auto"/>
                <w:left w:val="none" w:sz="0" w:space="0" w:color="auto"/>
                <w:bottom w:val="none" w:sz="0" w:space="0" w:color="auto"/>
                <w:right w:val="none" w:sz="0" w:space="0" w:color="auto"/>
              </w:divBdr>
            </w:div>
            <w:div w:id="602030172">
              <w:marLeft w:val="0"/>
              <w:marRight w:val="0"/>
              <w:marTop w:val="0"/>
              <w:marBottom w:val="0"/>
              <w:divBdr>
                <w:top w:val="none" w:sz="0" w:space="0" w:color="auto"/>
                <w:left w:val="none" w:sz="0" w:space="0" w:color="auto"/>
                <w:bottom w:val="none" w:sz="0" w:space="0" w:color="auto"/>
                <w:right w:val="none" w:sz="0" w:space="0" w:color="auto"/>
              </w:divBdr>
            </w:div>
            <w:div w:id="619840237">
              <w:marLeft w:val="0"/>
              <w:marRight w:val="0"/>
              <w:marTop w:val="0"/>
              <w:marBottom w:val="0"/>
              <w:divBdr>
                <w:top w:val="none" w:sz="0" w:space="0" w:color="auto"/>
                <w:left w:val="none" w:sz="0" w:space="0" w:color="auto"/>
                <w:bottom w:val="none" w:sz="0" w:space="0" w:color="auto"/>
                <w:right w:val="none" w:sz="0" w:space="0" w:color="auto"/>
              </w:divBdr>
            </w:div>
            <w:div w:id="632518745">
              <w:marLeft w:val="0"/>
              <w:marRight w:val="0"/>
              <w:marTop w:val="0"/>
              <w:marBottom w:val="0"/>
              <w:divBdr>
                <w:top w:val="none" w:sz="0" w:space="0" w:color="auto"/>
                <w:left w:val="none" w:sz="0" w:space="0" w:color="auto"/>
                <w:bottom w:val="none" w:sz="0" w:space="0" w:color="auto"/>
                <w:right w:val="none" w:sz="0" w:space="0" w:color="auto"/>
              </w:divBdr>
            </w:div>
            <w:div w:id="822283220">
              <w:marLeft w:val="0"/>
              <w:marRight w:val="0"/>
              <w:marTop w:val="0"/>
              <w:marBottom w:val="0"/>
              <w:divBdr>
                <w:top w:val="none" w:sz="0" w:space="0" w:color="auto"/>
                <w:left w:val="none" w:sz="0" w:space="0" w:color="auto"/>
                <w:bottom w:val="none" w:sz="0" w:space="0" w:color="auto"/>
                <w:right w:val="none" w:sz="0" w:space="0" w:color="auto"/>
              </w:divBdr>
            </w:div>
            <w:div w:id="912130647">
              <w:marLeft w:val="0"/>
              <w:marRight w:val="0"/>
              <w:marTop w:val="0"/>
              <w:marBottom w:val="0"/>
              <w:divBdr>
                <w:top w:val="none" w:sz="0" w:space="0" w:color="auto"/>
                <w:left w:val="none" w:sz="0" w:space="0" w:color="auto"/>
                <w:bottom w:val="none" w:sz="0" w:space="0" w:color="auto"/>
                <w:right w:val="none" w:sz="0" w:space="0" w:color="auto"/>
              </w:divBdr>
            </w:div>
            <w:div w:id="1105227652">
              <w:marLeft w:val="0"/>
              <w:marRight w:val="0"/>
              <w:marTop w:val="0"/>
              <w:marBottom w:val="0"/>
              <w:divBdr>
                <w:top w:val="none" w:sz="0" w:space="0" w:color="auto"/>
                <w:left w:val="none" w:sz="0" w:space="0" w:color="auto"/>
                <w:bottom w:val="none" w:sz="0" w:space="0" w:color="auto"/>
                <w:right w:val="none" w:sz="0" w:space="0" w:color="auto"/>
              </w:divBdr>
            </w:div>
            <w:div w:id="1244024867">
              <w:marLeft w:val="0"/>
              <w:marRight w:val="0"/>
              <w:marTop w:val="0"/>
              <w:marBottom w:val="0"/>
              <w:divBdr>
                <w:top w:val="none" w:sz="0" w:space="0" w:color="auto"/>
                <w:left w:val="none" w:sz="0" w:space="0" w:color="auto"/>
                <w:bottom w:val="none" w:sz="0" w:space="0" w:color="auto"/>
                <w:right w:val="none" w:sz="0" w:space="0" w:color="auto"/>
              </w:divBdr>
            </w:div>
            <w:div w:id="1351445628">
              <w:marLeft w:val="0"/>
              <w:marRight w:val="0"/>
              <w:marTop w:val="0"/>
              <w:marBottom w:val="0"/>
              <w:divBdr>
                <w:top w:val="none" w:sz="0" w:space="0" w:color="auto"/>
                <w:left w:val="none" w:sz="0" w:space="0" w:color="auto"/>
                <w:bottom w:val="none" w:sz="0" w:space="0" w:color="auto"/>
                <w:right w:val="none" w:sz="0" w:space="0" w:color="auto"/>
              </w:divBdr>
            </w:div>
            <w:div w:id="1459684248">
              <w:marLeft w:val="0"/>
              <w:marRight w:val="0"/>
              <w:marTop w:val="0"/>
              <w:marBottom w:val="0"/>
              <w:divBdr>
                <w:top w:val="none" w:sz="0" w:space="0" w:color="auto"/>
                <w:left w:val="none" w:sz="0" w:space="0" w:color="auto"/>
                <w:bottom w:val="none" w:sz="0" w:space="0" w:color="auto"/>
                <w:right w:val="none" w:sz="0" w:space="0" w:color="auto"/>
              </w:divBdr>
            </w:div>
            <w:div w:id="1645965080">
              <w:marLeft w:val="0"/>
              <w:marRight w:val="0"/>
              <w:marTop w:val="0"/>
              <w:marBottom w:val="0"/>
              <w:divBdr>
                <w:top w:val="none" w:sz="0" w:space="0" w:color="auto"/>
                <w:left w:val="none" w:sz="0" w:space="0" w:color="auto"/>
                <w:bottom w:val="none" w:sz="0" w:space="0" w:color="auto"/>
                <w:right w:val="none" w:sz="0" w:space="0" w:color="auto"/>
              </w:divBdr>
            </w:div>
            <w:div w:id="1767386120">
              <w:marLeft w:val="0"/>
              <w:marRight w:val="0"/>
              <w:marTop w:val="0"/>
              <w:marBottom w:val="0"/>
              <w:divBdr>
                <w:top w:val="none" w:sz="0" w:space="0" w:color="auto"/>
                <w:left w:val="none" w:sz="0" w:space="0" w:color="auto"/>
                <w:bottom w:val="none" w:sz="0" w:space="0" w:color="auto"/>
                <w:right w:val="none" w:sz="0" w:space="0" w:color="auto"/>
              </w:divBdr>
            </w:div>
            <w:div w:id="1967347114">
              <w:marLeft w:val="0"/>
              <w:marRight w:val="0"/>
              <w:marTop w:val="0"/>
              <w:marBottom w:val="0"/>
              <w:divBdr>
                <w:top w:val="none" w:sz="0" w:space="0" w:color="auto"/>
                <w:left w:val="none" w:sz="0" w:space="0" w:color="auto"/>
                <w:bottom w:val="none" w:sz="0" w:space="0" w:color="auto"/>
                <w:right w:val="none" w:sz="0" w:space="0" w:color="auto"/>
              </w:divBdr>
            </w:div>
            <w:div w:id="1979190751">
              <w:marLeft w:val="0"/>
              <w:marRight w:val="0"/>
              <w:marTop w:val="0"/>
              <w:marBottom w:val="0"/>
              <w:divBdr>
                <w:top w:val="none" w:sz="0" w:space="0" w:color="auto"/>
                <w:left w:val="none" w:sz="0" w:space="0" w:color="auto"/>
                <w:bottom w:val="none" w:sz="0" w:space="0" w:color="auto"/>
                <w:right w:val="none" w:sz="0" w:space="0" w:color="auto"/>
              </w:divBdr>
            </w:div>
            <w:div w:id="2061053821">
              <w:marLeft w:val="0"/>
              <w:marRight w:val="0"/>
              <w:marTop w:val="0"/>
              <w:marBottom w:val="0"/>
              <w:divBdr>
                <w:top w:val="none" w:sz="0" w:space="0" w:color="auto"/>
                <w:left w:val="none" w:sz="0" w:space="0" w:color="auto"/>
                <w:bottom w:val="none" w:sz="0" w:space="0" w:color="auto"/>
                <w:right w:val="none" w:sz="0" w:space="0" w:color="auto"/>
              </w:divBdr>
            </w:div>
          </w:divsChild>
        </w:div>
        <w:div w:id="2088528696">
          <w:marLeft w:val="0"/>
          <w:marRight w:val="0"/>
          <w:marTop w:val="0"/>
          <w:marBottom w:val="0"/>
          <w:divBdr>
            <w:top w:val="none" w:sz="0" w:space="0" w:color="auto"/>
            <w:left w:val="none" w:sz="0" w:space="0" w:color="auto"/>
            <w:bottom w:val="none" w:sz="0" w:space="0" w:color="auto"/>
            <w:right w:val="none" w:sz="0" w:space="0" w:color="auto"/>
          </w:divBdr>
          <w:divsChild>
            <w:div w:id="84807435">
              <w:marLeft w:val="0"/>
              <w:marRight w:val="0"/>
              <w:marTop w:val="0"/>
              <w:marBottom w:val="0"/>
              <w:divBdr>
                <w:top w:val="none" w:sz="0" w:space="0" w:color="auto"/>
                <w:left w:val="none" w:sz="0" w:space="0" w:color="auto"/>
                <w:bottom w:val="none" w:sz="0" w:space="0" w:color="auto"/>
                <w:right w:val="none" w:sz="0" w:space="0" w:color="auto"/>
              </w:divBdr>
            </w:div>
            <w:div w:id="238635730">
              <w:marLeft w:val="0"/>
              <w:marRight w:val="0"/>
              <w:marTop w:val="0"/>
              <w:marBottom w:val="0"/>
              <w:divBdr>
                <w:top w:val="none" w:sz="0" w:space="0" w:color="auto"/>
                <w:left w:val="none" w:sz="0" w:space="0" w:color="auto"/>
                <w:bottom w:val="none" w:sz="0" w:space="0" w:color="auto"/>
                <w:right w:val="none" w:sz="0" w:space="0" w:color="auto"/>
              </w:divBdr>
            </w:div>
            <w:div w:id="17192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6961">
      <w:bodyDiv w:val="1"/>
      <w:marLeft w:val="0"/>
      <w:marRight w:val="0"/>
      <w:marTop w:val="0"/>
      <w:marBottom w:val="0"/>
      <w:divBdr>
        <w:top w:val="none" w:sz="0" w:space="0" w:color="auto"/>
        <w:left w:val="none" w:sz="0" w:space="0" w:color="auto"/>
        <w:bottom w:val="none" w:sz="0" w:space="0" w:color="auto"/>
        <w:right w:val="none" w:sz="0" w:space="0" w:color="auto"/>
      </w:divBdr>
    </w:div>
    <w:div w:id="1705399202">
      <w:bodyDiv w:val="1"/>
      <w:marLeft w:val="0"/>
      <w:marRight w:val="0"/>
      <w:marTop w:val="0"/>
      <w:marBottom w:val="0"/>
      <w:divBdr>
        <w:top w:val="none" w:sz="0" w:space="0" w:color="auto"/>
        <w:left w:val="none" w:sz="0" w:space="0" w:color="auto"/>
        <w:bottom w:val="none" w:sz="0" w:space="0" w:color="auto"/>
        <w:right w:val="none" w:sz="0" w:space="0" w:color="auto"/>
      </w:divBdr>
    </w:div>
    <w:div w:id="1726947670">
      <w:bodyDiv w:val="1"/>
      <w:marLeft w:val="0"/>
      <w:marRight w:val="0"/>
      <w:marTop w:val="0"/>
      <w:marBottom w:val="0"/>
      <w:divBdr>
        <w:top w:val="none" w:sz="0" w:space="0" w:color="auto"/>
        <w:left w:val="none" w:sz="0" w:space="0" w:color="auto"/>
        <w:bottom w:val="none" w:sz="0" w:space="0" w:color="auto"/>
        <w:right w:val="none" w:sz="0" w:space="0" w:color="auto"/>
      </w:divBdr>
    </w:div>
    <w:div w:id="1730106563">
      <w:bodyDiv w:val="1"/>
      <w:marLeft w:val="0"/>
      <w:marRight w:val="0"/>
      <w:marTop w:val="0"/>
      <w:marBottom w:val="0"/>
      <w:divBdr>
        <w:top w:val="none" w:sz="0" w:space="0" w:color="auto"/>
        <w:left w:val="none" w:sz="0" w:space="0" w:color="auto"/>
        <w:bottom w:val="none" w:sz="0" w:space="0" w:color="auto"/>
        <w:right w:val="none" w:sz="0" w:space="0" w:color="auto"/>
      </w:divBdr>
    </w:div>
    <w:div w:id="1736080119">
      <w:bodyDiv w:val="1"/>
      <w:marLeft w:val="0"/>
      <w:marRight w:val="0"/>
      <w:marTop w:val="0"/>
      <w:marBottom w:val="0"/>
      <w:divBdr>
        <w:top w:val="none" w:sz="0" w:space="0" w:color="auto"/>
        <w:left w:val="none" w:sz="0" w:space="0" w:color="auto"/>
        <w:bottom w:val="none" w:sz="0" w:space="0" w:color="auto"/>
        <w:right w:val="none" w:sz="0" w:space="0" w:color="auto"/>
      </w:divBdr>
      <w:divsChild>
        <w:div w:id="1069419140">
          <w:marLeft w:val="0"/>
          <w:marRight w:val="0"/>
          <w:marTop w:val="0"/>
          <w:marBottom w:val="0"/>
          <w:divBdr>
            <w:top w:val="none" w:sz="0" w:space="0" w:color="auto"/>
            <w:left w:val="none" w:sz="0" w:space="0" w:color="auto"/>
            <w:bottom w:val="none" w:sz="0" w:space="0" w:color="auto"/>
            <w:right w:val="none" w:sz="0" w:space="0" w:color="auto"/>
          </w:divBdr>
          <w:divsChild>
            <w:div w:id="457771123">
              <w:marLeft w:val="0"/>
              <w:marRight w:val="0"/>
              <w:marTop w:val="0"/>
              <w:marBottom w:val="0"/>
              <w:divBdr>
                <w:top w:val="none" w:sz="0" w:space="0" w:color="auto"/>
                <w:left w:val="none" w:sz="0" w:space="0" w:color="auto"/>
                <w:bottom w:val="none" w:sz="0" w:space="0" w:color="auto"/>
                <w:right w:val="none" w:sz="0" w:space="0" w:color="auto"/>
              </w:divBdr>
              <w:divsChild>
                <w:div w:id="302082353">
                  <w:marLeft w:val="0"/>
                  <w:marRight w:val="0"/>
                  <w:marTop w:val="0"/>
                  <w:marBottom w:val="0"/>
                  <w:divBdr>
                    <w:top w:val="none" w:sz="0" w:space="0" w:color="auto"/>
                    <w:left w:val="none" w:sz="0" w:space="0" w:color="auto"/>
                    <w:bottom w:val="none" w:sz="0" w:space="0" w:color="auto"/>
                    <w:right w:val="none" w:sz="0" w:space="0" w:color="auto"/>
                  </w:divBdr>
                  <w:divsChild>
                    <w:div w:id="257833575">
                      <w:marLeft w:val="0"/>
                      <w:marRight w:val="0"/>
                      <w:marTop w:val="0"/>
                      <w:marBottom w:val="0"/>
                      <w:divBdr>
                        <w:top w:val="none" w:sz="0" w:space="0" w:color="auto"/>
                        <w:left w:val="none" w:sz="0" w:space="0" w:color="auto"/>
                        <w:bottom w:val="none" w:sz="0" w:space="0" w:color="auto"/>
                        <w:right w:val="none" w:sz="0" w:space="0" w:color="auto"/>
                      </w:divBdr>
                      <w:divsChild>
                        <w:div w:id="1431242833">
                          <w:marLeft w:val="0"/>
                          <w:marRight w:val="0"/>
                          <w:marTop w:val="0"/>
                          <w:marBottom w:val="0"/>
                          <w:divBdr>
                            <w:top w:val="none" w:sz="0" w:space="0" w:color="auto"/>
                            <w:left w:val="none" w:sz="0" w:space="0" w:color="auto"/>
                            <w:bottom w:val="none" w:sz="0" w:space="0" w:color="auto"/>
                            <w:right w:val="none" w:sz="0" w:space="0" w:color="auto"/>
                          </w:divBdr>
                          <w:divsChild>
                            <w:div w:id="15932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530288">
      <w:bodyDiv w:val="1"/>
      <w:marLeft w:val="0"/>
      <w:marRight w:val="0"/>
      <w:marTop w:val="0"/>
      <w:marBottom w:val="0"/>
      <w:divBdr>
        <w:top w:val="none" w:sz="0" w:space="0" w:color="auto"/>
        <w:left w:val="none" w:sz="0" w:space="0" w:color="auto"/>
        <w:bottom w:val="none" w:sz="0" w:space="0" w:color="auto"/>
        <w:right w:val="none" w:sz="0" w:space="0" w:color="auto"/>
      </w:divBdr>
    </w:div>
    <w:div w:id="1776173460">
      <w:bodyDiv w:val="1"/>
      <w:marLeft w:val="0"/>
      <w:marRight w:val="0"/>
      <w:marTop w:val="0"/>
      <w:marBottom w:val="0"/>
      <w:divBdr>
        <w:top w:val="none" w:sz="0" w:space="0" w:color="auto"/>
        <w:left w:val="none" w:sz="0" w:space="0" w:color="auto"/>
        <w:bottom w:val="none" w:sz="0" w:space="0" w:color="auto"/>
        <w:right w:val="none" w:sz="0" w:space="0" w:color="auto"/>
      </w:divBdr>
      <w:divsChild>
        <w:div w:id="195653949">
          <w:marLeft w:val="0"/>
          <w:marRight w:val="0"/>
          <w:marTop w:val="0"/>
          <w:marBottom w:val="0"/>
          <w:divBdr>
            <w:top w:val="none" w:sz="0" w:space="0" w:color="auto"/>
            <w:left w:val="none" w:sz="0" w:space="0" w:color="auto"/>
            <w:bottom w:val="none" w:sz="0" w:space="0" w:color="auto"/>
            <w:right w:val="none" w:sz="0" w:space="0" w:color="auto"/>
          </w:divBdr>
        </w:div>
        <w:div w:id="909466697">
          <w:marLeft w:val="0"/>
          <w:marRight w:val="0"/>
          <w:marTop w:val="0"/>
          <w:marBottom w:val="0"/>
          <w:divBdr>
            <w:top w:val="none" w:sz="0" w:space="0" w:color="auto"/>
            <w:left w:val="none" w:sz="0" w:space="0" w:color="auto"/>
            <w:bottom w:val="none" w:sz="0" w:space="0" w:color="auto"/>
            <w:right w:val="none" w:sz="0" w:space="0" w:color="auto"/>
          </w:divBdr>
        </w:div>
      </w:divsChild>
    </w:div>
    <w:div w:id="1796824053">
      <w:bodyDiv w:val="1"/>
      <w:marLeft w:val="0"/>
      <w:marRight w:val="0"/>
      <w:marTop w:val="0"/>
      <w:marBottom w:val="0"/>
      <w:divBdr>
        <w:top w:val="none" w:sz="0" w:space="0" w:color="auto"/>
        <w:left w:val="none" w:sz="0" w:space="0" w:color="auto"/>
        <w:bottom w:val="none" w:sz="0" w:space="0" w:color="auto"/>
        <w:right w:val="none" w:sz="0" w:space="0" w:color="auto"/>
      </w:divBdr>
    </w:div>
    <w:div w:id="1803231300">
      <w:bodyDiv w:val="1"/>
      <w:marLeft w:val="0"/>
      <w:marRight w:val="0"/>
      <w:marTop w:val="0"/>
      <w:marBottom w:val="0"/>
      <w:divBdr>
        <w:top w:val="none" w:sz="0" w:space="0" w:color="auto"/>
        <w:left w:val="none" w:sz="0" w:space="0" w:color="auto"/>
        <w:bottom w:val="none" w:sz="0" w:space="0" w:color="auto"/>
        <w:right w:val="none" w:sz="0" w:space="0" w:color="auto"/>
      </w:divBdr>
    </w:div>
    <w:div w:id="1832938791">
      <w:bodyDiv w:val="1"/>
      <w:marLeft w:val="0"/>
      <w:marRight w:val="0"/>
      <w:marTop w:val="0"/>
      <w:marBottom w:val="0"/>
      <w:divBdr>
        <w:top w:val="none" w:sz="0" w:space="0" w:color="auto"/>
        <w:left w:val="none" w:sz="0" w:space="0" w:color="auto"/>
        <w:bottom w:val="none" w:sz="0" w:space="0" w:color="auto"/>
        <w:right w:val="none" w:sz="0" w:space="0" w:color="auto"/>
      </w:divBdr>
      <w:divsChild>
        <w:div w:id="1138887377">
          <w:marLeft w:val="446"/>
          <w:marRight w:val="0"/>
          <w:marTop w:val="120"/>
          <w:marBottom w:val="240"/>
          <w:divBdr>
            <w:top w:val="none" w:sz="0" w:space="0" w:color="auto"/>
            <w:left w:val="none" w:sz="0" w:space="0" w:color="auto"/>
            <w:bottom w:val="none" w:sz="0" w:space="0" w:color="auto"/>
            <w:right w:val="none" w:sz="0" w:space="0" w:color="auto"/>
          </w:divBdr>
        </w:div>
      </w:divsChild>
    </w:div>
    <w:div w:id="1833444445">
      <w:bodyDiv w:val="1"/>
      <w:marLeft w:val="0"/>
      <w:marRight w:val="0"/>
      <w:marTop w:val="0"/>
      <w:marBottom w:val="0"/>
      <w:divBdr>
        <w:top w:val="none" w:sz="0" w:space="0" w:color="auto"/>
        <w:left w:val="none" w:sz="0" w:space="0" w:color="auto"/>
        <w:bottom w:val="none" w:sz="0" w:space="0" w:color="auto"/>
        <w:right w:val="none" w:sz="0" w:space="0" w:color="auto"/>
      </w:divBdr>
      <w:divsChild>
        <w:div w:id="115569806">
          <w:marLeft w:val="274"/>
          <w:marRight w:val="0"/>
          <w:marTop w:val="0"/>
          <w:marBottom w:val="0"/>
          <w:divBdr>
            <w:top w:val="none" w:sz="0" w:space="0" w:color="auto"/>
            <w:left w:val="none" w:sz="0" w:space="0" w:color="auto"/>
            <w:bottom w:val="none" w:sz="0" w:space="0" w:color="auto"/>
            <w:right w:val="none" w:sz="0" w:space="0" w:color="auto"/>
          </w:divBdr>
        </w:div>
        <w:div w:id="678894176">
          <w:marLeft w:val="274"/>
          <w:marRight w:val="0"/>
          <w:marTop w:val="0"/>
          <w:marBottom w:val="0"/>
          <w:divBdr>
            <w:top w:val="none" w:sz="0" w:space="0" w:color="auto"/>
            <w:left w:val="none" w:sz="0" w:space="0" w:color="auto"/>
            <w:bottom w:val="none" w:sz="0" w:space="0" w:color="auto"/>
            <w:right w:val="none" w:sz="0" w:space="0" w:color="auto"/>
          </w:divBdr>
        </w:div>
        <w:div w:id="1086027927">
          <w:marLeft w:val="274"/>
          <w:marRight w:val="0"/>
          <w:marTop w:val="0"/>
          <w:marBottom w:val="0"/>
          <w:divBdr>
            <w:top w:val="none" w:sz="0" w:space="0" w:color="auto"/>
            <w:left w:val="none" w:sz="0" w:space="0" w:color="auto"/>
            <w:bottom w:val="none" w:sz="0" w:space="0" w:color="auto"/>
            <w:right w:val="none" w:sz="0" w:space="0" w:color="auto"/>
          </w:divBdr>
        </w:div>
        <w:div w:id="1715694134">
          <w:marLeft w:val="274"/>
          <w:marRight w:val="0"/>
          <w:marTop w:val="0"/>
          <w:marBottom w:val="0"/>
          <w:divBdr>
            <w:top w:val="none" w:sz="0" w:space="0" w:color="auto"/>
            <w:left w:val="none" w:sz="0" w:space="0" w:color="auto"/>
            <w:bottom w:val="none" w:sz="0" w:space="0" w:color="auto"/>
            <w:right w:val="none" w:sz="0" w:space="0" w:color="auto"/>
          </w:divBdr>
        </w:div>
      </w:divsChild>
    </w:div>
    <w:div w:id="1834878942">
      <w:bodyDiv w:val="1"/>
      <w:marLeft w:val="0"/>
      <w:marRight w:val="0"/>
      <w:marTop w:val="0"/>
      <w:marBottom w:val="0"/>
      <w:divBdr>
        <w:top w:val="none" w:sz="0" w:space="0" w:color="auto"/>
        <w:left w:val="none" w:sz="0" w:space="0" w:color="auto"/>
        <w:bottom w:val="none" w:sz="0" w:space="0" w:color="auto"/>
        <w:right w:val="none" w:sz="0" w:space="0" w:color="auto"/>
      </w:divBdr>
    </w:div>
    <w:div w:id="1855414886">
      <w:bodyDiv w:val="1"/>
      <w:marLeft w:val="0"/>
      <w:marRight w:val="0"/>
      <w:marTop w:val="0"/>
      <w:marBottom w:val="0"/>
      <w:divBdr>
        <w:top w:val="none" w:sz="0" w:space="0" w:color="auto"/>
        <w:left w:val="none" w:sz="0" w:space="0" w:color="auto"/>
        <w:bottom w:val="none" w:sz="0" w:space="0" w:color="auto"/>
        <w:right w:val="none" w:sz="0" w:space="0" w:color="auto"/>
      </w:divBdr>
      <w:divsChild>
        <w:div w:id="1594898929">
          <w:marLeft w:val="0"/>
          <w:marRight w:val="0"/>
          <w:marTop w:val="0"/>
          <w:marBottom w:val="0"/>
          <w:divBdr>
            <w:top w:val="none" w:sz="0" w:space="0" w:color="auto"/>
            <w:left w:val="none" w:sz="0" w:space="0" w:color="auto"/>
            <w:bottom w:val="none" w:sz="0" w:space="0" w:color="auto"/>
            <w:right w:val="none" w:sz="0" w:space="0" w:color="auto"/>
          </w:divBdr>
          <w:divsChild>
            <w:div w:id="975988769">
              <w:marLeft w:val="0"/>
              <w:marRight w:val="0"/>
              <w:marTop w:val="0"/>
              <w:marBottom w:val="0"/>
              <w:divBdr>
                <w:top w:val="none" w:sz="0" w:space="0" w:color="auto"/>
                <w:left w:val="none" w:sz="0" w:space="0" w:color="auto"/>
                <w:bottom w:val="none" w:sz="0" w:space="0" w:color="auto"/>
                <w:right w:val="none" w:sz="0" w:space="0" w:color="auto"/>
              </w:divBdr>
              <w:divsChild>
                <w:div w:id="1565721391">
                  <w:marLeft w:val="0"/>
                  <w:marRight w:val="0"/>
                  <w:marTop w:val="0"/>
                  <w:marBottom w:val="0"/>
                  <w:divBdr>
                    <w:top w:val="none" w:sz="0" w:space="0" w:color="auto"/>
                    <w:left w:val="none" w:sz="0" w:space="0" w:color="auto"/>
                    <w:bottom w:val="none" w:sz="0" w:space="0" w:color="auto"/>
                    <w:right w:val="none" w:sz="0" w:space="0" w:color="auto"/>
                  </w:divBdr>
                  <w:divsChild>
                    <w:div w:id="651494146">
                      <w:marLeft w:val="0"/>
                      <w:marRight w:val="0"/>
                      <w:marTop w:val="0"/>
                      <w:marBottom w:val="0"/>
                      <w:divBdr>
                        <w:top w:val="none" w:sz="0" w:space="0" w:color="auto"/>
                        <w:left w:val="none" w:sz="0" w:space="0" w:color="auto"/>
                        <w:bottom w:val="none" w:sz="0" w:space="0" w:color="auto"/>
                        <w:right w:val="none" w:sz="0" w:space="0" w:color="auto"/>
                      </w:divBdr>
                      <w:divsChild>
                        <w:div w:id="1531452702">
                          <w:marLeft w:val="0"/>
                          <w:marRight w:val="0"/>
                          <w:marTop w:val="0"/>
                          <w:marBottom w:val="0"/>
                          <w:divBdr>
                            <w:top w:val="none" w:sz="0" w:space="0" w:color="auto"/>
                            <w:left w:val="none" w:sz="0" w:space="0" w:color="auto"/>
                            <w:bottom w:val="none" w:sz="0" w:space="0" w:color="auto"/>
                            <w:right w:val="none" w:sz="0" w:space="0" w:color="auto"/>
                          </w:divBdr>
                          <w:divsChild>
                            <w:div w:id="148578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72491">
      <w:bodyDiv w:val="1"/>
      <w:marLeft w:val="0"/>
      <w:marRight w:val="0"/>
      <w:marTop w:val="0"/>
      <w:marBottom w:val="0"/>
      <w:divBdr>
        <w:top w:val="none" w:sz="0" w:space="0" w:color="auto"/>
        <w:left w:val="none" w:sz="0" w:space="0" w:color="auto"/>
        <w:bottom w:val="none" w:sz="0" w:space="0" w:color="auto"/>
        <w:right w:val="none" w:sz="0" w:space="0" w:color="auto"/>
      </w:divBdr>
    </w:div>
    <w:div w:id="1878155507">
      <w:bodyDiv w:val="1"/>
      <w:marLeft w:val="0"/>
      <w:marRight w:val="0"/>
      <w:marTop w:val="0"/>
      <w:marBottom w:val="0"/>
      <w:divBdr>
        <w:top w:val="none" w:sz="0" w:space="0" w:color="auto"/>
        <w:left w:val="none" w:sz="0" w:space="0" w:color="auto"/>
        <w:bottom w:val="none" w:sz="0" w:space="0" w:color="auto"/>
        <w:right w:val="none" w:sz="0" w:space="0" w:color="auto"/>
      </w:divBdr>
    </w:div>
    <w:div w:id="1885366204">
      <w:bodyDiv w:val="1"/>
      <w:marLeft w:val="0"/>
      <w:marRight w:val="0"/>
      <w:marTop w:val="0"/>
      <w:marBottom w:val="0"/>
      <w:divBdr>
        <w:top w:val="none" w:sz="0" w:space="0" w:color="auto"/>
        <w:left w:val="none" w:sz="0" w:space="0" w:color="auto"/>
        <w:bottom w:val="none" w:sz="0" w:space="0" w:color="auto"/>
        <w:right w:val="none" w:sz="0" w:space="0" w:color="auto"/>
      </w:divBdr>
    </w:div>
    <w:div w:id="1889299771">
      <w:bodyDiv w:val="1"/>
      <w:marLeft w:val="0"/>
      <w:marRight w:val="0"/>
      <w:marTop w:val="0"/>
      <w:marBottom w:val="0"/>
      <w:divBdr>
        <w:top w:val="none" w:sz="0" w:space="0" w:color="auto"/>
        <w:left w:val="none" w:sz="0" w:space="0" w:color="auto"/>
        <w:bottom w:val="none" w:sz="0" w:space="0" w:color="auto"/>
        <w:right w:val="none" w:sz="0" w:space="0" w:color="auto"/>
      </w:divBdr>
    </w:div>
    <w:div w:id="1899589372">
      <w:bodyDiv w:val="1"/>
      <w:marLeft w:val="0"/>
      <w:marRight w:val="0"/>
      <w:marTop w:val="0"/>
      <w:marBottom w:val="0"/>
      <w:divBdr>
        <w:top w:val="none" w:sz="0" w:space="0" w:color="auto"/>
        <w:left w:val="none" w:sz="0" w:space="0" w:color="auto"/>
        <w:bottom w:val="none" w:sz="0" w:space="0" w:color="auto"/>
        <w:right w:val="none" w:sz="0" w:space="0" w:color="auto"/>
      </w:divBdr>
    </w:div>
    <w:div w:id="1901137298">
      <w:bodyDiv w:val="1"/>
      <w:marLeft w:val="0"/>
      <w:marRight w:val="0"/>
      <w:marTop w:val="0"/>
      <w:marBottom w:val="0"/>
      <w:divBdr>
        <w:top w:val="none" w:sz="0" w:space="0" w:color="auto"/>
        <w:left w:val="none" w:sz="0" w:space="0" w:color="auto"/>
        <w:bottom w:val="none" w:sz="0" w:space="0" w:color="auto"/>
        <w:right w:val="none" w:sz="0" w:space="0" w:color="auto"/>
      </w:divBdr>
    </w:div>
    <w:div w:id="1906450528">
      <w:bodyDiv w:val="1"/>
      <w:marLeft w:val="0"/>
      <w:marRight w:val="0"/>
      <w:marTop w:val="0"/>
      <w:marBottom w:val="0"/>
      <w:divBdr>
        <w:top w:val="none" w:sz="0" w:space="0" w:color="auto"/>
        <w:left w:val="none" w:sz="0" w:space="0" w:color="auto"/>
        <w:bottom w:val="none" w:sz="0" w:space="0" w:color="auto"/>
        <w:right w:val="none" w:sz="0" w:space="0" w:color="auto"/>
      </w:divBdr>
      <w:divsChild>
        <w:div w:id="111022319">
          <w:marLeft w:val="274"/>
          <w:marRight w:val="0"/>
          <w:marTop w:val="0"/>
          <w:marBottom w:val="0"/>
          <w:divBdr>
            <w:top w:val="none" w:sz="0" w:space="0" w:color="auto"/>
            <w:left w:val="none" w:sz="0" w:space="0" w:color="auto"/>
            <w:bottom w:val="none" w:sz="0" w:space="0" w:color="auto"/>
            <w:right w:val="none" w:sz="0" w:space="0" w:color="auto"/>
          </w:divBdr>
        </w:div>
        <w:div w:id="891382494">
          <w:marLeft w:val="274"/>
          <w:marRight w:val="0"/>
          <w:marTop w:val="0"/>
          <w:marBottom w:val="0"/>
          <w:divBdr>
            <w:top w:val="none" w:sz="0" w:space="0" w:color="auto"/>
            <w:left w:val="none" w:sz="0" w:space="0" w:color="auto"/>
            <w:bottom w:val="none" w:sz="0" w:space="0" w:color="auto"/>
            <w:right w:val="none" w:sz="0" w:space="0" w:color="auto"/>
          </w:divBdr>
        </w:div>
        <w:div w:id="1045065966">
          <w:marLeft w:val="274"/>
          <w:marRight w:val="0"/>
          <w:marTop w:val="0"/>
          <w:marBottom w:val="0"/>
          <w:divBdr>
            <w:top w:val="none" w:sz="0" w:space="0" w:color="auto"/>
            <w:left w:val="none" w:sz="0" w:space="0" w:color="auto"/>
            <w:bottom w:val="none" w:sz="0" w:space="0" w:color="auto"/>
            <w:right w:val="none" w:sz="0" w:space="0" w:color="auto"/>
          </w:divBdr>
        </w:div>
      </w:divsChild>
    </w:div>
    <w:div w:id="1916278113">
      <w:bodyDiv w:val="1"/>
      <w:marLeft w:val="0"/>
      <w:marRight w:val="0"/>
      <w:marTop w:val="0"/>
      <w:marBottom w:val="0"/>
      <w:divBdr>
        <w:top w:val="none" w:sz="0" w:space="0" w:color="auto"/>
        <w:left w:val="none" w:sz="0" w:space="0" w:color="auto"/>
        <w:bottom w:val="none" w:sz="0" w:space="0" w:color="auto"/>
        <w:right w:val="none" w:sz="0" w:space="0" w:color="auto"/>
      </w:divBdr>
    </w:div>
    <w:div w:id="1919822755">
      <w:bodyDiv w:val="1"/>
      <w:marLeft w:val="0"/>
      <w:marRight w:val="0"/>
      <w:marTop w:val="0"/>
      <w:marBottom w:val="0"/>
      <w:divBdr>
        <w:top w:val="none" w:sz="0" w:space="0" w:color="auto"/>
        <w:left w:val="none" w:sz="0" w:space="0" w:color="auto"/>
        <w:bottom w:val="none" w:sz="0" w:space="0" w:color="auto"/>
        <w:right w:val="none" w:sz="0" w:space="0" w:color="auto"/>
      </w:divBdr>
      <w:divsChild>
        <w:div w:id="66191793">
          <w:marLeft w:val="274"/>
          <w:marRight w:val="0"/>
          <w:marTop w:val="0"/>
          <w:marBottom w:val="0"/>
          <w:divBdr>
            <w:top w:val="none" w:sz="0" w:space="0" w:color="auto"/>
            <w:left w:val="none" w:sz="0" w:space="0" w:color="auto"/>
            <w:bottom w:val="none" w:sz="0" w:space="0" w:color="auto"/>
            <w:right w:val="none" w:sz="0" w:space="0" w:color="auto"/>
          </w:divBdr>
        </w:div>
        <w:div w:id="458884449">
          <w:marLeft w:val="274"/>
          <w:marRight w:val="0"/>
          <w:marTop w:val="0"/>
          <w:marBottom w:val="0"/>
          <w:divBdr>
            <w:top w:val="none" w:sz="0" w:space="0" w:color="auto"/>
            <w:left w:val="none" w:sz="0" w:space="0" w:color="auto"/>
            <w:bottom w:val="none" w:sz="0" w:space="0" w:color="auto"/>
            <w:right w:val="none" w:sz="0" w:space="0" w:color="auto"/>
          </w:divBdr>
        </w:div>
        <w:div w:id="736055499">
          <w:marLeft w:val="274"/>
          <w:marRight w:val="0"/>
          <w:marTop w:val="0"/>
          <w:marBottom w:val="0"/>
          <w:divBdr>
            <w:top w:val="none" w:sz="0" w:space="0" w:color="auto"/>
            <w:left w:val="none" w:sz="0" w:space="0" w:color="auto"/>
            <w:bottom w:val="none" w:sz="0" w:space="0" w:color="auto"/>
            <w:right w:val="none" w:sz="0" w:space="0" w:color="auto"/>
          </w:divBdr>
        </w:div>
        <w:div w:id="1313564833">
          <w:marLeft w:val="274"/>
          <w:marRight w:val="0"/>
          <w:marTop w:val="0"/>
          <w:marBottom w:val="0"/>
          <w:divBdr>
            <w:top w:val="none" w:sz="0" w:space="0" w:color="auto"/>
            <w:left w:val="none" w:sz="0" w:space="0" w:color="auto"/>
            <w:bottom w:val="none" w:sz="0" w:space="0" w:color="auto"/>
            <w:right w:val="none" w:sz="0" w:space="0" w:color="auto"/>
          </w:divBdr>
        </w:div>
      </w:divsChild>
    </w:div>
    <w:div w:id="1922374029">
      <w:bodyDiv w:val="1"/>
      <w:marLeft w:val="0"/>
      <w:marRight w:val="0"/>
      <w:marTop w:val="0"/>
      <w:marBottom w:val="0"/>
      <w:divBdr>
        <w:top w:val="none" w:sz="0" w:space="0" w:color="auto"/>
        <w:left w:val="none" w:sz="0" w:space="0" w:color="auto"/>
        <w:bottom w:val="none" w:sz="0" w:space="0" w:color="auto"/>
        <w:right w:val="none" w:sz="0" w:space="0" w:color="auto"/>
      </w:divBdr>
    </w:div>
    <w:div w:id="1925186787">
      <w:bodyDiv w:val="1"/>
      <w:marLeft w:val="0"/>
      <w:marRight w:val="0"/>
      <w:marTop w:val="0"/>
      <w:marBottom w:val="0"/>
      <w:divBdr>
        <w:top w:val="none" w:sz="0" w:space="0" w:color="auto"/>
        <w:left w:val="none" w:sz="0" w:space="0" w:color="auto"/>
        <w:bottom w:val="none" w:sz="0" w:space="0" w:color="auto"/>
        <w:right w:val="none" w:sz="0" w:space="0" w:color="auto"/>
      </w:divBdr>
    </w:div>
    <w:div w:id="1940940776">
      <w:bodyDiv w:val="1"/>
      <w:marLeft w:val="0"/>
      <w:marRight w:val="0"/>
      <w:marTop w:val="0"/>
      <w:marBottom w:val="0"/>
      <w:divBdr>
        <w:top w:val="none" w:sz="0" w:space="0" w:color="auto"/>
        <w:left w:val="none" w:sz="0" w:space="0" w:color="auto"/>
        <w:bottom w:val="none" w:sz="0" w:space="0" w:color="auto"/>
        <w:right w:val="none" w:sz="0" w:space="0" w:color="auto"/>
      </w:divBdr>
      <w:divsChild>
        <w:div w:id="501047036">
          <w:marLeft w:val="547"/>
          <w:marRight w:val="0"/>
          <w:marTop w:val="80"/>
          <w:marBottom w:val="80"/>
          <w:divBdr>
            <w:top w:val="none" w:sz="0" w:space="0" w:color="auto"/>
            <w:left w:val="none" w:sz="0" w:space="0" w:color="auto"/>
            <w:bottom w:val="none" w:sz="0" w:space="0" w:color="auto"/>
            <w:right w:val="none" w:sz="0" w:space="0" w:color="auto"/>
          </w:divBdr>
        </w:div>
        <w:div w:id="1061906223">
          <w:marLeft w:val="547"/>
          <w:marRight w:val="0"/>
          <w:marTop w:val="80"/>
          <w:marBottom w:val="80"/>
          <w:divBdr>
            <w:top w:val="none" w:sz="0" w:space="0" w:color="auto"/>
            <w:left w:val="none" w:sz="0" w:space="0" w:color="auto"/>
            <w:bottom w:val="none" w:sz="0" w:space="0" w:color="auto"/>
            <w:right w:val="none" w:sz="0" w:space="0" w:color="auto"/>
          </w:divBdr>
        </w:div>
        <w:div w:id="1526747161">
          <w:marLeft w:val="547"/>
          <w:marRight w:val="0"/>
          <w:marTop w:val="80"/>
          <w:marBottom w:val="80"/>
          <w:divBdr>
            <w:top w:val="none" w:sz="0" w:space="0" w:color="auto"/>
            <w:left w:val="none" w:sz="0" w:space="0" w:color="auto"/>
            <w:bottom w:val="none" w:sz="0" w:space="0" w:color="auto"/>
            <w:right w:val="none" w:sz="0" w:space="0" w:color="auto"/>
          </w:divBdr>
        </w:div>
        <w:div w:id="2096127984">
          <w:marLeft w:val="547"/>
          <w:marRight w:val="0"/>
          <w:marTop w:val="80"/>
          <w:marBottom w:val="80"/>
          <w:divBdr>
            <w:top w:val="none" w:sz="0" w:space="0" w:color="auto"/>
            <w:left w:val="none" w:sz="0" w:space="0" w:color="auto"/>
            <w:bottom w:val="none" w:sz="0" w:space="0" w:color="auto"/>
            <w:right w:val="none" w:sz="0" w:space="0" w:color="auto"/>
          </w:divBdr>
        </w:div>
      </w:divsChild>
    </w:div>
    <w:div w:id="1941179471">
      <w:bodyDiv w:val="1"/>
      <w:marLeft w:val="0"/>
      <w:marRight w:val="0"/>
      <w:marTop w:val="0"/>
      <w:marBottom w:val="0"/>
      <w:divBdr>
        <w:top w:val="none" w:sz="0" w:space="0" w:color="auto"/>
        <w:left w:val="none" w:sz="0" w:space="0" w:color="auto"/>
        <w:bottom w:val="none" w:sz="0" w:space="0" w:color="auto"/>
        <w:right w:val="none" w:sz="0" w:space="0" w:color="auto"/>
      </w:divBdr>
      <w:divsChild>
        <w:div w:id="909461856">
          <w:marLeft w:val="0"/>
          <w:marRight w:val="0"/>
          <w:marTop w:val="0"/>
          <w:marBottom w:val="0"/>
          <w:divBdr>
            <w:top w:val="none" w:sz="0" w:space="0" w:color="auto"/>
            <w:left w:val="none" w:sz="0" w:space="0" w:color="auto"/>
            <w:bottom w:val="none" w:sz="0" w:space="0" w:color="auto"/>
            <w:right w:val="none" w:sz="0" w:space="0" w:color="auto"/>
          </w:divBdr>
          <w:divsChild>
            <w:div w:id="158935">
              <w:marLeft w:val="0"/>
              <w:marRight w:val="0"/>
              <w:marTop w:val="0"/>
              <w:marBottom w:val="0"/>
              <w:divBdr>
                <w:top w:val="none" w:sz="0" w:space="0" w:color="auto"/>
                <w:left w:val="none" w:sz="0" w:space="0" w:color="auto"/>
                <w:bottom w:val="none" w:sz="0" w:space="0" w:color="auto"/>
                <w:right w:val="none" w:sz="0" w:space="0" w:color="auto"/>
              </w:divBdr>
            </w:div>
            <w:div w:id="169562158">
              <w:marLeft w:val="0"/>
              <w:marRight w:val="0"/>
              <w:marTop w:val="0"/>
              <w:marBottom w:val="0"/>
              <w:divBdr>
                <w:top w:val="none" w:sz="0" w:space="0" w:color="auto"/>
                <w:left w:val="none" w:sz="0" w:space="0" w:color="auto"/>
                <w:bottom w:val="none" w:sz="0" w:space="0" w:color="auto"/>
                <w:right w:val="none" w:sz="0" w:space="0" w:color="auto"/>
              </w:divBdr>
            </w:div>
            <w:div w:id="511578690">
              <w:marLeft w:val="0"/>
              <w:marRight w:val="0"/>
              <w:marTop w:val="0"/>
              <w:marBottom w:val="0"/>
              <w:divBdr>
                <w:top w:val="none" w:sz="0" w:space="0" w:color="auto"/>
                <w:left w:val="none" w:sz="0" w:space="0" w:color="auto"/>
                <w:bottom w:val="none" w:sz="0" w:space="0" w:color="auto"/>
                <w:right w:val="none" w:sz="0" w:space="0" w:color="auto"/>
              </w:divBdr>
            </w:div>
            <w:div w:id="556472313">
              <w:marLeft w:val="0"/>
              <w:marRight w:val="0"/>
              <w:marTop w:val="0"/>
              <w:marBottom w:val="0"/>
              <w:divBdr>
                <w:top w:val="none" w:sz="0" w:space="0" w:color="auto"/>
                <w:left w:val="none" w:sz="0" w:space="0" w:color="auto"/>
                <w:bottom w:val="none" w:sz="0" w:space="0" w:color="auto"/>
                <w:right w:val="none" w:sz="0" w:space="0" w:color="auto"/>
              </w:divBdr>
            </w:div>
            <w:div w:id="568806380">
              <w:marLeft w:val="0"/>
              <w:marRight w:val="0"/>
              <w:marTop w:val="0"/>
              <w:marBottom w:val="0"/>
              <w:divBdr>
                <w:top w:val="none" w:sz="0" w:space="0" w:color="auto"/>
                <w:left w:val="none" w:sz="0" w:space="0" w:color="auto"/>
                <w:bottom w:val="none" w:sz="0" w:space="0" w:color="auto"/>
                <w:right w:val="none" w:sz="0" w:space="0" w:color="auto"/>
              </w:divBdr>
            </w:div>
            <w:div w:id="994645257">
              <w:marLeft w:val="0"/>
              <w:marRight w:val="0"/>
              <w:marTop w:val="0"/>
              <w:marBottom w:val="0"/>
              <w:divBdr>
                <w:top w:val="none" w:sz="0" w:space="0" w:color="auto"/>
                <w:left w:val="none" w:sz="0" w:space="0" w:color="auto"/>
                <w:bottom w:val="none" w:sz="0" w:space="0" w:color="auto"/>
                <w:right w:val="none" w:sz="0" w:space="0" w:color="auto"/>
              </w:divBdr>
            </w:div>
            <w:div w:id="1029794681">
              <w:marLeft w:val="0"/>
              <w:marRight w:val="0"/>
              <w:marTop w:val="0"/>
              <w:marBottom w:val="0"/>
              <w:divBdr>
                <w:top w:val="none" w:sz="0" w:space="0" w:color="auto"/>
                <w:left w:val="none" w:sz="0" w:space="0" w:color="auto"/>
                <w:bottom w:val="none" w:sz="0" w:space="0" w:color="auto"/>
                <w:right w:val="none" w:sz="0" w:space="0" w:color="auto"/>
              </w:divBdr>
            </w:div>
            <w:div w:id="1039620973">
              <w:marLeft w:val="0"/>
              <w:marRight w:val="0"/>
              <w:marTop w:val="0"/>
              <w:marBottom w:val="0"/>
              <w:divBdr>
                <w:top w:val="none" w:sz="0" w:space="0" w:color="auto"/>
                <w:left w:val="none" w:sz="0" w:space="0" w:color="auto"/>
                <w:bottom w:val="none" w:sz="0" w:space="0" w:color="auto"/>
                <w:right w:val="none" w:sz="0" w:space="0" w:color="auto"/>
              </w:divBdr>
            </w:div>
            <w:div w:id="1166239394">
              <w:marLeft w:val="0"/>
              <w:marRight w:val="0"/>
              <w:marTop w:val="0"/>
              <w:marBottom w:val="0"/>
              <w:divBdr>
                <w:top w:val="none" w:sz="0" w:space="0" w:color="auto"/>
                <w:left w:val="none" w:sz="0" w:space="0" w:color="auto"/>
                <w:bottom w:val="none" w:sz="0" w:space="0" w:color="auto"/>
                <w:right w:val="none" w:sz="0" w:space="0" w:color="auto"/>
              </w:divBdr>
            </w:div>
            <w:div w:id="1175264189">
              <w:marLeft w:val="0"/>
              <w:marRight w:val="0"/>
              <w:marTop w:val="0"/>
              <w:marBottom w:val="0"/>
              <w:divBdr>
                <w:top w:val="none" w:sz="0" w:space="0" w:color="auto"/>
                <w:left w:val="none" w:sz="0" w:space="0" w:color="auto"/>
                <w:bottom w:val="none" w:sz="0" w:space="0" w:color="auto"/>
                <w:right w:val="none" w:sz="0" w:space="0" w:color="auto"/>
              </w:divBdr>
            </w:div>
            <w:div w:id="1242761983">
              <w:marLeft w:val="0"/>
              <w:marRight w:val="0"/>
              <w:marTop w:val="0"/>
              <w:marBottom w:val="0"/>
              <w:divBdr>
                <w:top w:val="none" w:sz="0" w:space="0" w:color="auto"/>
                <w:left w:val="none" w:sz="0" w:space="0" w:color="auto"/>
                <w:bottom w:val="none" w:sz="0" w:space="0" w:color="auto"/>
                <w:right w:val="none" w:sz="0" w:space="0" w:color="auto"/>
              </w:divBdr>
            </w:div>
            <w:div w:id="1247303968">
              <w:marLeft w:val="0"/>
              <w:marRight w:val="0"/>
              <w:marTop w:val="0"/>
              <w:marBottom w:val="0"/>
              <w:divBdr>
                <w:top w:val="none" w:sz="0" w:space="0" w:color="auto"/>
                <w:left w:val="none" w:sz="0" w:space="0" w:color="auto"/>
                <w:bottom w:val="none" w:sz="0" w:space="0" w:color="auto"/>
                <w:right w:val="none" w:sz="0" w:space="0" w:color="auto"/>
              </w:divBdr>
            </w:div>
            <w:div w:id="1257905817">
              <w:marLeft w:val="0"/>
              <w:marRight w:val="0"/>
              <w:marTop w:val="0"/>
              <w:marBottom w:val="0"/>
              <w:divBdr>
                <w:top w:val="none" w:sz="0" w:space="0" w:color="auto"/>
                <w:left w:val="none" w:sz="0" w:space="0" w:color="auto"/>
                <w:bottom w:val="none" w:sz="0" w:space="0" w:color="auto"/>
                <w:right w:val="none" w:sz="0" w:space="0" w:color="auto"/>
              </w:divBdr>
            </w:div>
            <w:div w:id="1391881393">
              <w:marLeft w:val="0"/>
              <w:marRight w:val="0"/>
              <w:marTop w:val="0"/>
              <w:marBottom w:val="0"/>
              <w:divBdr>
                <w:top w:val="none" w:sz="0" w:space="0" w:color="auto"/>
                <w:left w:val="none" w:sz="0" w:space="0" w:color="auto"/>
                <w:bottom w:val="none" w:sz="0" w:space="0" w:color="auto"/>
                <w:right w:val="none" w:sz="0" w:space="0" w:color="auto"/>
              </w:divBdr>
            </w:div>
            <w:div w:id="1597008910">
              <w:marLeft w:val="0"/>
              <w:marRight w:val="0"/>
              <w:marTop w:val="0"/>
              <w:marBottom w:val="0"/>
              <w:divBdr>
                <w:top w:val="none" w:sz="0" w:space="0" w:color="auto"/>
                <w:left w:val="none" w:sz="0" w:space="0" w:color="auto"/>
                <w:bottom w:val="none" w:sz="0" w:space="0" w:color="auto"/>
                <w:right w:val="none" w:sz="0" w:space="0" w:color="auto"/>
              </w:divBdr>
            </w:div>
            <w:div w:id="1636595558">
              <w:marLeft w:val="0"/>
              <w:marRight w:val="0"/>
              <w:marTop w:val="0"/>
              <w:marBottom w:val="0"/>
              <w:divBdr>
                <w:top w:val="none" w:sz="0" w:space="0" w:color="auto"/>
                <w:left w:val="none" w:sz="0" w:space="0" w:color="auto"/>
                <w:bottom w:val="none" w:sz="0" w:space="0" w:color="auto"/>
                <w:right w:val="none" w:sz="0" w:space="0" w:color="auto"/>
              </w:divBdr>
            </w:div>
            <w:div w:id="1671787972">
              <w:marLeft w:val="0"/>
              <w:marRight w:val="0"/>
              <w:marTop w:val="0"/>
              <w:marBottom w:val="0"/>
              <w:divBdr>
                <w:top w:val="none" w:sz="0" w:space="0" w:color="auto"/>
                <w:left w:val="none" w:sz="0" w:space="0" w:color="auto"/>
                <w:bottom w:val="none" w:sz="0" w:space="0" w:color="auto"/>
                <w:right w:val="none" w:sz="0" w:space="0" w:color="auto"/>
              </w:divBdr>
            </w:div>
            <w:div w:id="1841432051">
              <w:marLeft w:val="0"/>
              <w:marRight w:val="0"/>
              <w:marTop w:val="0"/>
              <w:marBottom w:val="0"/>
              <w:divBdr>
                <w:top w:val="none" w:sz="0" w:space="0" w:color="auto"/>
                <w:left w:val="none" w:sz="0" w:space="0" w:color="auto"/>
                <w:bottom w:val="none" w:sz="0" w:space="0" w:color="auto"/>
                <w:right w:val="none" w:sz="0" w:space="0" w:color="auto"/>
              </w:divBdr>
            </w:div>
            <w:div w:id="1855731771">
              <w:marLeft w:val="0"/>
              <w:marRight w:val="0"/>
              <w:marTop w:val="0"/>
              <w:marBottom w:val="0"/>
              <w:divBdr>
                <w:top w:val="none" w:sz="0" w:space="0" w:color="auto"/>
                <w:left w:val="none" w:sz="0" w:space="0" w:color="auto"/>
                <w:bottom w:val="none" w:sz="0" w:space="0" w:color="auto"/>
                <w:right w:val="none" w:sz="0" w:space="0" w:color="auto"/>
              </w:divBdr>
            </w:div>
            <w:div w:id="1996835076">
              <w:marLeft w:val="0"/>
              <w:marRight w:val="0"/>
              <w:marTop w:val="0"/>
              <w:marBottom w:val="0"/>
              <w:divBdr>
                <w:top w:val="none" w:sz="0" w:space="0" w:color="auto"/>
                <w:left w:val="none" w:sz="0" w:space="0" w:color="auto"/>
                <w:bottom w:val="none" w:sz="0" w:space="0" w:color="auto"/>
                <w:right w:val="none" w:sz="0" w:space="0" w:color="auto"/>
              </w:divBdr>
            </w:div>
          </w:divsChild>
        </w:div>
        <w:div w:id="926301928">
          <w:marLeft w:val="0"/>
          <w:marRight w:val="0"/>
          <w:marTop w:val="0"/>
          <w:marBottom w:val="0"/>
          <w:divBdr>
            <w:top w:val="none" w:sz="0" w:space="0" w:color="auto"/>
            <w:left w:val="none" w:sz="0" w:space="0" w:color="auto"/>
            <w:bottom w:val="none" w:sz="0" w:space="0" w:color="auto"/>
            <w:right w:val="none" w:sz="0" w:space="0" w:color="auto"/>
          </w:divBdr>
          <w:divsChild>
            <w:div w:id="1010448248">
              <w:marLeft w:val="0"/>
              <w:marRight w:val="0"/>
              <w:marTop w:val="0"/>
              <w:marBottom w:val="0"/>
              <w:divBdr>
                <w:top w:val="none" w:sz="0" w:space="0" w:color="auto"/>
                <w:left w:val="none" w:sz="0" w:space="0" w:color="auto"/>
                <w:bottom w:val="none" w:sz="0" w:space="0" w:color="auto"/>
                <w:right w:val="none" w:sz="0" w:space="0" w:color="auto"/>
              </w:divBdr>
            </w:div>
            <w:div w:id="1130323075">
              <w:marLeft w:val="0"/>
              <w:marRight w:val="0"/>
              <w:marTop w:val="0"/>
              <w:marBottom w:val="0"/>
              <w:divBdr>
                <w:top w:val="none" w:sz="0" w:space="0" w:color="auto"/>
                <w:left w:val="none" w:sz="0" w:space="0" w:color="auto"/>
                <w:bottom w:val="none" w:sz="0" w:space="0" w:color="auto"/>
                <w:right w:val="none" w:sz="0" w:space="0" w:color="auto"/>
              </w:divBdr>
            </w:div>
            <w:div w:id="1760327129">
              <w:marLeft w:val="0"/>
              <w:marRight w:val="0"/>
              <w:marTop w:val="0"/>
              <w:marBottom w:val="0"/>
              <w:divBdr>
                <w:top w:val="none" w:sz="0" w:space="0" w:color="auto"/>
                <w:left w:val="none" w:sz="0" w:space="0" w:color="auto"/>
                <w:bottom w:val="none" w:sz="0" w:space="0" w:color="auto"/>
                <w:right w:val="none" w:sz="0" w:space="0" w:color="auto"/>
              </w:divBdr>
            </w:div>
          </w:divsChild>
        </w:div>
        <w:div w:id="1105493393">
          <w:marLeft w:val="0"/>
          <w:marRight w:val="0"/>
          <w:marTop w:val="0"/>
          <w:marBottom w:val="0"/>
          <w:divBdr>
            <w:top w:val="none" w:sz="0" w:space="0" w:color="auto"/>
            <w:left w:val="none" w:sz="0" w:space="0" w:color="auto"/>
            <w:bottom w:val="none" w:sz="0" w:space="0" w:color="auto"/>
            <w:right w:val="none" w:sz="0" w:space="0" w:color="auto"/>
          </w:divBdr>
          <w:divsChild>
            <w:div w:id="220944315">
              <w:marLeft w:val="0"/>
              <w:marRight w:val="0"/>
              <w:marTop w:val="0"/>
              <w:marBottom w:val="0"/>
              <w:divBdr>
                <w:top w:val="none" w:sz="0" w:space="0" w:color="auto"/>
                <w:left w:val="none" w:sz="0" w:space="0" w:color="auto"/>
                <w:bottom w:val="none" w:sz="0" w:space="0" w:color="auto"/>
                <w:right w:val="none" w:sz="0" w:space="0" w:color="auto"/>
              </w:divBdr>
            </w:div>
            <w:div w:id="231040339">
              <w:marLeft w:val="0"/>
              <w:marRight w:val="0"/>
              <w:marTop w:val="0"/>
              <w:marBottom w:val="0"/>
              <w:divBdr>
                <w:top w:val="none" w:sz="0" w:space="0" w:color="auto"/>
                <w:left w:val="none" w:sz="0" w:space="0" w:color="auto"/>
                <w:bottom w:val="none" w:sz="0" w:space="0" w:color="auto"/>
                <w:right w:val="none" w:sz="0" w:space="0" w:color="auto"/>
              </w:divBdr>
            </w:div>
            <w:div w:id="259030437">
              <w:marLeft w:val="0"/>
              <w:marRight w:val="0"/>
              <w:marTop w:val="0"/>
              <w:marBottom w:val="0"/>
              <w:divBdr>
                <w:top w:val="none" w:sz="0" w:space="0" w:color="auto"/>
                <w:left w:val="none" w:sz="0" w:space="0" w:color="auto"/>
                <w:bottom w:val="none" w:sz="0" w:space="0" w:color="auto"/>
                <w:right w:val="none" w:sz="0" w:space="0" w:color="auto"/>
              </w:divBdr>
            </w:div>
            <w:div w:id="627515328">
              <w:marLeft w:val="0"/>
              <w:marRight w:val="0"/>
              <w:marTop w:val="0"/>
              <w:marBottom w:val="0"/>
              <w:divBdr>
                <w:top w:val="none" w:sz="0" w:space="0" w:color="auto"/>
                <w:left w:val="none" w:sz="0" w:space="0" w:color="auto"/>
                <w:bottom w:val="none" w:sz="0" w:space="0" w:color="auto"/>
                <w:right w:val="none" w:sz="0" w:space="0" w:color="auto"/>
              </w:divBdr>
            </w:div>
            <w:div w:id="675612731">
              <w:marLeft w:val="0"/>
              <w:marRight w:val="0"/>
              <w:marTop w:val="0"/>
              <w:marBottom w:val="0"/>
              <w:divBdr>
                <w:top w:val="none" w:sz="0" w:space="0" w:color="auto"/>
                <w:left w:val="none" w:sz="0" w:space="0" w:color="auto"/>
                <w:bottom w:val="none" w:sz="0" w:space="0" w:color="auto"/>
                <w:right w:val="none" w:sz="0" w:space="0" w:color="auto"/>
              </w:divBdr>
            </w:div>
            <w:div w:id="687100258">
              <w:marLeft w:val="0"/>
              <w:marRight w:val="0"/>
              <w:marTop w:val="0"/>
              <w:marBottom w:val="0"/>
              <w:divBdr>
                <w:top w:val="none" w:sz="0" w:space="0" w:color="auto"/>
                <w:left w:val="none" w:sz="0" w:space="0" w:color="auto"/>
                <w:bottom w:val="none" w:sz="0" w:space="0" w:color="auto"/>
                <w:right w:val="none" w:sz="0" w:space="0" w:color="auto"/>
              </w:divBdr>
            </w:div>
            <w:div w:id="750465631">
              <w:marLeft w:val="0"/>
              <w:marRight w:val="0"/>
              <w:marTop w:val="0"/>
              <w:marBottom w:val="0"/>
              <w:divBdr>
                <w:top w:val="none" w:sz="0" w:space="0" w:color="auto"/>
                <w:left w:val="none" w:sz="0" w:space="0" w:color="auto"/>
                <w:bottom w:val="none" w:sz="0" w:space="0" w:color="auto"/>
                <w:right w:val="none" w:sz="0" w:space="0" w:color="auto"/>
              </w:divBdr>
            </w:div>
            <w:div w:id="881672635">
              <w:marLeft w:val="0"/>
              <w:marRight w:val="0"/>
              <w:marTop w:val="0"/>
              <w:marBottom w:val="0"/>
              <w:divBdr>
                <w:top w:val="none" w:sz="0" w:space="0" w:color="auto"/>
                <w:left w:val="none" w:sz="0" w:space="0" w:color="auto"/>
                <w:bottom w:val="none" w:sz="0" w:space="0" w:color="auto"/>
                <w:right w:val="none" w:sz="0" w:space="0" w:color="auto"/>
              </w:divBdr>
            </w:div>
            <w:div w:id="960962550">
              <w:marLeft w:val="0"/>
              <w:marRight w:val="0"/>
              <w:marTop w:val="0"/>
              <w:marBottom w:val="0"/>
              <w:divBdr>
                <w:top w:val="none" w:sz="0" w:space="0" w:color="auto"/>
                <w:left w:val="none" w:sz="0" w:space="0" w:color="auto"/>
                <w:bottom w:val="none" w:sz="0" w:space="0" w:color="auto"/>
                <w:right w:val="none" w:sz="0" w:space="0" w:color="auto"/>
              </w:divBdr>
            </w:div>
            <w:div w:id="1100486546">
              <w:marLeft w:val="0"/>
              <w:marRight w:val="0"/>
              <w:marTop w:val="0"/>
              <w:marBottom w:val="0"/>
              <w:divBdr>
                <w:top w:val="none" w:sz="0" w:space="0" w:color="auto"/>
                <w:left w:val="none" w:sz="0" w:space="0" w:color="auto"/>
                <w:bottom w:val="none" w:sz="0" w:space="0" w:color="auto"/>
                <w:right w:val="none" w:sz="0" w:space="0" w:color="auto"/>
              </w:divBdr>
            </w:div>
            <w:div w:id="1118187138">
              <w:marLeft w:val="0"/>
              <w:marRight w:val="0"/>
              <w:marTop w:val="0"/>
              <w:marBottom w:val="0"/>
              <w:divBdr>
                <w:top w:val="none" w:sz="0" w:space="0" w:color="auto"/>
                <w:left w:val="none" w:sz="0" w:space="0" w:color="auto"/>
                <w:bottom w:val="none" w:sz="0" w:space="0" w:color="auto"/>
                <w:right w:val="none" w:sz="0" w:space="0" w:color="auto"/>
              </w:divBdr>
            </w:div>
            <w:div w:id="1199928610">
              <w:marLeft w:val="0"/>
              <w:marRight w:val="0"/>
              <w:marTop w:val="0"/>
              <w:marBottom w:val="0"/>
              <w:divBdr>
                <w:top w:val="none" w:sz="0" w:space="0" w:color="auto"/>
                <w:left w:val="none" w:sz="0" w:space="0" w:color="auto"/>
                <w:bottom w:val="none" w:sz="0" w:space="0" w:color="auto"/>
                <w:right w:val="none" w:sz="0" w:space="0" w:color="auto"/>
              </w:divBdr>
            </w:div>
            <w:div w:id="1204832393">
              <w:marLeft w:val="0"/>
              <w:marRight w:val="0"/>
              <w:marTop w:val="0"/>
              <w:marBottom w:val="0"/>
              <w:divBdr>
                <w:top w:val="none" w:sz="0" w:space="0" w:color="auto"/>
                <w:left w:val="none" w:sz="0" w:space="0" w:color="auto"/>
                <w:bottom w:val="none" w:sz="0" w:space="0" w:color="auto"/>
                <w:right w:val="none" w:sz="0" w:space="0" w:color="auto"/>
              </w:divBdr>
            </w:div>
            <w:div w:id="1207450040">
              <w:marLeft w:val="0"/>
              <w:marRight w:val="0"/>
              <w:marTop w:val="0"/>
              <w:marBottom w:val="0"/>
              <w:divBdr>
                <w:top w:val="none" w:sz="0" w:space="0" w:color="auto"/>
                <w:left w:val="none" w:sz="0" w:space="0" w:color="auto"/>
                <w:bottom w:val="none" w:sz="0" w:space="0" w:color="auto"/>
                <w:right w:val="none" w:sz="0" w:space="0" w:color="auto"/>
              </w:divBdr>
            </w:div>
            <w:div w:id="1246262228">
              <w:marLeft w:val="0"/>
              <w:marRight w:val="0"/>
              <w:marTop w:val="0"/>
              <w:marBottom w:val="0"/>
              <w:divBdr>
                <w:top w:val="none" w:sz="0" w:space="0" w:color="auto"/>
                <w:left w:val="none" w:sz="0" w:space="0" w:color="auto"/>
                <w:bottom w:val="none" w:sz="0" w:space="0" w:color="auto"/>
                <w:right w:val="none" w:sz="0" w:space="0" w:color="auto"/>
              </w:divBdr>
            </w:div>
            <w:div w:id="1253394318">
              <w:marLeft w:val="0"/>
              <w:marRight w:val="0"/>
              <w:marTop w:val="0"/>
              <w:marBottom w:val="0"/>
              <w:divBdr>
                <w:top w:val="none" w:sz="0" w:space="0" w:color="auto"/>
                <w:left w:val="none" w:sz="0" w:space="0" w:color="auto"/>
                <w:bottom w:val="none" w:sz="0" w:space="0" w:color="auto"/>
                <w:right w:val="none" w:sz="0" w:space="0" w:color="auto"/>
              </w:divBdr>
            </w:div>
            <w:div w:id="1300763718">
              <w:marLeft w:val="0"/>
              <w:marRight w:val="0"/>
              <w:marTop w:val="0"/>
              <w:marBottom w:val="0"/>
              <w:divBdr>
                <w:top w:val="none" w:sz="0" w:space="0" w:color="auto"/>
                <w:left w:val="none" w:sz="0" w:space="0" w:color="auto"/>
                <w:bottom w:val="none" w:sz="0" w:space="0" w:color="auto"/>
                <w:right w:val="none" w:sz="0" w:space="0" w:color="auto"/>
              </w:divBdr>
            </w:div>
            <w:div w:id="1567060930">
              <w:marLeft w:val="0"/>
              <w:marRight w:val="0"/>
              <w:marTop w:val="0"/>
              <w:marBottom w:val="0"/>
              <w:divBdr>
                <w:top w:val="none" w:sz="0" w:space="0" w:color="auto"/>
                <w:left w:val="none" w:sz="0" w:space="0" w:color="auto"/>
                <w:bottom w:val="none" w:sz="0" w:space="0" w:color="auto"/>
                <w:right w:val="none" w:sz="0" w:space="0" w:color="auto"/>
              </w:divBdr>
            </w:div>
            <w:div w:id="1672295561">
              <w:marLeft w:val="0"/>
              <w:marRight w:val="0"/>
              <w:marTop w:val="0"/>
              <w:marBottom w:val="0"/>
              <w:divBdr>
                <w:top w:val="none" w:sz="0" w:space="0" w:color="auto"/>
                <w:left w:val="none" w:sz="0" w:space="0" w:color="auto"/>
                <w:bottom w:val="none" w:sz="0" w:space="0" w:color="auto"/>
                <w:right w:val="none" w:sz="0" w:space="0" w:color="auto"/>
              </w:divBdr>
            </w:div>
            <w:div w:id="1770465204">
              <w:marLeft w:val="0"/>
              <w:marRight w:val="0"/>
              <w:marTop w:val="0"/>
              <w:marBottom w:val="0"/>
              <w:divBdr>
                <w:top w:val="none" w:sz="0" w:space="0" w:color="auto"/>
                <w:left w:val="none" w:sz="0" w:space="0" w:color="auto"/>
                <w:bottom w:val="none" w:sz="0" w:space="0" w:color="auto"/>
                <w:right w:val="none" w:sz="0" w:space="0" w:color="auto"/>
              </w:divBdr>
            </w:div>
          </w:divsChild>
        </w:div>
        <w:div w:id="1900625209">
          <w:marLeft w:val="0"/>
          <w:marRight w:val="0"/>
          <w:marTop w:val="0"/>
          <w:marBottom w:val="0"/>
          <w:divBdr>
            <w:top w:val="none" w:sz="0" w:space="0" w:color="auto"/>
            <w:left w:val="none" w:sz="0" w:space="0" w:color="auto"/>
            <w:bottom w:val="none" w:sz="0" w:space="0" w:color="auto"/>
            <w:right w:val="none" w:sz="0" w:space="0" w:color="auto"/>
          </w:divBdr>
          <w:divsChild>
            <w:div w:id="66539735">
              <w:marLeft w:val="0"/>
              <w:marRight w:val="0"/>
              <w:marTop w:val="0"/>
              <w:marBottom w:val="0"/>
              <w:divBdr>
                <w:top w:val="none" w:sz="0" w:space="0" w:color="auto"/>
                <w:left w:val="none" w:sz="0" w:space="0" w:color="auto"/>
                <w:bottom w:val="none" w:sz="0" w:space="0" w:color="auto"/>
                <w:right w:val="none" w:sz="0" w:space="0" w:color="auto"/>
              </w:divBdr>
            </w:div>
            <w:div w:id="348678110">
              <w:marLeft w:val="0"/>
              <w:marRight w:val="0"/>
              <w:marTop w:val="0"/>
              <w:marBottom w:val="0"/>
              <w:divBdr>
                <w:top w:val="none" w:sz="0" w:space="0" w:color="auto"/>
                <w:left w:val="none" w:sz="0" w:space="0" w:color="auto"/>
                <w:bottom w:val="none" w:sz="0" w:space="0" w:color="auto"/>
                <w:right w:val="none" w:sz="0" w:space="0" w:color="auto"/>
              </w:divBdr>
            </w:div>
            <w:div w:id="632752981">
              <w:marLeft w:val="0"/>
              <w:marRight w:val="0"/>
              <w:marTop w:val="0"/>
              <w:marBottom w:val="0"/>
              <w:divBdr>
                <w:top w:val="none" w:sz="0" w:space="0" w:color="auto"/>
                <w:left w:val="none" w:sz="0" w:space="0" w:color="auto"/>
                <w:bottom w:val="none" w:sz="0" w:space="0" w:color="auto"/>
                <w:right w:val="none" w:sz="0" w:space="0" w:color="auto"/>
              </w:divBdr>
            </w:div>
            <w:div w:id="660471989">
              <w:marLeft w:val="0"/>
              <w:marRight w:val="0"/>
              <w:marTop w:val="0"/>
              <w:marBottom w:val="0"/>
              <w:divBdr>
                <w:top w:val="none" w:sz="0" w:space="0" w:color="auto"/>
                <w:left w:val="none" w:sz="0" w:space="0" w:color="auto"/>
                <w:bottom w:val="none" w:sz="0" w:space="0" w:color="auto"/>
                <w:right w:val="none" w:sz="0" w:space="0" w:color="auto"/>
              </w:divBdr>
            </w:div>
            <w:div w:id="748312788">
              <w:marLeft w:val="0"/>
              <w:marRight w:val="0"/>
              <w:marTop w:val="0"/>
              <w:marBottom w:val="0"/>
              <w:divBdr>
                <w:top w:val="none" w:sz="0" w:space="0" w:color="auto"/>
                <w:left w:val="none" w:sz="0" w:space="0" w:color="auto"/>
                <w:bottom w:val="none" w:sz="0" w:space="0" w:color="auto"/>
                <w:right w:val="none" w:sz="0" w:space="0" w:color="auto"/>
              </w:divBdr>
            </w:div>
            <w:div w:id="911500503">
              <w:marLeft w:val="0"/>
              <w:marRight w:val="0"/>
              <w:marTop w:val="0"/>
              <w:marBottom w:val="0"/>
              <w:divBdr>
                <w:top w:val="none" w:sz="0" w:space="0" w:color="auto"/>
                <w:left w:val="none" w:sz="0" w:space="0" w:color="auto"/>
                <w:bottom w:val="none" w:sz="0" w:space="0" w:color="auto"/>
                <w:right w:val="none" w:sz="0" w:space="0" w:color="auto"/>
              </w:divBdr>
            </w:div>
            <w:div w:id="983892371">
              <w:marLeft w:val="0"/>
              <w:marRight w:val="0"/>
              <w:marTop w:val="0"/>
              <w:marBottom w:val="0"/>
              <w:divBdr>
                <w:top w:val="none" w:sz="0" w:space="0" w:color="auto"/>
                <w:left w:val="none" w:sz="0" w:space="0" w:color="auto"/>
                <w:bottom w:val="none" w:sz="0" w:space="0" w:color="auto"/>
                <w:right w:val="none" w:sz="0" w:space="0" w:color="auto"/>
              </w:divBdr>
            </w:div>
            <w:div w:id="1025716135">
              <w:marLeft w:val="0"/>
              <w:marRight w:val="0"/>
              <w:marTop w:val="0"/>
              <w:marBottom w:val="0"/>
              <w:divBdr>
                <w:top w:val="none" w:sz="0" w:space="0" w:color="auto"/>
                <w:left w:val="none" w:sz="0" w:space="0" w:color="auto"/>
                <w:bottom w:val="none" w:sz="0" w:space="0" w:color="auto"/>
                <w:right w:val="none" w:sz="0" w:space="0" w:color="auto"/>
              </w:divBdr>
            </w:div>
            <w:div w:id="1078330774">
              <w:marLeft w:val="0"/>
              <w:marRight w:val="0"/>
              <w:marTop w:val="0"/>
              <w:marBottom w:val="0"/>
              <w:divBdr>
                <w:top w:val="none" w:sz="0" w:space="0" w:color="auto"/>
                <w:left w:val="none" w:sz="0" w:space="0" w:color="auto"/>
                <w:bottom w:val="none" w:sz="0" w:space="0" w:color="auto"/>
                <w:right w:val="none" w:sz="0" w:space="0" w:color="auto"/>
              </w:divBdr>
            </w:div>
            <w:div w:id="1183786368">
              <w:marLeft w:val="0"/>
              <w:marRight w:val="0"/>
              <w:marTop w:val="0"/>
              <w:marBottom w:val="0"/>
              <w:divBdr>
                <w:top w:val="none" w:sz="0" w:space="0" w:color="auto"/>
                <w:left w:val="none" w:sz="0" w:space="0" w:color="auto"/>
                <w:bottom w:val="none" w:sz="0" w:space="0" w:color="auto"/>
                <w:right w:val="none" w:sz="0" w:space="0" w:color="auto"/>
              </w:divBdr>
            </w:div>
            <w:div w:id="1263103887">
              <w:marLeft w:val="0"/>
              <w:marRight w:val="0"/>
              <w:marTop w:val="0"/>
              <w:marBottom w:val="0"/>
              <w:divBdr>
                <w:top w:val="none" w:sz="0" w:space="0" w:color="auto"/>
                <w:left w:val="none" w:sz="0" w:space="0" w:color="auto"/>
                <w:bottom w:val="none" w:sz="0" w:space="0" w:color="auto"/>
                <w:right w:val="none" w:sz="0" w:space="0" w:color="auto"/>
              </w:divBdr>
            </w:div>
            <w:div w:id="1288511428">
              <w:marLeft w:val="0"/>
              <w:marRight w:val="0"/>
              <w:marTop w:val="0"/>
              <w:marBottom w:val="0"/>
              <w:divBdr>
                <w:top w:val="none" w:sz="0" w:space="0" w:color="auto"/>
                <w:left w:val="none" w:sz="0" w:space="0" w:color="auto"/>
                <w:bottom w:val="none" w:sz="0" w:space="0" w:color="auto"/>
                <w:right w:val="none" w:sz="0" w:space="0" w:color="auto"/>
              </w:divBdr>
            </w:div>
            <w:div w:id="1401707328">
              <w:marLeft w:val="0"/>
              <w:marRight w:val="0"/>
              <w:marTop w:val="0"/>
              <w:marBottom w:val="0"/>
              <w:divBdr>
                <w:top w:val="none" w:sz="0" w:space="0" w:color="auto"/>
                <w:left w:val="none" w:sz="0" w:space="0" w:color="auto"/>
                <w:bottom w:val="none" w:sz="0" w:space="0" w:color="auto"/>
                <w:right w:val="none" w:sz="0" w:space="0" w:color="auto"/>
              </w:divBdr>
            </w:div>
            <w:div w:id="1536115137">
              <w:marLeft w:val="0"/>
              <w:marRight w:val="0"/>
              <w:marTop w:val="0"/>
              <w:marBottom w:val="0"/>
              <w:divBdr>
                <w:top w:val="none" w:sz="0" w:space="0" w:color="auto"/>
                <w:left w:val="none" w:sz="0" w:space="0" w:color="auto"/>
                <w:bottom w:val="none" w:sz="0" w:space="0" w:color="auto"/>
                <w:right w:val="none" w:sz="0" w:space="0" w:color="auto"/>
              </w:divBdr>
            </w:div>
            <w:div w:id="1568687420">
              <w:marLeft w:val="0"/>
              <w:marRight w:val="0"/>
              <w:marTop w:val="0"/>
              <w:marBottom w:val="0"/>
              <w:divBdr>
                <w:top w:val="none" w:sz="0" w:space="0" w:color="auto"/>
                <w:left w:val="none" w:sz="0" w:space="0" w:color="auto"/>
                <w:bottom w:val="none" w:sz="0" w:space="0" w:color="auto"/>
                <w:right w:val="none" w:sz="0" w:space="0" w:color="auto"/>
              </w:divBdr>
            </w:div>
            <w:div w:id="1592348738">
              <w:marLeft w:val="0"/>
              <w:marRight w:val="0"/>
              <w:marTop w:val="0"/>
              <w:marBottom w:val="0"/>
              <w:divBdr>
                <w:top w:val="none" w:sz="0" w:space="0" w:color="auto"/>
                <w:left w:val="none" w:sz="0" w:space="0" w:color="auto"/>
                <w:bottom w:val="none" w:sz="0" w:space="0" w:color="auto"/>
                <w:right w:val="none" w:sz="0" w:space="0" w:color="auto"/>
              </w:divBdr>
            </w:div>
            <w:div w:id="1638799507">
              <w:marLeft w:val="0"/>
              <w:marRight w:val="0"/>
              <w:marTop w:val="0"/>
              <w:marBottom w:val="0"/>
              <w:divBdr>
                <w:top w:val="none" w:sz="0" w:space="0" w:color="auto"/>
                <w:left w:val="none" w:sz="0" w:space="0" w:color="auto"/>
                <w:bottom w:val="none" w:sz="0" w:space="0" w:color="auto"/>
                <w:right w:val="none" w:sz="0" w:space="0" w:color="auto"/>
              </w:divBdr>
            </w:div>
            <w:div w:id="1779178565">
              <w:marLeft w:val="0"/>
              <w:marRight w:val="0"/>
              <w:marTop w:val="0"/>
              <w:marBottom w:val="0"/>
              <w:divBdr>
                <w:top w:val="none" w:sz="0" w:space="0" w:color="auto"/>
                <w:left w:val="none" w:sz="0" w:space="0" w:color="auto"/>
                <w:bottom w:val="none" w:sz="0" w:space="0" w:color="auto"/>
                <w:right w:val="none" w:sz="0" w:space="0" w:color="auto"/>
              </w:divBdr>
            </w:div>
            <w:div w:id="1942906876">
              <w:marLeft w:val="0"/>
              <w:marRight w:val="0"/>
              <w:marTop w:val="0"/>
              <w:marBottom w:val="0"/>
              <w:divBdr>
                <w:top w:val="none" w:sz="0" w:space="0" w:color="auto"/>
                <w:left w:val="none" w:sz="0" w:space="0" w:color="auto"/>
                <w:bottom w:val="none" w:sz="0" w:space="0" w:color="auto"/>
                <w:right w:val="none" w:sz="0" w:space="0" w:color="auto"/>
              </w:divBdr>
            </w:div>
            <w:div w:id="20712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9235">
      <w:bodyDiv w:val="1"/>
      <w:marLeft w:val="0"/>
      <w:marRight w:val="0"/>
      <w:marTop w:val="0"/>
      <w:marBottom w:val="0"/>
      <w:divBdr>
        <w:top w:val="none" w:sz="0" w:space="0" w:color="auto"/>
        <w:left w:val="none" w:sz="0" w:space="0" w:color="auto"/>
        <w:bottom w:val="none" w:sz="0" w:space="0" w:color="auto"/>
        <w:right w:val="none" w:sz="0" w:space="0" w:color="auto"/>
      </w:divBdr>
    </w:div>
    <w:div w:id="1953396394">
      <w:bodyDiv w:val="1"/>
      <w:marLeft w:val="0"/>
      <w:marRight w:val="0"/>
      <w:marTop w:val="0"/>
      <w:marBottom w:val="0"/>
      <w:divBdr>
        <w:top w:val="none" w:sz="0" w:space="0" w:color="auto"/>
        <w:left w:val="none" w:sz="0" w:space="0" w:color="auto"/>
        <w:bottom w:val="none" w:sz="0" w:space="0" w:color="auto"/>
        <w:right w:val="none" w:sz="0" w:space="0" w:color="auto"/>
      </w:divBdr>
      <w:divsChild>
        <w:div w:id="162791509">
          <w:marLeft w:val="547"/>
          <w:marRight w:val="0"/>
          <w:marTop w:val="0"/>
          <w:marBottom w:val="0"/>
          <w:divBdr>
            <w:top w:val="none" w:sz="0" w:space="0" w:color="auto"/>
            <w:left w:val="none" w:sz="0" w:space="0" w:color="auto"/>
            <w:bottom w:val="none" w:sz="0" w:space="0" w:color="auto"/>
            <w:right w:val="none" w:sz="0" w:space="0" w:color="auto"/>
          </w:divBdr>
        </w:div>
        <w:div w:id="258373724">
          <w:marLeft w:val="547"/>
          <w:marRight w:val="0"/>
          <w:marTop w:val="0"/>
          <w:marBottom w:val="0"/>
          <w:divBdr>
            <w:top w:val="none" w:sz="0" w:space="0" w:color="auto"/>
            <w:left w:val="none" w:sz="0" w:space="0" w:color="auto"/>
            <w:bottom w:val="none" w:sz="0" w:space="0" w:color="auto"/>
            <w:right w:val="none" w:sz="0" w:space="0" w:color="auto"/>
          </w:divBdr>
        </w:div>
        <w:div w:id="1190100855">
          <w:marLeft w:val="547"/>
          <w:marRight w:val="0"/>
          <w:marTop w:val="0"/>
          <w:marBottom w:val="160"/>
          <w:divBdr>
            <w:top w:val="none" w:sz="0" w:space="0" w:color="auto"/>
            <w:left w:val="none" w:sz="0" w:space="0" w:color="auto"/>
            <w:bottom w:val="none" w:sz="0" w:space="0" w:color="auto"/>
            <w:right w:val="none" w:sz="0" w:space="0" w:color="auto"/>
          </w:divBdr>
        </w:div>
        <w:div w:id="1262950121">
          <w:marLeft w:val="547"/>
          <w:marRight w:val="0"/>
          <w:marTop w:val="0"/>
          <w:marBottom w:val="0"/>
          <w:divBdr>
            <w:top w:val="none" w:sz="0" w:space="0" w:color="auto"/>
            <w:left w:val="none" w:sz="0" w:space="0" w:color="auto"/>
            <w:bottom w:val="none" w:sz="0" w:space="0" w:color="auto"/>
            <w:right w:val="none" w:sz="0" w:space="0" w:color="auto"/>
          </w:divBdr>
        </w:div>
        <w:div w:id="1289626236">
          <w:marLeft w:val="547"/>
          <w:marRight w:val="0"/>
          <w:marTop w:val="0"/>
          <w:marBottom w:val="160"/>
          <w:divBdr>
            <w:top w:val="none" w:sz="0" w:space="0" w:color="auto"/>
            <w:left w:val="none" w:sz="0" w:space="0" w:color="auto"/>
            <w:bottom w:val="none" w:sz="0" w:space="0" w:color="auto"/>
            <w:right w:val="none" w:sz="0" w:space="0" w:color="auto"/>
          </w:divBdr>
        </w:div>
        <w:div w:id="1804300443">
          <w:marLeft w:val="547"/>
          <w:marRight w:val="0"/>
          <w:marTop w:val="0"/>
          <w:marBottom w:val="0"/>
          <w:divBdr>
            <w:top w:val="none" w:sz="0" w:space="0" w:color="auto"/>
            <w:left w:val="none" w:sz="0" w:space="0" w:color="auto"/>
            <w:bottom w:val="none" w:sz="0" w:space="0" w:color="auto"/>
            <w:right w:val="none" w:sz="0" w:space="0" w:color="auto"/>
          </w:divBdr>
        </w:div>
        <w:div w:id="1820803753">
          <w:marLeft w:val="547"/>
          <w:marRight w:val="0"/>
          <w:marTop w:val="0"/>
          <w:marBottom w:val="0"/>
          <w:divBdr>
            <w:top w:val="none" w:sz="0" w:space="0" w:color="auto"/>
            <w:left w:val="none" w:sz="0" w:space="0" w:color="auto"/>
            <w:bottom w:val="none" w:sz="0" w:space="0" w:color="auto"/>
            <w:right w:val="none" w:sz="0" w:space="0" w:color="auto"/>
          </w:divBdr>
        </w:div>
        <w:div w:id="1882597348">
          <w:marLeft w:val="547"/>
          <w:marRight w:val="0"/>
          <w:marTop w:val="0"/>
          <w:marBottom w:val="160"/>
          <w:divBdr>
            <w:top w:val="none" w:sz="0" w:space="0" w:color="auto"/>
            <w:left w:val="none" w:sz="0" w:space="0" w:color="auto"/>
            <w:bottom w:val="none" w:sz="0" w:space="0" w:color="auto"/>
            <w:right w:val="none" w:sz="0" w:space="0" w:color="auto"/>
          </w:divBdr>
        </w:div>
      </w:divsChild>
    </w:div>
    <w:div w:id="1956593716">
      <w:bodyDiv w:val="1"/>
      <w:marLeft w:val="0"/>
      <w:marRight w:val="0"/>
      <w:marTop w:val="0"/>
      <w:marBottom w:val="0"/>
      <w:divBdr>
        <w:top w:val="none" w:sz="0" w:space="0" w:color="auto"/>
        <w:left w:val="none" w:sz="0" w:space="0" w:color="auto"/>
        <w:bottom w:val="none" w:sz="0" w:space="0" w:color="auto"/>
        <w:right w:val="none" w:sz="0" w:space="0" w:color="auto"/>
      </w:divBdr>
      <w:divsChild>
        <w:div w:id="50927734">
          <w:marLeft w:val="0"/>
          <w:marRight w:val="0"/>
          <w:marTop w:val="0"/>
          <w:marBottom w:val="0"/>
          <w:divBdr>
            <w:top w:val="none" w:sz="0" w:space="0" w:color="auto"/>
            <w:left w:val="none" w:sz="0" w:space="0" w:color="auto"/>
            <w:bottom w:val="none" w:sz="0" w:space="0" w:color="auto"/>
            <w:right w:val="none" w:sz="0" w:space="0" w:color="auto"/>
          </w:divBdr>
        </w:div>
        <w:div w:id="83377790">
          <w:marLeft w:val="0"/>
          <w:marRight w:val="0"/>
          <w:marTop w:val="0"/>
          <w:marBottom w:val="0"/>
          <w:divBdr>
            <w:top w:val="none" w:sz="0" w:space="0" w:color="auto"/>
            <w:left w:val="none" w:sz="0" w:space="0" w:color="auto"/>
            <w:bottom w:val="none" w:sz="0" w:space="0" w:color="auto"/>
            <w:right w:val="none" w:sz="0" w:space="0" w:color="auto"/>
          </w:divBdr>
        </w:div>
        <w:div w:id="99187884">
          <w:marLeft w:val="0"/>
          <w:marRight w:val="0"/>
          <w:marTop w:val="0"/>
          <w:marBottom w:val="0"/>
          <w:divBdr>
            <w:top w:val="none" w:sz="0" w:space="0" w:color="auto"/>
            <w:left w:val="none" w:sz="0" w:space="0" w:color="auto"/>
            <w:bottom w:val="none" w:sz="0" w:space="0" w:color="auto"/>
            <w:right w:val="none" w:sz="0" w:space="0" w:color="auto"/>
          </w:divBdr>
        </w:div>
        <w:div w:id="149493241">
          <w:marLeft w:val="0"/>
          <w:marRight w:val="0"/>
          <w:marTop w:val="0"/>
          <w:marBottom w:val="0"/>
          <w:divBdr>
            <w:top w:val="none" w:sz="0" w:space="0" w:color="auto"/>
            <w:left w:val="none" w:sz="0" w:space="0" w:color="auto"/>
            <w:bottom w:val="none" w:sz="0" w:space="0" w:color="auto"/>
            <w:right w:val="none" w:sz="0" w:space="0" w:color="auto"/>
          </w:divBdr>
        </w:div>
        <w:div w:id="189612016">
          <w:marLeft w:val="0"/>
          <w:marRight w:val="0"/>
          <w:marTop w:val="0"/>
          <w:marBottom w:val="0"/>
          <w:divBdr>
            <w:top w:val="none" w:sz="0" w:space="0" w:color="auto"/>
            <w:left w:val="none" w:sz="0" w:space="0" w:color="auto"/>
            <w:bottom w:val="none" w:sz="0" w:space="0" w:color="auto"/>
            <w:right w:val="none" w:sz="0" w:space="0" w:color="auto"/>
          </w:divBdr>
        </w:div>
        <w:div w:id="206838597">
          <w:marLeft w:val="0"/>
          <w:marRight w:val="0"/>
          <w:marTop w:val="0"/>
          <w:marBottom w:val="0"/>
          <w:divBdr>
            <w:top w:val="none" w:sz="0" w:space="0" w:color="auto"/>
            <w:left w:val="none" w:sz="0" w:space="0" w:color="auto"/>
            <w:bottom w:val="none" w:sz="0" w:space="0" w:color="auto"/>
            <w:right w:val="none" w:sz="0" w:space="0" w:color="auto"/>
          </w:divBdr>
        </w:div>
        <w:div w:id="207425063">
          <w:marLeft w:val="0"/>
          <w:marRight w:val="0"/>
          <w:marTop w:val="0"/>
          <w:marBottom w:val="0"/>
          <w:divBdr>
            <w:top w:val="none" w:sz="0" w:space="0" w:color="auto"/>
            <w:left w:val="none" w:sz="0" w:space="0" w:color="auto"/>
            <w:bottom w:val="none" w:sz="0" w:space="0" w:color="auto"/>
            <w:right w:val="none" w:sz="0" w:space="0" w:color="auto"/>
          </w:divBdr>
        </w:div>
        <w:div w:id="245502405">
          <w:marLeft w:val="0"/>
          <w:marRight w:val="0"/>
          <w:marTop w:val="0"/>
          <w:marBottom w:val="0"/>
          <w:divBdr>
            <w:top w:val="none" w:sz="0" w:space="0" w:color="auto"/>
            <w:left w:val="none" w:sz="0" w:space="0" w:color="auto"/>
            <w:bottom w:val="none" w:sz="0" w:space="0" w:color="auto"/>
            <w:right w:val="none" w:sz="0" w:space="0" w:color="auto"/>
          </w:divBdr>
        </w:div>
        <w:div w:id="248389032">
          <w:marLeft w:val="0"/>
          <w:marRight w:val="0"/>
          <w:marTop w:val="0"/>
          <w:marBottom w:val="0"/>
          <w:divBdr>
            <w:top w:val="none" w:sz="0" w:space="0" w:color="auto"/>
            <w:left w:val="none" w:sz="0" w:space="0" w:color="auto"/>
            <w:bottom w:val="none" w:sz="0" w:space="0" w:color="auto"/>
            <w:right w:val="none" w:sz="0" w:space="0" w:color="auto"/>
          </w:divBdr>
        </w:div>
        <w:div w:id="258294176">
          <w:marLeft w:val="0"/>
          <w:marRight w:val="0"/>
          <w:marTop w:val="0"/>
          <w:marBottom w:val="0"/>
          <w:divBdr>
            <w:top w:val="none" w:sz="0" w:space="0" w:color="auto"/>
            <w:left w:val="none" w:sz="0" w:space="0" w:color="auto"/>
            <w:bottom w:val="none" w:sz="0" w:space="0" w:color="auto"/>
            <w:right w:val="none" w:sz="0" w:space="0" w:color="auto"/>
          </w:divBdr>
        </w:div>
        <w:div w:id="355035399">
          <w:marLeft w:val="0"/>
          <w:marRight w:val="0"/>
          <w:marTop w:val="0"/>
          <w:marBottom w:val="0"/>
          <w:divBdr>
            <w:top w:val="none" w:sz="0" w:space="0" w:color="auto"/>
            <w:left w:val="none" w:sz="0" w:space="0" w:color="auto"/>
            <w:bottom w:val="none" w:sz="0" w:space="0" w:color="auto"/>
            <w:right w:val="none" w:sz="0" w:space="0" w:color="auto"/>
          </w:divBdr>
        </w:div>
        <w:div w:id="399643573">
          <w:marLeft w:val="0"/>
          <w:marRight w:val="0"/>
          <w:marTop w:val="0"/>
          <w:marBottom w:val="0"/>
          <w:divBdr>
            <w:top w:val="none" w:sz="0" w:space="0" w:color="auto"/>
            <w:left w:val="none" w:sz="0" w:space="0" w:color="auto"/>
            <w:bottom w:val="none" w:sz="0" w:space="0" w:color="auto"/>
            <w:right w:val="none" w:sz="0" w:space="0" w:color="auto"/>
          </w:divBdr>
        </w:div>
        <w:div w:id="463232122">
          <w:marLeft w:val="0"/>
          <w:marRight w:val="0"/>
          <w:marTop w:val="0"/>
          <w:marBottom w:val="0"/>
          <w:divBdr>
            <w:top w:val="none" w:sz="0" w:space="0" w:color="auto"/>
            <w:left w:val="none" w:sz="0" w:space="0" w:color="auto"/>
            <w:bottom w:val="none" w:sz="0" w:space="0" w:color="auto"/>
            <w:right w:val="none" w:sz="0" w:space="0" w:color="auto"/>
          </w:divBdr>
        </w:div>
        <w:div w:id="495876023">
          <w:marLeft w:val="0"/>
          <w:marRight w:val="0"/>
          <w:marTop w:val="0"/>
          <w:marBottom w:val="0"/>
          <w:divBdr>
            <w:top w:val="none" w:sz="0" w:space="0" w:color="auto"/>
            <w:left w:val="none" w:sz="0" w:space="0" w:color="auto"/>
            <w:bottom w:val="none" w:sz="0" w:space="0" w:color="auto"/>
            <w:right w:val="none" w:sz="0" w:space="0" w:color="auto"/>
          </w:divBdr>
        </w:div>
        <w:div w:id="553739366">
          <w:marLeft w:val="0"/>
          <w:marRight w:val="0"/>
          <w:marTop w:val="0"/>
          <w:marBottom w:val="0"/>
          <w:divBdr>
            <w:top w:val="none" w:sz="0" w:space="0" w:color="auto"/>
            <w:left w:val="none" w:sz="0" w:space="0" w:color="auto"/>
            <w:bottom w:val="none" w:sz="0" w:space="0" w:color="auto"/>
            <w:right w:val="none" w:sz="0" w:space="0" w:color="auto"/>
          </w:divBdr>
        </w:div>
        <w:div w:id="578948437">
          <w:marLeft w:val="0"/>
          <w:marRight w:val="0"/>
          <w:marTop w:val="0"/>
          <w:marBottom w:val="0"/>
          <w:divBdr>
            <w:top w:val="none" w:sz="0" w:space="0" w:color="auto"/>
            <w:left w:val="none" w:sz="0" w:space="0" w:color="auto"/>
            <w:bottom w:val="none" w:sz="0" w:space="0" w:color="auto"/>
            <w:right w:val="none" w:sz="0" w:space="0" w:color="auto"/>
          </w:divBdr>
        </w:div>
        <w:div w:id="587076348">
          <w:marLeft w:val="0"/>
          <w:marRight w:val="0"/>
          <w:marTop w:val="0"/>
          <w:marBottom w:val="0"/>
          <w:divBdr>
            <w:top w:val="none" w:sz="0" w:space="0" w:color="auto"/>
            <w:left w:val="none" w:sz="0" w:space="0" w:color="auto"/>
            <w:bottom w:val="none" w:sz="0" w:space="0" w:color="auto"/>
            <w:right w:val="none" w:sz="0" w:space="0" w:color="auto"/>
          </w:divBdr>
        </w:div>
        <w:div w:id="630474597">
          <w:marLeft w:val="0"/>
          <w:marRight w:val="0"/>
          <w:marTop w:val="0"/>
          <w:marBottom w:val="0"/>
          <w:divBdr>
            <w:top w:val="none" w:sz="0" w:space="0" w:color="auto"/>
            <w:left w:val="none" w:sz="0" w:space="0" w:color="auto"/>
            <w:bottom w:val="none" w:sz="0" w:space="0" w:color="auto"/>
            <w:right w:val="none" w:sz="0" w:space="0" w:color="auto"/>
          </w:divBdr>
        </w:div>
        <w:div w:id="676814580">
          <w:marLeft w:val="0"/>
          <w:marRight w:val="0"/>
          <w:marTop w:val="0"/>
          <w:marBottom w:val="0"/>
          <w:divBdr>
            <w:top w:val="none" w:sz="0" w:space="0" w:color="auto"/>
            <w:left w:val="none" w:sz="0" w:space="0" w:color="auto"/>
            <w:bottom w:val="none" w:sz="0" w:space="0" w:color="auto"/>
            <w:right w:val="none" w:sz="0" w:space="0" w:color="auto"/>
          </w:divBdr>
        </w:div>
        <w:div w:id="717123583">
          <w:marLeft w:val="0"/>
          <w:marRight w:val="0"/>
          <w:marTop w:val="0"/>
          <w:marBottom w:val="0"/>
          <w:divBdr>
            <w:top w:val="none" w:sz="0" w:space="0" w:color="auto"/>
            <w:left w:val="none" w:sz="0" w:space="0" w:color="auto"/>
            <w:bottom w:val="none" w:sz="0" w:space="0" w:color="auto"/>
            <w:right w:val="none" w:sz="0" w:space="0" w:color="auto"/>
          </w:divBdr>
        </w:div>
        <w:div w:id="868032386">
          <w:marLeft w:val="0"/>
          <w:marRight w:val="0"/>
          <w:marTop w:val="0"/>
          <w:marBottom w:val="0"/>
          <w:divBdr>
            <w:top w:val="none" w:sz="0" w:space="0" w:color="auto"/>
            <w:left w:val="none" w:sz="0" w:space="0" w:color="auto"/>
            <w:bottom w:val="none" w:sz="0" w:space="0" w:color="auto"/>
            <w:right w:val="none" w:sz="0" w:space="0" w:color="auto"/>
          </w:divBdr>
        </w:div>
        <w:div w:id="899445024">
          <w:marLeft w:val="0"/>
          <w:marRight w:val="0"/>
          <w:marTop w:val="0"/>
          <w:marBottom w:val="0"/>
          <w:divBdr>
            <w:top w:val="none" w:sz="0" w:space="0" w:color="auto"/>
            <w:left w:val="none" w:sz="0" w:space="0" w:color="auto"/>
            <w:bottom w:val="none" w:sz="0" w:space="0" w:color="auto"/>
            <w:right w:val="none" w:sz="0" w:space="0" w:color="auto"/>
          </w:divBdr>
        </w:div>
        <w:div w:id="1008948774">
          <w:marLeft w:val="0"/>
          <w:marRight w:val="0"/>
          <w:marTop w:val="0"/>
          <w:marBottom w:val="0"/>
          <w:divBdr>
            <w:top w:val="none" w:sz="0" w:space="0" w:color="auto"/>
            <w:left w:val="none" w:sz="0" w:space="0" w:color="auto"/>
            <w:bottom w:val="none" w:sz="0" w:space="0" w:color="auto"/>
            <w:right w:val="none" w:sz="0" w:space="0" w:color="auto"/>
          </w:divBdr>
        </w:div>
        <w:div w:id="1009865682">
          <w:marLeft w:val="0"/>
          <w:marRight w:val="0"/>
          <w:marTop w:val="0"/>
          <w:marBottom w:val="0"/>
          <w:divBdr>
            <w:top w:val="none" w:sz="0" w:space="0" w:color="auto"/>
            <w:left w:val="none" w:sz="0" w:space="0" w:color="auto"/>
            <w:bottom w:val="none" w:sz="0" w:space="0" w:color="auto"/>
            <w:right w:val="none" w:sz="0" w:space="0" w:color="auto"/>
          </w:divBdr>
        </w:div>
        <w:div w:id="1011566790">
          <w:marLeft w:val="0"/>
          <w:marRight w:val="0"/>
          <w:marTop w:val="0"/>
          <w:marBottom w:val="0"/>
          <w:divBdr>
            <w:top w:val="none" w:sz="0" w:space="0" w:color="auto"/>
            <w:left w:val="none" w:sz="0" w:space="0" w:color="auto"/>
            <w:bottom w:val="none" w:sz="0" w:space="0" w:color="auto"/>
            <w:right w:val="none" w:sz="0" w:space="0" w:color="auto"/>
          </w:divBdr>
        </w:div>
        <w:div w:id="1041591892">
          <w:marLeft w:val="0"/>
          <w:marRight w:val="0"/>
          <w:marTop w:val="0"/>
          <w:marBottom w:val="0"/>
          <w:divBdr>
            <w:top w:val="none" w:sz="0" w:space="0" w:color="auto"/>
            <w:left w:val="none" w:sz="0" w:space="0" w:color="auto"/>
            <w:bottom w:val="none" w:sz="0" w:space="0" w:color="auto"/>
            <w:right w:val="none" w:sz="0" w:space="0" w:color="auto"/>
          </w:divBdr>
        </w:div>
        <w:div w:id="1048996487">
          <w:marLeft w:val="0"/>
          <w:marRight w:val="0"/>
          <w:marTop w:val="0"/>
          <w:marBottom w:val="0"/>
          <w:divBdr>
            <w:top w:val="none" w:sz="0" w:space="0" w:color="auto"/>
            <w:left w:val="none" w:sz="0" w:space="0" w:color="auto"/>
            <w:bottom w:val="none" w:sz="0" w:space="0" w:color="auto"/>
            <w:right w:val="none" w:sz="0" w:space="0" w:color="auto"/>
          </w:divBdr>
        </w:div>
        <w:div w:id="1063019647">
          <w:marLeft w:val="0"/>
          <w:marRight w:val="0"/>
          <w:marTop w:val="0"/>
          <w:marBottom w:val="0"/>
          <w:divBdr>
            <w:top w:val="none" w:sz="0" w:space="0" w:color="auto"/>
            <w:left w:val="none" w:sz="0" w:space="0" w:color="auto"/>
            <w:bottom w:val="none" w:sz="0" w:space="0" w:color="auto"/>
            <w:right w:val="none" w:sz="0" w:space="0" w:color="auto"/>
          </w:divBdr>
        </w:div>
        <w:div w:id="1105926258">
          <w:marLeft w:val="0"/>
          <w:marRight w:val="0"/>
          <w:marTop w:val="0"/>
          <w:marBottom w:val="0"/>
          <w:divBdr>
            <w:top w:val="none" w:sz="0" w:space="0" w:color="auto"/>
            <w:left w:val="none" w:sz="0" w:space="0" w:color="auto"/>
            <w:bottom w:val="none" w:sz="0" w:space="0" w:color="auto"/>
            <w:right w:val="none" w:sz="0" w:space="0" w:color="auto"/>
          </w:divBdr>
        </w:div>
        <w:div w:id="1158808805">
          <w:marLeft w:val="0"/>
          <w:marRight w:val="0"/>
          <w:marTop w:val="0"/>
          <w:marBottom w:val="0"/>
          <w:divBdr>
            <w:top w:val="none" w:sz="0" w:space="0" w:color="auto"/>
            <w:left w:val="none" w:sz="0" w:space="0" w:color="auto"/>
            <w:bottom w:val="none" w:sz="0" w:space="0" w:color="auto"/>
            <w:right w:val="none" w:sz="0" w:space="0" w:color="auto"/>
          </w:divBdr>
        </w:div>
        <w:div w:id="1166476155">
          <w:marLeft w:val="0"/>
          <w:marRight w:val="0"/>
          <w:marTop w:val="0"/>
          <w:marBottom w:val="0"/>
          <w:divBdr>
            <w:top w:val="none" w:sz="0" w:space="0" w:color="auto"/>
            <w:left w:val="none" w:sz="0" w:space="0" w:color="auto"/>
            <w:bottom w:val="none" w:sz="0" w:space="0" w:color="auto"/>
            <w:right w:val="none" w:sz="0" w:space="0" w:color="auto"/>
          </w:divBdr>
        </w:div>
        <w:div w:id="1248078158">
          <w:marLeft w:val="0"/>
          <w:marRight w:val="0"/>
          <w:marTop w:val="0"/>
          <w:marBottom w:val="0"/>
          <w:divBdr>
            <w:top w:val="none" w:sz="0" w:space="0" w:color="auto"/>
            <w:left w:val="none" w:sz="0" w:space="0" w:color="auto"/>
            <w:bottom w:val="none" w:sz="0" w:space="0" w:color="auto"/>
            <w:right w:val="none" w:sz="0" w:space="0" w:color="auto"/>
          </w:divBdr>
        </w:div>
        <w:div w:id="1302229568">
          <w:marLeft w:val="0"/>
          <w:marRight w:val="0"/>
          <w:marTop w:val="0"/>
          <w:marBottom w:val="0"/>
          <w:divBdr>
            <w:top w:val="none" w:sz="0" w:space="0" w:color="auto"/>
            <w:left w:val="none" w:sz="0" w:space="0" w:color="auto"/>
            <w:bottom w:val="none" w:sz="0" w:space="0" w:color="auto"/>
            <w:right w:val="none" w:sz="0" w:space="0" w:color="auto"/>
          </w:divBdr>
        </w:div>
        <w:div w:id="1466973492">
          <w:marLeft w:val="0"/>
          <w:marRight w:val="0"/>
          <w:marTop w:val="0"/>
          <w:marBottom w:val="0"/>
          <w:divBdr>
            <w:top w:val="none" w:sz="0" w:space="0" w:color="auto"/>
            <w:left w:val="none" w:sz="0" w:space="0" w:color="auto"/>
            <w:bottom w:val="none" w:sz="0" w:space="0" w:color="auto"/>
            <w:right w:val="none" w:sz="0" w:space="0" w:color="auto"/>
          </w:divBdr>
        </w:div>
        <w:div w:id="1518695037">
          <w:marLeft w:val="0"/>
          <w:marRight w:val="0"/>
          <w:marTop w:val="0"/>
          <w:marBottom w:val="0"/>
          <w:divBdr>
            <w:top w:val="none" w:sz="0" w:space="0" w:color="auto"/>
            <w:left w:val="none" w:sz="0" w:space="0" w:color="auto"/>
            <w:bottom w:val="none" w:sz="0" w:space="0" w:color="auto"/>
            <w:right w:val="none" w:sz="0" w:space="0" w:color="auto"/>
          </w:divBdr>
        </w:div>
        <w:div w:id="1527601502">
          <w:marLeft w:val="0"/>
          <w:marRight w:val="0"/>
          <w:marTop w:val="0"/>
          <w:marBottom w:val="0"/>
          <w:divBdr>
            <w:top w:val="none" w:sz="0" w:space="0" w:color="auto"/>
            <w:left w:val="none" w:sz="0" w:space="0" w:color="auto"/>
            <w:bottom w:val="none" w:sz="0" w:space="0" w:color="auto"/>
            <w:right w:val="none" w:sz="0" w:space="0" w:color="auto"/>
          </w:divBdr>
        </w:div>
        <w:div w:id="1529835296">
          <w:marLeft w:val="0"/>
          <w:marRight w:val="0"/>
          <w:marTop w:val="0"/>
          <w:marBottom w:val="0"/>
          <w:divBdr>
            <w:top w:val="none" w:sz="0" w:space="0" w:color="auto"/>
            <w:left w:val="none" w:sz="0" w:space="0" w:color="auto"/>
            <w:bottom w:val="none" w:sz="0" w:space="0" w:color="auto"/>
            <w:right w:val="none" w:sz="0" w:space="0" w:color="auto"/>
          </w:divBdr>
        </w:div>
        <w:div w:id="1536428735">
          <w:marLeft w:val="0"/>
          <w:marRight w:val="0"/>
          <w:marTop w:val="0"/>
          <w:marBottom w:val="0"/>
          <w:divBdr>
            <w:top w:val="none" w:sz="0" w:space="0" w:color="auto"/>
            <w:left w:val="none" w:sz="0" w:space="0" w:color="auto"/>
            <w:bottom w:val="none" w:sz="0" w:space="0" w:color="auto"/>
            <w:right w:val="none" w:sz="0" w:space="0" w:color="auto"/>
          </w:divBdr>
        </w:div>
        <w:div w:id="1634558802">
          <w:marLeft w:val="0"/>
          <w:marRight w:val="0"/>
          <w:marTop w:val="0"/>
          <w:marBottom w:val="0"/>
          <w:divBdr>
            <w:top w:val="none" w:sz="0" w:space="0" w:color="auto"/>
            <w:left w:val="none" w:sz="0" w:space="0" w:color="auto"/>
            <w:bottom w:val="none" w:sz="0" w:space="0" w:color="auto"/>
            <w:right w:val="none" w:sz="0" w:space="0" w:color="auto"/>
          </w:divBdr>
        </w:div>
        <w:div w:id="1683706283">
          <w:marLeft w:val="0"/>
          <w:marRight w:val="0"/>
          <w:marTop w:val="0"/>
          <w:marBottom w:val="0"/>
          <w:divBdr>
            <w:top w:val="none" w:sz="0" w:space="0" w:color="auto"/>
            <w:left w:val="none" w:sz="0" w:space="0" w:color="auto"/>
            <w:bottom w:val="none" w:sz="0" w:space="0" w:color="auto"/>
            <w:right w:val="none" w:sz="0" w:space="0" w:color="auto"/>
          </w:divBdr>
        </w:div>
        <w:div w:id="1701390275">
          <w:marLeft w:val="0"/>
          <w:marRight w:val="0"/>
          <w:marTop w:val="0"/>
          <w:marBottom w:val="0"/>
          <w:divBdr>
            <w:top w:val="none" w:sz="0" w:space="0" w:color="auto"/>
            <w:left w:val="none" w:sz="0" w:space="0" w:color="auto"/>
            <w:bottom w:val="none" w:sz="0" w:space="0" w:color="auto"/>
            <w:right w:val="none" w:sz="0" w:space="0" w:color="auto"/>
          </w:divBdr>
        </w:div>
        <w:div w:id="1753434050">
          <w:marLeft w:val="0"/>
          <w:marRight w:val="0"/>
          <w:marTop w:val="0"/>
          <w:marBottom w:val="0"/>
          <w:divBdr>
            <w:top w:val="none" w:sz="0" w:space="0" w:color="auto"/>
            <w:left w:val="none" w:sz="0" w:space="0" w:color="auto"/>
            <w:bottom w:val="none" w:sz="0" w:space="0" w:color="auto"/>
            <w:right w:val="none" w:sz="0" w:space="0" w:color="auto"/>
          </w:divBdr>
        </w:div>
        <w:div w:id="1755054204">
          <w:marLeft w:val="0"/>
          <w:marRight w:val="0"/>
          <w:marTop w:val="0"/>
          <w:marBottom w:val="0"/>
          <w:divBdr>
            <w:top w:val="none" w:sz="0" w:space="0" w:color="auto"/>
            <w:left w:val="none" w:sz="0" w:space="0" w:color="auto"/>
            <w:bottom w:val="none" w:sz="0" w:space="0" w:color="auto"/>
            <w:right w:val="none" w:sz="0" w:space="0" w:color="auto"/>
          </w:divBdr>
        </w:div>
        <w:div w:id="1813253061">
          <w:marLeft w:val="0"/>
          <w:marRight w:val="0"/>
          <w:marTop w:val="0"/>
          <w:marBottom w:val="0"/>
          <w:divBdr>
            <w:top w:val="none" w:sz="0" w:space="0" w:color="auto"/>
            <w:left w:val="none" w:sz="0" w:space="0" w:color="auto"/>
            <w:bottom w:val="none" w:sz="0" w:space="0" w:color="auto"/>
            <w:right w:val="none" w:sz="0" w:space="0" w:color="auto"/>
          </w:divBdr>
        </w:div>
        <w:div w:id="1849441191">
          <w:marLeft w:val="0"/>
          <w:marRight w:val="0"/>
          <w:marTop w:val="0"/>
          <w:marBottom w:val="0"/>
          <w:divBdr>
            <w:top w:val="none" w:sz="0" w:space="0" w:color="auto"/>
            <w:left w:val="none" w:sz="0" w:space="0" w:color="auto"/>
            <w:bottom w:val="none" w:sz="0" w:space="0" w:color="auto"/>
            <w:right w:val="none" w:sz="0" w:space="0" w:color="auto"/>
          </w:divBdr>
        </w:div>
        <w:div w:id="1880582857">
          <w:marLeft w:val="0"/>
          <w:marRight w:val="0"/>
          <w:marTop w:val="0"/>
          <w:marBottom w:val="0"/>
          <w:divBdr>
            <w:top w:val="none" w:sz="0" w:space="0" w:color="auto"/>
            <w:left w:val="none" w:sz="0" w:space="0" w:color="auto"/>
            <w:bottom w:val="none" w:sz="0" w:space="0" w:color="auto"/>
            <w:right w:val="none" w:sz="0" w:space="0" w:color="auto"/>
          </w:divBdr>
        </w:div>
        <w:div w:id="1902590997">
          <w:marLeft w:val="0"/>
          <w:marRight w:val="0"/>
          <w:marTop w:val="0"/>
          <w:marBottom w:val="0"/>
          <w:divBdr>
            <w:top w:val="none" w:sz="0" w:space="0" w:color="auto"/>
            <w:left w:val="none" w:sz="0" w:space="0" w:color="auto"/>
            <w:bottom w:val="none" w:sz="0" w:space="0" w:color="auto"/>
            <w:right w:val="none" w:sz="0" w:space="0" w:color="auto"/>
          </w:divBdr>
        </w:div>
        <w:div w:id="1919094015">
          <w:marLeft w:val="0"/>
          <w:marRight w:val="0"/>
          <w:marTop w:val="0"/>
          <w:marBottom w:val="0"/>
          <w:divBdr>
            <w:top w:val="none" w:sz="0" w:space="0" w:color="auto"/>
            <w:left w:val="none" w:sz="0" w:space="0" w:color="auto"/>
            <w:bottom w:val="none" w:sz="0" w:space="0" w:color="auto"/>
            <w:right w:val="none" w:sz="0" w:space="0" w:color="auto"/>
          </w:divBdr>
        </w:div>
        <w:div w:id="1979336923">
          <w:marLeft w:val="0"/>
          <w:marRight w:val="0"/>
          <w:marTop w:val="0"/>
          <w:marBottom w:val="0"/>
          <w:divBdr>
            <w:top w:val="none" w:sz="0" w:space="0" w:color="auto"/>
            <w:left w:val="none" w:sz="0" w:space="0" w:color="auto"/>
            <w:bottom w:val="none" w:sz="0" w:space="0" w:color="auto"/>
            <w:right w:val="none" w:sz="0" w:space="0" w:color="auto"/>
          </w:divBdr>
        </w:div>
        <w:div w:id="1983775099">
          <w:marLeft w:val="0"/>
          <w:marRight w:val="0"/>
          <w:marTop w:val="0"/>
          <w:marBottom w:val="0"/>
          <w:divBdr>
            <w:top w:val="none" w:sz="0" w:space="0" w:color="auto"/>
            <w:left w:val="none" w:sz="0" w:space="0" w:color="auto"/>
            <w:bottom w:val="none" w:sz="0" w:space="0" w:color="auto"/>
            <w:right w:val="none" w:sz="0" w:space="0" w:color="auto"/>
          </w:divBdr>
        </w:div>
      </w:divsChild>
    </w:div>
    <w:div w:id="1956784412">
      <w:bodyDiv w:val="1"/>
      <w:marLeft w:val="0"/>
      <w:marRight w:val="0"/>
      <w:marTop w:val="0"/>
      <w:marBottom w:val="0"/>
      <w:divBdr>
        <w:top w:val="none" w:sz="0" w:space="0" w:color="auto"/>
        <w:left w:val="none" w:sz="0" w:space="0" w:color="auto"/>
        <w:bottom w:val="none" w:sz="0" w:space="0" w:color="auto"/>
        <w:right w:val="none" w:sz="0" w:space="0" w:color="auto"/>
      </w:divBdr>
    </w:div>
    <w:div w:id="1989549889">
      <w:bodyDiv w:val="1"/>
      <w:marLeft w:val="0"/>
      <w:marRight w:val="0"/>
      <w:marTop w:val="0"/>
      <w:marBottom w:val="0"/>
      <w:divBdr>
        <w:top w:val="none" w:sz="0" w:space="0" w:color="auto"/>
        <w:left w:val="none" w:sz="0" w:space="0" w:color="auto"/>
        <w:bottom w:val="none" w:sz="0" w:space="0" w:color="auto"/>
        <w:right w:val="none" w:sz="0" w:space="0" w:color="auto"/>
      </w:divBdr>
      <w:divsChild>
        <w:div w:id="383527777">
          <w:marLeft w:val="2563"/>
          <w:marRight w:val="0"/>
          <w:marTop w:val="120"/>
          <w:marBottom w:val="120"/>
          <w:divBdr>
            <w:top w:val="none" w:sz="0" w:space="0" w:color="auto"/>
            <w:left w:val="none" w:sz="0" w:space="0" w:color="auto"/>
            <w:bottom w:val="none" w:sz="0" w:space="0" w:color="auto"/>
            <w:right w:val="none" w:sz="0" w:space="0" w:color="auto"/>
          </w:divBdr>
        </w:div>
        <w:div w:id="404651173">
          <w:marLeft w:val="1123"/>
          <w:marRight w:val="0"/>
          <w:marTop w:val="120"/>
          <w:marBottom w:val="120"/>
          <w:divBdr>
            <w:top w:val="none" w:sz="0" w:space="0" w:color="auto"/>
            <w:left w:val="none" w:sz="0" w:space="0" w:color="auto"/>
            <w:bottom w:val="none" w:sz="0" w:space="0" w:color="auto"/>
            <w:right w:val="none" w:sz="0" w:space="0" w:color="auto"/>
          </w:divBdr>
        </w:div>
        <w:div w:id="695548471">
          <w:marLeft w:val="2563"/>
          <w:marRight w:val="0"/>
          <w:marTop w:val="120"/>
          <w:marBottom w:val="120"/>
          <w:divBdr>
            <w:top w:val="none" w:sz="0" w:space="0" w:color="auto"/>
            <w:left w:val="none" w:sz="0" w:space="0" w:color="auto"/>
            <w:bottom w:val="none" w:sz="0" w:space="0" w:color="auto"/>
            <w:right w:val="none" w:sz="0" w:space="0" w:color="auto"/>
          </w:divBdr>
        </w:div>
        <w:div w:id="872427052">
          <w:marLeft w:val="2563"/>
          <w:marRight w:val="0"/>
          <w:marTop w:val="120"/>
          <w:marBottom w:val="120"/>
          <w:divBdr>
            <w:top w:val="none" w:sz="0" w:space="0" w:color="auto"/>
            <w:left w:val="none" w:sz="0" w:space="0" w:color="auto"/>
            <w:bottom w:val="none" w:sz="0" w:space="0" w:color="auto"/>
            <w:right w:val="none" w:sz="0" w:space="0" w:color="auto"/>
          </w:divBdr>
        </w:div>
        <w:div w:id="929777926">
          <w:marLeft w:val="1123"/>
          <w:marRight w:val="0"/>
          <w:marTop w:val="120"/>
          <w:marBottom w:val="120"/>
          <w:divBdr>
            <w:top w:val="none" w:sz="0" w:space="0" w:color="auto"/>
            <w:left w:val="none" w:sz="0" w:space="0" w:color="auto"/>
            <w:bottom w:val="none" w:sz="0" w:space="0" w:color="auto"/>
            <w:right w:val="none" w:sz="0" w:space="0" w:color="auto"/>
          </w:divBdr>
        </w:div>
        <w:div w:id="1036780118">
          <w:marLeft w:val="1123"/>
          <w:marRight w:val="0"/>
          <w:marTop w:val="120"/>
          <w:marBottom w:val="120"/>
          <w:divBdr>
            <w:top w:val="none" w:sz="0" w:space="0" w:color="auto"/>
            <w:left w:val="none" w:sz="0" w:space="0" w:color="auto"/>
            <w:bottom w:val="none" w:sz="0" w:space="0" w:color="auto"/>
            <w:right w:val="none" w:sz="0" w:space="0" w:color="auto"/>
          </w:divBdr>
        </w:div>
        <w:div w:id="1264413395">
          <w:marLeft w:val="2563"/>
          <w:marRight w:val="0"/>
          <w:marTop w:val="120"/>
          <w:marBottom w:val="120"/>
          <w:divBdr>
            <w:top w:val="none" w:sz="0" w:space="0" w:color="auto"/>
            <w:left w:val="none" w:sz="0" w:space="0" w:color="auto"/>
            <w:bottom w:val="none" w:sz="0" w:space="0" w:color="auto"/>
            <w:right w:val="none" w:sz="0" w:space="0" w:color="auto"/>
          </w:divBdr>
        </w:div>
        <w:div w:id="2035686537">
          <w:marLeft w:val="1123"/>
          <w:marRight w:val="0"/>
          <w:marTop w:val="120"/>
          <w:marBottom w:val="120"/>
          <w:divBdr>
            <w:top w:val="none" w:sz="0" w:space="0" w:color="auto"/>
            <w:left w:val="none" w:sz="0" w:space="0" w:color="auto"/>
            <w:bottom w:val="none" w:sz="0" w:space="0" w:color="auto"/>
            <w:right w:val="none" w:sz="0" w:space="0" w:color="auto"/>
          </w:divBdr>
        </w:div>
      </w:divsChild>
    </w:div>
    <w:div w:id="1999650681">
      <w:bodyDiv w:val="1"/>
      <w:marLeft w:val="0"/>
      <w:marRight w:val="0"/>
      <w:marTop w:val="0"/>
      <w:marBottom w:val="0"/>
      <w:divBdr>
        <w:top w:val="none" w:sz="0" w:space="0" w:color="auto"/>
        <w:left w:val="none" w:sz="0" w:space="0" w:color="auto"/>
        <w:bottom w:val="none" w:sz="0" w:space="0" w:color="auto"/>
        <w:right w:val="none" w:sz="0" w:space="0" w:color="auto"/>
      </w:divBdr>
    </w:div>
    <w:div w:id="2051027373">
      <w:bodyDiv w:val="1"/>
      <w:marLeft w:val="0"/>
      <w:marRight w:val="0"/>
      <w:marTop w:val="0"/>
      <w:marBottom w:val="0"/>
      <w:divBdr>
        <w:top w:val="none" w:sz="0" w:space="0" w:color="auto"/>
        <w:left w:val="none" w:sz="0" w:space="0" w:color="auto"/>
        <w:bottom w:val="none" w:sz="0" w:space="0" w:color="auto"/>
        <w:right w:val="none" w:sz="0" w:space="0" w:color="auto"/>
      </w:divBdr>
      <w:divsChild>
        <w:div w:id="67729399">
          <w:marLeft w:val="0"/>
          <w:marRight w:val="0"/>
          <w:marTop w:val="0"/>
          <w:marBottom w:val="0"/>
          <w:divBdr>
            <w:top w:val="none" w:sz="0" w:space="0" w:color="auto"/>
            <w:left w:val="none" w:sz="0" w:space="0" w:color="auto"/>
            <w:bottom w:val="none" w:sz="0" w:space="0" w:color="auto"/>
            <w:right w:val="none" w:sz="0" w:space="0" w:color="auto"/>
          </w:divBdr>
        </w:div>
        <w:div w:id="257098685">
          <w:marLeft w:val="0"/>
          <w:marRight w:val="0"/>
          <w:marTop w:val="0"/>
          <w:marBottom w:val="0"/>
          <w:divBdr>
            <w:top w:val="none" w:sz="0" w:space="0" w:color="auto"/>
            <w:left w:val="none" w:sz="0" w:space="0" w:color="auto"/>
            <w:bottom w:val="none" w:sz="0" w:space="0" w:color="auto"/>
            <w:right w:val="none" w:sz="0" w:space="0" w:color="auto"/>
          </w:divBdr>
        </w:div>
        <w:div w:id="462700565">
          <w:marLeft w:val="0"/>
          <w:marRight w:val="0"/>
          <w:marTop w:val="0"/>
          <w:marBottom w:val="0"/>
          <w:divBdr>
            <w:top w:val="none" w:sz="0" w:space="0" w:color="auto"/>
            <w:left w:val="none" w:sz="0" w:space="0" w:color="auto"/>
            <w:bottom w:val="none" w:sz="0" w:space="0" w:color="auto"/>
            <w:right w:val="none" w:sz="0" w:space="0" w:color="auto"/>
          </w:divBdr>
        </w:div>
        <w:div w:id="800882374">
          <w:marLeft w:val="0"/>
          <w:marRight w:val="0"/>
          <w:marTop w:val="0"/>
          <w:marBottom w:val="0"/>
          <w:divBdr>
            <w:top w:val="none" w:sz="0" w:space="0" w:color="auto"/>
            <w:left w:val="none" w:sz="0" w:space="0" w:color="auto"/>
            <w:bottom w:val="none" w:sz="0" w:space="0" w:color="auto"/>
            <w:right w:val="none" w:sz="0" w:space="0" w:color="auto"/>
          </w:divBdr>
        </w:div>
        <w:div w:id="1426346066">
          <w:marLeft w:val="0"/>
          <w:marRight w:val="0"/>
          <w:marTop w:val="0"/>
          <w:marBottom w:val="0"/>
          <w:divBdr>
            <w:top w:val="none" w:sz="0" w:space="0" w:color="auto"/>
            <w:left w:val="none" w:sz="0" w:space="0" w:color="auto"/>
            <w:bottom w:val="none" w:sz="0" w:space="0" w:color="auto"/>
            <w:right w:val="none" w:sz="0" w:space="0" w:color="auto"/>
          </w:divBdr>
        </w:div>
        <w:div w:id="1912422030">
          <w:marLeft w:val="0"/>
          <w:marRight w:val="0"/>
          <w:marTop w:val="0"/>
          <w:marBottom w:val="0"/>
          <w:divBdr>
            <w:top w:val="none" w:sz="0" w:space="0" w:color="auto"/>
            <w:left w:val="none" w:sz="0" w:space="0" w:color="auto"/>
            <w:bottom w:val="none" w:sz="0" w:space="0" w:color="auto"/>
            <w:right w:val="none" w:sz="0" w:space="0" w:color="auto"/>
          </w:divBdr>
        </w:div>
      </w:divsChild>
    </w:div>
    <w:div w:id="2067026722">
      <w:bodyDiv w:val="1"/>
      <w:marLeft w:val="0"/>
      <w:marRight w:val="0"/>
      <w:marTop w:val="0"/>
      <w:marBottom w:val="0"/>
      <w:divBdr>
        <w:top w:val="none" w:sz="0" w:space="0" w:color="auto"/>
        <w:left w:val="none" w:sz="0" w:space="0" w:color="auto"/>
        <w:bottom w:val="none" w:sz="0" w:space="0" w:color="auto"/>
        <w:right w:val="none" w:sz="0" w:space="0" w:color="auto"/>
      </w:divBdr>
    </w:div>
    <w:div w:id="2076122386">
      <w:bodyDiv w:val="1"/>
      <w:marLeft w:val="0"/>
      <w:marRight w:val="0"/>
      <w:marTop w:val="0"/>
      <w:marBottom w:val="0"/>
      <w:divBdr>
        <w:top w:val="none" w:sz="0" w:space="0" w:color="auto"/>
        <w:left w:val="none" w:sz="0" w:space="0" w:color="auto"/>
        <w:bottom w:val="none" w:sz="0" w:space="0" w:color="auto"/>
        <w:right w:val="none" w:sz="0" w:space="0" w:color="auto"/>
      </w:divBdr>
      <w:divsChild>
        <w:div w:id="966744921">
          <w:marLeft w:val="0"/>
          <w:marRight w:val="0"/>
          <w:marTop w:val="0"/>
          <w:marBottom w:val="0"/>
          <w:divBdr>
            <w:top w:val="none" w:sz="0" w:space="0" w:color="auto"/>
            <w:left w:val="none" w:sz="0" w:space="0" w:color="auto"/>
            <w:bottom w:val="none" w:sz="0" w:space="0" w:color="auto"/>
            <w:right w:val="none" w:sz="0" w:space="0" w:color="auto"/>
          </w:divBdr>
        </w:div>
        <w:div w:id="1783959518">
          <w:marLeft w:val="0"/>
          <w:marRight w:val="0"/>
          <w:marTop w:val="0"/>
          <w:marBottom w:val="0"/>
          <w:divBdr>
            <w:top w:val="none" w:sz="0" w:space="0" w:color="auto"/>
            <w:left w:val="none" w:sz="0" w:space="0" w:color="auto"/>
            <w:bottom w:val="none" w:sz="0" w:space="0" w:color="auto"/>
            <w:right w:val="none" w:sz="0" w:space="0" w:color="auto"/>
          </w:divBdr>
        </w:div>
      </w:divsChild>
    </w:div>
    <w:div w:id="2077700261">
      <w:bodyDiv w:val="1"/>
      <w:marLeft w:val="0"/>
      <w:marRight w:val="0"/>
      <w:marTop w:val="0"/>
      <w:marBottom w:val="0"/>
      <w:divBdr>
        <w:top w:val="none" w:sz="0" w:space="0" w:color="auto"/>
        <w:left w:val="none" w:sz="0" w:space="0" w:color="auto"/>
        <w:bottom w:val="none" w:sz="0" w:space="0" w:color="auto"/>
        <w:right w:val="none" w:sz="0" w:space="0" w:color="auto"/>
      </w:divBdr>
    </w:div>
    <w:div w:id="2106655778">
      <w:bodyDiv w:val="1"/>
      <w:marLeft w:val="0"/>
      <w:marRight w:val="0"/>
      <w:marTop w:val="0"/>
      <w:marBottom w:val="0"/>
      <w:divBdr>
        <w:top w:val="none" w:sz="0" w:space="0" w:color="auto"/>
        <w:left w:val="none" w:sz="0" w:space="0" w:color="auto"/>
        <w:bottom w:val="none" w:sz="0" w:space="0" w:color="auto"/>
        <w:right w:val="none" w:sz="0" w:space="0" w:color="auto"/>
      </w:divBdr>
    </w:div>
    <w:div w:id="2107535971">
      <w:bodyDiv w:val="1"/>
      <w:marLeft w:val="0"/>
      <w:marRight w:val="0"/>
      <w:marTop w:val="0"/>
      <w:marBottom w:val="0"/>
      <w:divBdr>
        <w:top w:val="none" w:sz="0" w:space="0" w:color="auto"/>
        <w:left w:val="none" w:sz="0" w:space="0" w:color="auto"/>
        <w:bottom w:val="none" w:sz="0" w:space="0" w:color="auto"/>
        <w:right w:val="none" w:sz="0" w:space="0" w:color="auto"/>
      </w:divBdr>
      <w:divsChild>
        <w:div w:id="63527928">
          <w:marLeft w:val="0"/>
          <w:marRight w:val="0"/>
          <w:marTop w:val="0"/>
          <w:marBottom w:val="0"/>
          <w:divBdr>
            <w:top w:val="none" w:sz="0" w:space="0" w:color="auto"/>
            <w:left w:val="none" w:sz="0" w:space="0" w:color="auto"/>
            <w:bottom w:val="none" w:sz="0" w:space="0" w:color="auto"/>
            <w:right w:val="none" w:sz="0" w:space="0" w:color="auto"/>
          </w:divBdr>
        </w:div>
        <w:div w:id="1418211114">
          <w:marLeft w:val="0"/>
          <w:marRight w:val="0"/>
          <w:marTop w:val="0"/>
          <w:marBottom w:val="0"/>
          <w:divBdr>
            <w:top w:val="none" w:sz="0" w:space="0" w:color="auto"/>
            <w:left w:val="none" w:sz="0" w:space="0" w:color="auto"/>
            <w:bottom w:val="none" w:sz="0" w:space="0" w:color="auto"/>
            <w:right w:val="none" w:sz="0" w:space="0" w:color="auto"/>
          </w:divBdr>
          <w:divsChild>
            <w:div w:id="285963741">
              <w:marLeft w:val="0"/>
              <w:marRight w:val="0"/>
              <w:marTop w:val="30"/>
              <w:marBottom w:val="30"/>
              <w:divBdr>
                <w:top w:val="none" w:sz="0" w:space="0" w:color="auto"/>
                <w:left w:val="none" w:sz="0" w:space="0" w:color="auto"/>
                <w:bottom w:val="none" w:sz="0" w:space="0" w:color="auto"/>
                <w:right w:val="none" w:sz="0" w:space="0" w:color="auto"/>
              </w:divBdr>
              <w:divsChild>
                <w:div w:id="95372325">
                  <w:marLeft w:val="0"/>
                  <w:marRight w:val="0"/>
                  <w:marTop w:val="0"/>
                  <w:marBottom w:val="0"/>
                  <w:divBdr>
                    <w:top w:val="none" w:sz="0" w:space="0" w:color="auto"/>
                    <w:left w:val="none" w:sz="0" w:space="0" w:color="auto"/>
                    <w:bottom w:val="none" w:sz="0" w:space="0" w:color="auto"/>
                    <w:right w:val="none" w:sz="0" w:space="0" w:color="auto"/>
                  </w:divBdr>
                  <w:divsChild>
                    <w:div w:id="1406538430">
                      <w:marLeft w:val="0"/>
                      <w:marRight w:val="0"/>
                      <w:marTop w:val="0"/>
                      <w:marBottom w:val="0"/>
                      <w:divBdr>
                        <w:top w:val="none" w:sz="0" w:space="0" w:color="auto"/>
                        <w:left w:val="none" w:sz="0" w:space="0" w:color="auto"/>
                        <w:bottom w:val="none" w:sz="0" w:space="0" w:color="auto"/>
                        <w:right w:val="none" w:sz="0" w:space="0" w:color="auto"/>
                      </w:divBdr>
                    </w:div>
                  </w:divsChild>
                </w:div>
                <w:div w:id="165945865">
                  <w:marLeft w:val="0"/>
                  <w:marRight w:val="0"/>
                  <w:marTop w:val="0"/>
                  <w:marBottom w:val="0"/>
                  <w:divBdr>
                    <w:top w:val="none" w:sz="0" w:space="0" w:color="auto"/>
                    <w:left w:val="none" w:sz="0" w:space="0" w:color="auto"/>
                    <w:bottom w:val="none" w:sz="0" w:space="0" w:color="auto"/>
                    <w:right w:val="none" w:sz="0" w:space="0" w:color="auto"/>
                  </w:divBdr>
                  <w:divsChild>
                    <w:div w:id="1826706725">
                      <w:marLeft w:val="0"/>
                      <w:marRight w:val="0"/>
                      <w:marTop w:val="0"/>
                      <w:marBottom w:val="0"/>
                      <w:divBdr>
                        <w:top w:val="none" w:sz="0" w:space="0" w:color="auto"/>
                        <w:left w:val="none" w:sz="0" w:space="0" w:color="auto"/>
                        <w:bottom w:val="none" w:sz="0" w:space="0" w:color="auto"/>
                        <w:right w:val="none" w:sz="0" w:space="0" w:color="auto"/>
                      </w:divBdr>
                    </w:div>
                  </w:divsChild>
                </w:div>
                <w:div w:id="267348314">
                  <w:marLeft w:val="0"/>
                  <w:marRight w:val="0"/>
                  <w:marTop w:val="0"/>
                  <w:marBottom w:val="0"/>
                  <w:divBdr>
                    <w:top w:val="none" w:sz="0" w:space="0" w:color="auto"/>
                    <w:left w:val="none" w:sz="0" w:space="0" w:color="auto"/>
                    <w:bottom w:val="none" w:sz="0" w:space="0" w:color="auto"/>
                    <w:right w:val="none" w:sz="0" w:space="0" w:color="auto"/>
                  </w:divBdr>
                  <w:divsChild>
                    <w:div w:id="172111953">
                      <w:marLeft w:val="0"/>
                      <w:marRight w:val="0"/>
                      <w:marTop w:val="0"/>
                      <w:marBottom w:val="0"/>
                      <w:divBdr>
                        <w:top w:val="none" w:sz="0" w:space="0" w:color="auto"/>
                        <w:left w:val="none" w:sz="0" w:space="0" w:color="auto"/>
                        <w:bottom w:val="none" w:sz="0" w:space="0" w:color="auto"/>
                        <w:right w:val="none" w:sz="0" w:space="0" w:color="auto"/>
                      </w:divBdr>
                    </w:div>
                  </w:divsChild>
                </w:div>
                <w:div w:id="273638786">
                  <w:marLeft w:val="0"/>
                  <w:marRight w:val="0"/>
                  <w:marTop w:val="0"/>
                  <w:marBottom w:val="0"/>
                  <w:divBdr>
                    <w:top w:val="none" w:sz="0" w:space="0" w:color="auto"/>
                    <w:left w:val="none" w:sz="0" w:space="0" w:color="auto"/>
                    <w:bottom w:val="none" w:sz="0" w:space="0" w:color="auto"/>
                    <w:right w:val="none" w:sz="0" w:space="0" w:color="auto"/>
                  </w:divBdr>
                  <w:divsChild>
                    <w:div w:id="1402172081">
                      <w:marLeft w:val="0"/>
                      <w:marRight w:val="0"/>
                      <w:marTop w:val="0"/>
                      <w:marBottom w:val="0"/>
                      <w:divBdr>
                        <w:top w:val="none" w:sz="0" w:space="0" w:color="auto"/>
                        <w:left w:val="none" w:sz="0" w:space="0" w:color="auto"/>
                        <w:bottom w:val="none" w:sz="0" w:space="0" w:color="auto"/>
                        <w:right w:val="none" w:sz="0" w:space="0" w:color="auto"/>
                      </w:divBdr>
                    </w:div>
                  </w:divsChild>
                </w:div>
                <w:div w:id="469440746">
                  <w:marLeft w:val="0"/>
                  <w:marRight w:val="0"/>
                  <w:marTop w:val="0"/>
                  <w:marBottom w:val="0"/>
                  <w:divBdr>
                    <w:top w:val="none" w:sz="0" w:space="0" w:color="auto"/>
                    <w:left w:val="none" w:sz="0" w:space="0" w:color="auto"/>
                    <w:bottom w:val="none" w:sz="0" w:space="0" w:color="auto"/>
                    <w:right w:val="none" w:sz="0" w:space="0" w:color="auto"/>
                  </w:divBdr>
                  <w:divsChild>
                    <w:div w:id="983847682">
                      <w:marLeft w:val="0"/>
                      <w:marRight w:val="0"/>
                      <w:marTop w:val="0"/>
                      <w:marBottom w:val="0"/>
                      <w:divBdr>
                        <w:top w:val="none" w:sz="0" w:space="0" w:color="auto"/>
                        <w:left w:val="none" w:sz="0" w:space="0" w:color="auto"/>
                        <w:bottom w:val="none" w:sz="0" w:space="0" w:color="auto"/>
                        <w:right w:val="none" w:sz="0" w:space="0" w:color="auto"/>
                      </w:divBdr>
                    </w:div>
                  </w:divsChild>
                </w:div>
                <w:div w:id="561601188">
                  <w:marLeft w:val="0"/>
                  <w:marRight w:val="0"/>
                  <w:marTop w:val="0"/>
                  <w:marBottom w:val="0"/>
                  <w:divBdr>
                    <w:top w:val="none" w:sz="0" w:space="0" w:color="auto"/>
                    <w:left w:val="none" w:sz="0" w:space="0" w:color="auto"/>
                    <w:bottom w:val="none" w:sz="0" w:space="0" w:color="auto"/>
                    <w:right w:val="none" w:sz="0" w:space="0" w:color="auto"/>
                  </w:divBdr>
                  <w:divsChild>
                    <w:div w:id="191849566">
                      <w:marLeft w:val="0"/>
                      <w:marRight w:val="0"/>
                      <w:marTop w:val="0"/>
                      <w:marBottom w:val="0"/>
                      <w:divBdr>
                        <w:top w:val="none" w:sz="0" w:space="0" w:color="auto"/>
                        <w:left w:val="none" w:sz="0" w:space="0" w:color="auto"/>
                        <w:bottom w:val="none" w:sz="0" w:space="0" w:color="auto"/>
                        <w:right w:val="none" w:sz="0" w:space="0" w:color="auto"/>
                      </w:divBdr>
                    </w:div>
                  </w:divsChild>
                </w:div>
                <w:div w:id="576667726">
                  <w:marLeft w:val="0"/>
                  <w:marRight w:val="0"/>
                  <w:marTop w:val="0"/>
                  <w:marBottom w:val="0"/>
                  <w:divBdr>
                    <w:top w:val="none" w:sz="0" w:space="0" w:color="auto"/>
                    <w:left w:val="none" w:sz="0" w:space="0" w:color="auto"/>
                    <w:bottom w:val="none" w:sz="0" w:space="0" w:color="auto"/>
                    <w:right w:val="none" w:sz="0" w:space="0" w:color="auto"/>
                  </w:divBdr>
                  <w:divsChild>
                    <w:div w:id="1568147481">
                      <w:marLeft w:val="0"/>
                      <w:marRight w:val="0"/>
                      <w:marTop w:val="0"/>
                      <w:marBottom w:val="0"/>
                      <w:divBdr>
                        <w:top w:val="none" w:sz="0" w:space="0" w:color="auto"/>
                        <w:left w:val="none" w:sz="0" w:space="0" w:color="auto"/>
                        <w:bottom w:val="none" w:sz="0" w:space="0" w:color="auto"/>
                        <w:right w:val="none" w:sz="0" w:space="0" w:color="auto"/>
                      </w:divBdr>
                    </w:div>
                  </w:divsChild>
                </w:div>
                <w:div w:id="582493926">
                  <w:marLeft w:val="0"/>
                  <w:marRight w:val="0"/>
                  <w:marTop w:val="0"/>
                  <w:marBottom w:val="0"/>
                  <w:divBdr>
                    <w:top w:val="none" w:sz="0" w:space="0" w:color="auto"/>
                    <w:left w:val="none" w:sz="0" w:space="0" w:color="auto"/>
                    <w:bottom w:val="none" w:sz="0" w:space="0" w:color="auto"/>
                    <w:right w:val="none" w:sz="0" w:space="0" w:color="auto"/>
                  </w:divBdr>
                  <w:divsChild>
                    <w:div w:id="1795631948">
                      <w:marLeft w:val="0"/>
                      <w:marRight w:val="0"/>
                      <w:marTop w:val="0"/>
                      <w:marBottom w:val="0"/>
                      <w:divBdr>
                        <w:top w:val="none" w:sz="0" w:space="0" w:color="auto"/>
                        <w:left w:val="none" w:sz="0" w:space="0" w:color="auto"/>
                        <w:bottom w:val="none" w:sz="0" w:space="0" w:color="auto"/>
                        <w:right w:val="none" w:sz="0" w:space="0" w:color="auto"/>
                      </w:divBdr>
                    </w:div>
                  </w:divsChild>
                </w:div>
                <w:div w:id="583690853">
                  <w:marLeft w:val="0"/>
                  <w:marRight w:val="0"/>
                  <w:marTop w:val="0"/>
                  <w:marBottom w:val="0"/>
                  <w:divBdr>
                    <w:top w:val="none" w:sz="0" w:space="0" w:color="auto"/>
                    <w:left w:val="none" w:sz="0" w:space="0" w:color="auto"/>
                    <w:bottom w:val="none" w:sz="0" w:space="0" w:color="auto"/>
                    <w:right w:val="none" w:sz="0" w:space="0" w:color="auto"/>
                  </w:divBdr>
                  <w:divsChild>
                    <w:div w:id="1917205182">
                      <w:marLeft w:val="0"/>
                      <w:marRight w:val="0"/>
                      <w:marTop w:val="0"/>
                      <w:marBottom w:val="0"/>
                      <w:divBdr>
                        <w:top w:val="none" w:sz="0" w:space="0" w:color="auto"/>
                        <w:left w:val="none" w:sz="0" w:space="0" w:color="auto"/>
                        <w:bottom w:val="none" w:sz="0" w:space="0" w:color="auto"/>
                        <w:right w:val="none" w:sz="0" w:space="0" w:color="auto"/>
                      </w:divBdr>
                    </w:div>
                  </w:divsChild>
                </w:div>
                <w:div w:id="604771627">
                  <w:marLeft w:val="0"/>
                  <w:marRight w:val="0"/>
                  <w:marTop w:val="0"/>
                  <w:marBottom w:val="0"/>
                  <w:divBdr>
                    <w:top w:val="none" w:sz="0" w:space="0" w:color="auto"/>
                    <w:left w:val="none" w:sz="0" w:space="0" w:color="auto"/>
                    <w:bottom w:val="none" w:sz="0" w:space="0" w:color="auto"/>
                    <w:right w:val="none" w:sz="0" w:space="0" w:color="auto"/>
                  </w:divBdr>
                  <w:divsChild>
                    <w:div w:id="1792046656">
                      <w:marLeft w:val="0"/>
                      <w:marRight w:val="0"/>
                      <w:marTop w:val="0"/>
                      <w:marBottom w:val="0"/>
                      <w:divBdr>
                        <w:top w:val="none" w:sz="0" w:space="0" w:color="auto"/>
                        <w:left w:val="none" w:sz="0" w:space="0" w:color="auto"/>
                        <w:bottom w:val="none" w:sz="0" w:space="0" w:color="auto"/>
                        <w:right w:val="none" w:sz="0" w:space="0" w:color="auto"/>
                      </w:divBdr>
                    </w:div>
                  </w:divsChild>
                </w:div>
                <w:div w:id="614485146">
                  <w:marLeft w:val="0"/>
                  <w:marRight w:val="0"/>
                  <w:marTop w:val="0"/>
                  <w:marBottom w:val="0"/>
                  <w:divBdr>
                    <w:top w:val="none" w:sz="0" w:space="0" w:color="auto"/>
                    <w:left w:val="none" w:sz="0" w:space="0" w:color="auto"/>
                    <w:bottom w:val="none" w:sz="0" w:space="0" w:color="auto"/>
                    <w:right w:val="none" w:sz="0" w:space="0" w:color="auto"/>
                  </w:divBdr>
                  <w:divsChild>
                    <w:div w:id="1219362863">
                      <w:marLeft w:val="0"/>
                      <w:marRight w:val="0"/>
                      <w:marTop w:val="0"/>
                      <w:marBottom w:val="0"/>
                      <w:divBdr>
                        <w:top w:val="none" w:sz="0" w:space="0" w:color="auto"/>
                        <w:left w:val="none" w:sz="0" w:space="0" w:color="auto"/>
                        <w:bottom w:val="none" w:sz="0" w:space="0" w:color="auto"/>
                        <w:right w:val="none" w:sz="0" w:space="0" w:color="auto"/>
                      </w:divBdr>
                    </w:div>
                  </w:divsChild>
                </w:div>
                <w:div w:id="653526466">
                  <w:marLeft w:val="0"/>
                  <w:marRight w:val="0"/>
                  <w:marTop w:val="0"/>
                  <w:marBottom w:val="0"/>
                  <w:divBdr>
                    <w:top w:val="none" w:sz="0" w:space="0" w:color="auto"/>
                    <w:left w:val="none" w:sz="0" w:space="0" w:color="auto"/>
                    <w:bottom w:val="none" w:sz="0" w:space="0" w:color="auto"/>
                    <w:right w:val="none" w:sz="0" w:space="0" w:color="auto"/>
                  </w:divBdr>
                  <w:divsChild>
                    <w:div w:id="1612931510">
                      <w:marLeft w:val="0"/>
                      <w:marRight w:val="0"/>
                      <w:marTop w:val="0"/>
                      <w:marBottom w:val="0"/>
                      <w:divBdr>
                        <w:top w:val="none" w:sz="0" w:space="0" w:color="auto"/>
                        <w:left w:val="none" w:sz="0" w:space="0" w:color="auto"/>
                        <w:bottom w:val="none" w:sz="0" w:space="0" w:color="auto"/>
                        <w:right w:val="none" w:sz="0" w:space="0" w:color="auto"/>
                      </w:divBdr>
                    </w:div>
                  </w:divsChild>
                </w:div>
                <w:div w:id="666052891">
                  <w:marLeft w:val="0"/>
                  <w:marRight w:val="0"/>
                  <w:marTop w:val="0"/>
                  <w:marBottom w:val="0"/>
                  <w:divBdr>
                    <w:top w:val="none" w:sz="0" w:space="0" w:color="auto"/>
                    <w:left w:val="none" w:sz="0" w:space="0" w:color="auto"/>
                    <w:bottom w:val="none" w:sz="0" w:space="0" w:color="auto"/>
                    <w:right w:val="none" w:sz="0" w:space="0" w:color="auto"/>
                  </w:divBdr>
                  <w:divsChild>
                    <w:div w:id="1050231303">
                      <w:marLeft w:val="0"/>
                      <w:marRight w:val="0"/>
                      <w:marTop w:val="0"/>
                      <w:marBottom w:val="0"/>
                      <w:divBdr>
                        <w:top w:val="none" w:sz="0" w:space="0" w:color="auto"/>
                        <w:left w:val="none" w:sz="0" w:space="0" w:color="auto"/>
                        <w:bottom w:val="none" w:sz="0" w:space="0" w:color="auto"/>
                        <w:right w:val="none" w:sz="0" w:space="0" w:color="auto"/>
                      </w:divBdr>
                    </w:div>
                  </w:divsChild>
                </w:div>
                <w:div w:id="701980854">
                  <w:marLeft w:val="0"/>
                  <w:marRight w:val="0"/>
                  <w:marTop w:val="0"/>
                  <w:marBottom w:val="0"/>
                  <w:divBdr>
                    <w:top w:val="none" w:sz="0" w:space="0" w:color="auto"/>
                    <w:left w:val="none" w:sz="0" w:space="0" w:color="auto"/>
                    <w:bottom w:val="none" w:sz="0" w:space="0" w:color="auto"/>
                    <w:right w:val="none" w:sz="0" w:space="0" w:color="auto"/>
                  </w:divBdr>
                  <w:divsChild>
                    <w:div w:id="1003321190">
                      <w:marLeft w:val="0"/>
                      <w:marRight w:val="0"/>
                      <w:marTop w:val="0"/>
                      <w:marBottom w:val="0"/>
                      <w:divBdr>
                        <w:top w:val="none" w:sz="0" w:space="0" w:color="auto"/>
                        <w:left w:val="none" w:sz="0" w:space="0" w:color="auto"/>
                        <w:bottom w:val="none" w:sz="0" w:space="0" w:color="auto"/>
                        <w:right w:val="none" w:sz="0" w:space="0" w:color="auto"/>
                      </w:divBdr>
                    </w:div>
                  </w:divsChild>
                </w:div>
                <w:div w:id="836652491">
                  <w:marLeft w:val="0"/>
                  <w:marRight w:val="0"/>
                  <w:marTop w:val="0"/>
                  <w:marBottom w:val="0"/>
                  <w:divBdr>
                    <w:top w:val="none" w:sz="0" w:space="0" w:color="auto"/>
                    <w:left w:val="none" w:sz="0" w:space="0" w:color="auto"/>
                    <w:bottom w:val="none" w:sz="0" w:space="0" w:color="auto"/>
                    <w:right w:val="none" w:sz="0" w:space="0" w:color="auto"/>
                  </w:divBdr>
                  <w:divsChild>
                    <w:div w:id="1244993098">
                      <w:marLeft w:val="0"/>
                      <w:marRight w:val="0"/>
                      <w:marTop w:val="0"/>
                      <w:marBottom w:val="0"/>
                      <w:divBdr>
                        <w:top w:val="none" w:sz="0" w:space="0" w:color="auto"/>
                        <w:left w:val="none" w:sz="0" w:space="0" w:color="auto"/>
                        <w:bottom w:val="none" w:sz="0" w:space="0" w:color="auto"/>
                        <w:right w:val="none" w:sz="0" w:space="0" w:color="auto"/>
                      </w:divBdr>
                    </w:div>
                  </w:divsChild>
                </w:div>
                <w:div w:id="923418357">
                  <w:marLeft w:val="0"/>
                  <w:marRight w:val="0"/>
                  <w:marTop w:val="0"/>
                  <w:marBottom w:val="0"/>
                  <w:divBdr>
                    <w:top w:val="none" w:sz="0" w:space="0" w:color="auto"/>
                    <w:left w:val="none" w:sz="0" w:space="0" w:color="auto"/>
                    <w:bottom w:val="none" w:sz="0" w:space="0" w:color="auto"/>
                    <w:right w:val="none" w:sz="0" w:space="0" w:color="auto"/>
                  </w:divBdr>
                  <w:divsChild>
                    <w:div w:id="1655522607">
                      <w:marLeft w:val="0"/>
                      <w:marRight w:val="0"/>
                      <w:marTop w:val="0"/>
                      <w:marBottom w:val="0"/>
                      <w:divBdr>
                        <w:top w:val="none" w:sz="0" w:space="0" w:color="auto"/>
                        <w:left w:val="none" w:sz="0" w:space="0" w:color="auto"/>
                        <w:bottom w:val="none" w:sz="0" w:space="0" w:color="auto"/>
                        <w:right w:val="none" w:sz="0" w:space="0" w:color="auto"/>
                      </w:divBdr>
                    </w:div>
                  </w:divsChild>
                </w:div>
                <w:div w:id="947471891">
                  <w:marLeft w:val="0"/>
                  <w:marRight w:val="0"/>
                  <w:marTop w:val="0"/>
                  <w:marBottom w:val="0"/>
                  <w:divBdr>
                    <w:top w:val="none" w:sz="0" w:space="0" w:color="auto"/>
                    <w:left w:val="none" w:sz="0" w:space="0" w:color="auto"/>
                    <w:bottom w:val="none" w:sz="0" w:space="0" w:color="auto"/>
                    <w:right w:val="none" w:sz="0" w:space="0" w:color="auto"/>
                  </w:divBdr>
                  <w:divsChild>
                    <w:div w:id="1337000311">
                      <w:marLeft w:val="0"/>
                      <w:marRight w:val="0"/>
                      <w:marTop w:val="0"/>
                      <w:marBottom w:val="0"/>
                      <w:divBdr>
                        <w:top w:val="none" w:sz="0" w:space="0" w:color="auto"/>
                        <w:left w:val="none" w:sz="0" w:space="0" w:color="auto"/>
                        <w:bottom w:val="none" w:sz="0" w:space="0" w:color="auto"/>
                        <w:right w:val="none" w:sz="0" w:space="0" w:color="auto"/>
                      </w:divBdr>
                    </w:div>
                  </w:divsChild>
                </w:div>
                <w:div w:id="959148182">
                  <w:marLeft w:val="0"/>
                  <w:marRight w:val="0"/>
                  <w:marTop w:val="0"/>
                  <w:marBottom w:val="0"/>
                  <w:divBdr>
                    <w:top w:val="none" w:sz="0" w:space="0" w:color="auto"/>
                    <w:left w:val="none" w:sz="0" w:space="0" w:color="auto"/>
                    <w:bottom w:val="none" w:sz="0" w:space="0" w:color="auto"/>
                    <w:right w:val="none" w:sz="0" w:space="0" w:color="auto"/>
                  </w:divBdr>
                  <w:divsChild>
                    <w:div w:id="444156581">
                      <w:marLeft w:val="0"/>
                      <w:marRight w:val="0"/>
                      <w:marTop w:val="0"/>
                      <w:marBottom w:val="0"/>
                      <w:divBdr>
                        <w:top w:val="none" w:sz="0" w:space="0" w:color="auto"/>
                        <w:left w:val="none" w:sz="0" w:space="0" w:color="auto"/>
                        <w:bottom w:val="none" w:sz="0" w:space="0" w:color="auto"/>
                        <w:right w:val="none" w:sz="0" w:space="0" w:color="auto"/>
                      </w:divBdr>
                    </w:div>
                  </w:divsChild>
                </w:div>
                <w:div w:id="973175212">
                  <w:marLeft w:val="0"/>
                  <w:marRight w:val="0"/>
                  <w:marTop w:val="0"/>
                  <w:marBottom w:val="0"/>
                  <w:divBdr>
                    <w:top w:val="none" w:sz="0" w:space="0" w:color="auto"/>
                    <w:left w:val="none" w:sz="0" w:space="0" w:color="auto"/>
                    <w:bottom w:val="none" w:sz="0" w:space="0" w:color="auto"/>
                    <w:right w:val="none" w:sz="0" w:space="0" w:color="auto"/>
                  </w:divBdr>
                  <w:divsChild>
                    <w:div w:id="450319217">
                      <w:marLeft w:val="0"/>
                      <w:marRight w:val="0"/>
                      <w:marTop w:val="0"/>
                      <w:marBottom w:val="0"/>
                      <w:divBdr>
                        <w:top w:val="none" w:sz="0" w:space="0" w:color="auto"/>
                        <w:left w:val="none" w:sz="0" w:space="0" w:color="auto"/>
                        <w:bottom w:val="none" w:sz="0" w:space="0" w:color="auto"/>
                        <w:right w:val="none" w:sz="0" w:space="0" w:color="auto"/>
                      </w:divBdr>
                    </w:div>
                  </w:divsChild>
                </w:div>
                <w:div w:id="985740384">
                  <w:marLeft w:val="0"/>
                  <w:marRight w:val="0"/>
                  <w:marTop w:val="0"/>
                  <w:marBottom w:val="0"/>
                  <w:divBdr>
                    <w:top w:val="none" w:sz="0" w:space="0" w:color="auto"/>
                    <w:left w:val="none" w:sz="0" w:space="0" w:color="auto"/>
                    <w:bottom w:val="none" w:sz="0" w:space="0" w:color="auto"/>
                    <w:right w:val="none" w:sz="0" w:space="0" w:color="auto"/>
                  </w:divBdr>
                  <w:divsChild>
                    <w:div w:id="322392708">
                      <w:marLeft w:val="0"/>
                      <w:marRight w:val="0"/>
                      <w:marTop w:val="0"/>
                      <w:marBottom w:val="0"/>
                      <w:divBdr>
                        <w:top w:val="none" w:sz="0" w:space="0" w:color="auto"/>
                        <w:left w:val="none" w:sz="0" w:space="0" w:color="auto"/>
                        <w:bottom w:val="none" w:sz="0" w:space="0" w:color="auto"/>
                        <w:right w:val="none" w:sz="0" w:space="0" w:color="auto"/>
                      </w:divBdr>
                    </w:div>
                  </w:divsChild>
                </w:div>
                <w:div w:id="1057124531">
                  <w:marLeft w:val="0"/>
                  <w:marRight w:val="0"/>
                  <w:marTop w:val="0"/>
                  <w:marBottom w:val="0"/>
                  <w:divBdr>
                    <w:top w:val="none" w:sz="0" w:space="0" w:color="auto"/>
                    <w:left w:val="none" w:sz="0" w:space="0" w:color="auto"/>
                    <w:bottom w:val="none" w:sz="0" w:space="0" w:color="auto"/>
                    <w:right w:val="none" w:sz="0" w:space="0" w:color="auto"/>
                  </w:divBdr>
                  <w:divsChild>
                    <w:div w:id="1378624646">
                      <w:marLeft w:val="0"/>
                      <w:marRight w:val="0"/>
                      <w:marTop w:val="0"/>
                      <w:marBottom w:val="0"/>
                      <w:divBdr>
                        <w:top w:val="none" w:sz="0" w:space="0" w:color="auto"/>
                        <w:left w:val="none" w:sz="0" w:space="0" w:color="auto"/>
                        <w:bottom w:val="none" w:sz="0" w:space="0" w:color="auto"/>
                        <w:right w:val="none" w:sz="0" w:space="0" w:color="auto"/>
                      </w:divBdr>
                    </w:div>
                  </w:divsChild>
                </w:div>
                <w:div w:id="1075124323">
                  <w:marLeft w:val="0"/>
                  <w:marRight w:val="0"/>
                  <w:marTop w:val="0"/>
                  <w:marBottom w:val="0"/>
                  <w:divBdr>
                    <w:top w:val="none" w:sz="0" w:space="0" w:color="auto"/>
                    <w:left w:val="none" w:sz="0" w:space="0" w:color="auto"/>
                    <w:bottom w:val="none" w:sz="0" w:space="0" w:color="auto"/>
                    <w:right w:val="none" w:sz="0" w:space="0" w:color="auto"/>
                  </w:divBdr>
                  <w:divsChild>
                    <w:div w:id="21369879">
                      <w:marLeft w:val="0"/>
                      <w:marRight w:val="0"/>
                      <w:marTop w:val="0"/>
                      <w:marBottom w:val="0"/>
                      <w:divBdr>
                        <w:top w:val="none" w:sz="0" w:space="0" w:color="auto"/>
                        <w:left w:val="none" w:sz="0" w:space="0" w:color="auto"/>
                        <w:bottom w:val="none" w:sz="0" w:space="0" w:color="auto"/>
                        <w:right w:val="none" w:sz="0" w:space="0" w:color="auto"/>
                      </w:divBdr>
                    </w:div>
                  </w:divsChild>
                </w:div>
                <w:div w:id="1120220921">
                  <w:marLeft w:val="0"/>
                  <w:marRight w:val="0"/>
                  <w:marTop w:val="0"/>
                  <w:marBottom w:val="0"/>
                  <w:divBdr>
                    <w:top w:val="none" w:sz="0" w:space="0" w:color="auto"/>
                    <w:left w:val="none" w:sz="0" w:space="0" w:color="auto"/>
                    <w:bottom w:val="none" w:sz="0" w:space="0" w:color="auto"/>
                    <w:right w:val="none" w:sz="0" w:space="0" w:color="auto"/>
                  </w:divBdr>
                  <w:divsChild>
                    <w:div w:id="1837307157">
                      <w:marLeft w:val="0"/>
                      <w:marRight w:val="0"/>
                      <w:marTop w:val="0"/>
                      <w:marBottom w:val="0"/>
                      <w:divBdr>
                        <w:top w:val="none" w:sz="0" w:space="0" w:color="auto"/>
                        <w:left w:val="none" w:sz="0" w:space="0" w:color="auto"/>
                        <w:bottom w:val="none" w:sz="0" w:space="0" w:color="auto"/>
                        <w:right w:val="none" w:sz="0" w:space="0" w:color="auto"/>
                      </w:divBdr>
                    </w:div>
                  </w:divsChild>
                </w:div>
                <w:div w:id="1143887322">
                  <w:marLeft w:val="0"/>
                  <w:marRight w:val="0"/>
                  <w:marTop w:val="0"/>
                  <w:marBottom w:val="0"/>
                  <w:divBdr>
                    <w:top w:val="none" w:sz="0" w:space="0" w:color="auto"/>
                    <w:left w:val="none" w:sz="0" w:space="0" w:color="auto"/>
                    <w:bottom w:val="none" w:sz="0" w:space="0" w:color="auto"/>
                    <w:right w:val="none" w:sz="0" w:space="0" w:color="auto"/>
                  </w:divBdr>
                  <w:divsChild>
                    <w:div w:id="200825317">
                      <w:marLeft w:val="0"/>
                      <w:marRight w:val="0"/>
                      <w:marTop w:val="0"/>
                      <w:marBottom w:val="0"/>
                      <w:divBdr>
                        <w:top w:val="none" w:sz="0" w:space="0" w:color="auto"/>
                        <w:left w:val="none" w:sz="0" w:space="0" w:color="auto"/>
                        <w:bottom w:val="none" w:sz="0" w:space="0" w:color="auto"/>
                        <w:right w:val="none" w:sz="0" w:space="0" w:color="auto"/>
                      </w:divBdr>
                    </w:div>
                  </w:divsChild>
                </w:div>
                <w:div w:id="1156915212">
                  <w:marLeft w:val="0"/>
                  <w:marRight w:val="0"/>
                  <w:marTop w:val="0"/>
                  <w:marBottom w:val="0"/>
                  <w:divBdr>
                    <w:top w:val="none" w:sz="0" w:space="0" w:color="auto"/>
                    <w:left w:val="none" w:sz="0" w:space="0" w:color="auto"/>
                    <w:bottom w:val="none" w:sz="0" w:space="0" w:color="auto"/>
                    <w:right w:val="none" w:sz="0" w:space="0" w:color="auto"/>
                  </w:divBdr>
                  <w:divsChild>
                    <w:div w:id="869881347">
                      <w:marLeft w:val="0"/>
                      <w:marRight w:val="0"/>
                      <w:marTop w:val="0"/>
                      <w:marBottom w:val="0"/>
                      <w:divBdr>
                        <w:top w:val="none" w:sz="0" w:space="0" w:color="auto"/>
                        <w:left w:val="none" w:sz="0" w:space="0" w:color="auto"/>
                        <w:bottom w:val="none" w:sz="0" w:space="0" w:color="auto"/>
                        <w:right w:val="none" w:sz="0" w:space="0" w:color="auto"/>
                      </w:divBdr>
                    </w:div>
                  </w:divsChild>
                </w:div>
                <w:div w:id="1166634415">
                  <w:marLeft w:val="0"/>
                  <w:marRight w:val="0"/>
                  <w:marTop w:val="0"/>
                  <w:marBottom w:val="0"/>
                  <w:divBdr>
                    <w:top w:val="none" w:sz="0" w:space="0" w:color="auto"/>
                    <w:left w:val="none" w:sz="0" w:space="0" w:color="auto"/>
                    <w:bottom w:val="none" w:sz="0" w:space="0" w:color="auto"/>
                    <w:right w:val="none" w:sz="0" w:space="0" w:color="auto"/>
                  </w:divBdr>
                  <w:divsChild>
                    <w:div w:id="1729836831">
                      <w:marLeft w:val="0"/>
                      <w:marRight w:val="0"/>
                      <w:marTop w:val="0"/>
                      <w:marBottom w:val="0"/>
                      <w:divBdr>
                        <w:top w:val="none" w:sz="0" w:space="0" w:color="auto"/>
                        <w:left w:val="none" w:sz="0" w:space="0" w:color="auto"/>
                        <w:bottom w:val="none" w:sz="0" w:space="0" w:color="auto"/>
                        <w:right w:val="none" w:sz="0" w:space="0" w:color="auto"/>
                      </w:divBdr>
                    </w:div>
                  </w:divsChild>
                </w:div>
                <w:div w:id="1270427146">
                  <w:marLeft w:val="0"/>
                  <w:marRight w:val="0"/>
                  <w:marTop w:val="0"/>
                  <w:marBottom w:val="0"/>
                  <w:divBdr>
                    <w:top w:val="none" w:sz="0" w:space="0" w:color="auto"/>
                    <w:left w:val="none" w:sz="0" w:space="0" w:color="auto"/>
                    <w:bottom w:val="none" w:sz="0" w:space="0" w:color="auto"/>
                    <w:right w:val="none" w:sz="0" w:space="0" w:color="auto"/>
                  </w:divBdr>
                  <w:divsChild>
                    <w:div w:id="61300237">
                      <w:marLeft w:val="0"/>
                      <w:marRight w:val="0"/>
                      <w:marTop w:val="0"/>
                      <w:marBottom w:val="0"/>
                      <w:divBdr>
                        <w:top w:val="none" w:sz="0" w:space="0" w:color="auto"/>
                        <w:left w:val="none" w:sz="0" w:space="0" w:color="auto"/>
                        <w:bottom w:val="none" w:sz="0" w:space="0" w:color="auto"/>
                        <w:right w:val="none" w:sz="0" w:space="0" w:color="auto"/>
                      </w:divBdr>
                    </w:div>
                  </w:divsChild>
                </w:div>
                <w:div w:id="1272392255">
                  <w:marLeft w:val="0"/>
                  <w:marRight w:val="0"/>
                  <w:marTop w:val="0"/>
                  <w:marBottom w:val="0"/>
                  <w:divBdr>
                    <w:top w:val="none" w:sz="0" w:space="0" w:color="auto"/>
                    <w:left w:val="none" w:sz="0" w:space="0" w:color="auto"/>
                    <w:bottom w:val="none" w:sz="0" w:space="0" w:color="auto"/>
                    <w:right w:val="none" w:sz="0" w:space="0" w:color="auto"/>
                  </w:divBdr>
                  <w:divsChild>
                    <w:div w:id="1376195974">
                      <w:marLeft w:val="0"/>
                      <w:marRight w:val="0"/>
                      <w:marTop w:val="0"/>
                      <w:marBottom w:val="0"/>
                      <w:divBdr>
                        <w:top w:val="none" w:sz="0" w:space="0" w:color="auto"/>
                        <w:left w:val="none" w:sz="0" w:space="0" w:color="auto"/>
                        <w:bottom w:val="none" w:sz="0" w:space="0" w:color="auto"/>
                        <w:right w:val="none" w:sz="0" w:space="0" w:color="auto"/>
                      </w:divBdr>
                    </w:div>
                  </w:divsChild>
                </w:div>
                <w:div w:id="1288779474">
                  <w:marLeft w:val="0"/>
                  <w:marRight w:val="0"/>
                  <w:marTop w:val="0"/>
                  <w:marBottom w:val="0"/>
                  <w:divBdr>
                    <w:top w:val="none" w:sz="0" w:space="0" w:color="auto"/>
                    <w:left w:val="none" w:sz="0" w:space="0" w:color="auto"/>
                    <w:bottom w:val="none" w:sz="0" w:space="0" w:color="auto"/>
                    <w:right w:val="none" w:sz="0" w:space="0" w:color="auto"/>
                  </w:divBdr>
                  <w:divsChild>
                    <w:div w:id="832837932">
                      <w:marLeft w:val="0"/>
                      <w:marRight w:val="0"/>
                      <w:marTop w:val="0"/>
                      <w:marBottom w:val="0"/>
                      <w:divBdr>
                        <w:top w:val="none" w:sz="0" w:space="0" w:color="auto"/>
                        <w:left w:val="none" w:sz="0" w:space="0" w:color="auto"/>
                        <w:bottom w:val="none" w:sz="0" w:space="0" w:color="auto"/>
                        <w:right w:val="none" w:sz="0" w:space="0" w:color="auto"/>
                      </w:divBdr>
                    </w:div>
                  </w:divsChild>
                </w:div>
                <w:div w:id="1306929798">
                  <w:marLeft w:val="0"/>
                  <w:marRight w:val="0"/>
                  <w:marTop w:val="0"/>
                  <w:marBottom w:val="0"/>
                  <w:divBdr>
                    <w:top w:val="none" w:sz="0" w:space="0" w:color="auto"/>
                    <w:left w:val="none" w:sz="0" w:space="0" w:color="auto"/>
                    <w:bottom w:val="none" w:sz="0" w:space="0" w:color="auto"/>
                    <w:right w:val="none" w:sz="0" w:space="0" w:color="auto"/>
                  </w:divBdr>
                  <w:divsChild>
                    <w:div w:id="765229013">
                      <w:marLeft w:val="0"/>
                      <w:marRight w:val="0"/>
                      <w:marTop w:val="0"/>
                      <w:marBottom w:val="0"/>
                      <w:divBdr>
                        <w:top w:val="none" w:sz="0" w:space="0" w:color="auto"/>
                        <w:left w:val="none" w:sz="0" w:space="0" w:color="auto"/>
                        <w:bottom w:val="none" w:sz="0" w:space="0" w:color="auto"/>
                        <w:right w:val="none" w:sz="0" w:space="0" w:color="auto"/>
                      </w:divBdr>
                    </w:div>
                  </w:divsChild>
                </w:div>
                <w:div w:id="1352144350">
                  <w:marLeft w:val="0"/>
                  <w:marRight w:val="0"/>
                  <w:marTop w:val="0"/>
                  <w:marBottom w:val="0"/>
                  <w:divBdr>
                    <w:top w:val="none" w:sz="0" w:space="0" w:color="auto"/>
                    <w:left w:val="none" w:sz="0" w:space="0" w:color="auto"/>
                    <w:bottom w:val="none" w:sz="0" w:space="0" w:color="auto"/>
                    <w:right w:val="none" w:sz="0" w:space="0" w:color="auto"/>
                  </w:divBdr>
                  <w:divsChild>
                    <w:div w:id="1935547112">
                      <w:marLeft w:val="0"/>
                      <w:marRight w:val="0"/>
                      <w:marTop w:val="0"/>
                      <w:marBottom w:val="0"/>
                      <w:divBdr>
                        <w:top w:val="none" w:sz="0" w:space="0" w:color="auto"/>
                        <w:left w:val="none" w:sz="0" w:space="0" w:color="auto"/>
                        <w:bottom w:val="none" w:sz="0" w:space="0" w:color="auto"/>
                        <w:right w:val="none" w:sz="0" w:space="0" w:color="auto"/>
                      </w:divBdr>
                    </w:div>
                  </w:divsChild>
                </w:div>
                <w:div w:id="1360081631">
                  <w:marLeft w:val="0"/>
                  <w:marRight w:val="0"/>
                  <w:marTop w:val="0"/>
                  <w:marBottom w:val="0"/>
                  <w:divBdr>
                    <w:top w:val="none" w:sz="0" w:space="0" w:color="auto"/>
                    <w:left w:val="none" w:sz="0" w:space="0" w:color="auto"/>
                    <w:bottom w:val="none" w:sz="0" w:space="0" w:color="auto"/>
                    <w:right w:val="none" w:sz="0" w:space="0" w:color="auto"/>
                  </w:divBdr>
                  <w:divsChild>
                    <w:div w:id="1430855584">
                      <w:marLeft w:val="0"/>
                      <w:marRight w:val="0"/>
                      <w:marTop w:val="0"/>
                      <w:marBottom w:val="0"/>
                      <w:divBdr>
                        <w:top w:val="none" w:sz="0" w:space="0" w:color="auto"/>
                        <w:left w:val="none" w:sz="0" w:space="0" w:color="auto"/>
                        <w:bottom w:val="none" w:sz="0" w:space="0" w:color="auto"/>
                        <w:right w:val="none" w:sz="0" w:space="0" w:color="auto"/>
                      </w:divBdr>
                    </w:div>
                  </w:divsChild>
                </w:div>
                <w:div w:id="1408381285">
                  <w:marLeft w:val="0"/>
                  <w:marRight w:val="0"/>
                  <w:marTop w:val="0"/>
                  <w:marBottom w:val="0"/>
                  <w:divBdr>
                    <w:top w:val="none" w:sz="0" w:space="0" w:color="auto"/>
                    <w:left w:val="none" w:sz="0" w:space="0" w:color="auto"/>
                    <w:bottom w:val="none" w:sz="0" w:space="0" w:color="auto"/>
                    <w:right w:val="none" w:sz="0" w:space="0" w:color="auto"/>
                  </w:divBdr>
                  <w:divsChild>
                    <w:div w:id="1713505759">
                      <w:marLeft w:val="0"/>
                      <w:marRight w:val="0"/>
                      <w:marTop w:val="0"/>
                      <w:marBottom w:val="0"/>
                      <w:divBdr>
                        <w:top w:val="none" w:sz="0" w:space="0" w:color="auto"/>
                        <w:left w:val="none" w:sz="0" w:space="0" w:color="auto"/>
                        <w:bottom w:val="none" w:sz="0" w:space="0" w:color="auto"/>
                        <w:right w:val="none" w:sz="0" w:space="0" w:color="auto"/>
                      </w:divBdr>
                    </w:div>
                  </w:divsChild>
                </w:div>
                <w:div w:id="1413892188">
                  <w:marLeft w:val="0"/>
                  <w:marRight w:val="0"/>
                  <w:marTop w:val="0"/>
                  <w:marBottom w:val="0"/>
                  <w:divBdr>
                    <w:top w:val="none" w:sz="0" w:space="0" w:color="auto"/>
                    <w:left w:val="none" w:sz="0" w:space="0" w:color="auto"/>
                    <w:bottom w:val="none" w:sz="0" w:space="0" w:color="auto"/>
                    <w:right w:val="none" w:sz="0" w:space="0" w:color="auto"/>
                  </w:divBdr>
                  <w:divsChild>
                    <w:div w:id="443617383">
                      <w:marLeft w:val="0"/>
                      <w:marRight w:val="0"/>
                      <w:marTop w:val="0"/>
                      <w:marBottom w:val="0"/>
                      <w:divBdr>
                        <w:top w:val="none" w:sz="0" w:space="0" w:color="auto"/>
                        <w:left w:val="none" w:sz="0" w:space="0" w:color="auto"/>
                        <w:bottom w:val="none" w:sz="0" w:space="0" w:color="auto"/>
                        <w:right w:val="none" w:sz="0" w:space="0" w:color="auto"/>
                      </w:divBdr>
                    </w:div>
                  </w:divsChild>
                </w:div>
                <w:div w:id="1461001094">
                  <w:marLeft w:val="0"/>
                  <w:marRight w:val="0"/>
                  <w:marTop w:val="0"/>
                  <w:marBottom w:val="0"/>
                  <w:divBdr>
                    <w:top w:val="none" w:sz="0" w:space="0" w:color="auto"/>
                    <w:left w:val="none" w:sz="0" w:space="0" w:color="auto"/>
                    <w:bottom w:val="none" w:sz="0" w:space="0" w:color="auto"/>
                    <w:right w:val="none" w:sz="0" w:space="0" w:color="auto"/>
                  </w:divBdr>
                  <w:divsChild>
                    <w:div w:id="1524438610">
                      <w:marLeft w:val="0"/>
                      <w:marRight w:val="0"/>
                      <w:marTop w:val="0"/>
                      <w:marBottom w:val="0"/>
                      <w:divBdr>
                        <w:top w:val="none" w:sz="0" w:space="0" w:color="auto"/>
                        <w:left w:val="none" w:sz="0" w:space="0" w:color="auto"/>
                        <w:bottom w:val="none" w:sz="0" w:space="0" w:color="auto"/>
                        <w:right w:val="none" w:sz="0" w:space="0" w:color="auto"/>
                      </w:divBdr>
                    </w:div>
                  </w:divsChild>
                </w:div>
                <w:div w:id="1464426205">
                  <w:marLeft w:val="0"/>
                  <w:marRight w:val="0"/>
                  <w:marTop w:val="0"/>
                  <w:marBottom w:val="0"/>
                  <w:divBdr>
                    <w:top w:val="none" w:sz="0" w:space="0" w:color="auto"/>
                    <w:left w:val="none" w:sz="0" w:space="0" w:color="auto"/>
                    <w:bottom w:val="none" w:sz="0" w:space="0" w:color="auto"/>
                    <w:right w:val="none" w:sz="0" w:space="0" w:color="auto"/>
                  </w:divBdr>
                  <w:divsChild>
                    <w:div w:id="1361666187">
                      <w:marLeft w:val="0"/>
                      <w:marRight w:val="0"/>
                      <w:marTop w:val="0"/>
                      <w:marBottom w:val="0"/>
                      <w:divBdr>
                        <w:top w:val="none" w:sz="0" w:space="0" w:color="auto"/>
                        <w:left w:val="none" w:sz="0" w:space="0" w:color="auto"/>
                        <w:bottom w:val="none" w:sz="0" w:space="0" w:color="auto"/>
                        <w:right w:val="none" w:sz="0" w:space="0" w:color="auto"/>
                      </w:divBdr>
                    </w:div>
                  </w:divsChild>
                </w:div>
                <w:div w:id="1480418865">
                  <w:marLeft w:val="0"/>
                  <w:marRight w:val="0"/>
                  <w:marTop w:val="0"/>
                  <w:marBottom w:val="0"/>
                  <w:divBdr>
                    <w:top w:val="none" w:sz="0" w:space="0" w:color="auto"/>
                    <w:left w:val="none" w:sz="0" w:space="0" w:color="auto"/>
                    <w:bottom w:val="none" w:sz="0" w:space="0" w:color="auto"/>
                    <w:right w:val="none" w:sz="0" w:space="0" w:color="auto"/>
                  </w:divBdr>
                  <w:divsChild>
                    <w:div w:id="636255463">
                      <w:marLeft w:val="0"/>
                      <w:marRight w:val="0"/>
                      <w:marTop w:val="0"/>
                      <w:marBottom w:val="0"/>
                      <w:divBdr>
                        <w:top w:val="none" w:sz="0" w:space="0" w:color="auto"/>
                        <w:left w:val="none" w:sz="0" w:space="0" w:color="auto"/>
                        <w:bottom w:val="none" w:sz="0" w:space="0" w:color="auto"/>
                        <w:right w:val="none" w:sz="0" w:space="0" w:color="auto"/>
                      </w:divBdr>
                    </w:div>
                  </w:divsChild>
                </w:div>
                <w:div w:id="1571577529">
                  <w:marLeft w:val="0"/>
                  <w:marRight w:val="0"/>
                  <w:marTop w:val="0"/>
                  <w:marBottom w:val="0"/>
                  <w:divBdr>
                    <w:top w:val="none" w:sz="0" w:space="0" w:color="auto"/>
                    <w:left w:val="none" w:sz="0" w:space="0" w:color="auto"/>
                    <w:bottom w:val="none" w:sz="0" w:space="0" w:color="auto"/>
                    <w:right w:val="none" w:sz="0" w:space="0" w:color="auto"/>
                  </w:divBdr>
                  <w:divsChild>
                    <w:div w:id="410811950">
                      <w:marLeft w:val="0"/>
                      <w:marRight w:val="0"/>
                      <w:marTop w:val="0"/>
                      <w:marBottom w:val="0"/>
                      <w:divBdr>
                        <w:top w:val="none" w:sz="0" w:space="0" w:color="auto"/>
                        <w:left w:val="none" w:sz="0" w:space="0" w:color="auto"/>
                        <w:bottom w:val="none" w:sz="0" w:space="0" w:color="auto"/>
                        <w:right w:val="none" w:sz="0" w:space="0" w:color="auto"/>
                      </w:divBdr>
                    </w:div>
                  </w:divsChild>
                </w:div>
                <w:div w:id="1593081265">
                  <w:marLeft w:val="0"/>
                  <w:marRight w:val="0"/>
                  <w:marTop w:val="0"/>
                  <w:marBottom w:val="0"/>
                  <w:divBdr>
                    <w:top w:val="none" w:sz="0" w:space="0" w:color="auto"/>
                    <w:left w:val="none" w:sz="0" w:space="0" w:color="auto"/>
                    <w:bottom w:val="none" w:sz="0" w:space="0" w:color="auto"/>
                    <w:right w:val="none" w:sz="0" w:space="0" w:color="auto"/>
                  </w:divBdr>
                  <w:divsChild>
                    <w:div w:id="864513955">
                      <w:marLeft w:val="0"/>
                      <w:marRight w:val="0"/>
                      <w:marTop w:val="0"/>
                      <w:marBottom w:val="0"/>
                      <w:divBdr>
                        <w:top w:val="none" w:sz="0" w:space="0" w:color="auto"/>
                        <w:left w:val="none" w:sz="0" w:space="0" w:color="auto"/>
                        <w:bottom w:val="none" w:sz="0" w:space="0" w:color="auto"/>
                        <w:right w:val="none" w:sz="0" w:space="0" w:color="auto"/>
                      </w:divBdr>
                    </w:div>
                  </w:divsChild>
                </w:div>
                <w:div w:id="1805007003">
                  <w:marLeft w:val="0"/>
                  <w:marRight w:val="0"/>
                  <w:marTop w:val="0"/>
                  <w:marBottom w:val="0"/>
                  <w:divBdr>
                    <w:top w:val="none" w:sz="0" w:space="0" w:color="auto"/>
                    <w:left w:val="none" w:sz="0" w:space="0" w:color="auto"/>
                    <w:bottom w:val="none" w:sz="0" w:space="0" w:color="auto"/>
                    <w:right w:val="none" w:sz="0" w:space="0" w:color="auto"/>
                  </w:divBdr>
                  <w:divsChild>
                    <w:div w:id="1567253567">
                      <w:marLeft w:val="0"/>
                      <w:marRight w:val="0"/>
                      <w:marTop w:val="0"/>
                      <w:marBottom w:val="0"/>
                      <w:divBdr>
                        <w:top w:val="none" w:sz="0" w:space="0" w:color="auto"/>
                        <w:left w:val="none" w:sz="0" w:space="0" w:color="auto"/>
                        <w:bottom w:val="none" w:sz="0" w:space="0" w:color="auto"/>
                        <w:right w:val="none" w:sz="0" w:space="0" w:color="auto"/>
                      </w:divBdr>
                    </w:div>
                  </w:divsChild>
                </w:div>
                <w:div w:id="1889486942">
                  <w:marLeft w:val="0"/>
                  <w:marRight w:val="0"/>
                  <w:marTop w:val="0"/>
                  <w:marBottom w:val="0"/>
                  <w:divBdr>
                    <w:top w:val="none" w:sz="0" w:space="0" w:color="auto"/>
                    <w:left w:val="none" w:sz="0" w:space="0" w:color="auto"/>
                    <w:bottom w:val="none" w:sz="0" w:space="0" w:color="auto"/>
                    <w:right w:val="none" w:sz="0" w:space="0" w:color="auto"/>
                  </w:divBdr>
                  <w:divsChild>
                    <w:div w:id="1768039763">
                      <w:marLeft w:val="0"/>
                      <w:marRight w:val="0"/>
                      <w:marTop w:val="0"/>
                      <w:marBottom w:val="0"/>
                      <w:divBdr>
                        <w:top w:val="none" w:sz="0" w:space="0" w:color="auto"/>
                        <w:left w:val="none" w:sz="0" w:space="0" w:color="auto"/>
                        <w:bottom w:val="none" w:sz="0" w:space="0" w:color="auto"/>
                        <w:right w:val="none" w:sz="0" w:space="0" w:color="auto"/>
                      </w:divBdr>
                    </w:div>
                  </w:divsChild>
                </w:div>
                <w:div w:id="1948345945">
                  <w:marLeft w:val="0"/>
                  <w:marRight w:val="0"/>
                  <w:marTop w:val="0"/>
                  <w:marBottom w:val="0"/>
                  <w:divBdr>
                    <w:top w:val="none" w:sz="0" w:space="0" w:color="auto"/>
                    <w:left w:val="none" w:sz="0" w:space="0" w:color="auto"/>
                    <w:bottom w:val="none" w:sz="0" w:space="0" w:color="auto"/>
                    <w:right w:val="none" w:sz="0" w:space="0" w:color="auto"/>
                  </w:divBdr>
                  <w:divsChild>
                    <w:div w:id="996571948">
                      <w:marLeft w:val="0"/>
                      <w:marRight w:val="0"/>
                      <w:marTop w:val="0"/>
                      <w:marBottom w:val="0"/>
                      <w:divBdr>
                        <w:top w:val="none" w:sz="0" w:space="0" w:color="auto"/>
                        <w:left w:val="none" w:sz="0" w:space="0" w:color="auto"/>
                        <w:bottom w:val="none" w:sz="0" w:space="0" w:color="auto"/>
                        <w:right w:val="none" w:sz="0" w:space="0" w:color="auto"/>
                      </w:divBdr>
                    </w:div>
                  </w:divsChild>
                </w:div>
                <w:div w:id="1956056934">
                  <w:marLeft w:val="0"/>
                  <w:marRight w:val="0"/>
                  <w:marTop w:val="0"/>
                  <w:marBottom w:val="0"/>
                  <w:divBdr>
                    <w:top w:val="none" w:sz="0" w:space="0" w:color="auto"/>
                    <w:left w:val="none" w:sz="0" w:space="0" w:color="auto"/>
                    <w:bottom w:val="none" w:sz="0" w:space="0" w:color="auto"/>
                    <w:right w:val="none" w:sz="0" w:space="0" w:color="auto"/>
                  </w:divBdr>
                  <w:divsChild>
                    <w:div w:id="1623882020">
                      <w:marLeft w:val="0"/>
                      <w:marRight w:val="0"/>
                      <w:marTop w:val="0"/>
                      <w:marBottom w:val="0"/>
                      <w:divBdr>
                        <w:top w:val="none" w:sz="0" w:space="0" w:color="auto"/>
                        <w:left w:val="none" w:sz="0" w:space="0" w:color="auto"/>
                        <w:bottom w:val="none" w:sz="0" w:space="0" w:color="auto"/>
                        <w:right w:val="none" w:sz="0" w:space="0" w:color="auto"/>
                      </w:divBdr>
                    </w:div>
                  </w:divsChild>
                </w:div>
                <w:div w:id="1956322644">
                  <w:marLeft w:val="0"/>
                  <w:marRight w:val="0"/>
                  <w:marTop w:val="0"/>
                  <w:marBottom w:val="0"/>
                  <w:divBdr>
                    <w:top w:val="none" w:sz="0" w:space="0" w:color="auto"/>
                    <w:left w:val="none" w:sz="0" w:space="0" w:color="auto"/>
                    <w:bottom w:val="none" w:sz="0" w:space="0" w:color="auto"/>
                    <w:right w:val="none" w:sz="0" w:space="0" w:color="auto"/>
                  </w:divBdr>
                  <w:divsChild>
                    <w:div w:id="2074038804">
                      <w:marLeft w:val="0"/>
                      <w:marRight w:val="0"/>
                      <w:marTop w:val="0"/>
                      <w:marBottom w:val="0"/>
                      <w:divBdr>
                        <w:top w:val="none" w:sz="0" w:space="0" w:color="auto"/>
                        <w:left w:val="none" w:sz="0" w:space="0" w:color="auto"/>
                        <w:bottom w:val="none" w:sz="0" w:space="0" w:color="auto"/>
                        <w:right w:val="none" w:sz="0" w:space="0" w:color="auto"/>
                      </w:divBdr>
                    </w:div>
                  </w:divsChild>
                </w:div>
                <w:div w:id="1968118562">
                  <w:marLeft w:val="0"/>
                  <w:marRight w:val="0"/>
                  <w:marTop w:val="0"/>
                  <w:marBottom w:val="0"/>
                  <w:divBdr>
                    <w:top w:val="none" w:sz="0" w:space="0" w:color="auto"/>
                    <w:left w:val="none" w:sz="0" w:space="0" w:color="auto"/>
                    <w:bottom w:val="none" w:sz="0" w:space="0" w:color="auto"/>
                    <w:right w:val="none" w:sz="0" w:space="0" w:color="auto"/>
                  </w:divBdr>
                  <w:divsChild>
                    <w:div w:id="1656759705">
                      <w:marLeft w:val="0"/>
                      <w:marRight w:val="0"/>
                      <w:marTop w:val="0"/>
                      <w:marBottom w:val="0"/>
                      <w:divBdr>
                        <w:top w:val="none" w:sz="0" w:space="0" w:color="auto"/>
                        <w:left w:val="none" w:sz="0" w:space="0" w:color="auto"/>
                        <w:bottom w:val="none" w:sz="0" w:space="0" w:color="auto"/>
                        <w:right w:val="none" w:sz="0" w:space="0" w:color="auto"/>
                      </w:divBdr>
                    </w:div>
                  </w:divsChild>
                </w:div>
                <w:div w:id="2019849363">
                  <w:marLeft w:val="0"/>
                  <w:marRight w:val="0"/>
                  <w:marTop w:val="0"/>
                  <w:marBottom w:val="0"/>
                  <w:divBdr>
                    <w:top w:val="none" w:sz="0" w:space="0" w:color="auto"/>
                    <w:left w:val="none" w:sz="0" w:space="0" w:color="auto"/>
                    <w:bottom w:val="none" w:sz="0" w:space="0" w:color="auto"/>
                    <w:right w:val="none" w:sz="0" w:space="0" w:color="auto"/>
                  </w:divBdr>
                  <w:divsChild>
                    <w:div w:id="1820923011">
                      <w:marLeft w:val="0"/>
                      <w:marRight w:val="0"/>
                      <w:marTop w:val="0"/>
                      <w:marBottom w:val="0"/>
                      <w:divBdr>
                        <w:top w:val="none" w:sz="0" w:space="0" w:color="auto"/>
                        <w:left w:val="none" w:sz="0" w:space="0" w:color="auto"/>
                        <w:bottom w:val="none" w:sz="0" w:space="0" w:color="auto"/>
                        <w:right w:val="none" w:sz="0" w:space="0" w:color="auto"/>
                      </w:divBdr>
                    </w:div>
                  </w:divsChild>
                </w:div>
                <w:div w:id="2042588294">
                  <w:marLeft w:val="0"/>
                  <w:marRight w:val="0"/>
                  <w:marTop w:val="0"/>
                  <w:marBottom w:val="0"/>
                  <w:divBdr>
                    <w:top w:val="none" w:sz="0" w:space="0" w:color="auto"/>
                    <w:left w:val="none" w:sz="0" w:space="0" w:color="auto"/>
                    <w:bottom w:val="none" w:sz="0" w:space="0" w:color="auto"/>
                    <w:right w:val="none" w:sz="0" w:space="0" w:color="auto"/>
                  </w:divBdr>
                  <w:divsChild>
                    <w:div w:id="225723660">
                      <w:marLeft w:val="0"/>
                      <w:marRight w:val="0"/>
                      <w:marTop w:val="0"/>
                      <w:marBottom w:val="0"/>
                      <w:divBdr>
                        <w:top w:val="none" w:sz="0" w:space="0" w:color="auto"/>
                        <w:left w:val="none" w:sz="0" w:space="0" w:color="auto"/>
                        <w:bottom w:val="none" w:sz="0" w:space="0" w:color="auto"/>
                        <w:right w:val="none" w:sz="0" w:space="0" w:color="auto"/>
                      </w:divBdr>
                    </w:div>
                  </w:divsChild>
                </w:div>
                <w:div w:id="2078283416">
                  <w:marLeft w:val="0"/>
                  <w:marRight w:val="0"/>
                  <w:marTop w:val="0"/>
                  <w:marBottom w:val="0"/>
                  <w:divBdr>
                    <w:top w:val="none" w:sz="0" w:space="0" w:color="auto"/>
                    <w:left w:val="none" w:sz="0" w:space="0" w:color="auto"/>
                    <w:bottom w:val="none" w:sz="0" w:space="0" w:color="auto"/>
                    <w:right w:val="none" w:sz="0" w:space="0" w:color="auto"/>
                  </w:divBdr>
                  <w:divsChild>
                    <w:div w:id="1422871410">
                      <w:marLeft w:val="0"/>
                      <w:marRight w:val="0"/>
                      <w:marTop w:val="0"/>
                      <w:marBottom w:val="0"/>
                      <w:divBdr>
                        <w:top w:val="none" w:sz="0" w:space="0" w:color="auto"/>
                        <w:left w:val="none" w:sz="0" w:space="0" w:color="auto"/>
                        <w:bottom w:val="none" w:sz="0" w:space="0" w:color="auto"/>
                        <w:right w:val="none" w:sz="0" w:space="0" w:color="auto"/>
                      </w:divBdr>
                    </w:div>
                  </w:divsChild>
                </w:div>
                <w:div w:id="2144806247">
                  <w:marLeft w:val="0"/>
                  <w:marRight w:val="0"/>
                  <w:marTop w:val="0"/>
                  <w:marBottom w:val="0"/>
                  <w:divBdr>
                    <w:top w:val="none" w:sz="0" w:space="0" w:color="auto"/>
                    <w:left w:val="none" w:sz="0" w:space="0" w:color="auto"/>
                    <w:bottom w:val="none" w:sz="0" w:space="0" w:color="auto"/>
                    <w:right w:val="none" w:sz="0" w:space="0" w:color="auto"/>
                  </w:divBdr>
                  <w:divsChild>
                    <w:div w:id="19814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564385">
      <w:bodyDiv w:val="1"/>
      <w:marLeft w:val="0"/>
      <w:marRight w:val="0"/>
      <w:marTop w:val="0"/>
      <w:marBottom w:val="0"/>
      <w:divBdr>
        <w:top w:val="none" w:sz="0" w:space="0" w:color="auto"/>
        <w:left w:val="none" w:sz="0" w:space="0" w:color="auto"/>
        <w:bottom w:val="none" w:sz="0" w:space="0" w:color="auto"/>
        <w:right w:val="none" w:sz="0" w:space="0" w:color="auto"/>
      </w:divBdr>
    </w:div>
    <w:div w:id="2142570524">
      <w:bodyDiv w:val="1"/>
      <w:marLeft w:val="0"/>
      <w:marRight w:val="0"/>
      <w:marTop w:val="0"/>
      <w:marBottom w:val="0"/>
      <w:divBdr>
        <w:top w:val="none" w:sz="0" w:space="0" w:color="auto"/>
        <w:left w:val="none" w:sz="0" w:space="0" w:color="auto"/>
        <w:bottom w:val="none" w:sz="0" w:space="0" w:color="auto"/>
        <w:right w:val="none" w:sz="0" w:space="0" w:color="auto"/>
      </w:divBdr>
    </w:div>
    <w:div w:id="2143381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hyperlink" Target="https://aiatsis.gov.au/sites/default/files/2020-10/aiatsis-code-ethics.pdf" TargetMode="External"/><Relationship Id="rId39" Type="http://schemas.openxmlformats.org/officeDocument/2006/relationships/footer" Target="footer4.xml"/><Relationship Id="rId21" Type="http://schemas.openxmlformats.org/officeDocument/2006/relationships/chart" Target="charts/chart2.xml"/><Relationship Id="rId34" Type="http://schemas.openxmlformats.org/officeDocument/2006/relationships/hyperlink" Target="https://www.naif.gov.au/search/?Term=Investing+for+Impact+Across+the+North" TargetMode="External"/><Relationship Id="rId42" Type="http://schemas.openxmlformats.org/officeDocument/2006/relationships/footer" Target="foot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healthinfonet.ecu.edu.au/healthinfonet/getContent.php?linkid=675466&amp;title=The+Australian+Indigenous+HealthInfoNet+guidelines+for+Aboriginal+and+Torres+Strait+Islander+terminology&amp;contentid=44676_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hyperlink" Target="https://doi.org/10.4324/9780203809730" TargetMode="External"/><Relationship Id="rId37" Type="http://schemas.openxmlformats.org/officeDocument/2006/relationships/header" Target="header3.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hart" Target="charts/chart4.xml"/><Relationship Id="rId28" Type="http://schemas.openxmlformats.org/officeDocument/2006/relationships/hyperlink" Target="https://www.closingthegap.gov.au/national-agreement/national-agreement-closing-the-gap" TargetMode="External"/><Relationship Id="rId36" Type="http://schemas.openxmlformats.org/officeDocument/2006/relationships/hyperlink" Target="https://www.niaa.gov.au/resource-centre/commonwealth-closing-gap-annual-report-2022" TargetMode="Externa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hyperlink" Target="https://www.coalitionofpeaks.org.au/priority-reforms"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hyperlink" Target="file:///C:/Users/gracescott/Downloads/evaluation-ethics%20(1).pdf" TargetMode="External"/><Relationship Id="rId30" Type="http://schemas.openxmlformats.org/officeDocument/2006/relationships/hyperlink" Target="https://budget.nt.gov.au/__data/assets/pdf_file/0009/1376667/central-australia-fact-sheet.pdf" TargetMode="External"/><Relationship Id="rId35" Type="http://schemas.openxmlformats.org/officeDocument/2006/relationships/hyperlink" Target="https://www.niaa.gov.au/our-work/housing-and-community-safety/better-safer-future-central-australia" TargetMode="External"/><Relationship Id="rId43" Type="http://schemas.openxmlformats.org/officeDocument/2006/relationships/image" Target="media/image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yperlink" Target="https://www.abs.gov.au/census/find-census-data/quickstats/2021/LGA70200" TargetMode="External"/><Relationship Id="rId33" Type="http://schemas.openxmlformats.org/officeDocument/2006/relationships/hyperlink" Target="https://link.springer.com/article/10.1007/s12187-025-10215-z" TargetMode="External"/><Relationship Id="rId38" Type="http://schemas.openxmlformats.org/officeDocument/2006/relationships/header" Target="header4.xml"/><Relationship Id="rId20" Type="http://schemas.openxmlformats.org/officeDocument/2006/relationships/image" Target="media/image6.png"/><Relationship Id="rId41"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s://www.niaa.gov.au/our-work/housing-and-community-safety/better-safer-future-central-australia" TargetMode="External"/><Relationship Id="rId13" Type="http://schemas.openxmlformats.org/officeDocument/2006/relationships/hyperlink" Target="file:///C:/Users/gracescott/Downloads/evaluation-ethics%20(1).pdf" TargetMode="External"/><Relationship Id="rId18" Type="http://schemas.openxmlformats.org/officeDocument/2006/relationships/hyperlink" Target="https://www.niaa.gov.au/niaa-stretch-reconciliation-action-plan-2022-2025/relationships?utm_source=chatgpt.com" TargetMode="External"/><Relationship Id="rId3" Type="http://schemas.openxmlformats.org/officeDocument/2006/relationships/hyperlink" Target="https://www.abs.gov.au/census/find-census-data/quickstats/2021/LGA70200" TargetMode="External"/><Relationship Id="rId21" Type="http://schemas.openxmlformats.org/officeDocument/2006/relationships/hyperlink" Target="https://www.abs.gov.au/census/find-census-data/quickstats/2021/LGA70200" TargetMode="External"/><Relationship Id="rId7" Type="http://schemas.openxmlformats.org/officeDocument/2006/relationships/hyperlink" Target="https://www.finance.gov.au/publications/resource-management-guides/grants-procurements-and-other-financial-arrangements-rmg-411" TargetMode="External"/><Relationship Id="rId12" Type="http://schemas.openxmlformats.org/officeDocument/2006/relationships/hyperlink" Target="https://aiatsis.gov.au/sites/default/files/2020-10/aiatsis-code-ethics.pdf" TargetMode="External"/><Relationship Id="rId17" Type="http://schemas.openxmlformats.org/officeDocument/2006/relationships/hyperlink" Target="https://www.snaicc.org.au/wp-content/uploads/2020/02/1148_SNAICC_PartnershipBook_LR-Final.pdf" TargetMode="External"/><Relationship Id="rId25" Type="http://schemas.openxmlformats.org/officeDocument/2006/relationships/hyperlink" Target="https://link.springer.com/article/10.1007/s12187-025-10215-z" TargetMode="External"/><Relationship Id="rId2" Type="http://schemas.openxmlformats.org/officeDocument/2006/relationships/hyperlink" Target="https://www.niaa.gov.au/our-work/housing-and-community-safety/better-safer-future-central-australia" TargetMode="External"/><Relationship Id="rId16" Type="http://schemas.openxmlformats.org/officeDocument/2006/relationships/hyperlink" Target="https://www.niaa.gov.au/our-work/housing-and-community-safety/better-safer-future-central-australia" TargetMode="External"/><Relationship Id="rId20" Type="http://schemas.openxmlformats.org/officeDocument/2006/relationships/hyperlink" Target="https://www.niaa.gov.au/our-work/housing-and-community-safety/better-safer-future-central-australia" TargetMode="External"/><Relationship Id="rId1" Type="http://schemas.openxmlformats.org/officeDocument/2006/relationships/hyperlink" Target="https://budget.nt.gov.au/__data/assets/pdf_file/0009/1376667/central-australia-fact-sheet.pdf" TargetMode="External"/><Relationship Id="rId6" Type="http://schemas.openxmlformats.org/officeDocument/2006/relationships/hyperlink" Target="https://www.finance.gov.au/government/managing-commonwealth-resources/managing-money-property/managing-money/entering-arrangements-and-committing-relevant-money" TargetMode="External"/><Relationship Id="rId11" Type="http://schemas.openxmlformats.org/officeDocument/2006/relationships/hyperlink" Target="https://doi.org/10.4324/9780203809730" TargetMode="External"/><Relationship Id="rId24" Type="http://schemas.openxmlformats.org/officeDocument/2006/relationships/hyperlink" Target="https://ruralgeneralist.nt.gov.au/the-territory/regions/central-australia%20accessed%2017%20June%202025" TargetMode="External"/><Relationship Id="rId5" Type="http://schemas.openxmlformats.org/officeDocument/2006/relationships/hyperlink" Target="https://www.closingthegap.gov.au/national-agreement/national-agreement-closing-the-gap" TargetMode="External"/><Relationship Id="rId15" Type="http://schemas.openxmlformats.org/officeDocument/2006/relationships/hyperlink" Target="https://www.niaa.gov.au/our-work/housing-and-community-safety/better-safer-future-central-australia" TargetMode="External"/><Relationship Id="rId23" Type="http://schemas.openxmlformats.org/officeDocument/2006/relationships/hyperlink" Target="https://www.naif.gov.au/search/?Term=Investing+for+Impact+Across+the+North" TargetMode="External"/><Relationship Id="rId10" Type="http://schemas.openxmlformats.org/officeDocument/2006/relationships/hyperlink" Target="https://www.niaa.gov.au/resource-centre/commonwealth-closing-gap-annual-report-2022" TargetMode="External"/><Relationship Id="rId19" Type="http://schemas.openxmlformats.org/officeDocument/2006/relationships/hyperlink" Target="https://www.abs.gov.au/statistics/people/aboriginal-and-torres-strait-islander-peoples/aboriginal-and-torres-strait-islander-people-census/latest-release?utm_source=chatgpt.com" TargetMode="External"/><Relationship Id="rId4" Type="http://schemas.openxmlformats.org/officeDocument/2006/relationships/hyperlink" Target="https://healthinfonet.ecu.edu.au/healthinfonet/getContent.php?linkid=675466&amp;title=The+Australian+Indigenous+HealthInfoNet+guidelines+for+Aboriginal+and+Torres+Strait+Islander+terminology&amp;contentid=44676_1" TargetMode="External"/><Relationship Id="rId9" Type="http://schemas.openxmlformats.org/officeDocument/2006/relationships/hyperlink" Target="https://www.closingthegap.gov.au/national-agreement/national-agreement-closing-the-gap" TargetMode="External"/><Relationship Id="rId14" Type="http://schemas.openxmlformats.org/officeDocument/2006/relationships/hyperlink" Target="https://www.niaa.gov.au/our-work/housing-and-community-safety/better-safer-future-central-australia" TargetMode="External"/><Relationship Id="rId22" Type="http://schemas.openxmlformats.org/officeDocument/2006/relationships/hyperlink" Target="https://www.niaa.gov.au/our-work/housing-and-community-safety/better-safer-future-central-austral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insidepolicycomau.sharepoint.com/sites/Advisory/Shared%20Documents/Client%20work/a.%20Federal/NIAA/Central%20Australia%20Plan%20(CAP)/3.%20Activities/4.%20Data%20analysis/Funding%20data%20analysis/Phase%202%20funding%20analysis/CAP%20Eval-RevisedXLInt"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insidepolicycomau.sharepoint.com/sites/Advisory/Shared%20Documents/Client%20work/a.%20Federal/NIAA/Central%20Australia%20Plan%20(CAP)/3.%20Activities/4.%20Data%20analysis/Funding%20data%20analysis/Phase%202%20funding%20analysis/CAP%20Eval-RevisedXLInt"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insidepolicycomau.sharepoint.com/sites/Advisory/Shared%20Documents/Client%20work/a.%20Federal/NIAA/Central%20Australia%20Plan%20(CAP)/3.%20Activities/4.%20Data%20analysis/Funding%20data%20analysis/Phase%202%20funding%20analysis/CAP%20Eval-RevisedXLInt"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insidepolicycomau.sharepoint.com/sites/Advisory/Shared%20Documents/Client%20work/a.%20Federal/NIAA/Central%20Australia%20Plan%20(CAP)/3.%20Activities/4.%20Data%20analysis/Funding%20data%20analysis/Phase%202%20funding%20analysis/CAP%20Eval-RevisedXLInt"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insidepolicycomau.sharepoint.com/sites/Advisory/Shared%20Documents/Client%20work/a.%20Federal/NIAA/Central%20Australia%20Plan%20(CAP)/3.%20Activities/4.%20Data%20analysis/Funding%20data%20analysis/Phase%202%20funding%20analysis/CAP%20Eval-RevisedXLInt"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295737727765583"/>
          <c:y val="0.14329380920481655"/>
          <c:w val="0.36921344952932328"/>
          <c:h val="0.71638410657762597"/>
        </c:manualLayout>
      </c:layout>
      <c:doughnutChart>
        <c:varyColors val="1"/>
        <c:ser>
          <c:idx val="0"/>
          <c:order val="0"/>
          <c:dPt>
            <c:idx val="0"/>
            <c:bubble3D val="0"/>
            <c:spPr>
              <a:solidFill>
                <a:srgbClr val="009999"/>
              </a:solidFill>
              <a:ln w="19050">
                <a:solidFill>
                  <a:schemeClr val="lt1"/>
                </a:solidFill>
              </a:ln>
              <a:effectLst/>
            </c:spPr>
            <c:extLst>
              <c:ext xmlns:c16="http://schemas.microsoft.com/office/drawing/2014/chart" uri="{C3380CC4-5D6E-409C-BE32-E72D297353CC}">
                <c16:uniqueId val="{00000001-60F1-A74F-8B48-5BEB2267A011}"/>
              </c:ext>
            </c:extLst>
          </c:dPt>
          <c:dPt>
            <c:idx val="1"/>
            <c:bubble3D val="0"/>
            <c:spPr>
              <a:solidFill>
                <a:schemeClr val="bg1"/>
              </a:solidFill>
              <a:ln w="12700">
                <a:solidFill>
                  <a:prstClr val="black">
                    <a:lumMod val="25000"/>
                    <a:lumOff val="75000"/>
                  </a:prstClr>
                </a:solidFill>
              </a:ln>
              <a:effectLst/>
            </c:spPr>
            <c:extLst>
              <c:ext xmlns:c16="http://schemas.microsoft.com/office/drawing/2014/chart" uri="{C3380CC4-5D6E-409C-BE32-E72D297353CC}">
                <c16:uniqueId val="{00000003-60F1-A74F-8B48-5BEB2267A011}"/>
              </c:ext>
            </c:extLst>
          </c:dPt>
          <c:dPt>
            <c:idx val="2"/>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5-60F1-A74F-8B48-5BEB2267A011}"/>
              </c:ext>
            </c:extLst>
          </c:dPt>
          <c:dLbls>
            <c:dLbl>
              <c:idx val="0"/>
              <c:layout>
                <c:manualLayout>
                  <c:x val="0.12354700002451871"/>
                  <c:y val="-8.805967102047146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0F1-A74F-8B48-5BEB2267A011}"/>
                </c:ext>
              </c:extLst>
            </c:dLbl>
            <c:dLbl>
              <c:idx val="1"/>
              <c:layout>
                <c:manualLayout>
                  <c:x val="-0.1520151263986739"/>
                  <c:y val="6.944131983502062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0F1-A74F-8B48-5BEB2267A011}"/>
                </c:ext>
              </c:extLst>
            </c:dLbl>
            <c:dLbl>
              <c:idx val="2"/>
              <c:layout>
                <c:manualLayout>
                  <c:x val="-0.11220084696104259"/>
                  <c:y val="-9.784407891163485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0F1-A74F-8B48-5BEB2267A011}"/>
                </c:ext>
              </c:extLst>
            </c:dLbl>
            <c:spPr>
              <a:solidFill>
                <a:prstClr val="white"/>
              </a:solidFill>
              <a:ln>
                <a:solidFill>
                  <a:prstClr val="black">
                    <a:lumMod val="25000"/>
                    <a:lumOff val="75000"/>
                  </a:prst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Helvetica" pitchFamily="2" charset="0"/>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'[CAP Eval-RevisedXLInterimReport-300924_NIAA (May 25).xlsx]Phase 2 Pivots'!$C$9:$C$11</c:f>
              <c:strCache>
                <c:ptCount val="3"/>
                <c:pt idx="0">
                  <c:v>Project- related funding  committed ($137 million)</c:v>
                </c:pt>
                <c:pt idx="1">
                  <c:v>Departmental funding ($19 million)</c:v>
                </c:pt>
                <c:pt idx="2">
                  <c:v>Project-related funding  not yet committed ($94 million)</c:v>
                </c:pt>
              </c:strCache>
            </c:strRef>
          </c:cat>
          <c:val>
            <c:numRef>
              <c:f>'[CAP Eval-RevisedXLInterimReport-300924_NIAA (May 25).xlsx]Phase 2 Pivots'!$D$9:$D$11</c:f>
              <c:numCache>
                <c:formatCode>"$"#,##0</c:formatCode>
                <c:ptCount val="3"/>
                <c:pt idx="0">
                  <c:v>137494607</c:v>
                </c:pt>
                <c:pt idx="1">
                  <c:v>18890000</c:v>
                </c:pt>
                <c:pt idx="2">
                  <c:v>93815393</c:v>
                </c:pt>
              </c:numCache>
            </c:numRef>
          </c:val>
          <c:extLst>
            <c:ext xmlns:c16="http://schemas.microsoft.com/office/drawing/2014/chart" uri="{C3380CC4-5D6E-409C-BE32-E72D297353CC}">
              <c16:uniqueId val="{00000006-60F1-A74F-8B48-5BEB2267A011}"/>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rgbClr val="009999"/>
              </a:solidFill>
              <a:ln w="19050">
                <a:solidFill>
                  <a:schemeClr val="lt1"/>
                </a:solidFill>
              </a:ln>
              <a:effectLst/>
            </c:spPr>
            <c:extLst>
              <c:ext xmlns:c16="http://schemas.microsoft.com/office/drawing/2014/chart" uri="{C3380CC4-5D6E-409C-BE32-E72D297353CC}">
                <c16:uniqueId val="{00000001-7924-AD45-9D1B-13DB8E36AA84}"/>
              </c:ext>
            </c:extLst>
          </c:dPt>
          <c:dPt>
            <c:idx val="1"/>
            <c:bubble3D val="0"/>
            <c:spPr>
              <a:solidFill>
                <a:schemeClr val="bg1"/>
              </a:solidFill>
              <a:ln w="9525">
                <a:solidFill>
                  <a:schemeClr val="bg1">
                    <a:lumMod val="50000"/>
                  </a:schemeClr>
                </a:solidFill>
              </a:ln>
              <a:effectLst/>
            </c:spPr>
            <c:extLst>
              <c:ext xmlns:c16="http://schemas.microsoft.com/office/drawing/2014/chart" uri="{C3380CC4-5D6E-409C-BE32-E72D297353CC}">
                <c16:uniqueId val="{00000003-7924-AD45-9D1B-13DB8E36AA84}"/>
              </c:ext>
            </c:extLst>
          </c:dPt>
          <c:dPt>
            <c:idx val="2"/>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5-7924-AD45-9D1B-13DB8E36AA84}"/>
              </c:ext>
            </c:extLst>
          </c:dPt>
          <c:dPt>
            <c:idx val="3"/>
            <c:bubble3D val="0"/>
            <c:spPr>
              <a:solidFill>
                <a:srgbClr val="009999">
                  <a:alpha val="50000"/>
                </a:srgbClr>
              </a:solidFill>
              <a:ln w="19050">
                <a:solidFill>
                  <a:schemeClr val="lt1"/>
                </a:solidFill>
              </a:ln>
              <a:effectLst/>
            </c:spPr>
            <c:extLst>
              <c:ext xmlns:c16="http://schemas.microsoft.com/office/drawing/2014/chart" uri="{C3380CC4-5D6E-409C-BE32-E72D297353CC}">
                <c16:uniqueId val="{00000007-7924-AD45-9D1B-13DB8E36AA84}"/>
              </c:ext>
            </c:extLst>
          </c:dPt>
          <c:dPt>
            <c:idx val="4"/>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9-7924-AD45-9D1B-13DB8E36AA84}"/>
              </c:ext>
            </c:extLst>
          </c:dPt>
          <c:dLbls>
            <c:dLbl>
              <c:idx val="0"/>
              <c:layout>
                <c:manualLayout>
                  <c:x val="0.10833333333333334"/>
                  <c:y val="-0.1064814814814815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924-AD45-9D1B-13DB8E36AA84}"/>
                </c:ext>
              </c:extLst>
            </c:dLbl>
            <c:dLbl>
              <c:idx val="1"/>
              <c:layout>
                <c:manualLayout>
                  <c:x val="8.3333333333333232E-2"/>
                  <c:y val="0.10648148148148148"/>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924-AD45-9D1B-13DB8E36AA84}"/>
                </c:ext>
              </c:extLst>
            </c:dLbl>
            <c:dLbl>
              <c:idx val="2"/>
              <c:layout>
                <c:manualLayout>
                  <c:x val="-2.7777777777777776E-2"/>
                  <c:y val="9.259259259259258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924-AD45-9D1B-13DB8E36AA84}"/>
                </c:ext>
              </c:extLst>
            </c:dLbl>
            <c:dLbl>
              <c:idx val="3"/>
              <c:layout>
                <c:manualLayout>
                  <c:x val="-8.8888888888888906E-2"/>
                  <c:y val="-0.13425925925925927"/>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924-AD45-9D1B-13DB8E36AA84}"/>
                </c:ext>
              </c:extLst>
            </c:dLbl>
            <c:dLbl>
              <c:idx val="4"/>
              <c:layout>
                <c:manualLayout>
                  <c:x val="-5.5555555555555558E-3"/>
                  <c:y val="-0.138888888888888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924-AD45-9D1B-13DB8E36AA84}"/>
                </c:ext>
              </c:extLst>
            </c:dLbl>
            <c:numFmt formatCode="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Helvetica" pitchFamily="2" charset="0"/>
                    <a:ea typeface="+mn-ea"/>
                    <a:cs typeface="+mn-cs"/>
                  </a:defRPr>
                </a:pPr>
                <a:endParaRPr lang="en-US"/>
              </a:p>
            </c:txPr>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'[CAP Eval-RevisedXLInterimReport-300924_NIAA DH updates 24 June.xlsx]ALG involvement in delivery'!$B$8:$G$8</c:f>
              <c:strCache>
                <c:ptCount val="5"/>
                <c:pt idx="0">
                  <c:v>Category 1</c:v>
                </c:pt>
                <c:pt idx="1">
                  <c:v> Category 2</c:v>
                </c:pt>
                <c:pt idx="2">
                  <c:v> Category 3</c:v>
                </c:pt>
                <c:pt idx="3">
                  <c:v> Category 4</c:v>
                </c:pt>
                <c:pt idx="4">
                  <c:v>To Be Decided</c:v>
                </c:pt>
              </c:strCache>
            </c:strRef>
          </c:cat>
          <c:val>
            <c:numRef>
              <c:f>'[CAP Eval-RevisedXLInterimReport-300924_NIAA DH updates 24 June.xlsx]ALG involvement in delivery'!$B$9:$G$9</c:f>
              <c:numCache>
                <c:formatCode>"$"#,##0</c:formatCode>
                <c:ptCount val="5"/>
                <c:pt idx="0">
                  <c:v>87137221</c:v>
                </c:pt>
                <c:pt idx="1">
                  <c:v>20780561</c:v>
                </c:pt>
                <c:pt idx="2">
                  <c:v>54323460</c:v>
                </c:pt>
                <c:pt idx="3">
                  <c:v>84610000</c:v>
                </c:pt>
                <c:pt idx="4">
                  <c:v>6787445</c:v>
                </c:pt>
              </c:numCache>
            </c:numRef>
          </c:val>
          <c:extLst>
            <c:ext xmlns:c16="http://schemas.microsoft.com/office/drawing/2014/chart" uri="{C3380CC4-5D6E-409C-BE32-E72D297353CC}">
              <c16:uniqueId val="{0000000A-7924-AD45-9D1B-13DB8E36AA84}"/>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Helvetica" pitchFamily="2"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'[CAP Eval-RevisedXLInterimReport-300924_NIAA (May 25).xlsx]Priority areas'!$C$2</c:f>
              <c:strCache>
                <c:ptCount val="1"/>
                <c:pt idx="0">
                  <c:v> Allocated</c:v>
                </c:pt>
              </c:strCache>
            </c:strRef>
          </c:tx>
          <c:spPr>
            <a:solidFill>
              <a:srgbClr val="0099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Helvetica"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25).xlsx]Priority areas'!$A$3:$A$9</c:f>
              <c:strCache>
                <c:ptCount val="7"/>
                <c:pt idx="0">
                  <c:v>1 - Improved community safety and cohesion</c:v>
                </c:pt>
                <c:pt idx="1">
                  <c:v>2 - Job creation</c:v>
                </c:pt>
                <c:pt idx="2">
                  <c:v>3 - Better services</c:v>
                </c:pt>
                <c:pt idx="3">
                  <c:v>4 - Preventing and addressing the issues caused by FASD</c:v>
                </c:pt>
                <c:pt idx="4">
                  <c:v>5 - Investing in families</c:v>
                </c:pt>
                <c:pt idx="5">
                  <c:v>6 - On Country learning</c:v>
                </c:pt>
                <c:pt idx="6">
                  <c:v>Governance of Central Australia Plan (NIAA)</c:v>
                </c:pt>
              </c:strCache>
            </c:strRef>
          </c:cat>
          <c:val>
            <c:numRef>
              <c:f>'[CAP Eval-RevisedXLInterimReport-300924_NIAA (May 25).xlsx]Priority areas'!$C$3:$C$9</c:f>
              <c:numCache>
                <c:formatCode>"$"#,##0</c:formatCode>
                <c:ptCount val="7"/>
                <c:pt idx="0">
                  <c:v>53300000</c:v>
                </c:pt>
                <c:pt idx="1">
                  <c:v>31400000</c:v>
                </c:pt>
                <c:pt idx="2">
                  <c:v>60300000</c:v>
                </c:pt>
                <c:pt idx="3">
                  <c:v>23400000</c:v>
                </c:pt>
                <c:pt idx="4">
                  <c:v>33900000</c:v>
                </c:pt>
                <c:pt idx="5">
                  <c:v>40400000</c:v>
                </c:pt>
                <c:pt idx="6">
                  <c:v>7500000</c:v>
                </c:pt>
              </c:numCache>
            </c:numRef>
          </c:val>
          <c:extLst>
            <c:ext xmlns:c16="http://schemas.microsoft.com/office/drawing/2014/chart" uri="{C3380CC4-5D6E-409C-BE32-E72D297353CC}">
              <c16:uniqueId val="{00000000-EEDB-C64E-B821-E1240DB2F7BC}"/>
            </c:ext>
          </c:extLst>
        </c:ser>
        <c:ser>
          <c:idx val="1"/>
          <c:order val="1"/>
          <c:tx>
            <c:strRef>
              <c:f>'[CAP Eval-RevisedXLInterimReport-300924_NIAA (May 25).xlsx]Priority areas'!$F$2</c:f>
              <c:strCache>
                <c:ptCount val="1"/>
                <c:pt idx="0">
                  <c:v>Total committed </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Helvetica"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25).xlsx]Priority areas'!$A$3:$A$9</c:f>
              <c:strCache>
                <c:ptCount val="7"/>
                <c:pt idx="0">
                  <c:v>1 - Improved community safety and cohesion</c:v>
                </c:pt>
                <c:pt idx="1">
                  <c:v>2 - Job creation</c:v>
                </c:pt>
                <c:pt idx="2">
                  <c:v>3 - Better services</c:v>
                </c:pt>
                <c:pt idx="3">
                  <c:v>4 - Preventing and addressing the issues caused by FASD</c:v>
                </c:pt>
                <c:pt idx="4">
                  <c:v>5 - Investing in families</c:v>
                </c:pt>
                <c:pt idx="5">
                  <c:v>6 - On Country learning</c:v>
                </c:pt>
                <c:pt idx="6">
                  <c:v>Governance of Central Australia Plan (NIAA)</c:v>
                </c:pt>
              </c:strCache>
            </c:strRef>
          </c:cat>
          <c:val>
            <c:numRef>
              <c:f>'[CAP Eval-RevisedXLInterimReport-300924_NIAA (May 25).xlsx]Priority areas'!$F$3:$F$9</c:f>
              <c:numCache>
                <c:formatCode>"$"#,##0</c:formatCode>
                <c:ptCount val="7"/>
                <c:pt idx="0">
                  <c:v>14063022</c:v>
                </c:pt>
                <c:pt idx="1">
                  <c:v>17013460</c:v>
                </c:pt>
                <c:pt idx="2">
                  <c:v>40512088</c:v>
                </c:pt>
                <c:pt idx="3">
                  <c:v>23400000</c:v>
                </c:pt>
                <c:pt idx="4">
                  <c:v>13523316</c:v>
                </c:pt>
                <c:pt idx="5">
                  <c:v>40372721</c:v>
                </c:pt>
                <c:pt idx="6">
                  <c:v>7500000</c:v>
                </c:pt>
              </c:numCache>
            </c:numRef>
          </c:val>
          <c:extLst>
            <c:ext xmlns:c16="http://schemas.microsoft.com/office/drawing/2014/chart" uri="{C3380CC4-5D6E-409C-BE32-E72D297353CC}">
              <c16:uniqueId val="{00000001-EEDB-C64E-B821-E1240DB2F7BC}"/>
            </c:ext>
          </c:extLst>
        </c:ser>
        <c:ser>
          <c:idx val="2"/>
          <c:order val="2"/>
          <c:tx>
            <c:strRef>
              <c:f>'[CAP Eval-RevisedXLInterimReport-300924_NIAA (May 25).xlsx]Priority areas'!$J$2</c:f>
              <c:strCache>
                <c:ptCount val="1"/>
                <c:pt idx="0">
                  <c:v>Total paid </c:v>
                </c:pt>
              </c:strCache>
            </c:strRef>
          </c:tx>
          <c:spPr>
            <a:solidFill>
              <a:schemeClr val="bg1"/>
            </a:solidFill>
            <a:ln>
              <a:solidFill>
                <a:schemeClr val="tx1">
                  <a:lumMod val="50000"/>
                  <a:lumOff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Helvetica"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25).xlsx]Priority areas'!$A$3:$A$9</c:f>
              <c:strCache>
                <c:ptCount val="7"/>
                <c:pt idx="0">
                  <c:v>1 - Improved community safety and cohesion</c:v>
                </c:pt>
                <c:pt idx="1">
                  <c:v>2 - Job creation</c:v>
                </c:pt>
                <c:pt idx="2">
                  <c:v>3 - Better services</c:v>
                </c:pt>
                <c:pt idx="3">
                  <c:v>4 - Preventing and addressing the issues caused by FASD</c:v>
                </c:pt>
                <c:pt idx="4">
                  <c:v>5 - Investing in families</c:v>
                </c:pt>
                <c:pt idx="5">
                  <c:v>6 - On Country learning</c:v>
                </c:pt>
                <c:pt idx="6">
                  <c:v>Governance of Central Australia Plan (NIAA)</c:v>
                </c:pt>
              </c:strCache>
            </c:strRef>
          </c:cat>
          <c:val>
            <c:numRef>
              <c:f>'[CAP Eval-RevisedXLInterimReport-300924_NIAA (May 25).xlsx]Priority areas'!$J$3:$J$9</c:f>
              <c:numCache>
                <c:formatCode>"$"#,##0</c:formatCode>
                <c:ptCount val="7"/>
                <c:pt idx="0">
                  <c:v>6826870</c:v>
                </c:pt>
                <c:pt idx="1">
                  <c:v>4542227</c:v>
                </c:pt>
                <c:pt idx="2">
                  <c:v>3217398</c:v>
                </c:pt>
                <c:pt idx="3">
                  <c:v>17200000</c:v>
                </c:pt>
                <c:pt idx="4">
                  <c:v>7095126</c:v>
                </c:pt>
                <c:pt idx="5">
                  <c:v>38372721</c:v>
                </c:pt>
                <c:pt idx="6">
                  <c:v>7500000</c:v>
                </c:pt>
              </c:numCache>
            </c:numRef>
          </c:val>
          <c:extLst>
            <c:ext xmlns:c16="http://schemas.microsoft.com/office/drawing/2014/chart" uri="{C3380CC4-5D6E-409C-BE32-E72D297353CC}">
              <c16:uniqueId val="{00000002-EEDB-C64E-B821-E1240DB2F7BC}"/>
            </c:ext>
          </c:extLst>
        </c:ser>
        <c:dLbls>
          <c:showLegendKey val="0"/>
          <c:showVal val="0"/>
          <c:showCatName val="0"/>
          <c:showSerName val="0"/>
          <c:showPercent val="0"/>
          <c:showBubbleSize val="0"/>
        </c:dLbls>
        <c:gapWidth val="219"/>
        <c:axId val="1124231840"/>
        <c:axId val="1124233552"/>
      </c:barChart>
      <c:catAx>
        <c:axId val="112423184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crossAx val="1124233552"/>
        <c:crosses val="autoZero"/>
        <c:auto val="1"/>
        <c:lblAlgn val="ctr"/>
        <c:lblOffset val="100"/>
        <c:noMultiLvlLbl val="0"/>
      </c:catAx>
      <c:valAx>
        <c:axId val="112423355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crossAx val="1124231840"/>
        <c:crosses val="autoZero"/>
        <c:crossBetween val="between"/>
        <c:dispUnits>
          <c:builtInUnit val="millions"/>
          <c:dispUnitsLbl>
            <c:layout>
              <c:manualLayout>
                <c:xMode val="edge"/>
                <c:yMode val="edge"/>
                <c:x val="2.2843285774354614E-3"/>
                <c:y val="0.33275035873195802"/>
              </c:manualLayout>
            </c:layout>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Helvetica" pitchFamily="2"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09887289243917E-2"/>
          <c:y val="0.10747320061255743"/>
          <c:w val="0.91634159444748942"/>
          <c:h val="0.67824360010128903"/>
        </c:manualLayout>
      </c:layout>
      <c:barChart>
        <c:barDir val="col"/>
        <c:grouping val="clustered"/>
        <c:varyColors val="0"/>
        <c:ser>
          <c:idx val="1"/>
          <c:order val="0"/>
          <c:tx>
            <c:strRef>
              <c:f>'[CAP Eval-RevisedXLInterimReport-300924_NIAA (May 25).xlsx]Priority areas'!$G$2</c:f>
              <c:strCache>
                <c:ptCount val="1"/>
                <c:pt idx="0">
                  <c:v>% allocated that has been committed </c:v>
                </c:pt>
              </c:strCache>
            </c:strRef>
          </c:tx>
          <c:spPr>
            <a:solidFill>
              <a:srgbClr val="009999"/>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Helvetica" pitchFamily="2"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25).xlsx]Priority areas'!$A$3:$A$9</c:f>
              <c:strCache>
                <c:ptCount val="7"/>
                <c:pt idx="0">
                  <c:v>1 - Improved community safety and cohesion</c:v>
                </c:pt>
                <c:pt idx="1">
                  <c:v>2 - Job creation</c:v>
                </c:pt>
                <c:pt idx="2">
                  <c:v>3 - Better services</c:v>
                </c:pt>
                <c:pt idx="3">
                  <c:v>4 - Preventing and addressing the issues caused by FASD</c:v>
                </c:pt>
                <c:pt idx="4">
                  <c:v>5 - Investing in families</c:v>
                </c:pt>
                <c:pt idx="5">
                  <c:v>6 - On Country learning</c:v>
                </c:pt>
                <c:pt idx="6">
                  <c:v>Governance of Central Australia Plan (NIAA)</c:v>
                </c:pt>
              </c:strCache>
            </c:strRef>
          </c:cat>
          <c:val>
            <c:numRef>
              <c:f>'[CAP Eval-RevisedXLInterimReport-300924_NIAA (May 25).xlsx]Priority areas'!$G$3:$G$9</c:f>
              <c:numCache>
                <c:formatCode>0%</c:formatCode>
                <c:ptCount val="7"/>
                <c:pt idx="0">
                  <c:v>0.26384656660412759</c:v>
                </c:pt>
                <c:pt idx="1">
                  <c:v>0.54182993630573251</c:v>
                </c:pt>
                <c:pt idx="2">
                  <c:v>0.67184225538971809</c:v>
                </c:pt>
                <c:pt idx="3">
                  <c:v>1</c:v>
                </c:pt>
                <c:pt idx="4">
                  <c:v>0.39891787610619467</c:v>
                </c:pt>
                <c:pt idx="5">
                  <c:v>0.99932477722772273</c:v>
                </c:pt>
                <c:pt idx="6">
                  <c:v>1</c:v>
                </c:pt>
              </c:numCache>
            </c:numRef>
          </c:val>
          <c:extLst>
            <c:ext xmlns:c16="http://schemas.microsoft.com/office/drawing/2014/chart" uri="{C3380CC4-5D6E-409C-BE32-E72D297353CC}">
              <c16:uniqueId val="{00000000-11E8-024C-A79A-336B2EA5B25F}"/>
            </c:ext>
          </c:extLst>
        </c:ser>
        <c:ser>
          <c:idx val="2"/>
          <c:order val="1"/>
          <c:tx>
            <c:strRef>
              <c:f>'[CAP Eval-RevisedXLInterimReport-300924_NIAA (May 25).xlsx]Priority areas'!$K$2</c:f>
              <c:strCache>
                <c:ptCount val="1"/>
                <c:pt idx="0">
                  <c:v>% committed that has been paid </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Helvetica" pitchFamily="2"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25).xlsx]Priority areas'!$A$3:$A$9</c:f>
              <c:strCache>
                <c:ptCount val="7"/>
                <c:pt idx="0">
                  <c:v>1 - Improved community safety and cohesion</c:v>
                </c:pt>
                <c:pt idx="1">
                  <c:v>2 - Job creation</c:v>
                </c:pt>
                <c:pt idx="2">
                  <c:v>3 - Better services</c:v>
                </c:pt>
                <c:pt idx="3">
                  <c:v>4 - Preventing and addressing the issues caused by FASD</c:v>
                </c:pt>
                <c:pt idx="4">
                  <c:v>5 - Investing in families</c:v>
                </c:pt>
                <c:pt idx="5">
                  <c:v>6 - On Country learning</c:v>
                </c:pt>
                <c:pt idx="6">
                  <c:v>Governance of Central Australia Plan (NIAA)</c:v>
                </c:pt>
              </c:strCache>
            </c:strRef>
          </c:cat>
          <c:val>
            <c:numRef>
              <c:f>'[CAP Eval-RevisedXLInterimReport-300924_NIAA (May 25).xlsx]Priority areas'!$K$3:$K$9</c:f>
              <c:numCache>
                <c:formatCode>0%</c:formatCode>
                <c:ptCount val="7"/>
                <c:pt idx="0">
                  <c:v>0.48544829127053912</c:v>
                </c:pt>
                <c:pt idx="1">
                  <c:v>0.26697843942384442</c:v>
                </c:pt>
                <c:pt idx="2">
                  <c:v>7.9418222037827321E-2</c:v>
                </c:pt>
                <c:pt idx="3">
                  <c:v>0.7350427350427351</c:v>
                </c:pt>
                <c:pt idx="4">
                  <c:v>0.52465874494095976</c:v>
                </c:pt>
                <c:pt idx="5">
                  <c:v>0.95046160004920155</c:v>
                </c:pt>
                <c:pt idx="6">
                  <c:v>1</c:v>
                </c:pt>
              </c:numCache>
            </c:numRef>
          </c:val>
          <c:extLst>
            <c:ext xmlns:c16="http://schemas.microsoft.com/office/drawing/2014/chart" uri="{C3380CC4-5D6E-409C-BE32-E72D297353CC}">
              <c16:uniqueId val="{00000001-11E8-024C-A79A-336B2EA5B25F}"/>
            </c:ext>
          </c:extLst>
        </c:ser>
        <c:dLbls>
          <c:showLegendKey val="0"/>
          <c:showVal val="0"/>
          <c:showCatName val="0"/>
          <c:showSerName val="0"/>
          <c:showPercent val="0"/>
          <c:showBubbleSize val="0"/>
        </c:dLbls>
        <c:gapWidth val="100"/>
        <c:axId val="1124231840"/>
        <c:axId val="1124233552"/>
      </c:barChart>
      <c:catAx>
        <c:axId val="112423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crossAx val="1124233552"/>
        <c:crosses val="autoZero"/>
        <c:auto val="1"/>
        <c:lblAlgn val="ctr"/>
        <c:lblOffset val="100"/>
        <c:noMultiLvlLbl val="0"/>
      </c:catAx>
      <c:valAx>
        <c:axId val="112423355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crossAx val="112423184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lvetica" pitchFamily="2"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Helvetica" pitchFamily="2"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'[CAP Eval-RevisedXLInterimReport-300924_NIAA (May 25).xlsx]Phase 2 Pivots'!$D$177</c:f>
              <c:strCache>
                <c:ptCount val="1"/>
                <c:pt idx="0">
                  <c:v>$ Committed</c:v>
                </c:pt>
              </c:strCache>
            </c:strRef>
          </c:tx>
          <c:spPr>
            <a:solidFill>
              <a:srgbClr val="0099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25).xlsx]Phase 2 Pivots'!$A$178:$A$184</c:f>
              <c:strCache>
                <c:ptCount val="7"/>
                <c:pt idx="0">
                  <c:v>Anmatjere</c:v>
                </c:pt>
                <c:pt idx="1">
                  <c:v>Iyarrka</c:v>
                </c:pt>
                <c:pt idx="2">
                  <c:v>Ljirapinta </c:v>
                </c:pt>
                <c:pt idx="3">
                  <c:v>Luritja Pintubi</c:v>
                </c:pt>
                <c:pt idx="4">
                  <c:v>Rodinga</c:v>
                </c:pt>
                <c:pt idx="5">
                  <c:v>Southern Tanami</c:v>
                </c:pt>
                <c:pt idx="6">
                  <c:v>The Plenty</c:v>
                </c:pt>
              </c:strCache>
            </c:strRef>
          </c:cat>
          <c:val>
            <c:numRef>
              <c:f>'[CAP Eval-RevisedXLInterimReport-300924_NIAA (May 25).xlsx]Phase 2 Pivots'!$D$178:$D$184</c:f>
              <c:numCache>
                <c:formatCode>"$"#,##0</c:formatCode>
                <c:ptCount val="7"/>
                <c:pt idx="0">
                  <c:v>9917250</c:v>
                </c:pt>
                <c:pt idx="1">
                  <c:v>900000</c:v>
                </c:pt>
                <c:pt idx="2">
                  <c:v>3820000</c:v>
                </c:pt>
                <c:pt idx="3">
                  <c:v>7984050</c:v>
                </c:pt>
                <c:pt idx="4">
                  <c:v>4051050</c:v>
                </c:pt>
                <c:pt idx="5">
                  <c:v>3900000</c:v>
                </c:pt>
                <c:pt idx="6">
                  <c:v>2861000</c:v>
                </c:pt>
              </c:numCache>
            </c:numRef>
          </c:val>
          <c:extLst>
            <c:ext xmlns:c16="http://schemas.microsoft.com/office/drawing/2014/chart" uri="{C3380CC4-5D6E-409C-BE32-E72D297353CC}">
              <c16:uniqueId val="{00000000-8412-2F4E-BEF0-FAB301AF83A8}"/>
            </c:ext>
          </c:extLst>
        </c:ser>
        <c:ser>
          <c:idx val="1"/>
          <c:order val="1"/>
          <c:tx>
            <c:strRef>
              <c:f>'[CAP Eval-RevisedXLInterimReport-300924_NIAA (May 25).xlsx]Phase 2 Pivots'!$E$177</c:f>
              <c:strCache>
                <c:ptCount val="1"/>
                <c:pt idx="0">
                  <c:v>Paid @ 30 April</c:v>
                </c:pt>
              </c:strCache>
            </c:strRef>
          </c:tx>
          <c:spPr>
            <a:solidFill>
              <a:schemeClr val="bg1">
                <a:lumMod val="5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Eval-RevisedXLInterimReport-300924_NIAA (May 25).xlsx]Phase 2 Pivots'!$A$178:$A$184</c:f>
              <c:strCache>
                <c:ptCount val="7"/>
                <c:pt idx="0">
                  <c:v>Anmatjere</c:v>
                </c:pt>
                <c:pt idx="1">
                  <c:v>Iyarrka</c:v>
                </c:pt>
                <c:pt idx="2">
                  <c:v>Ljirapinta </c:v>
                </c:pt>
                <c:pt idx="3">
                  <c:v>Luritja Pintubi</c:v>
                </c:pt>
                <c:pt idx="4">
                  <c:v>Rodinga</c:v>
                </c:pt>
                <c:pt idx="5">
                  <c:v>Southern Tanami</c:v>
                </c:pt>
                <c:pt idx="6">
                  <c:v>The Plenty</c:v>
                </c:pt>
              </c:strCache>
            </c:strRef>
          </c:cat>
          <c:val>
            <c:numRef>
              <c:f>'[CAP Eval-RevisedXLInterimReport-300924_NIAA (May 25).xlsx]Phase 2 Pivots'!$E$178:$E$184</c:f>
              <c:numCache>
                <c:formatCode>"$"#,##0</c:formatCode>
                <c:ptCount val="7"/>
                <c:pt idx="0">
                  <c:v>1094625</c:v>
                </c:pt>
                <c:pt idx="1">
                  <c:v>0</c:v>
                </c:pt>
                <c:pt idx="2">
                  <c:v>0</c:v>
                </c:pt>
                <c:pt idx="3">
                  <c:v>657025</c:v>
                </c:pt>
                <c:pt idx="4">
                  <c:v>625525</c:v>
                </c:pt>
                <c:pt idx="5">
                  <c:v>0</c:v>
                </c:pt>
                <c:pt idx="6">
                  <c:v>255500</c:v>
                </c:pt>
              </c:numCache>
            </c:numRef>
          </c:val>
          <c:extLst>
            <c:ext xmlns:c16="http://schemas.microsoft.com/office/drawing/2014/chart" uri="{C3380CC4-5D6E-409C-BE32-E72D297353CC}">
              <c16:uniqueId val="{00000001-8412-2F4E-BEF0-FAB301AF83A8}"/>
            </c:ext>
          </c:extLst>
        </c:ser>
        <c:dLbls>
          <c:showLegendKey val="0"/>
          <c:showVal val="0"/>
          <c:showCatName val="0"/>
          <c:showSerName val="0"/>
          <c:showPercent val="0"/>
          <c:showBubbleSize val="0"/>
        </c:dLbls>
        <c:gapWidth val="100"/>
        <c:overlap val="-27"/>
        <c:axId val="764648207"/>
        <c:axId val="739328527"/>
      </c:barChart>
      <c:catAx>
        <c:axId val="764648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en-US"/>
          </a:p>
        </c:txPr>
        <c:crossAx val="739328527"/>
        <c:crosses val="autoZero"/>
        <c:auto val="1"/>
        <c:lblAlgn val="ctr"/>
        <c:lblOffset val="100"/>
        <c:noMultiLvlLbl val="0"/>
      </c:catAx>
      <c:valAx>
        <c:axId val="739328527"/>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en-US"/>
          </a:p>
        </c:txPr>
        <c:crossAx val="764648207"/>
        <c:crosses val="autoZero"/>
        <c:crossBetween val="between"/>
        <c:dispUnits>
          <c:builtInUnit val="millions"/>
          <c:dispUnitsLbl>
            <c:layout>
              <c:manualLayout>
                <c:xMode val="edge"/>
                <c:yMode val="edge"/>
                <c:x val="1.4150945148188128E-2"/>
                <c:y val="0.43541250559571187"/>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Helvetica" pitchFamily="2" charset="0"/>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Helvetica" pitchFamily="2"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Helvetica">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Elemental">
      <a:maj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qoD6p5AgISIwIcGt3IkZc/wCug==">AMUW2mVIaC0cSqMbR6zW5moB7OOfP/iZ56Hn7H0JsnfvuOEAscxiguwaVehE6a7z+5R+WnVcPBVjPgFl374QvGq7QgckfZ52dUXRnDmOVYcF/zjsoweeHRc=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972AA9-49ED-D141-92FD-3F43F0AAEF5F}">
  <ds:schemaRefs>
    <ds:schemaRef ds:uri="http://schemas.openxmlformats.org/officeDocument/2006/bibliography"/>
  </ds:schemaRefs>
</ds:datastoreItem>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Template>
  <TotalTime>0</TotalTime>
  <Pages>87</Pages>
  <Words>35281</Words>
  <Characters>203220</Characters>
  <Application>Microsoft Office Word</Application>
  <DocSecurity>0</DocSecurity>
  <Lines>4516</Lines>
  <Paragraphs>3222</Paragraphs>
  <ScaleCrop>false</ScaleCrop>
  <Company/>
  <LinksUpToDate>false</LinksUpToDate>
  <CharactersWithSpaces>235279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2026-06-22T05:32:00Z</dcterms:created>
  <dcterms:modified xsi:type="dcterms:W3CDTF">2026-06-22T05:32:00Z</dcterms:modified>
</cp:coreProperties>
</file>