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787340" w:rsidRDefault="00787340" w:rsidP="00EA6F6C">
      <w:pPr>
        <w:pStyle w:val="Title"/>
        <w:spacing w:line="276" w:lineRule="auto"/>
        <w:rPr>
          <w:rFonts w:ascii="Calibri" w:hAnsi="Calibri"/>
          <w:sz w:val="40"/>
          <w:szCs w:val="40"/>
        </w:rPr>
      </w:pPr>
      <w:bookmarkStart w:id="0" w:name="_Toc421270165"/>
      <w:bookmarkStart w:id="1" w:name="_Toc421445714"/>
      <w:bookmarkStart w:id="2" w:name="_Toc421447231"/>
      <w:bookmarkStart w:id="3" w:name="_Toc421623212"/>
      <w:bookmarkStart w:id="4" w:name="_Toc421623427"/>
      <w:r w:rsidRPr="004F6BA7">
        <w:rPr>
          <w:rFonts w:ascii="Calibri" w:hAnsi="Calibri"/>
          <w:noProof/>
          <w:sz w:val="40"/>
          <w:szCs w:val="40"/>
        </w:rPr>
        <w:drawing>
          <wp:inline distT="0" distB="0" distL="0" distR="0" wp14:anchorId="1FDD9357" wp14:editId="126A32B2">
            <wp:extent cx="5114261" cy="107388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c_logo_long_whi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07967" cy="1072566"/>
                    </a:xfrm>
                    <a:prstGeom prst="rect">
                      <a:avLst/>
                    </a:prstGeom>
                  </pic:spPr>
                </pic:pic>
              </a:graphicData>
            </a:graphic>
          </wp:inline>
        </w:drawing>
      </w:r>
      <w:bookmarkEnd w:id="0"/>
      <w:bookmarkEnd w:id="1"/>
      <w:bookmarkEnd w:id="2"/>
      <w:bookmarkEnd w:id="3"/>
      <w:bookmarkEnd w:id="4"/>
    </w:p>
    <w:p w:rsidR="000A17DE" w:rsidRPr="00F255F7" w:rsidRDefault="001D7D6A" w:rsidP="00EA6F6C">
      <w:pPr>
        <w:pStyle w:val="Title"/>
        <w:spacing w:line="276" w:lineRule="auto"/>
        <w:rPr>
          <w:sz w:val="36"/>
          <w:szCs w:val="36"/>
        </w:rPr>
      </w:pPr>
      <w:bookmarkStart w:id="5" w:name="_Toc421270166"/>
      <w:bookmarkStart w:id="6" w:name="_Toc421445715"/>
      <w:bookmarkStart w:id="7" w:name="_Toc421447232"/>
      <w:bookmarkStart w:id="8" w:name="_Toc421623213"/>
      <w:bookmarkStart w:id="9" w:name="_Toc421623393"/>
      <w:bookmarkStart w:id="10" w:name="_Toc421623428"/>
      <w:r w:rsidRPr="00635532">
        <w:rPr>
          <w:rFonts w:ascii="Calibri" w:hAnsi="Calibri"/>
          <w:sz w:val="36"/>
          <w:szCs w:val="36"/>
        </w:rPr>
        <w:t xml:space="preserve">Submission to the </w:t>
      </w:r>
      <w:r w:rsidR="005D5946" w:rsidRPr="00635532">
        <w:rPr>
          <w:rFonts w:ascii="Calibri" w:hAnsi="Calibri"/>
          <w:sz w:val="36"/>
          <w:szCs w:val="36"/>
        </w:rPr>
        <w:t xml:space="preserve">Expert </w:t>
      </w:r>
      <w:r w:rsidR="00BB0195">
        <w:rPr>
          <w:rFonts w:ascii="Calibri" w:hAnsi="Calibri"/>
          <w:sz w:val="36"/>
          <w:szCs w:val="36"/>
        </w:rPr>
        <w:t xml:space="preserve">indigenous </w:t>
      </w:r>
      <w:r w:rsidR="005D5946" w:rsidRPr="00635532">
        <w:rPr>
          <w:rFonts w:ascii="Calibri" w:hAnsi="Calibri"/>
          <w:sz w:val="36"/>
          <w:szCs w:val="36"/>
        </w:rPr>
        <w:t xml:space="preserve">Working Group advising the </w:t>
      </w:r>
      <w:r w:rsidRPr="00635532">
        <w:rPr>
          <w:rFonts w:ascii="Calibri" w:hAnsi="Calibri"/>
          <w:sz w:val="36"/>
          <w:szCs w:val="36"/>
        </w:rPr>
        <w:t xml:space="preserve">COAG Investigation into </w:t>
      </w:r>
      <w:r w:rsidR="002B4934" w:rsidRPr="00635532">
        <w:rPr>
          <w:rFonts w:ascii="Calibri" w:hAnsi="Calibri"/>
          <w:sz w:val="36"/>
          <w:szCs w:val="36"/>
        </w:rPr>
        <w:t xml:space="preserve">Indigenous </w:t>
      </w:r>
      <w:r w:rsidRPr="00635532">
        <w:rPr>
          <w:rFonts w:ascii="Calibri" w:hAnsi="Calibri"/>
          <w:sz w:val="36"/>
          <w:szCs w:val="36"/>
        </w:rPr>
        <w:t>land administration and use</w:t>
      </w:r>
      <w:bookmarkEnd w:id="5"/>
      <w:bookmarkEnd w:id="6"/>
      <w:bookmarkEnd w:id="7"/>
      <w:bookmarkEnd w:id="8"/>
      <w:bookmarkEnd w:id="9"/>
      <w:bookmarkEnd w:id="10"/>
    </w:p>
    <w:p w:rsidR="004C7BAB" w:rsidRPr="0073420B" w:rsidRDefault="00690104" w:rsidP="0073420B">
      <w:pPr>
        <w:pStyle w:val="Title"/>
        <w:spacing w:line="276" w:lineRule="auto"/>
        <w:rPr>
          <w:rFonts w:ascii="Calibri" w:hAnsi="Calibri"/>
          <w:sz w:val="40"/>
          <w:szCs w:val="40"/>
          <w:lang w:val="en-US" w:eastAsia="ja-JP"/>
        </w:rPr>
      </w:pPr>
      <w:bookmarkStart w:id="11" w:name="_Toc421270167"/>
      <w:bookmarkStart w:id="12" w:name="_Toc421445716"/>
      <w:bookmarkStart w:id="13" w:name="_Toc421447233"/>
      <w:bookmarkStart w:id="14" w:name="_Toc421623214"/>
      <w:bookmarkStart w:id="15" w:name="_Toc421623394"/>
      <w:bookmarkStart w:id="16" w:name="_Toc421623429"/>
      <w:r>
        <w:rPr>
          <w:rFonts w:ascii="Calibri" w:hAnsi="Calibri"/>
          <w:sz w:val="40"/>
          <w:szCs w:val="40"/>
          <w:lang w:val="en-US" w:eastAsia="ja-JP"/>
        </w:rPr>
        <w:t>June</w:t>
      </w:r>
      <w:r w:rsidR="00B77210">
        <w:rPr>
          <w:rFonts w:ascii="Calibri" w:hAnsi="Calibri"/>
          <w:sz w:val="40"/>
          <w:szCs w:val="40"/>
          <w:lang w:val="en-US" w:eastAsia="ja-JP"/>
        </w:rPr>
        <w:t xml:space="preserve"> </w:t>
      </w:r>
      <w:r w:rsidR="001D7D6A">
        <w:rPr>
          <w:rFonts w:ascii="Calibri" w:hAnsi="Calibri"/>
          <w:sz w:val="40"/>
          <w:szCs w:val="40"/>
          <w:lang w:val="en-US" w:eastAsia="ja-JP"/>
        </w:rPr>
        <w:t>2015</w:t>
      </w:r>
      <w:bookmarkStart w:id="17" w:name="_Toc421270168"/>
      <w:bookmarkEnd w:id="11"/>
      <w:bookmarkEnd w:id="12"/>
      <w:bookmarkEnd w:id="13"/>
      <w:bookmarkEnd w:id="14"/>
      <w:bookmarkEnd w:id="15"/>
      <w:bookmarkEnd w:id="16"/>
    </w:p>
    <w:bookmarkEnd w:id="17"/>
    <w:p w:rsidR="00584F23" w:rsidRPr="00311133" w:rsidRDefault="00584F23" w:rsidP="00EA6F6C">
      <w:pPr>
        <w:pStyle w:val="Title"/>
        <w:spacing w:line="276" w:lineRule="auto"/>
      </w:pPr>
    </w:p>
    <w:p w:rsidR="00447F25" w:rsidRPr="0073420B" w:rsidRDefault="00584F23" w:rsidP="0073420B">
      <w:pPr>
        <w:pStyle w:val="TOC1"/>
        <w:tabs>
          <w:tab w:val="right" w:leader="dot" w:pos="8864"/>
        </w:tabs>
        <w:spacing w:line="276" w:lineRule="auto"/>
        <w:rPr>
          <w:rFonts w:asciiTheme="minorHAnsi" w:eastAsiaTheme="minorEastAsia" w:hAnsiTheme="minorHAnsi" w:cstheme="minorBidi"/>
          <w:noProof/>
          <w:sz w:val="22"/>
          <w:szCs w:val="22"/>
        </w:rPr>
      </w:pPr>
      <w:r w:rsidRPr="00447F25">
        <w:rPr>
          <w:rFonts w:asciiTheme="minorHAnsi" w:hAnsiTheme="minorHAnsi"/>
        </w:rPr>
        <w:fldChar w:fldCharType="begin"/>
      </w:r>
      <w:r w:rsidRPr="00447F25">
        <w:rPr>
          <w:rFonts w:asciiTheme="minorHAnsi" w:hAnsiTheme="minorHAnsi"/>
        </w:rPr>
        <w:instrText xml:space="preserve"> TOC \o "1-3" \h \z \u </w:instrText>
      </w:r>
      <w:r w:rsidRPr="00447F25">
        <w:rPr>
          <w:rFonts w:asciiTheme="minorHAnsi" w:hAnsiTheme="minorHAnsi"/>
        </w:rPr>
        <w:fldChar w:fldCharType="separate"/>
      </w:r>
      <w:hyperlink w:anchor="_Toc421623430" w:history="1">
        <w:r w:rsidR="00447F25" w:rsidRPr="0073420B">
          <w:rPr>
            <w:rStyle w:val="Hyperlink"/>
            <w:rFonts w:asciiTheme="minorHAnsi" w:hAnsiTheme="minorHAnsi"/>
            <w:b/>
            <w:noProof/>
          </w:rPr>
          <w:t>Terms of Reference</w:t>
        </w:r>
        <w:r w:rsidR="00447F25" w:rsidRPr="0073420B">
          <w:rPr>
            <w:rFonts w:asciiTheme="minorHAnsi" w:hAnsiTheme="minorHAnsi"/>
            <w:noProof/>
            <w:webHidden/>
          </w:rPr>
          <w:tab/>
        </w:r>
        <w:r w:rsidR="00447F25" w:rsidRPr="0073420B">
          <w:rPr>
            <w:rFonts w:asciiTheme="minorHAnsi" w:hAnsiTheme="minorHAnsi"/>
            <w:noProof/>
            <w:webHidden/>
          </w:rPr>
          <w:fldChar w:fldCharType="begin"/>
        </w:r>
        <w:r w:rsidR="00447F25" w:rsidRPr="0073420B">
          <w:rPr>
            <w:rFonts w:asciiTheme="minorHAnsi" w:hAnsiTheme="minorHAnsi"/>
            <w:noProof/>
            <w:webHidden/>
          </w:rPr>
          <w:instrText xml:space="preserve"> PAGEREF _Toc421623430 \h </w:instrText>
        </w:r>
        <w:r w:rsidR="00447F25" w:rsidRPr="0073420B">
          <w:rPr>
            <w:rFonts w:asciiTheme="minorHAnsi" w:hAnsiTheme="minorHAnsi"/>
            <w:noProof/>
            <w:webHidden/>
          </w:rPr>
        </w:r>
        <w:r w:rsidR="00447F25" w:rsidRPr="0073420B">
          <w:rPr>
            <w:rFonts w:asciiTheme="minorHAnsi" w:hAnsiTheme="minorHAnsi"/>
            <w:noProof/>
            <w:webHidden/>
          </w:rPr>
          <w:fldChar w:fldCharType="separate"/>
        </w:r>
        <w:r w:rsidR="0073420B" w:rsidRPr="0073420B">
          <w:rPr>
            <w:rFonts w:asciiTheme="minorHAnsi" w:hAnsiTheme="minorHAnsi"/>
            <w:noProof/>
            <w:webHidden/>
          </w:rPr>
          <w:t>2</w:t>
        </w:r>
        <w:r w:rsidR="00447F25" w:rsidRPr="0073420B">
          <w:rPr>
            <w:rFonts w:asciiTheme="minorHAnsi" w:hAnsiTheme="minorHAnsi"/>
            <w:noProof/>
            <w:webHidden/>
          </w:rPr>
          <w:fldChar w:fldCharType="end"/>
        </w:r>
      </w:hyperlink>
    </w:p>
    <w:p w:rsidR="0073420B" w:rsidRDefault="0073420B" w:rsidP="0073420B">
      <w:pPr>
        <w:pStyle w:val="TOC1"/>
        <w:tabs>
          <w:tab w:val="right" w:leader="dot" w:pos="8864"/>
        </w:tabs>
        <w:spacing w:line="276" w:lineRule="auto"/>
        <w:rPr>
          <w:rStyle w:val="Hyperlink"/>
          <w:rFonts w:asciiTheme="minorHAnsi" w:hAnsiTheme="minorHAnsi"/>
          <w:noProof/>
        </w:rPr>
      </w:pPr>
    </w:p>
    <w:p w:rsidR="00447F25" w:rsidRPr="0073420B" w:rsidRDefault="00AA401F" w:rsidP="0073420B">
      <w:pPr>
        <w:pStyle w:val="TOC1"/>
        <w:tabs>
          <w:tab w:val="right" w:leader="dot" w:pos="8864"/>
        </w:tabs>
        <w:spacing w:line="276" w:lineRule="auto"/>
        <w:rPr>
          <w:rFonts w:asciiTheme="minorHAnsi" w:eastAsiaTheme="minorEastAsia" w:hAnsiTheme="minorHAnsi" w:cstheme="minorBidi"/>
          <w:noProof/>
          <w:sz w:val="22"/>
          <w:szCs w:val="22"/>
        </w:rPr>
      </w:pPr>
      <w:hyperlink w:anchor="_Toc421623431" w:history="1">
        <w:r w:rsidR="00447F25" w:rsidRPr="0073420B">
          <w:rPr>
            <w:rStyle w:val="Hyperlink"/>
            <w:rFonts w:asciiTheme="minorHAnsi" w:hAnsiTheme="minorHAnsi"/>
            <w:b/>
            <w:noProof/>
          </w:rPr>
          <w:t>Executive summary</w:t>
        </w:r>
        <w:r w:rsidR="00447F25" w:rsidRPr="0073420B">
          <w:rPr>
            <w:rFonts w:asciiTheme="minorHAnsi" w:hAnsiTheme="minorHAnsi"/>
            <w:noProof/>
            <w:webHidden/>
          </w:rPr>
          <w:tab/>
        </w:r>
        <w:r w:rsidR="00447F25" w:rsidRPr="0073420B">
          <w:rPr>
            <w:rFonts w:asciiTheme="minorHAnsi" w:hAnsiTheme="minorHAnsi"/>
            <w:noProof/>
            <w:webHidden/>
          </w:rPr>
          <w:fldChar w:fldCharType="begin"/>
        </w:r>
        <w:r w:rsidR="00447F25" w:rsidRPr="0073420B">
          <w:rPr>
            <w:rFonts w:asciiTheme="minorHAnsi" w:hAnsiTheme="minorHAnsi"/>
            <w:noProof/>
            <w:webHidden/>
          </w:rPr>
          <w:instrText xml:space="preserve"> PAGEREF _Toc421623431 \h </w:instrText>
        </w:r>
        <w:r w:rsidR="00447F25" w:rsidRPr="0073420B">
          <w:rPr>
            <w:rFonts w:asciiTheme="minorHAnsi" w:hAnsiTheme="minorHAnsi"/>
            <w:noProof/>
            <w:webHidden/>
          </w:rPr>
        </w:r>
        <w:r w:rsidR="00447F25" w:rsidRPr="0073420B">
          <w:rPr>
            <w:rFonts w:asciiTheme="minorHAnsi" w:hAnsiTheme="minorHAnsi"/>
            <w:noProof/>
            <w:webHidden/>
          </w:rPr>
          <w:fldChar w:fldCharType="separate"/>
        </w:r>
        <w:r w:rsidR="0073420B" w:rsidRPr="0073420B">
          <w:rPr>
            <w:rFonts w:asciiTheme="minorHAnsi" w:hAnsiTheme="minorHAnsi"/>
            <w:noProof/>
            <w:webHidden/>
          </w:rPr>
          <w:t>3</w:t>
        </w:r>
        <w:r w:rsidR="00447F25" w:rsidRPr="0073420B">
          <w:rPr>
            <w:rFonts w:asciiTheme="minorHAnsi" w:hAnsiTheme="minorHAnsi"/>
            <w:noProof/>
            <w:webHidden/>
          </w:rPr>
          <w:fldChar w:fldCharType="end"/>
        </w:r>
      </w:hyperlink>
    </w:p>
    <w:p w:rsidR="0073420B" w:rsidRDefault="0073420B" w:rsidP="0073420B">
      <w:pPr>
        <w:pStyle w:val="TOC1"/>
        <w:tabs>
          <w:tab w:val="right" w:leader="dot" w:pos="8864"/>
        </w:tabs>
        <w:spacing w:line="276" w:lineRule="auto"/>
        <w:rPr>
          <w:rStyle w:val="Hyperlink"/>
          <w:rFonts w:asciiTheme="minorHAnsi" w:hAnsiTheme="minorHAnsi"/>
          <w:noProof/>
        </w:rPr>
      </w:pPr>
    </w:p>
    <w:p w:rsidR="00447F25" w:rsidRPr="0073420B" w:rsidRDefault="00AA401F" w:rsidP="0073420B">
      <w:pPr>
        <w:pStyle w:val="TOC1"/>
        <w:tabs>
          <w:tab w:val="right" w:leader="dot" w:pos="8864"/>
        </w:tabs>
        <w:spacing w:line="276" w:lineRule="auto"/>
        <w:rPr>
          <w:rFonts w:asciiTheme="minorHAnsi" w:eastAsiaTheme="minorEastAsia" w:hAnsiTheme="minorHAnsi" w:cstheme="minorBidi"/>
          <w:noProof/>
          <w:sz w:val="22"/>
          <w:szCs w:val="22"/>
        </w:rPr>
      </w:pPr>
      <w:hyperlink w:anchor="_Toc421623432" w:history="1">
        <w:r w:rsidR="00447F25" w:rsidRPr="0073420B">
          <w:rPr>
            <w:rStyle w:val="Hyperlink"/>
            <w:rFonts w:asciiTheme="minorHAnsi" w:hAnsiTheme="minorHAnsi"/>
            <w:b/>
            <w:noProof/>
          </w:rPr>
          <w:t>Recommendations</w:t>
        </w:r>
        <w:r w:rsidR="00447F25" w:rsidRPr="0073420B">
          <w:rPr>
            <w:rFonts w:asciiTheme="minorHAnsi" w:hAnsiTheme="minorHAnsi"/>
            <w:noProof/>
            <w:webHidden/>
          </w:rPr>
          <w:tab/>
        </w:r>
        <w:r w:rsidR="00447F25" w:rsidRPr="0073420B">
          <w:rPr>
            <w:rFonts w:asciiTheme="minorHAnsi" w:hAnsiTheme="minorHAnsi"/>
            <w:noProof/>
            <w:webHidden/>
          </w:rPr>
          <w:fldChar w:fldCharType="begin"/>
        </w:r>
        <w:r w:rsidR="00447F25" w:rsidRPr="0073420B">
          <w:rPr>
            <w:rFonts w:asciiTheme="minorHAnsi" w:hAnsiTheme="minorHAnsi"/>
            <w:noProof/>
            <w:webHidden/>
          </w:rPr>
          <w:instrText xml:space="preserve"> PAGEREF _Toc421623432 \h </w:instrText>
        </w:r>
        <w:r w:rsidR="00447F25" w:rsidRPr="0073420B">
          <w:rPr>
            <w:rFonts w:asciiTheme="minorHAnsi" w:hAnsiTheme="minorHAnsi"/>
            <w:noProof/>
            <w:webHidden/>
          </w:rPr>
        </w:r>
        <w:r w:rsidR="00447F25" w:rsidRPr="0073420B">
          <w:rPr>
            <w:rFonts w:asciiTheme="minorHAnsi" w:hAnsiTheme="minorHAnsi"/>
            <w:noProof/>
            <w:webHidden/>
          </w:rPr>
          <w:fldChar w:fldCharType="separate"/>
        </w:r>
        <w:r w:rsidR="0073420B" w:rsidRPr="0073420B">
          <w:rPr>
            <w:rFonts w:asciiTheme="minorHAnsi" w:hAnsiTheme="minorHAnsi"/>
            <w:noProof/>
            <w:webHidden/>
          </w:rPr>
          <w:t>5</w:t>
        </w:r>
        <w:r w:rsidR="00447F25" w:rsidRPr="0073420B">
          <w:rPr>
            <w:rFonts w:asciiTheme="minorHAnsi" w:hAnsiTheme="minorHAnsi"/>
            <w:noProof/>
            <w:webHidden/>
          </w:rPr>
          <w:fldChar w:fldCharType="end"/>
        </w:r>
      </w:hyperlink>
    </w:p>
    <w:p w:rsidR="0073420B" w:rsidRDefault="0073420B" w:rsidP="0073420B">
      <w:pPr>
        <w:pStyle w:val="TOC1"/>
        <w:tabs>
          <w:tab w:val="right" w:leader="dot" w:pos="8864"/>
        </w:tabs>
        <w:spacing w:line="276" w:lineRule="auto"/>
        <w:rPr>
          <w:rStyle w:val="Hyperlink"/>
          <w:rFonts w:asciiTheme="minorHAnsi" w:hAnsiTheme="minorHAnsi"/>
          <w:noProof/>
        </w:rPr>
      </w:pPr>
    </w:p>
    <w:p w:rsidR="00447F25" w:rsidRPr="0073420B" w:rsidRDefault="00AA401F" w:rsidP="0073420B">
      <w:pPr>
        <w:pStyle w:val="TOC1"/>
        <w:tabs>
          <w:tab w:val="right" w:leader="dot" w:pos="8864"/>
        </w:tabs>
        <w:spacing w:line="276" w:lineRule="auto"/>
        <w:rPr>
          <w:rFonts w:asciiTheme="minorHAnsi" w:eastAsiaTheme="minorEastAsia" w:hAnsiTheme="minorHAnsi" w:cstheme="minorBidi"/>
          <w:noProof/>
          <w:sz w:val="22"/>
          <w:szCs w:val="22"/>
        </w:rPr>
      </w:pPr>
      <w:hyperlink w:anchor="_Toc421623434" w:history="1">
        <w:r w:rsidR="00447F25" w:rsidRPr="0073420B">
          <w:rPr>
            <w:rStyle w:val="Hyperlink"/>
            <w:rFonts w:asciiTheme="minorHAnsi" w:hAnsiTheme="minorHAnsi"/>
            <w:b/>
            <w:noProof/>
          </w:rPr>
          <w:t>Introduction and Context</w:t>
        </w:r>
        <w:r w:rsidR="00447F25" w:rsidRPr="0073420B">
          <w:rPr>
            <w:rFonts w:asciiTheme="minorHAnsi" w:hAnsiTheme="minorHAnsi"/>
            <w:noProof/>
            <w:webHidden/>
          </w:rPr>
          <w:tab/>
        </w:r>
        <w:r w:rsidR="00447F25" w:rsidRPr="0073420B">
          <w:rPr>
            <w:rFonts w:asciiTheme="minorHAnsi" w:hAnsiTheme="minorHAnsi"/>
            <w:noProof/>
            <w:webHidden/>
          </w:rPr>
          <w:fldChar w:fldCharType="begin"/>
        </w:r>
        <w:r w:rsidR="00447F25" w:rsidRPr="0073420B">
          <w:rPr>
            <w:rFonts w:asciiTheme="minorHAnsi" w:hAnsiTheme="minorHAnsi"/>
            <w:noProof/>
            <w:webHidden/>
          </w:rPr>
          <w:instrText xml:space="preserve"> PAGEREF _Toc421623434 \h </w:instrText>
        </w:r>
        <w:r w:rsidR="00447F25" w:rsidRPr="0073420B">
          <w:rPr>
            <w:rFonts w:asciiTheme="minorHAnsi" w:hAnsiTheme="minorHAnsi"/>
            <w:noProof/>
            <w:webHidden/>
          </w:rPr>
        </w:r>
        <w:r w:rsidR="00447F25" w:rsidRPr="0073420B">
          <w:rPr>
            <w:rFonts w:asciiTheme="minorHAnsi" w:hAnsiTheme="minorHAnsi"/>
            <w:noProof/>
            <w:webHidden/>
          </w:rPr>
          <w:fldChar w:fldCharType="separate"/>
        </w:r>
        <w:r w:rsidR="0073420B" w:rsidRPr="0073420B">
          <w:rPr>
            <w:rFonts w:asciiTheme="minorHAnsi" w:hAnsiTheme="minorHAnsi"/>
            <w:noProof/>
            <w:webHidden/>
          </w:rPr>
          <w:t>7</w:t>
        </w:r>
        <w:r w:rsidR="00447F25" w:rsidRPr="0073420B">
          <w:rPr>
            <w:rFonts w:asciiTheme="minorHAnsi" w:hAnsiTheme="minorHAnsi"/>
            <w:noProof/>
            <w:webHidden/>
          </w:rPr>
          <w:fldChar w:fldCharType="end"/>
        </w:r>
      </w:hyperlink>
    </w:p>
    <w:p w:rsidR="00447F25" w:rsidRPr="0073420B" w:rsidRDefault="00AA401F" w:rsidP="0073420B">
      <w:pPr>
        <w:pStyle w:val="TOC1"/>
        <w:tabs>
          <w:tab w:val="right" w:leader="dot" w:pos="8864"/>
        </w:tabs>
        <w:spacing w:line="276" w:lineRule="auto"/>
        <w:rPr>
          <w:rFonts w:asciiTheme="minorHAnsi" w:eastAsiaTheme="minorEastAsia" w:hAnsiTheme="minorHAnsi" w:cstheme="minorBidi"/>
          <w:noProof/>
          <w:sz w:val="22"/>
          <w:szCs w:val="22"/>
        </w:rPr>
      </w:pPr>
      <w:hyperlink w:anchor="_Toc421623435" w:history="1">
        <w:r w:rsidR="00447F25" w:rsidRPr="0073420B">
          <w:rPr>
            <w:rStyle w:val="Hyperlink"/>
            <w:rFonts w:asciiTheme="minorHAnsi" w:hAnsiTheme="minorHAnsi"/>
            <w:i/>
            <w:iCs/>
            <w:noProof/>
          </w:rPr>
          <w:t>Land tenure in central Australia</w:t>
        </w:r>
        <w:r w:rsidR="00447F25" w:rsidRPr="0073420B">
          <w:rPr>
            <w:rFonts w:asciiTheme="minorHAnsi" w:hAnsiTheme="minorHAnsi"/>
            <w:noProof/>
            <w:webHidden/>
          </w:rPr>
          <w:tab/>
        </w:r>
        <w:r w:rsidR="00447F25" w:rsidRPr="0073420B">
          <w:rPr>
            <w:rFonts w:asciiTheme="minorHAnsi" w:hAnsiTheme="minorHAnsi"/>
            <w:noProof/>
            <w:webHidden/>
          </w:rPr>
          <w:fldChar w:fldCharType="begin"/>
        </w:r>
        <w:r w:rsidR="00447F25" w:rsidRPr="0073420B">
          <w:rPr>
            <w:rFonts w:asciiTheme="minorHAnsi" w:hAnsiTheme="minorHAnsi"/>
            <w:noProof/>
            <w:webHidden/>
          </w:rPr>
          <w:instrText xml:space="preserve"> PAGEREF _Toc421623435 \h </w:instrText>
        </w:r>
        <w:r w:rsidR="00447F25" w:rsidRPr="0073420B">
          <w:rPr>
            <w:rFonts w:asciiTheme="minorHAnsi" w:hAnsiTheme="minorHAnsi"/>
            <w:noProof/>
            <w:webHidden/>
          </w:rPr>
        </w:r>
        <w:r w:rsidR="00447F25" w:rsidRPr="0073420B">
          <w:rPr>
            <w:rFonts w:asciiTheme="minorHAnsi" w:hAnsiTheme="minorHAnsi"/>
            <w:noProof/>
            <w:webHidden/>
          </w:rPr>
          <w:fldChar w:fldCharType="separate"/>
        </w:r>
        <w:r w:rsidR="0073420B" w:rsidRPr="0073420B">
          <w:rPr>
            <w:rFonts w:asciiTheme="minorHAnsi" w:hAnsiTheme="minorHAnsi"/>
            <w:noProof/>
            <w:webHidden/>
          </w:rPr>
          <w:t>8</w:t>
        </w:r>
        <w:r w:rsidR="00447F25" w:rsidRPr="0073420B">
          <w:rPr>
            <w:rFonts w:asciiTheme="minorHAnsi" w:hAnsiTheme="minorHAnsi"/>
            <w:noProof/>
            <w:webHidden/>
          </w:rPr>
          <w:fldChar w:fldCharType="end"/>
        </w:r>
      </w:hyperlink>
    </w:p>
    <w:p w:rsidR="00447F25" w:rsidRPr="0073420B" w:rsidRDefault="00AA401F" w:rsidP="0073420B">
      <w:pPr>
        <w:pStyle w:val="TOC1"/>
        <w:tabs>
          <w:tab w:val="right" w:leader="dot" w:pos="8864"/>
        </w:tabs>
        <w:spacing w:line="276" w:lineRule="auto"/>
        <w:rPr>
          <w:rFonts w:asciiTheme="minorHAnsi" w:eastAsiaTheme="minorEastAsia" w:hAnsiTheme="minorHAnsi" w:cstheme="minorBidi"/>
          <w:noProof/>
          <w:sz w:val="22"/>
          <w:szCs w:val="22"/>
        </w:rPr>
      </w:pPr>
      <w:hyperlink w:anchor="_Toc421623436" w:history="1">
        <w:r w:rsidR="00447F25" w:rsidRPr="0073420B">
          <w:rPr>
            <w:rStyle w:val="Hyperlink"/>
            <w:rFonts w:asciiTheme="minorHAnsi" w:hAnsiTheme="minorHAnsi"/>
            <w:i/>
            <w:iCs/>
            <w:noProof/>
          </w:rPr>
          <w:t>Context for the COAG investigation</w:t>
        </w:r>
        <w:r w:rsidR="00447F25" w:rsidRPr="0073420B">
          <w:rPr>
            <w:rFonts w:asciiTheme="minorHAnsi" w:hAnsiTheme="minorHAnsi"/>
            <w:noProof/>
            <w:webHidden/>
          </w:rPr>
          <w:tab/>
        </w:r>
        <w:r w:rsidR="00447F25" w:rsidRPr="0073420B">
          <w:rPr>
            <w:rFonts w:asciiTheme="minorHAnsi" w:hAnsiTheme="minorHAnsi"/>
            <w:noProof/>
            <w:webHidden/>
          </w:rPr>
          <w:fldChar w:fldCharType="begin"/>
        </w:r>
        <w:r w:rsidR="00447F25" w:rsidRPr="0073420B">
          <w:rPr>
            <w:rFonts w:asciiTheme="minorHAnsi" w:hAnsiTheme="minorHAnsi"/>
            <w:noProof/>
            <w:webHidden/>
          </w:rPr>
          <w:instrText xml:space="preserve"> PAGEREF _Toc421623436 \h </w:instrText>
        </w:r>
        <w:r w:rsidR="00447F25" w:rsidRPr="0073420B">
          <w:rPr>
            <w:rFonts w:asciiTheme="minorHAnsi" w:hAnsiTheme="minorHAnsi"/>
            <w:noProof/>
            <w:webHidden/>
          </w:rPr>
        </w:r>
        <w:r w:rsidR="00447F25" w:rsidRPr="0073420B">
          <w:rPr>
            <w:rFonts w:asciiTheme="minorHAnsi" w:hAnsiTheme="minorHAnsi"/>
            <w:noProof/>
            <w:webHidden/>
          </w:rPr>
          <w:fldChar w:fldCharType="separate"/>
        </w:r>
        <w:r w:rsidR="0073420B" w:rsidRPr="0073420B">
          <w:rPr>
            <w:rFonts w:asciiTheme="minorHAnsi" w:hAnsiTheme="minorHAnsi"/>
            <w:noProof/>
            <w:webHidden/>
          </w:rPr>
          <w:t>8</w:t>
        </w:r>
        <w:r w:rsidR="00447F25" w:rsidRPr="0073420B">
          <w:rPr>
            <w:rFonts w:asciiTheme="minorHAnsi" w:hAnsiTheme="minorHAnsi"/>
            <w:noProof/>
            <w:webHidden/>
          </w:rPr>
          <w:fldChar w:fldCharType="end"/>
        </w:r>
      </w:hyperlink>
    </w:p>
    <w:p w:rsidR="0073420B" w:rsidRDefault="0073420B" w:rsidP="0073420B">
      <w:pPr>
        <w:pStyle w:val="TOC1"/>
        <w:tabs>
          <w:tab w:val="right" w:leader="dot" w:pos="8864"/>
        </w:tabs>
        <w:spacing w:line="276" w:lineRule="auto"/>
        <w:rPr>
          <w:rStyle w:val="Hyperlink"/>
          <w:rFonts w:asciiTheme="minorHAnsi" w:hAnsiTheme="minorHAnsi"/>
          <w:noProof/>
        </w:rPr>
      </w:pPr>
    </w:p>
    <w:p w:rsidR="00447F25" w:rsidRPr="0073420B" w:rsidRDefault="00AA401F" w:rsidP="0073420B">
      <w:pPr>
        <w:pStyle w:val="TOC1"/>
        <w:tabs>
          <w:tab w:val="right" w:leader="dot" w:pos="8864"/>
        </w:tabs>
        <w:spacing w:line="276" w:lineRule="auto"/>
        <w:rPr>
          <w:rFonts w:asciiTheme="minorHAnsi" w:eastAsiaTheme="minorEastAsia" w:hAnsiTheme="minorHAnsi" w:cstheme="minorBidi"/>
          <w:noProof/>
          <w:sz w:val="22"/>
          <w:szCs w:val="22"/>
        </w:rPr>
      </w:pPr>
      <w:hyperlink w:anchor="_Toc421623437" w:history="1">
        <w:r w:rsidR="00447F25" w:rsidRPr="0073420B">
          <w:rPr>
            <w:rStyle w:val="Hyperlink"/>
            <w:rFonts w:asciiTheme="minorHAnsi" w:hAnsiTheme="minorHAnsi"/>
            <w:b/>
            <w:noProof/>
          </w:rPr>
          <w:t>ALRA tenure reform</w:t>
        </w:r>
        <w:r w:rsidR="00447F25" w:rsidRPr="0073420B">
          <w:rPr>
            <w:rFonts w:asciiTheme="minorHAnsi" w:hAnsiTheme="minorHAnsi"/>
            <w:noProof/>
            <w:webHidden/>
          </w:rPr>
          <w:tab/>
        </w:r>
        <w:r w:rsidR="00447F25" w:rsidRPr="0073420B">
          <w:rPr>
            <w:rFonts w:asciiTheme="minorHAnsi" w:hAnsiTheme="minorHAnsi"/>
            <w:noProof/>
            <w:webHidden/>
          </w:rPr>
          <w:fldChar w:fldCharType="begin"/>
        </w:r>
        <w:r w:rsidR="00447F25" w:rsidRPr="0073420B">
          <w:rPr>
            <w:rFonts w:asciiTheme="minorHAnsi" w:hAnsiTheme="minorHAnsi"/>
            <w:noProof/>
            <w:webHidden/>
          </w:rPr>
          <w:instrText xml:space="preserve"> PAGEREF _Toc421623437 \h </w:instrText>
        </w:r>
        <w:r w:rsidR="00447F25" w:rsidRPr="0073420B">
          <w:rPr>
            <w:rFonts w:asciiTheme="minorHAnsi" w:hAnsiTheme="minorHAnsi"/>
            <w:noProof/>
            <w:webHidden/>
          </w:rPr>
        </w:r>
        <w:r w:rsidR="00447F25" w:rsidRPr="0073420B">
          <w:rPr>
            <w:rFonts w:asciiTheme="minorHAnsi" w:hAnsiTheme="minorHAnsi"/>
            <w:noProof/>
            <w:webHidden/>
          </w:rPr>
          <w:fldChar w:fldCharType="separate"/>
        </w:r>
        <w:r w:rsidR="0073420B" w:rsidRPr="0073420B">
          <w:rPr>
            <w:rFonts w:asciiTheme="minorHAnsi" w:hAnsiTheme="minorHAnsi"/>
            <w:noProof/>
            <w:webHidden/>
          </w:rPr>
          <w:t>9</w:t>
        </w:r>
        <w:r w:rsidR="00447F25" w:rsidRPr="0073420B">
          <w:rPr>
            <w:rFonts w:asciiTheme="minorHAnsi" w:hAnsiTheme="minorHAnsi"/>
            <w:noProof/>
            <w:webHidden/>
          </w:rPr>
          <w:fldChar w:fldCharType="end"/>
        </w:r>
      </w:hyperlink>
    </w:p>
    <w:p w:rsidR="00447F25" w:rsidRPr="0073420B" w:rsidRDefault="00AA401F" w:rsidP="0073420B">
      <w:pPr>
        <w:pStyle w:val="TOC2"/>
        <w:tabs>
          <w:tab w:val="right" w:leader="dot" w:pos="8864"/>
        </w:tabs>
        <w:spacing w:line="276" w:lineRule="auto"/>
        <w:ind w:left="0"/>
        <w:rPr>
          <w:rFonts w:asciiTheme="minorHAnsi" w:eastAsiaTheme="minorEastAsia" w:hAnsiTheme="minorHAnsi" w:cstheme="minorBidi"/>
          <w:noProof/>
          <w:sz w:val="22"/>
          <w:szCs w:val="22"/>
        </w:rPr>
      </w:pPr>
      <w:hyperlink w:anchor="_Toc421623438" w:history="1">
        <w:r w:rsidR="00447F25" w:rsidRPr="0073420B">
          <w:rPr>
            <w:rStyle w:val="Hyperlink"/>
            <w:rFonts w:asciiTheme="minorHAnsi" w:hAnsiTheme="minorHAnsi"/>
            <w:i/>
            <w:iCs/>
            <w:noProof/>
          </w:rPr>
          <w:t>Whole of township leasing</w:t>
        </w:r>
        <w:r w:rsidR="00447F25" w:rsidRPr="0073420B">
          <w:rPr>
            <w:rFonts w:asciiTheme="minorHAnsi" w:hAnsiTheme="minorHAnsi"/>
            <w:noProof/>
            <w:webHidden/>
          </w:rPr>
          <w:tab/>
        </w:r>
        <w:r w:rsidR="00447F25" w:rsidRPr="0073420B">
          <w:rPr>
            <w:rFonts w:asciiTheme="minorHAnsi" w:hAnsiTheme="minorHAnsi"/>
            <w:noProof/>
            <w:webHidden/>
          </w:rPr>
          <w:fldChar w:fldCharType="begin"/>
        </w:r>
        <w:r w:rsidR="00447F25" w:rsidRPr="0073420B">
          <w:rPr>
            <w:rFonts w:asciiTheme="minorHAnsi" w:hAnsiTheme="minorHAnsi"/>
            <w:noProof/>
            <w:webHidden/>
          </w:rPr>
          <w:instrText xml:space="preserve"> PAGEREF _Toc421623438 \h </w:instrText>
        </w:r>
        <w:r w:rsidR="00447F25" w:rsidRPr="0073420B">
          <w:rPr>
            <w:rFonts w:asciiTheme="minorHAnsi" w:hAnsiTheme="minorHAnsi"/>
            <w:noProof/>
            <w:webHidden/>
          </w:rPr>
        </w:r>
        <w:r w:rsidR="00447F25" w:rsidRPr="0073420B">
          <w:rPr>
            <w:rFonts w:asciiTheme="minorHAnsi" w:hAnsiTheme="minorHAnsi"/>
            <w:noProof/>
            <w:webHidden/>
          </w:rPr>
          <w:fldChar w:fldCharType="separate"/>
        </w:r>
        <w:r w:rsidR="0073420B" w:rsidRPr="0073420B">
          <w:rPr>
            <w:rFonts w:asciiTheme="minorHAnsi" w:hAnsiTheme="minorHAnsi"/>
            <w:noProof/>
            <w:webHidden/>
          </w:rPr>
          <w:t>11</w:t>
        </w:r>
        <w:r w:rsidR="00447F25" w:rsidRPr="0073420B">
          <w:rPr>
            <w:rFonts w:asciiTheme="minorHAnsi" w:hAnsiTheme="minorHAnsi"/>
            <w:noProof/>
            <w:webHidden/>
          </w:rPr>
          <w:fldChar w:fldCharType="end"/>
        </w:r>
      </w:hyperlink>
    </w:p>
    <w:p w:rsidR="00447F25" w:rsidRPr="0073420B" w:rsidRDefault="00AA401F" w:rsidP="0073420B">
      <w:pPr>
        <w:pStyle w:val="TOC2"/>
        <w:tabs>
          <w:tab w:val="right" w:leader="dot" w:pos="8864"/>
        </w:tabs>
        <w:spacing w:line="276" w:lineRule="auto"/>
        <w:ind w:left="0"/>
        <w:rPr>
          <w:rFonts w:asciiTheme="minorHAnsi" w:eastAsiaTheme="minorEastAsia" w:hAnsiTheme="minorHAnsi" w:cstheme="minorBidi"/>
          <w:noProof/>
          <w:sz w:val="22"/>
          <w:szCs w:val="22"/>
        </w:rPr>
      </w:pPr>
      <w:hyperlink w:anchor="_Toc421623439" w:history="1">
        <w:r w:rsidR="00447F25" w:rsidRPr="0073420B">
          <w:rPr>
            <w:rStyle w:val="Hyperlink"/>
            <w:rFonts w:asciiTheme="minorHAnsi" w:hAnsiTheme="minorHAnsi"/>
            <w:i/>
            <w:iCs/>
            <w:noProof/>
          </w:rPr>
          <w:t>Compulsory five year leases</w:t>
        </w:r>
        <w:r w:rsidR="00447F25" w:rsidRPr="0073420B">
          <w:rPr>
            <w:rFonts w:asciiTheme="minorHAnsi" w:hAnsiTheme="minorHAnsi"/>
            <w:noProof/>
            <w:webHidden/>
          </w:rPr>
          <w:tab/>
        </w:r>
        <w:r w:rsidR="00447F25" w:rsidRPr="0073420B">
          <w:rPr>
            <w:rFonts w:asciiTheme="minorHAnsi" w:hAnsiTheme="minorHAnsi"/>
            <w:noProof/>
            <w:webHidden/>
          </w:rPr>
          <w:fldChar w:fldCharType="begin"/>
        </w:r>
        <w:r w:rsidR="00447F25" w:rsidRPr="0073420B">
          <w:rPr>
            <w:rFonts w:asciiTheme="minorHAnsi" w:hAnsiTheme="minorHAnsi"/>
            <w:noProof/>
            <w:webHidden/>
          </w:rPr>
          <w:instrText xml:space="preserve"> PAGEREF _Toc421623439 \h </w:instrText>
        </w:r>
        <w:r w:rsidR="00447F25" w:rsidRPr="0073420B">
          <w:rPr>
            <w:rFonts w:asciiTheme="minorHAnsi" w:hAnsiTheme="minorHAnsi"/>
            <w:noProof/>
            <w:webHidden/>
          </w:rPr>
        </w:r>
        <w:r w:rsidR="00447F25" w:rsidRPr="0073420B">
          <w:rPr>
            <w:rFonts w:asciiTheme="minorHAnsi" w:hAnsiTheme="minorHAnsi"/>
            <w:noProof/>
            <w:webHidden/>
          </w:rPr>
          <w:fldChar w:fldCharType="separate"/>
        </w:r>
        <w:r w:rsidR="0073420B" w:rsidRPr="0073420B">
          <w:rPr>
            <w:rFonts w:asciiTheme="minorHAnsi" w:hAnsiTheme="minorHAnsi"/>
            <w:noProof/>
            <w:webHidden/>
          </w:rPr>
          <w:t>12</w:t>
        </w:r>
        <w:r w:rsidR="00447F25" w:rsidRPr="0073420B">
          <w:rPr>
            <w:rFonts w:asciiTheme="minorHAnsi" w:hAnsiTheme="minorHAnsi"/>
            <w:noProof/>
            <w:webHidden/>
          </w:rPr>
          <w:fldChar w:fldCharType="end"/>
        </w:r>
      </w:hyperlink>
    </w:p>
    <w:p w:rsidR="00447F25" w:rsidRPr="0073420B" w:rsidRDefault="00AA401F" w:rsidP="0073420B">
      <w:pPr>
        <w:pStyle w:val="TOC2"/>
        <w:tabs>
          <w:tab w:val="right" w:leader="dot" w:pos="8864"/>
        </w:tabs>
        <w:spacing w:line="276" w:lineRule="auto"/>
        <w:ind w:left="0"/>
        <w:rPr>
          <w:rFonts w:asciiTheme="minorHAnsi" w:eastAsiaTheme="minorEastAsia" w:hAnsiTheme="minorHAnsi" w:cstheme="minorBidi"/>
          <w:noProof/>
          <w:sz w:val="22"/>
          <w:szCs w:val="22"/>
        </w:rPr>
      </w:pPr>
      <w:hyperlink w:anchor="_Toc421623440" w:history="1">
        <w:r w:rsidR="00447F25" w:rsidRPr="0073420B">
          <w:rPr>
            <w:rStyle w:val="Hyperlink"/>
            <w:rFonts w:asciiTheme="minorHAnsi" w:hAnsiTheme="minorHAnsi"/>
            <w:i/>
            <w:iCs/>
            <w:noProof/>
          </w:rPr>
          <w:t>‘Secure’ Tenure Policy</w:t>
        </w:r>
        <w:r w:rsidR="00447F25" w:rsidRPr="0073420B">
          <w:rPr>
            <w:rFonts w:asciiTheme="minorHAnsi" w:hAnsiTheme="minorHAnsi"/>
            <w:noProof/>
            <w:webHidden/>
          </w:rPr>
          <w:tab/>
        </w:r>
        <w:r w:rsidR="00447F25" w:rsidRPr="0073420B">
          <w:rPr>
            <w:rFonts w:asciiTheme="minorHAnsi" w:hAnsiTheme="minorHAnsi"/>
            <w:noProof/>
            <w:webHidden/>
          </w:rPr>
          <w:fldChar w:fldCharType="begin"/>
        </w:r>
        <w:r w:rsidR="00447F25" w:rsidRPr="0073420B">
          <w:rPr>
            <w:rFonts w:asciiTheme="minorHAnsi" w:hAnsiTheme="minorHAnsi"/>
            <w:noProof/>
            <w:webHidden/>
          </w:rPr>
          <w:instrText xml:space="preserve"> PAGEREF _Toc421623440 \h </w:instrText>
        </w:r>
        <w:r w:rsidR="00447F25" w:rsidRPr="0073420B">
          <w:rPr>
            <w:rFonts w:asciiTheme="minorHAnsi" w:hAnsiTheme="minorHAnsi"/>
            <w:noProof/>
            <w:webHidden/>
          </w:rPr>
        </w:r>
        <w:r w:rsidR="00447F25" w:rsidRPr="0073420B">
          <w:rPr>
            <w:rFonts w:asciiTheme="minorHAnsi" w:hAnsiTheme="minorHAnsi"/>
            <w:noProof/>
            <w:webHidden/>
          </w:rPr>
          <w:fldChar w:fldCharType="separate"/>
        </w:r>
        <w:r w:rsidR="0073420B" w:rsidRPr="0073420B">
          <w:rPr>
            <w:rFonts w:asciiTheme="minorHAnsi" w:hAnsiTheme="minorHAnsi"/>
            <w:noProof/>
            <w:webHidden/>
          </w:rPr>
          <w:t>13</w:t>
        </w:r>
        <w:r w:rsidR="00447F25" w:rsidRPr="0073420B">
          <w:rPr>
            <w:rFonts w:asciiTheme="minorHAnsi" w:hAnsiTheme="minorHAnsi"/>
            <w:noProof/>
            <w:webHidden/>
          </w:rPr>
          <w:fldChar w:fldCharType="end"/>
        </w:r>
      </w:hyperlink>
    </w:p>
    <w:p w:rsidR="0073420B" w:rsidRDefault="0073420B" w:rsidP="0073420B">
      <w:pPr>
        <w:pStyle w:val="TOC1"/>
        <w:tabs>
          <w:tab w:val="right" w:leader="dot" w:pos="8864"/>
        </w:tabs>
        <w:spacing w:line="276" w:lineRule="auto"/>
        <w:rPr>
          <w:rStyle w:val="Hyperlink"/>
          <w:rFonts w:asciiTheme="minorHAnsi" w:hAnsiTheme="minorHAnsi"/>
          <w:noProof/>
        </w:rPr>
      </w:pPr>
    </w:p>
    <w:p w:rsidR="00447F25" w:rsidRPr="0073420B" w:rsidRDefault="00AA401F" w:rsidP="0073420B">
      <w:pPr>
        <w:pStyle w:val="TOC1"/>
        <w:tabs>
          <w:tab w:val="right" w:leader="dot" w:pos="8864"/>
        </w:tabs>
        <w:spacing w:line="276" w:lineRule="auto"/>
        <w:rPr>
          <w:rFonts w:asciiTheme="minorHAnsi" w:eastAsiaTheme="minorEastAsia" w:hAnsiTheme="minorHAnsi" w:cstheme="minorBidi"/>
          <w:noProof/>
          <w:sz w:val="22"/>
          <w:szCs w:val="22"/>
        </w:rPr>
      </w:pPr>
      <w:hyperlink w:anchor="_Toc421623442" w:history="1">
        <w:r w:rsidR="00447F25" w:rsidRPr="0073420B">
          <w:rPr>
            <w:rStyle w:val="Hyperlink"/>
            <w:rFonts w:asciiTheme="minorHAnsi" w:hAnsiTheme="minorHAnsi"/>
            <w:b/>
            <w:noProof/>
          </w:rPr>
          <w:t>Remaining issues and challenges</w:t>
        </w:r>
        <w:r w:rsidR="00447F25" w:rsidRPr="0073420B">
          <w:rPr>
            <w:rFonts w:asciiTheme="minorHAnsi" w:hAnsiTheme="minorHAnsi"/>
            <w:noProof/>
            <w:webHidden/>
          </w:rPr>
          <w:tab/>
        </w:r>
        <w:r w:rsidR="00447F25" w:rsidRPr="0073420B">
          <w:rPr>
            <w:rFonts w:asciiTheme="minorHAnsi" w:hAnsiTheme="minorHAnsi"/>
            <w:noProof/>
            <w:webHidden/>
          </w:rPr>
          <w:fldChar w:fldCharType="begin"/>
        </w:r>
        <w:r w:rsidR="00447F25" w:rsidRPr="0073420B">
          <w:rPr>
            <w:rFonts w:asciiTheme="minorHAnsi" w:hAnsiTheme="minorHAnsi"/>
            <w:noProof/>
            <w:webHidden/>
          </w:rPr>
          <w:instrText xml:space="preserve"> PAGEREF _Toc421623442 \h </w:instrText>
        </w:r>
        <w:r w:rsidR="00447F25" w:rsidRPr="0073420B">
          <w:rPr>
            <w:rFonts w:asciiTheme="minorHAnsi" w:hAnsiTheme="minorHAnsi"/>
            <w:noProof/>
            <w:webHidden/>
          </w:rPr>
        </w:r>
        <w:r w:rsidR="00447F25" w:rsidRPr="0073420B">
          <w:rPr>
            <w:rFonts w:asciiTheme="minorHAnsi" w:hAnsiTheme="minorHAnsi"/>
            <w:noProof/>
            <w:webHidden/>
          </w:rPr>
          <w:fldChar w:fldCharType="separate"/>
        </w:r>
        <w:r w:rsidR="0073420B" w:rsidRPr="0073420B">
          <w:rPr>
            <w:rFonts w:asciiTheme="minorHAnsi" w:hAnsiTheme="minorHAnsi"/>
            <w:noProof/>
            <w:webHidden/>
          </w:rPr>
          <w:t>16</w:t>
        </w:r>
        <w:r w:rsidR="00447F25" w:rsidRPr="0073420B">
          <w:rPr>
            <w:rFonts w:asciiTheme="minorHAnsi" w:hAnsiTheme="minorHAnsi"/>
            <w:noProof/>
            <w:webHidden/>
          </w:rPr>
          <w:fldChar w:fldCharType="end"/>
        </w:r>
      </w:hyperlink>
    </w:p>
    <w:p w:rsidR="00447F25" w:rsidRPr="0073420B" w:rsidRDefault="00AA401F" w:rsidP="0073420B">
      <w:pPr>
        <w:pStyle w:val="TOC1"/>
        <w:tabs>
          <w:tab w:val="right" w:leader="dot" w:pos="8864"/>
        </w:tabs>
        <w:spacing w:line="276" w:lineRule="auto"/>
        <w:rPr>
          <w:rFonts w:asciiTheme="minorHAnsi" w:eastAsiaTheme="minorEastAsia" w:hAnsiTheme="minorHAnsi" w:cstheme="minorBidi"/>
          <w:noProof/>
          <w:sz w:val="22"/>
          <w:szCs w:val="22"/>
        </w:rPr>
      </w:pPr>
      <w:hyperlink w:anchor="_Toc421623443" w:history="1">
        <w:r w:rsidR="00447F25" w:rsidRPr="0073420B">
          <w:rPr>
            <w:rStyle w:val="Hyperlink"/>
            <w:rFonts w:asciiTheme="minorHAnsi" w:hAnsiTheme="minorHAnsi"/>
            <w:i/>
            <w:iCs/>
            <w:noProof/>
          </w:rPr>
          <w:t>Development of a consistent and sound tenure policy framework</w:t>
        </w:r>
        <w:r w:rsidR="00447F25" w:rsidRPr="0073420B">
          <w:rPr>
            <w:rFonts w:asciiTheme="minorHAnsi" w:hAnsiTheme="minorHAnsi"/>
            <w:noProof/>
            <w:webHidden/>
          </w:rPr>
          <w:tab/>
        </w:r>
        <w:r w:rsidR="00447F25" w:rsidRPr="0073420B">
          <w:rPr>
            <w:rFonts w:asciiTheme="minorHAnsi" w:hAnsiTheme="minorHAnsi"/>
            <w:noProof/>
            <w:webHidden/>
          </w:rPr>
          <w:fldChar w:fldCharType="begin"/>
        </w:r>
        <w:r w:rsidR="00447F25" w:rsidRPr="0073420B">
          <w:rPr>
            <w:rFonts w:asciiTheme="minorHAnsi" w:hAnsiTheme="minorHAnsi"/>
            <w:noProof/>
            <w:webHidden/>
          </w:rPr>
          <w:instrText xml:space="preserve"> PAGEREF _Toc421623443 \h </w:instrText>
        </w:r>
        <w:r w:rsidR="00447F25" w:rsidRPr="0073420B">
          <w:rPr>
            <w:rFonts w:asciiTheme="minorHAnsi" w:hAnsiTheme="minorHAnsi"/>
            <w:noProof/>
            <w:webHidden/>
          </w:rPr>
        </w:r>
        <w:r w:rsidR="00447F25" w:rsidRPr="0073420B">
          <w:rPr>
            <w:rFonts w:asciiTheme="minorHAnsi" w:hAnsiTheme="minorHAnsi"/>
            <w:noProof/>
            <w:webHidden/>
          </w:rPr>
          <w:fldChar w:fldCharType="separate"/>
        </w:r>
        <w:r w:rsidR="0073420B" w:rsidRPr="0073420B">
          <w:rPr>
            <w:rFonts w:asciiTheme="minorHAnsi" w:hAnsiTheme="minorHAnsi"/>
            <w:noProof/>
            <w:webHidden/>
          </w:rPr>
          <w:t>16</w:t>
        </w:r>
        <w:r w:rsidR="00447F25" w:rsidRPr="0073420B">
          <w:rPr>
            <w:rFonts w:asciiTheme="minorHAnsi" w:hAnsiTheme="minorHAnsi"/>
            <w:noProof/>
            <w:webHidden/>
          </w:rPr>
          <w:fldChar w:fldCharType="end"/>
        </w:r>
      </w:hyperlink>
    </w:p>
    <w:p w:rsidR="00447F25" w:rsidRPr="0073420B" w:rsidRDefault="00AA401F" w:rsidP="0073420B">
      <w:pPr>
        <w:pStyle w:val="TOC1"/>
        <w:tabs>
          <w:tab w:val="right" w:leader="dot" w:pos="8864"/>
        </w:tabs>
        <w:spacing w:line="276" w:lineRule="auto"/>
        <w:rPr>
          <w:rFonts w:asciiTheme="minorHAnsi" w:eastAsiaTheme="minorEastAsia" w:hAnsiTheme="minorHAnsi" w:cstheme="minorBidi"/>
          <w:noProof/>
          <w:sz w:val="22"/>
          <w:szCs w:val="22"/>
        </w:rPr>
      </w:pPr>
      <w:hyperlink w:anchor="_Toc421623444" w:history="1">
        <w:r w:rsidR="00447F25" w:rsidRPr="0073420B">
          <w:rPr>
            <w:rStyle w:val="Hyperlink"/>
            <w:rFonts w:asciiTheme="minorHAnsi" w:hAnsiTheme="minorHAnsi"/>
            <w:i/>
            <w:iCs/>
            <w:noProof/>
          </w:rPr>
          <w:t>Investment in Land Administration Institutional Infrastructure</w:t>
        </w:r>
        <w:r w:rsidR="00447F25" w:rsidRPr="0073420B">
          <w:rPr>
            <w:rFonts w:asciiTheme="minorHAnsi" w:hAnsiTheme="minorHAnsi"/>
            <w:noProof/>
            <w:webHidden/>
          </w:rPr>
          <w:tab/>
        </w:r>
        <w:r w:rsidR="00447F25" w:rsidRPr="0073420B">
          <w:rPr>
            <w:rFonts w:asciiTheme="minorHAnsi" w:hAnsiTheme="minorHAnsi"/>
            <w:noProof/>
            <w:webHidden/>
          </w:rPr>
          <w:fldChar w:fldCharType="begin"/>
        </w:r>
        <w:r w:rsidR="00447F25" w:rsidRPr="0073420B">
          <w:rPr>
            <w:rFonts w:asciiTheme="minorHAnsi" w:hAnsiTheme="minorHAnsi"/>
            <w:noProof/>
            <w:webHidden/>
          </w:rPr>
          <w:instrText xml:space="preserve"> PAGEREF _Toc421623444 \h </w:instrText>
        </w:r>
        <w:r w:rsidR="00447F25" w:rsidRPr="0073420B">
          <w:rPr>
            <w:rFonts w:asciiTheme="minorHAnsi" w:hAnsiTheme="minorHAnsi"/>
            <w:noProof/>
            <w:webHidden/>
          </w:rPr>
        </w:r>
        <w:r w:rsidR="00447F25" w:rsidRPr="0073420B">
          <w:rPr>
            <w:rFonts w:asciiTheme="minorHAnsi" w:hAnsiTheme="minorHAnsi"/>
            <w:noProof/>
            <w:webHidden/>
          </w:rPr>
          <w:fldChar w:fldCharType="separate"/>
        </w:r>
        <w:r w:rsidR="0073420B" w:rsidRPr="0073420B">
          <w:rPr>
            <w:rFonts w:asciiTheme="minorHAnsi" w:hAnsiTheme="minorHAnsi"/>
            <w:noProof/>
            <w:webHidden/>
          </w:rPr>
          <w:t>18</w:t>
        </w:r>
        <w:r w:rsidR="00447F25" w:rsidRPr="0073420B">
          <w:rPr>
            <w:rFonts w:asciiTheme="minorHAnsi" w:hAnsiTheme="minorHAnsi"/>
            <w:noProof/>
            <w:webHidden/>
          </w:rPr>
          <w:fldChar w:fldCharType="end"/>
        </w:r>
      </w:hyperlink>
    </w:p>
    <w:p w:rsidR="00447F25" w:rsidRPr="0073420B" w:rsidRDefault="00AA401F" w:rsidP="0073420B">
      <w:pPr>
        <w:pStyle w:val="TOC1"/>
        <w:tabs>
          <w:tab w:val="right" w:leader="dot" w:pos="8864"/>
        </w:tabs>
        <w:spacing w:line="276" w:lineRule="auto"/>
        <w:rPr>
          <w:rFonts w:asciiTheme="minorHAnsi" w:eastAsiaTheme="minorEastAsia" w:hAnsiTheme="minorHAnsi" w:cstheme="minorBidi"/>
          <w:noProof/>
          <w:sz w:val="22"/>
          <w:szCs w:val="22"/>
        </w:rPr>
      </w:pPr>
      <w:hyperlink w:anchor="_Toc421623445" w:history="1">
        <w:r w:rsidR="00447F25" w:rsidRPr="0073420B">
          <w:rPr>
            <w:rStyle w:val="Hyperlink"/>
            <w:rFonts w:asciiTheme="minorHAnsi" w:hAnsiTheme="minorHAnsi"/>
            <w:i/>
            <w:iCs/>
            <w:noProof/>
          </w:rPr>
          <w:t>Regularising and Expanding the Delivery of Infrastructure</w:t>
        </w:r>
        <w:r w:rsidR="00447F25" w:rsidRPr="0073420B">
          <w:rPr>
            <w:rFonts w:asciiTheme="minorHAnsi" w:hAnsiTheme="minorHAnsi"/>
            <w:noProof/>
            <w:webHidden/>
          </w:rPr>
          <w:tab/>
        </w:r>
        <w:r w:rsidR="00447F25" w:rsidRPr="0073420B">
          <w:rPr>
            <w:rFonts w:asciiTheme="minorHAnsi" w:hAnsiTheme="minorHAnsi"/>
            <w:noProof/>
            <w:webHidden/>
          </w:rPr>
          <w:fldChar w:fldCharType="begin"/>
        </w:r>
        <w:r w:rsidR="00447F25" w:rsidRPr="0073420B">
          <w:rPr>
            <w:rFonts w:asciiTheme="minorHAnsi" w:hAnsiTheme="minorHAnsi"/>
            <w:noProof/>
            <w:webHidden/>
          </w:rPr>
          <w:instrText xml:space="preserve"> PAGEREF _Toc421623445 \h </w:instrText>
        </w:r>
        <w:r w:rsidR="00447F25" w:rsidRPr="0073420B">
          <w:rPr>
            <w:rFonts w:asciiTheme="minorHAnsi" w:hAnsiTheme="minorHAnsi"/>
            <w:noProof/>
            <w:webHidden/>
          </w:rPr>
        </w:r>
        <w:r w:rsidR="00447F25" w:rsidRPr="0073420B">
          <w:rPr>
            <w:rFonts w:asciiTheme="minorHAnsi" w:hAnsiTheme="minorHAnsi"/>
            <w:noProof/>
            <w:webHidden/>
          </w:rPr>
          <w:fldChar w:fldCharType="separate"/>
        </w:r>
        <w:r w:rsidR="0073420B" w:rsidRPr="0073420B">
          <w:rPr>
            <w:rFonts w:asciiTheme="minorHAnsi" w:hAnsiTheme="minorHAnsi"/>
            <w:noProof/>
            <w:webHidden/>
          </w:rPr>
          <w:t>19</w:t>
        </w:r>
        <w:r w:rsidR="00447F25" w:rsidRPr="0073420B">
          <w:rPr>
            <w:rFonts w:asciiTheme="minorHAnsi" w:hAnsiTheme="minorHAnsi"/>
            <w:noProof/>
            <w:webHidden/>
          </w:rPr>
          <w:fldChar w:fldCharType="end"/>
        </w:r>
      </w:hyperlink>
    </w:p>
    <w:p w:rsidR="00447F25" w:rsidRPr="0073420B" w:rsidRDefault="00AA401F" w:rsidP="0073420B">
      <w:pPr>
        <w:pStyle w:val="TOC1"/>
        <w:tabs>
          <w:tab w:val="right" w:leader="dot" w:pos="8864"/>
        </w:tabs>
        <w:spacing w:line="276" w:lineRule="auto"/>
        <w:rPr>
          <w:rFonts w:asciiTheme="minorHAnsi" w:eastAsiaTheme="minorEastAsia" w:hAnsiTheme="minorHAnsi" w:cstheme="minorBidi"/>
          <w:noProof/>
          <w:sz w:val="22"/>
          <w:szCs w:val="22"/>
        </w:rPr>
      </w:pPr>
      <w:hyperlink w:anchor="_Toc421623446" w:history="1">
        <w:r w:rsidR="00447F25" w:rsidRPr="0073420B">
          <w:rPr>
            <w:rStyle w:val="Hyperlink"/>
            <w:rFonts w:asciiTheme="minorHAnsi" w:hAnsiTheme="minorHAnsi"/>
            <w:i/>
            <w:iCs/>
            <w:noProof/>
          </w:rPr>
          <w:t>Access to Finance for Economic Development</w:t>
        </w:r>
        <w:r w:rsidR="00447F25" w:rsidRPr="0073420B">
          <w:rPr>
            <w:rFonts w:asciiTheme="minorHAnsi" w:hAnsiTheme="minorHAnsi"/>
            <w:noProof/>
            <w:webHidden/>
          </w:rPr>
          <w:tab/>
        </w:r>
        <w:r w:rsidR="00447F25" w:rsidRPr="0073420B">
          <w:rPr>
            <w:rFonts w:asciiTheme="minorHAnsi" w:hAnsiTheme="minorHAnsi"/>
            <w:noProof/>
            <w:webHidden/>
          </w:rPr>
          <w:fldChar w:fldCharType="begin"/>
        </w:r>
        <w:r w:rsidR="00447F25" w:rsidRPr="0073420B">
          <w:rPr>
            <w:rFonts w:asciiTheme="minorHAnsi" w:hAnsiTheme="minorHAnsi"/>
            <w:noProof/>
            <w:webHidden/>
          </w:rPr>
          <w:instrText xml:space="preserve"> PAGEREF _Toc421623446 \h </w:instrText>
        </w:r>
        <w:r w:rsidR="00447F25" w:rsidRPr="0073420B">
          <w:rPr>
            <w:rFonts w:asciiTheme="minorHAnsi" w:hAnsiTheme="minorHAnsi"/>
            <w:noProof/>
            <w:webHidden/>
          </w:rPr>
        </w:r>
        <w:r w:rsidR="00447F25" w:rsidRPr="0073420B">
          <w:rPr>
            <w:rFonts w:asciiTheme="minorHAnsi" w:hAnsiTheme="minorHAnsi"/>
            <w:noProof/>
            <w:webHidden/>
          </w:rPr>
          <w:fldChar w:fldCharType="separate"/>
        </w:r>
        <w:r w:rsidR="0073420B" w:rsidRPr="0073420B">
          <w:rPr>
            <w:rFonts w:asciiTheme="minorHAnsi" w:hAnsiTheme="minorHAnsi"/>
            <w:noProof/>
            <w:webHidden/>
          </w:rPr>
          <w:t>20</w:t>
        </w:r>
        <w:r w:rsidR="00447F25" w:rsidRPr="0073420B">
          <w:rPr>
            <w:rFonts w:asciiTheme="minorHAnsi" w:hAnsiTheme="minorHAnsi"/>
            <w:noProof/>
            <w:webHidden/>
          </w:rPr>
          <w:fldChar w:fldCharType="end"/>
        </w:r>
      </w:hyperlink>
    </w:p>
    <w:p w:rsidR="00447F25" w:rsidRPr="0073420B" w:rsidRDefault="00AA401F" w:rsidP="0073420B">
      <w:pPr>
        <w:pStyle w:val="TOC2"/>
        <w:tabs>
          <w:tab w:val="right" w:leader="dot" w:pos="8864"/>
        </w:tabs>
        <w:spacing w:line="276" w:lineRule="auto"/>
        <w:ind w:left="0"/>
        <w:rPr>
          <w:rFonts w:asciiTheme="minorHAnsi" w:eastAsiaTheme="minorEastAsia" w:hAnsiTheme="minorHAnsi" w:cstheme="minorBidi"/>
          <w:noProof/>
          <w:sz w:val="22"/>
          <w:szCs w:val="22"/>
        </w:rPr>
      </w:pPr>
      <w:hyperlink w:anchor="_Toc421623447" w:history="1">
        <w:r w:rsidR="00447F25" w:rsidRPr="0073420B">
          <w:rPr>
            <w:rStyle w:val="Hyperlink"/>
            <w:rFonts w:asciiTheme="minorHAnsi" w:hAnsiTheme="minorHAnsi"/>
            <w:i/>
            <w:iCs/>
            <w:noProof/>
          </w:rPr>
          <w:t>Governance and capacity building to enable development in the NT</w:t>
        </w:r>
        <w:r w:rsidR="00447F25" w:rsidRPr="0073420B">
          <w:rPr>
            <w:rFonts w:asciiTheme="minorHAnsi" w:hAnsiTheme="minorHAnsi"/>
            <w:noProof/>
            <w:webHidden/>
          </w:rPr>
          <w:tab/>
        </w:r>
        <w:r w:rsidR="00447F25" w:rsidRPr="0073420B">
          <w:rPr>
            <w:rFonts w:asciiTheme="minorHAnsi" w:hAnsiTheme="minorHAnsi"/>
            <w:noProof/>
            <w:webHidden/>
          </w:rPr>
          <w:fldChar w:fldCharType="begin"/>
        </w:r>
        <w:r w:rsidR="00447F25" w:rsidRPr="0073420B">
          <w:rPr>
            <w:rFonts w:asciiTheme="minorHAnsi" w:hAnsiTheme="minorHAnsi"/>
            <w:noProof/>
            <w:webHidden/>
          </w:rPr>
          <w:instrText xml:space="preserve"> PAGEREF _Toc421623447 \h </w:instrText>
        </w:r>
        <w:r w:rsidR="00447F25" w:rsidRPr="0073420B">
          <w:rPr>
            <w:rFonts w:asciiTheme="minorHAnsi" w:hAnsiTheme="minorHAnsi"/>
            <w:noProof/>
            <w:webHidden/>
          </w:rPr>
        </w:r>
        <w:r w:rsidR="00447F25" w:rsidRPr="0073420B">
          <w:rPr>
            <w:rFonts w:asciiTheme="minorHAnsi" w:hAnsiTheme="minorHAnsi"/>
            <w:noProof/>
            <w:webHidden/>
          </w:rPr>
          <w:fldChar w:fldCharType="separate"/>
        </w:r>
        <w:r w:rsidR="0073420B" w:rsidRPr="0073420B">
          <w:rPr>
            <w:rFonts w:asciiTheme="minorHAnsi" w:hAnsiTheme="minorHAnsi"/>
            <w:noProof/>
            <w:webHidden/>
          </w:rPr>
          <w:t>22</w:t>
        </w:r>
        <w:r w:rsidR="00447F25" w:rsidRPr="0073420B">
          <w:rPr>
            <w:rFonts w:asciiTheme="minorHAnsi" w:hAnsiTheme="minorHAnsi"/>
            <w:noProof/>
            <w:webHidden/>
          </w:rPr>
          <w:fldChar w:fldCharType="end"/>
        </w:r>
      </w:hyperlink>
    </w:p>
    <w:p w:rsidR="00447F25" w:rsidRPr="0073420B" w:rsidRDefault="00AA401F" w:rsidP="0073420B">
      <w:pPr>
        <w:pStyle w:val="TOC2"/>
        <w:tabs>
          <w:tab w:val="left" w:pos="880"/>
          <w:tab w:val="right" w:leader="dot" w:pos="8864"/>
        </w:tabs>
        <w:spacing w:line="276" w:lineRule="auto"/>
        <w:ind w:left="0"/>
        <w:rPr>
          <w:rFonts w:asciiTheme="minorHAnsi" w:eastAsiaTheme="minorEastAsia" w:hAnsiTheme="minorHAnsi" w:cstheme="minorBidi"/>
          <w:noProof/>
          <w:sz w:val="22"/>
          <w:szCs w:val="22"/>
        </w:rPr>
      </w:pPr>
      <w:hyperlink w:anchor="_Toc421623448" w:history="1">
        <w:r w:rsidR="00447F25" w:rsidRPr="0073420B">
          <w:rPr>
            <w:rStyle w:val="Hyperlink"/>
            <w:rFonts w:asciiTheme="minorHAnsi" w:hAnsiTheme="minorHAnsi"/>
            <w:i/>
            <w:iCs/>
            <w:noProof/>
          </w:rPr>
          <w:t>(a)</w:t>
        </w:r>
        <w:r w:rsidR="0073420B">
          <w:rPr>
            <w:rStyle w:val="Hyperlink"/>
            <w:rFonts w:asciiTheme="minorHAnsi" w:hAnsiTheme="minorHAnsi"/>
            <w:i/>
            <w:iCs/>
            <w:noProof/>
          </w:rPr>
          <w:t xml:space="preserve"> </w:t>
        </w:r>
        <w:r w:rsidR="00447F25" w:rsidRPr="0073420B">
          <w:rPr>
            <w:rStyle w:val="Hyperlink"/>
            <w:rFonts w:asciiTheme="minorHAnsi" w:hAnsiTheme="minorHAnsi"/>
            <w:i/>
            <w:iCs/>
            <w:noProof/>
          </w:rPr>
          <w:t>An alternative to township leasing to the Executive Director of Township Leasing</w:t>
        </w:r>
        <w:r w:rsidR="00447F25" w:rsidRPr="0073420B">
          <w:rPr>
            <w:rFonts w:asciiTheme="minorHAnsi" w:hAnsiTheme="minorHAnsi"/>
            <w:noProof/>
            <w:webHidden/>
          </w:rPr>
          <w:tab/>
        </w:r>
        <w:r w:rsidR="00447F25" w:rsidRPr="0073420B">
          <w:rPr>
            <w:rFonts w:asciiTheme="minorHAnsi" w:hAnsiTheme="minorHAnsi"/>
            <w:noProof/>
            <w:webHidden/>
          </w:rPr>
          <w:fldChar w:fldCharType="begin"/>
        </w:r>
        <w:r w:rsidR="00447F25" w:rsidRPr="0073420B">
          <w:rPr>
            <w:rFonts w:asciiTheme="minorHAnsi" w:hAnsiTheme="minorHAnsi"/>
            <w:noProof/>
            <w:webHidden/>
          </w:rPr>
          <w:instrText xml:space="preserve"> PAGEREF _Toc421623448 \h </w:instrText>
        </w:r>
        <w:r w:rsidR="00447F25" w:rsidRPr="0073420B">
          <w:rPr>
            <w:rFonts w:asciiTheme="minorHAnsi" w:hAnsiTheme="minorHAnsi"/>
            <w:noProof/>
            <w:webHidden/>
          </w:rPr>
        </w:r>
        <w:r w:rsidR="00447F25" w:rsidRPr="0073420B">
          <w:rPr>
            <w:rFonts w:asciiTheme="minorHAnsi" w:hAnsiTheme="minorHAnsi"/>
            <w:noProof/>
            <w:webHidden/>
          </w:rPr>
          <w:fldChar w:fldCharType="separate"/>
        </w:r>
        <w:r w:rsidR="0073420B" w:rsidRPr="0073420B">
          <w:rPr>
            <w:rFonts w:asciiTheme="minorHAnsi" w:hAnsiTheme="minorHAnsi"/>
            <w:noProof/>
            <w:webHidden/>
          </w:rPr>
          <w:t>22</w:t>
        </w:r>
        <w:r w:rsidR="00447F25" w:rsidRPr="0073420B">
          <w:rPr>
            <w:rFonts w:asciiTheme="minorHAnsi" w:hAnsiTheme="minorHAnsi"/>
            <w:noProof/>
            <w:webHidden/>
          </w:rPr>
          <w:fldChar w:fldCharType="end"/>
        </w:r>
      </w:hyperlink>
    </w:p>
    <w:p w:rsidR="00447F25" w:rsidRPr="0073420B" w:rsidRDefault="00AA401F" w:rsidP="0073420B">
      <w:pPr>
        <w:pStyle w:val="TOC1"/>
        <w:tabs>
          <w:tab w:val="left" w:pos="660"/>
          <w:tab w:val="right" w:leader="dot" w:pos="8864"/>
        </w:tabs>
        <w:spacing w:line="276" w:lineRule="auto"/>
        <w:rPr>
          <w:rFonts w:asciiTheme="minorHAnsi" w:eastAsiaTheme="minorEastAsia" w:hAnsiTheme="minorHAnsi" w:cstheme="minorBidi"/>
          <w:noProof/>
          <w:sz w:val="22"/>
          <w:szCs w:val="22"/>
        </w:rPr>
      </w:pPr>
      <w:hyperlink w:anchor="_Toc421623449" w:history="1">
        <w:r w:rsidR="00447F25" w:rsidRPr="0073420B">
          <w:rPr>
            <w:rStyle w:val="Hyperlink"/>
            <w:rFonts w:asciiTheme="minorHAnsi" w:hAnsiTheme="minorHAnsi"/>
            <w:i/>
            <w:iCs/>
            <w:noProof/>
          </w:rPr>
          <w:t>(b)</w:t>
        </w:r>
        <w:r w:rsidR="0073420B">
          <w:rPr>
            <w:rStyle w:val="Hyperlink"/>
            <w:rFonts w:asciiTheme="minorHAnsi" w:hAnsiTheme="minorHAnsi"/>
            <w:i/>
            <w:iCs/>
            <w:noProof/>
          </w:rPr>
          <w:t xml:space="preserve"> </w:t>
        </w:r>
        <w:r w:rsidR="00447F25" w:rsidRPr="0073420B">
          <w:rPr>
            <w:rStyle w:val="Hyperlink"/>
            <w:rFonts w:asciiTheme="minorHAnsi" w:hAnsiTheme="minorHAnsi"/>
            <w:i/>
            <w:iCs/>
            <w:noProof/>
          </w:rPr>
          <w:t>Investment in governance and capacity building programs</w:t>
        </w:r>
        <w:r w:rsidR="00447F25" w:rsidRPr="0073420B">
          <w:rPr>
            <w:rFonts w:asciiTheme="minorHAnsi" w:hAnsiTheme="minorHAnsi"/>
            <w:noProof/>
            <w:webHidden/>
          </w:rPr>
          <w:tab/>
        </w:r>
        <w:r w:rsidR="00447F25" w:rsidRPr="0073420B">
          <w:rPr>
            <w:rFonts w:asciiTheme="minorHAnsi" w:hAnsiTheme="minorHAnsi"/>
            <w:noProof/>
            <w:webHidden/>
          </w:rPr>
          <w:fldChar w:fldCharType="begin"/>
        </w:r>
        <w:r w:rsidR="00447F25" w:rsidRPr="0073420B">
          <w:rPr>
            <w:rFonts w:asciiTheme="minorHAnsi" w:hAnsiTheme="minorHAnsi"/>
            <w:noProof/>
            <w:webHidden/>
          </w:rPr>
          <w:instrText xml:space="preserve"> PAGEREF _Toc421623449 \h </w:instrText>
        </w:r>
        <w:r w:rsidR="00447F25" w:rsidRPr="0073420B">
          <w:rPr>
            <w:rFonts w:asciiTheme="minorHAnsi" w:hAnsiTheme="minorHAnsi"/>
            <w:noProof/>
            <w:webHidden/>
          </w:rPr>
        </w:r>
        <w:r w:rsidR="00447F25" w:rsidRPr="0073420B">
          <w:rPr>
            <w:rFonts w:asciiTheme="minorHAnsi" w:hAnsiTheme="minorHAnsi"/>
            <w:noProof/>
            <w:webHidden/>
          </w:rPr>
          <w:fldChar w:fldCharType="separate"/>
        </w:r>
        <w:r w:rsidR="0073420B" w:rsidRPr="0073420B">
          <w:rPr>
            <w:rFonts w:asciiTheme="minorHAnsi" w:hAnsiTheme="minorHAnsi"/>
            <w:noProof/>
            <w:webHidden/>
          </w:rPr>
          <w:t>24</w:t>
        </w:r>
        <w:r w:rsidR="00447F25" w:rsidRPr="0073420B">
          <w:rPr>
            <w:rFonts w:asciiTheme="minorHAnsi" w:hAnsiTheme="minorHAnsi"/>
            <w:noProof/>
            <w:webHidden/>
          </w:rPr>
          <w:fldChar w:fldCharType="end"/>
        </w:r>
      </w:hyperlink>
    </w:p>
    <w:p w:rsidR="0073420B" w:rsidRDefault="0073420B" w:rsidP="0073420B">
      <w:pPr>
        <w:pStyle w:val="TOC1"/>
        <w:tabs>
          <w:tab w:val="right" w:leader="dot" w:pos="8864"/>
        </w:tabs>
        <w:spacing w:line="276" w:lineRule="auto"/>
        <w:rPr>
          <w:rStyle w:val="Hyperlink"/>
          <w:rFonts w:asciiTheme="minorHAnsi" w:hAnsiTheme="minorHAnsi"/>
          <w:noProof/>
        </w:rPr>
      </w:pPr>
    </w:p>
    <w:p w:rsidR="00447F25" w:rsidRPr="0073420B" w:rsidRDefault="00AA401F" w:rsidP="0073420B">
      <w:pPr>
        <w:pStyle w:val="TOC1"/>
        <w:tabs>
          <w:tab w:val="right" w:leader="dot" w:pos="8864"/>
        </w:tabs>
        <w:spacing w:line="276" w:lineRule="auto"/>
        <w:rPr>
          <w:rFonts w:asciiTheme="minorHAnsi" w:eastAsiaTheme="minorEastAsia" w:hAnsiTheme="minorHAnsi" w:cstheme="minorBidi"/>
          <w:noProof/>
          <w:sz w:val="22"/>
          <w:szCs w:val="22"/>
        </w:rPr>
      </w:pPr>
      <w:hyperlink w:anchor="_Toc421623450" w:history="1">
        <w:r w:rsidR="00447F25" w:rsidRPr="0073420B">
          <w:rPr>
            <w:rStyle w:val="Hyperlink"/>
            <w:rFonts w:asciiTheme="minorHAnsi" w:hAnsiTheme="minorHAnsi"/>
            <w:b/>
            <w:noProof/>
          </w:rPr>
          <w:t>Conclusion</w:t>
        </w:r>
        <w:r w:rsidR="00447F25" w:rsidRPr="0073420B">
          <w:rPr>
            <w:rFonts w:asciiTheme="minorHAnsi" w:hAnsiTheme="minorHAnsi"/>
            <w:noProof/>
            <w:webHidden/>
          </w:rPr>
          <w:tab/>
        </w:r>
        <w:r w:rsidR="00447F25" w:rsidRPr="0073420B">
          <w:rPr>
            <w:rFonts w:asciiTheme="minorHAnsi" w:hAnsiTheme="minorHAnsi"/>
            <w:noProof/>
            <w:webHidden/>
          </w:rPr>
          <w:fldChar w:fldCharType="begin"/>
        </w:r>
        <w:r w:rsidR="00447F25" w:rsidRPr="0073420B">
          <w:rPr>
            <w:rFonts w:asciiTheme="minorHAnsi" w:hAnsiTheme="minorHAnsi"/>
            <w:noProof/>
            <w:webHidden/>
          </w:rPr>
          <w:instrText xml:space="preserve"> PAGEREF _Toc421623450 \h </w:instrText>
        </w:r>
        <w:r w:rsidR="00447F25" w:rsidRPr="0073420B">
          <w:rPr>
            <w:rFonts w:asciiTheme="minorHAnsi" w:hAnsiTheme="minorHAnsi"/>
            <w:noProof/>
            <w:webHidden/>
          </w:rPr>
        </w:r>
        <w:r w:rsidR="00447F25" w:rsidRPr="0073420B">
          <w:rPr>
            <w:rFonts w:asciiTheme="minorHAnsi" w:hAnsiTheme="minorHAnsi"/>
            <w:noProof/>
            <w:webHidden/>
          </w:rPr>
          <w:fldChar w:fldCharType="separate"/>
        </w:r>
        <w:r w:rsidR="0073420B" w:rsidRPr="0073420B">
          <w:rPr>
            <w:rFonts w:asciiTheme="minorHAnsi" w:hAnsiTheme="minorHAnsi"/>
            <w:noProof/>
            <w:webHidden/>
          </w:rPr>
          <w:t>25</w:t>
        </w:r>
        <w:r w:rsidR="00447F25" w:rsidRPr="0073420B">
          <w:rPr>
            <w:rFonts w:asciiTheme="minorHAnsi" w:hAnsiTheme="minorHAnsi"/>
            <w:noProof/>
            <w:webHidden/>
          </w:rPr>
          <w:fldChar w:fldCharType="end"/>
        </w:r>
      </w:hyperlink>
    </w:p>
    <w:p w:rsidR="005704E2" w:rsidRPr="00F255F7" w:rsidRDefault="00584F23" w:rsidP="0073420B">
      <w:pPr>
        <w:pStyle w:val="Title"/>
        <w:spacing w:line="276" w:lineRule="auto"/>
        <w:rPr>
          <w:rFonts w:asciiTheme="minorHAnsi" w:hAnsiTheme="minorHAnsi"/>
        </w:rPr>
      </w:pPr>
      <w:r w:rsidRPr="00447F25">
        <w:rPr>
          <w:rFonts w:asciiTheme="minorHAnsi" w:hAnsiTheme="minorHAnsi"/>
          <w:noProof/>
        </w:rPr>
        <w:fldChar w:fldCharType="end"/>
      </w:r>
      <w:bookmarkStart w:id="18" w:name="_Toc349641554"/>
      <w:r w:rsidR="00A46775" w:rsidRPr="00E460BE">
        <w:rPr>
          <w:rFonts w:asciiTheme="minorHAnsi" w:hAnsiTheme="minorHAnsi"/>
        </w:rPr>
        <w:br w:type="page"/>
      </w:r>
      <w:bookmarkStart w:id="19" w:name="_Toc421623430"/>
      <w:r w:rsidR="005704E2" w:rsidRPr="005108E6">
        <w:lastRenderedPageBreak/>
        <w:t>Terms of Reference</w:t>
      </w:r>
      <w:bookmarkEnd w:id="19"/>
    </w:p>
    <w:p w:rsidR="005704E2" w:rsidRDefault="005704E2" w:rsidP="00EA6F6C">
      <w:pPr>
        <w:pStyle w:val="NormalWeb"/>
        <w:shd w:val="clear" w:color="auto" w:fill="FFFFFF"/>
        <w:spacing w:line="276" w:lineRule="auto"/>
        <w:rPr>
          <w:rFonts w:asciiTheme="minorHAnsi" w:hAnsiTheme="minorHAnsi"/>
          <w:color w:val="1E1E1E"/>
          <w:spacing w:val="5"/>
          <w:lang w:val="en"/>
        </w:rPr>
      </w:pPr>
    </w:p>
    <w:p w:rsidR="005704E2" w:rsidRPr="00235C28" w:rsidRDefault="005704E2" w:rsidP="00EA6F6C">
      <w:pPr>
        <w:pStyle w:val="NormalWeb"/>
        <w:shd w:val="clear" w:color="auto" w:fill="FFFFFF"/>
        <w:spacing w:line="276" w:lineRule="auto"/>
        <w:rPr>
          <w:rFonts w:asciiTheme="minorHAnsi" w:hAnsiTheme="minorHAnsi"/>
          <w:color w:val="1E1E1E"/>
          <w:spacing w:val="5"/>
          <w:lang w:val="en"/>
        </w:rPr>
      </w:pPr>
      <w:r w:rsidRPr="00235C28">
        <w:rPr>
          <w:rFonts w:asciiTheme="minorHAnsi" w:hAnsiTheme="minorHAnsi"/>
          <w:color w:val="1E1E1E"/>
          <w:spacing w:val="5"/>
          <w:lang w:val="en"/>
        </w:rPr>
        <w:t>The Council of Australian Governments (COAG) announced on 10 October 2014 that it would conduct an urgent investigation into Indigenous land administration and use, to enable traditional owners to readily attract private sector investment and finance to develop their own land with new industries and businesses to provide jobs and economic advancement for Indigenous people.</w:t>
      </w:r>
    </w:p>
    <w:p w:rsidR="005704E2" w:rsidRPr="00235C28" w:rsidRDefault="005704E2" w:rsidP="00EA6F6C">
      <w:pPr>
        <w:pStyle w:val="NormalWeb"/>
        <w:shd w:val="clear" w:color="auto" w:fill="FFFFFF"/>
        <w:spacing w:line="276" w:lineRule="auto"/>
        <w:rPr>
          <w:rFonts w:asciiTheme="minorHAnsi" w:hAnsiTheme="minorHAnsi"/>
          <w:color w:val="1E1E1E"/>
          <w:spacing w:val="5"/>
          <w:lang w:val="en"/>
        </w:rPr>
      </w:pPr>
      <w:r w:rsidRPr="00235C28">
        <w:rPr>
          <w:rFonts w:asciiTheme="minorHAnsi" w:hAnsiTheme="minorHAnsi"/>
          <w:color w:val="1E1E1E"/>
          <w:spacing w:val="5"/>
          <w:lang w:val="en"/>
        </w:rPr>
        <w:t>The Investigation is an opportunity to focus all governments’ attention on how Indigenous land administration systems and processes can effectively support Indigenous land owners to leverage their land assets for economic development</w:t>
      </w:r>
    </w:p>
    <w:p w:rsidR="005704E2" w:rsidRPr="00235C28" w:rsidRDefault="005704E2" w:rsidP="00EA6F6C">
      <w:pPr>
        <w:spacing w:line="276" w:lineRule="auto"/>
        <w:rPr>
          <w:rFonts w:asciiTheme="minorHAnsi" w:hAnsiTheme="minorHAnsi"/>
        </w:rPr>
      </w:pPr>
    </w:p>
    <w:p w:rsidR="005704E2" w:rsidRPr="00235C28" w:rsidRDefault="005704E2" w:rsidP="00EA6F6C">
      <w:pPr>
        <w:numPr>
          <w:ilvl w:val="0"/>
          <w:numId w:val="16"/>
        </w:numPr>
        <w:shd w:val="clear" w:color="auto" w:fill="FFFFFF"/>
        <w:spacing w:line="276" w:lineRule="auto"/>
        <w:ind w:left="525"/>
        <w:textAlignment w:val="baseline"/>
        <w:rPr>
          <w:rFonts w:asciiTheme="minorHAnsi" w:hAnsiTheme="minorHAnsi"/>
          <w:color w:val="1E1E1E"/>
          <w:spacing w:val="5"/>
          <w:lang w:val="en"/>
        </w:rPr>
      </w:pPr>
      <w:r w:rsidRPr="00235C28">
        <w:rPr>
          <w:rFonts w:asciiTheme="minorHAnsi" w:hAnsiTheme="minorHAnsi"/>
          <w:color w:val="1E1E1E"/>
          <w:spacing w:val="5"/>
          <w:lang w:val="en"/>
        </w:rPr>
        <w:t xml:space="preserve">The Senior Officers Working Group will focus its investigation and advice on improving the Indigenous land legislative, regulatory, administrative and operational systems and processes to: </w:t>
      </w:r>
    </w:p>
    <w:p w:rsidR="005704E2" w:rsidRPr="00235C28" w:rsidRDefault="005704E2" w:rsidP="00EA6F6C">
      <w:pPr>
        <w:numPr>
          <w:ilvl w:val="1"/>
          <w:numId w:val="16"/>
        </w:numPr>
        <w:shd w:val="clear" w:color="auto" w:fill="FFFFFF"/>
        <w:spacing w:line="276" w:lineRule="auto"/>
        <w:ind w:left="1050"/>
        <w:textAlignment w:val="baseline"/>
        <w:rPr>
          <w:rFonts w:asciiTheme="minorHAnsi" w:hAnsiTheme="minorHAnsi"/>
          <w:color w:val="1E1E1E"/>
          <w:spacing w:val="5"/>
          <w:lang w:val="en"/>
        </w:rPr>
      </w:pPr>
      <w:r w:rsidRPr="00235C28">
        <w:rPr>
          <w:rFonts w:asciiTheme="minorHAnsi" w:hAnsiTheme="minorHAnsi"/>
          <w:color w:val="1E1E1E"/>
          <w:spacing w:val="5"/>
          <w:lang w:val="en"/>
        </w:rPr>
        <w:t>enable Indigenous land owners to derive economic benefits from their land</w:t>
      </w:r>
    </w:p>
    <w:p w:rsidR="005704E2" w:rsidRPr="00235C28" w:rsidRDefault="005704E2" w:rsidP="00EA6F6C">
      <w:pPr>
        <w:numPr>
          <w:ilvl w:val="1"/>
          <w:numId w:val="16"/>
        </w:numPr>
        <w:shd w:val="clear" w:color="auto" w:fill="FFFFFF"/>
        <w:spacing w:line="276" w:lineRule="auto"/>
        <w:ind w:left="1050"/>
        <w:textAlignment w:val="baseline"/>
        <w:rPr>
          <w:rFonts w:asciiTheme="minorHAnsi" w:hAnsiTheme="minorHAnsi"/>
          <w:color w:val="1E1E1E"/>
          <w:spacing w:val="5"/>
          <w:lang w:val="en"/>
        </w:rPr>
      </w:pPr>
      <w:r w:rsidRPr="00235C28">
        <w:rPr>
          <w:rFonts w:asciiTheme="minorHAnsi" w:hAnsiTheme="minorHAnsi"/>
          <w:color w:val="1E1E1E"/>
          <w:spacing w:val="5"/>
          <w:lang w:val="en"/>
        </w:rPr>
        <w:t>enable jobs and economic advancement for Indigenous peoples</w:t>
      </w:r>
    </w:p>
    <w:p w:rsidR="005704E2" w:rsidRPr="00235C28" w:rsidRDefault="005704E2" w:rsidP="00EA6F6C">
      <w:pPr>
        <w:numPr>
          <w:ilvl w:val="1"/>
          <w:numId w:val="16"/>
        </w:numPr>
        <w:shd w:val="clear" w:color="auto" w:fill="FFFFFF"/>
        <w:spacing w:line="276" w:lineRule="auto"/>
        <w:ind w:left="1050"/>
        <w:textAlignment w:val="baseline"/>
        <w:rPr>
          <w:rFonts w:asciiTheme="minorHAnsi" w:hAnsiTheme="minorHAnsi"/>
          <w:color w:val="1E1E1E"/>
          <w:spacing w:val="5"/>
          <w:lang w:val="en"/>
        </w:rPr>
      </w:pPr>
      <w:r w:rsidRPr="00235C28">
        <w:rPr>
          <w:rFonts w:asciiTheme="minorHAnsi" w:hAnsiTheme="minorHAnsi"/>
          <w:color w:val="1E1E1E"/>
          <w:spacing w:val="5"/>
          <w:lang w:val="en"/>
        </w:rPr>
        <w:t>enable Indigenous home ownership and commercial enterprise</w:t>
      </w:r>
    </w:p>
    <w:p w:rsidR="005704E2" w:rsidRPr="00235C28" w:rsidRDefault="005704E2" w:rsidP="00EA6F6C">
      <w:pPr>
        <w:numPr>
          <w:ilvl w:val="1"/>
          <w:numId w:val="16"/>
        </w:numPr>
        <w:shd w:val="clear" w:color="auto" w:fill="FFFFFF"/>
        <w:spacing w:line="276" w:lineRule="auto"/>
        <w:ind w:left="1050"/>
        <w:textAlignment w:val="baseline"/>
        <w:rPr>
          <w:rFonts w:asciiTheme="minorHAnsi" w:hAnsiTheme="minorHAnsi"/>
          <w:color w:val="1E1E1E"/>
          <w:spacing w:val="5"/>
          <w:lang w:val="en"/>
        </w:rPr>
      </w:pPr>
      <w:r w:rsidRPr="00235C28">
        <w:rPr>
          <w:rFonts w:asciiTheme="minorHAnsi" w:hAnsiTheme="minorHAnsi"/>
          <w:color w:val="1E1E1E"/>
          <w:spacing w:val="5"/>
          <w:lang w:val="en"/>
        </w:rPr>
        <w:t>attract private sector investment and finance</w:t>
      </w:r>
    </w:p>
    <w:p w:rsidR="005704E2" w:rsidRPr="00235C28" w:rsidRDefault="005704E2" w:rsidP="00EA6F6C">
      <w:pPr>
        <w:numPr>
          <w:ilvl w:val="1"/>
          <w:numId w:val="16"/>
        </w:numPr>
        <w:shd w:val="clear" w:color="auto" w:fill="FFFFFF"/>
        <w:spacing w:line="276" w:lineRule="auto"/>
        <w:ind w:left="1050"/>
        <w:textAlignment w:val="baseline"/>
        <w:rPr>
          <w:rFonts w:asciiTheme="minorHAnsi" w:hAnsiTheme="minorHAnsi"/>
          <w:color w:val="1E1E1E"/>
          <w:spacing w:val="5"/>
          <w:lang w:val="en"/>
        </w:rPr>
      </w:pPr>
      <w:r w:rsidRPr="00235C28">
        <w:rPr>
          <w:rFonts w:asciiTheme="minorHAnsi" w:hAnsiTheme="minorHAnsi"/>
          <w:color w:val="1E1E1E"/>
          <w:spacing w:val="5"/>
          <w:lang w:val="en"/>
        </w:rPr>
        <w:t>develop industries and businesses support service delivery and infrastructure investment.</w:t>
      </w:r>
    </w:p>
    <w:p w:rsidR="005704E2" w:rsidRPr="00235C28" w:rsidRDefault="005704E2" w:rsidP="00EA6F6C">
      <w:pPr>
        <w:numPr>
          <w:ilvl w:val="0"/>
          <w:numId w:val="16"/>
        </w:numPr>
        <w:shd w:val="clear" w:color="auto" w:fill="FFFFFF"/>
        <w:spacing w:line="276" w:lineRule="auto"/>
        <w:ind w:left="525"/>
        <w:textAlignment w:val="baseline"/>
        <w:rPr>
          <w:rFonts w:asciiTheme="minorHAnsi" w:hAnsiTheme="minorHAnsi"/>
          <w:color w:val="1E1E1E"/>
          <w:spacing w:val="5"/>
          <w:lang w:val="en"/>
        </w:rPr>
      </w:pPr>
      <w:r w:rsidRPr="00235C28">
        <w:rPr>
          <w:rFonts w:asciiTheme="minorHAnsi" w:hAnsiTheme="minorHAnsi"/>
          <w:color w:val="1E1E1E"/>
          <w:spacing w:val="5"/>
          <w:lang w:val="en"/>
        </w:rPr>
        <w:t xml:space="preserve">The Senior Officers Working Group will: </w:t>
      </w:r>
    </w:p>
    <w:p w:rsidR="005704E2" w:rsidRPr="00235C28" w:rsidRDefault="005704E2" w:rsidP="00EA6F6C">
      <w:pPr>
        <w:numPr>
          <w:ilvl w:val="1"/>
          <w:numId w:val="16"/>
        </w:numPr>
        <w:shd w:val="clear" w:color="auto" w:fill="FFFFFF"/>
        <w:spacing w:line="276" w:lineRule="auto"/>
        <w:ind w:left="1050"/>
        <w:textAlignment w:val="baseline"/>
        <w:rPr>
          <w:rFonts w:asciiTheme="minorHAnsi" w:hAnsiTheme="minorHAnsi"/>
          <w:color w:val="1E1E1E"/>
          <w:spacing w:val="5"/>
          <w:lang w:val="en"/>
        </w:rPr>
      </w:pPr>
      <w:r w:rsidRPr="00235C28">
        <w:rPr>
          <w:rFonts w:asciiTheme="minorHAnsi" w:hAnsiTheme="minorHAnsi"/>
          <w:color w:val="1E1E1E"/>
          <w:spacing w:val="5"/>
          <w:lang w:val="en"/>
        </w:rPr>
        <w:t>work with the Expert Indigenous Working Group to identify issues and develop options for COAG’s consideration</w:t>
      </w:r>
    </w:p>
    <w:p w:rsidR="005704E2" w:rsidRPr="00235C28" w:rsidRDefault="005704E2" w:rsidP="00EA6F6C">
      <w:pPr>
        <w:numPr>
          <w:ilvl w:val="1"/>
          <w:numId w:val="16"/>
        </w:numPr>
        <w:shd w:val="clear" w:color="auto" w:fill="FFFFFF"/>
        <w:spacing w:line="276" w:lineRule="auto"/>
        <w:ind w:left="1050"/>
        <w:textAlignment w:val="baseline"/>
        <w:rPr>
          <w:rFonts w:asciiTheme="minorHAnsi" w:hAnsiTheme="minorHAnsi"/>
          <w:color w:val="1E1E1E"/>
          <w:spacing w:val="5"/>
          <w:lang w:val="en"/>
        </w:rPr>
      </w:pPr>
      <w:r w:rsidRPr="00235C28">
        <w:rPr>
          <w:rFonts w:asciiTheme="minorHAnsi" w:hAnsiTheme="minorHAnsi"/>
          <w:color w:val="1E1E1E"/>
          <w:spacing w:val="5"/>
          <w:lang w:val="en"/>
        </w:rPr>
        <w:t>consult with key stakeholder groups including land councils, native title organisations, traditional owners, native title ministers, industry associations and financial institutions</w:t>
      </w:r>
    </w:p>
    <w:p w:rsidR="005704E2" w:rsidRPr="00235C28" w:rsidRDefault="005704E2" w:rsidP="00EA6F6C">
      <w:pPr>
        <w:numPr>
          <w:ilvl w:val="1"/>
          <w:numId w:val="16"/>
        </w:numPr>
        <w:shd w:val="clear" w:color="auto" w:fill="FFFFFF"/>
        <w:spacing w:line="276" w:lineRule="auto"/>
        <w:ind w:left="1050"/>
        <w:textAlignment w:val="baseline"/>
        <w:rPr>
          <w:rFonts w:asciiTheme="minorHAnsi" w:hAnsiTheme="minorHAnsi"/>
          <w:color w:val="1E1E1E"/>
          <w:spacing w:val="5"/>
          <w:lang w:val="en"/>
        </w:rPr>
      </w:pPr>
      <w:r w:rsidRPr="00235C28">
        <w:rPr>
          <w:rFonts w:asciiTheme="minorHAnsi" w:hAnsiTheme="minorHAnsi"/>
          <w:color w:val="1E1E1E"/>
          <w:spacing w:val="5"/>
          <w:lang w:val="en"/>
        </w:rPr>
        <w:t>consider, including with the Expert Indigenous Working Group, and report on proposals raised by native title ministers</w:t>
      </w:r>
    </w:p>
    <w:p w:rsidR="005704E2" w:rsidRPr="00235C28" w:rsidRDefault="005704E2" w:rsidP="00EA6F6C">
      <w:pPr>
        <w:numPr>
          <w:ilvl w:val="1"/>
          <w:numId w:val="16"/>
        </w:numPr>
        <w:shd w:val="clear" w:color="auto" w:fill="FFFFFF"/>
        <w:spacing w:line="276" w:lineRule="auto"/>
        <w:ind w:left="1050"/>
        <w:textAlignment w:val="baseline"/>
        <w:rPr>
          <w:rFonts w:asciiTheme="minorHAnsi" w:hAnsiTheme="minorHAnsi"/>
          <w:color w:val="1E1E1E"/>
          <w:spacing w:val="5"/>
          <w:lang w:val="en"/>
        </w:rPr>
      </w:pPr>
      <w:r w:rsidRPr="00235C28">
        <w:rPr>
          <w:rFonts w:asciiTheme="minorHAnsi" w:hAnsiTheme="minorHAnsi"/>
          <w:color w:val="1E1E1E"/>
          <w:spacing w:val="5"/>
          <w:lang w:val="en"/>
        </w:rPr>
        <w:t>provide a report to the first COAG meeting of 2015</w:t>
      </w:r>
    </w:p>
    <w:p w:rsidR="005704E2" w:rsidRPr="00D46E5E" w:rsidRDefault="005704E2" w:rsidP="00EA6F6C">
      <w:pPr>
        <w:spacing w:line="276" w:lineRule="auto"/>
        <w:rPr>
          <w:rFonts w:asciiTheme="minorHAnsi" w:hAnsiTheme="minorHAnsi"/>
        </w:rPr>
      </w:pPr>
    </w:p>
    <w:p w:rsidR="005704E2" w:rsidRDefault="005704E2" w:rsidP="00EA6F6C">
      <w:pPr>
        <w:spacing w:line="276" w:lineRule="auto"/>
        <w:rPr>
          <w:rFonts w:ascii="Calibri" w:hAnsi="Calibri"/>
          <w:bCs/>
          <w:color w:val="808080" w:themeColor="accent4"/>
          <w:kern w:val="32"/>
        </w:rPr>
      </w:pPr>
      <w:r>
        <w:br w:type="page"/>
      </w:r>
    </w:p>
    <w:p w:rsidR="00434DF8" w:rsidRDefault="00340397" w:rsidP="00434DF8">
      <w:pPr>
        <w:pStyle w:val="Title"/>
        <w:spacing w:line="276" w:lineRule="auto"/>
      </w:pPr>
      <w:bookmarkStart w:id="20" w:name="_Toc421623431"/>
      <w:r w:rsidRPr="00311133">
        <w:lastRenderedPageBreak/>
        <w:t xml:space="preserve">Executive </w:t>
      </w:r>
      <w:r w:rsidR="006559DB" w:rsidRPr="00311133">
        <w:t>s</w:t>
      </w:r>
      <w:r w:rsidRPr="00311133">
        <w:t>ummary</w:t>
      </w:r>
      <w:bookmarkEnd w:id="20"/>
    </w:p>
    <w:p w:rsidR="00434DF8" w:rsidRDefault="00434DF8" w:rsidP="00434DF8"/>
    <w:p w:rsidR="00434DF8" w:rsidRDefault="00434DF8" w:rsidP="00EA6F6C">
      <w:pPr>
        <w:spacing w:line="276" w:lineRule="auto"/>
        <w:rPr>
          <w:rFonts w:asciiTheme="minorHAnsi" w:hAnsiTheme="minorHAnsi"/>
        </w:rPr>
      </w:pPr>
      <w:r w:rsidRPr="00434DF8">
        <w:rPr>
          <w:rFonts w:asciiTheme="minorHAnsi" w:hAnsiTheme="minorHAnsi"/>
        </w:rPr>
        <w:t xml:space="preserve">The </w:t>
      </w:r>
      <w:r w:rsidRPr="008D1A6D">
        <w:rPr>
          <w:rFonts w:asciiTheme="minorHAnsi" w:hAnsiTheme="minorHAnsi"/>
          <w:i/>
          <w:iCs/>
        </w:rPr>
        <w:t>Aboriginal</w:t>
      </w:r>
      <w:r>
        <w:rPr>
          <w:rFonts w:asciiTheme="minorHAnsi" w:hAnsiTheme="minorHAnsi"/>
          <w:i/>
          <w:iCs/>
        </w:rPr>
        <w:t xml:space="preserve"> </w:t>
      </w:r>
      <w:r w:rsidRPr="008D1A6D">
        <w:rPr>
          <w:rFonts w:asciiTheme="minorHAnsi" w:hAnsiTheme="minorHAnsi"/>
          <w:i/>
          <w:iCs/>
        </w:rPr>
        <w:t xml:space="preserve">Land Rights (Northern Territory) Act 1976 </w:t>
      </w:r>
      <w:r>
        <w:rPr>
          <w:rFonts w:asciiTheme="minorHAnsi" w:hAnsiTheme="minorHAnsi"/>
        </w:rPr>
        <w:t>(henceforth referred to as ALRA</w:t>
      </w:r>
      <w:r w:rsidRPr="008D1A6D">
        <w:rPr>
          <w:rFonts w:asciiTheme="minorHAnsi" w:hAnsiTheme="minorHAnsi"/>
        </w:rPr>
        <w:t>)</w:t>
      </w:r>
      <w:r>
        <w:rPr>
          <w:rFonts w:asciiTheme="minorHAnsi" w:hAnsiTheme="minorHAnsi"/>
        </w:rPr>
        <w:t xml:space="preserve">, </w:t>
      </w:r>
      <w:r w:rsidR="00D57C33">
        <w:rPr>
          <w:rFonts w:asciiTheme="minorHAnsi" w:hAnsiTheme="minorHAnsi"/>
        </w:rPr>
        <w:t xml:space="preserve">is </w:t>
      </w:r>
      <w:r>
        <w:rPr>
          <w:rFonts w:asciiTheme="minorHAnsi" w:hAnsiTheme="minorHAnsi"/>
        </w:rPr>
        <w:t>the high water mark of land rights legislation</w:t>
      </w:r>
      <w:r w:rsidR="00D57C33">
        <w:rPr>
          <w:rFonts w:asciiTheme="minorHAnsi" w:hAnsiTheme="minorHAnsi"/>
        </w:rPr>
        <w:t xml:space="preserve"> and demonstrates how underlying communal</w:t>
      </w:r>
      <w:r w:rsidR="00FE29F7">
        <w:rPr>
          <w:rFonts w:asciiTheme="minorHAnsi" w:hAnsiTheme="minorHAnsi"/>
        </w:rPr>
        <w:t xml:space="preserve"> title can be preserved whilst</w:t>
      </w:r>
      <w:r w:rsidR="00D57C33">
        <w:rPr>
          <w:rFonts w:asciiTheme="minorHAnsi" w:hAnsiTheme="minorHAnsi"/>
        </w:rPr>
        <w:t xml:space="preserve"> also providing for transferable property rights.  </w:t>
      </w:r>
    </w:p>
    <w:p w:rsidR="00D57C33" w:rsidRDefault="00D57C33" w:rsidP="00EA6F6C">
      <w:pPr>
        <w:spacing w:line="276" w:lineRule="auto"/>
        <w:rPr>
          <w:rFonts w:asciiTheme="minorHAnsi" w:hAnsiTheme="minorHAnsi"/>
        </w:rPr>
      </w:pPr>
    </w:p>
    <w:p w:rsidR="00D57C33" w:rsidRDefault="00D57C33" w:rsidP="00D57C33">
      <w:pPr>
        <w:spacing w:line="276" w:lineRule="auto"/>
        <w:rPr>
          <w:rFonts w:asciiTheme="minorHAnsi" w:hAnsiTheme="minorHAnsi"/>
        </w:rPr>
      </w:pPr>
      <w:r>
        <w:rPr>
          <w:rFonts w:asciiTheme="minorHAnsi" w:hAnsiTheme="minorHAnsi"/>
        </w:rPr>
        <w:t>Traditional owners have consented to approximately 1954 leases in the CLC region since the commencement of the NTER in June 2007</w:t>
      </w:r>
      <w:r>
        <w:rPr>
          <w:rStyle w:val="FootnoteReference"/>
          <w:rFonts w:asciiTheme="minorHAnsi" w:hAnsiTheme="minorHAnsi"/>
        </w:rPr>
        <w:footnoteReference w:id="1"/>
      </w:r>
      <w:r>
        <w:rPr>
          <w:rFonts w:asciiTheme="minorHAnsi" w:hAnsiTheme="minorHAnsi"/>
        </w:rPr>
        <w:t xml:space="preserve">.  This includes leases over community housing, NT Government infrastructure, Commonwealth government infrastructure, stores, arts centres, Regional Council and NGO assets.  Taken in conjunction </w:t>
      </w:r>
      <w:r w:rsidR="00FE29F7">
        <w:rPr>
          <w:rFonts w:asciiTheme="minorHAnsi" w:hAnsiTheme="minorHAnsi"/>
        </w:rPr>
        <w:t>with similar progress in the Northern Land Council (NLC)</w:t>
      </w:r>
      <w:r>
        <w:rPr>
          <w:rFonts w:asciiTheme="minorHAnsi" w:hAnsiTheme="minorHAnsi"/>
        </w:rPr>
        <w:t xml:space="preserve"> region there is likely to be more leases on Aboriginal land in the Northern Territory (NT) than in any other jurisdiction in Australia.  These leases are voluntar</w:t>
      </w:r>
      <w:r w:rsidR="00FE29F7">
        <w:rPr>
          <w:rFonts w:asciiTheme="minorHAnsi" w:hAnsiTheme="minorHAnsi"/>
        </w:rPr>
        <w:t xml:space="preserve">y, </w:t>
      </w:r>
      <w:r>
        <w:rPr>
          <w:rFonts w:asciiTheme="minorHAnsi" w:hAnsiTheme="minorHAnsi"/>
        </w:rPr>
        <w:t>require tradition</w:t>
      </w:r>
      <w:r w:rsidR="00FE29F7">
        <w:rPr>
          <w:rFonts w:asciiTheme="minorHAnsi" w:hAnsiTheme="minorHAnsi"/>
        </w:rPr>
        <w:t>al</w:t>
      </w:r>
      <w:r>
        <w:rPr>
          <w:rFonts w:asciiTheme="minorHAnsi" w:hAnsiTheme="minorHAnsi"/>
        </w:rPr>
        <w:t xml:space="preserve"> owners</w:t>
      </w:r>
      <w:r w:rsidR="00D201A3">
        <w:rPr>
          <w:rFonts w:asciiTheme="minorHAnsi" w:hAnsiTheme="minorHAnsi"/>
        </w:rPr>
        <w:t>’</w:t>
      </w:r>
      <w:r>
        <w:rPr>
          <w:rFonts w:asciiTheme="minorHAnsi" w:hAnsiTheme="minorHAnsi"/>
        </w:rPr>
        <w:t xml:space="preserve"> informed consent, have flexible and negotiated terms and conditions, are transferable and can be used to secure a mortgage.</w:t>
      </w:r>
    </w:p>
    <w:p w:rsidR="00D57C33" w:rsidRDefault="00D57C33" w:rsidP="00D57C33">
      <w:pPr>
        <w:spacing w:line="276" w:lineRule="auto"/>
        <w:rPr>
          <w:rFonts w:asciiTheme="minorHAnsi" w:hAnsiTheme="minorHAnsi"/>
        </w:rPr>
      </w:pPr>
    </w:p>
    <w:p w:rsidR="00477537" w:rsidRDefault="00477537" w:rsidP="00477537">
      <w:pPr>
        <w:spacing w:line="276" w:lineRule="auto"/>
        <w:rPr>
          <w:rFonts w:asciiTheme="minorHAnsi" w:hAnsiTheme="minorHAnsi"/>
        </w:rPr>
      </w:pPr>
      <w:r w:rsidRPr="00532528">
        <w:rPr>
          <w:rFonts w:asciiTheme="minorHAnsi" w:hAnsiTheme="minorHAnsi"/>
        </w:rPr>
        <w:t xml:space="preserve">Current policy debates must acknowledge the </w:t>
      </w:r>
      <w:r>
        <w:rPr>
          <w:rFonts w:asciiTheme="minorHAnsi" w:hAnsiTheme="minorHAnsi"/>
        </w:rPr>
        <w:t xml:space="preserve">significant progress that has been made in the past eight years in formalising tenure arrangements in remote communities in central Australia, and improving the land administration system required to underpin the recognition of formal leasehold interests.  The formation of a specific unit within the NT Government to coordinate remote tenure issues proved very useful.  It resulted in a coordinated approach within the NT agencies, and a close collaboration between the CLC and NT departmental officials.  Drawing on funding provided by the Australian Government the NT Government has almost completed the cadastral survey work which was urgently needed to ensure compliance with the subdivision requirements of the </w:t>
      </w:r>
      <w:r w:rsidRPr="00B00678">
        <w:rPr>
          <w:rFonts w:asciiTheme="minorHAnsi" w:hAnsiTheme="minorHAnsi"/>
          <w:i/>
        </w:rPr>
        <w:t>Planning Act (NT)</w:t>
      </w:r>
      <w:r>
        <w:rPr>
          <w:rFonts w:asciiTheme="minorHAnsi" w:hAnsiTheme="minorHAnsi"/>
        </w:rPr>
        <w:t xml:space="preserve"> and registration of leases.   This is a major achievement and applies to 27 communities in central Australia.</w:t>
      </w:r>
    </w:p>
    <w:p w:rsidR="00477537" w:rsidRDefault="00477537" w:rsidP="00D57C33">
      <w:pPr>
        <w:spacing w:line="276" w:lineRule="auto"/>
        <w:rPr>
          <w:rFonts w:asciiTheme="minorHAnsi" w:hAnsiTheme="minorHAnsi"/>
        </w:rPr>
      </w:pPr>
    </w:p>
    <w:p w:rsidR="00D57C33" w:rsidRDefault="00D57C33" w:rsidP="00D57C33">
      <w:pPr>
        <w:spacing w:line="276" w:lineRule="auto"/>
        <w:rPr>
          <w:rFonts w:asciiTheme="minorHAnsi" w:hAnsiTheme="minorHAnsi"/>
        </w:rPr>
      </w:pPr>
      <w:r>
        <w:rPr>
          <w:rFonts w:asciiTheme="minorHAnsi" w:hAnsiTheme="minorHAnsi"/>
        </w:rPr>
        <w:t>The roll-out of leasing arrangements has focused primarily on existing assets and infrastructure, and, as predicted, the formalisation of tenure has not resulted in increased applications for new business or commercial opportunities.  There are numerous and complex barriers to economic development in the arid and remote region of the CLC, and these barriers must be addressed if further development is to proceed.</w:t>
      </w:r>
    </w:p>
    <w:p w:rsidR="00D57C33" w:rsidRPr="00434DF8" w:rsidRDefault="00D57C33" w:rsidP="00EA6F6C">
      <w:pPr>
        <w:spacing w:line="276" w:lineRule="auto"/>
        <w:rPr>
          <w:rFonts w:asciiTheme="minorHAnsi" w:hAnsiTheme="minorHAnsi"/>
        </w:rPr>
      </w:pPr>
    </w:p>
    <w:p w:rsidR="00340397" w:rsidRDefault="00340397" w:rsidP="00EA6F6C">
      <w:pPr>
        <w:spacing w:line="276" w:lineRule="auto"/>
        <w:rPr>
          <w:rFonts w:ascii="Calibri" w:hAnsi="Calibri"/>
        </w:rPr>
      </w:pPr>
      <w:r>
        <w:rPr>
          <w:rFonts w:ascii="Calibri" w:hAnsi="Calibri"/>
        </w:rPr>
        <w:t xml:space="preserve">Historically there has </w:t>
      </w:r>
      <w:r w:rsidRPr="00D04067">
        <w:rPr>
          <w:rFonts w:ascii="Calibri" w:hAnsi="Calibri"/>
        </w:rPr>
        <w:t>been a poor correlation between stated government policy objectives</w:t>
      </w:r>
      <w:r>
        <w:rPr>
          <w:rFonts w:ascii="Calibri" w:hAnsi="Calibri"/>
        </w:rPr>
        <w:t xml:space="preserve"> in relation to land tenure reform in the Northern Territory</w:t>
      </w:r>
      <w:r w:rsidRPr="00D04067">
        <w:rPr>
          <w:rFonts w:ascii="Calibri" w:hAnsi="Calibri"/>
        </w:rPr>
        <w:t xml:space="preserve"> and </w:t>
      </w:r>
      <w:r>
        <w:rPr>
          <w:rFonts w:ascii="Calibri" w:hAnsi="Calibri"/>
        </w:rPr>
        <w:t xml:space="preserve">the </w:t>
      </w:r>
      <w:r w:rsidRPr="00D04067">
        <w:rPr>
          <w:rFonts w:ascii="Calibri" w:hAnsi="Calibri"/>
        </w:rPr>
        <w:t>measures devised in pursuit of them.</w:t>
      </w:r>
      <w:r>
        <w:rPr>
          <w:rFonts w:ascii="Calibri" w:hAnsi="Calibri"/>
        </w:rPr>
        <w:t xml:space="preserve"> Over the last decade, a</w:t>
      </w:r>
      <w:r w:rsidRPr="00D04067">
        <w:rPr>
          <w:rFonts w:ascii="Calibri" w:hAnsi="Calibri"/>
        </w:rPr>
        <w:t xml:space="preserve">dvocates of legislative reform </w:t>
      </w:r>
      <w:r w:rsidR="00BB0195">
        <w:rPr>
          <w:rFonts w:ascii="Calibri" w:hAnsi="Calibri"/>
        </w:rPr>
        <w:t xml:space="preserve">of the </w:t>
      </w:r>
      <w:r w:rsidR="00BB0195">
        <w:rPr>
          <w:rFonts w:asciiTheme="minorHAnsi" w:hAnsiTheme="minorHAnsi"/>
        </w:rPr>
        <w:t>ALRA,</w:t>
      </w:r>
      <w:r w:rsidRPr="00D04067">
        <w:rPr>
          <w:rFonts w:ascii="Calibri" w:hAnsi="Calibri"/>
        </w:rPr>
        <w:t xml:space="preserve"> and those seeking to demonise ‘communal title’ have tended to:</w:t>
      </w:r>
    </w:p>
    <w:p w:rsidR="00340397" w:rsidRPr="00D04067" w:rsidRDefault="00340397" w:rsidP="00EA6F6C">
      <w:pPr>
        <w:spacing w:line="276" w:lineRule="auto"/>
        <w:rPr>
          <w:rFonts w:ascii="Calibri" w:hAnsi="Calibri"/>
        </w:rPr>
      </w:pPr>
    </w:p>
    <w:p w:rsidR="00340397" w:rsidRPr="00D04067" w:rsidRDefault="00340397" w:rsidP="00EA6F6C">
      <w:pPr>
        <w:numPr>
          <w:ilvl w:val="0"/>
          <w:numId w:val="12"/>
        </w:numPr>
        <w:spacing w:line="276" w:lineRule="auto"/>
        <w:rPr>
          <w:rFonts w:ascii="Calibri" w:hAnsi="Calibri"/>
        </w:rPr>
      </w:pPr>
      <w:r w:rsidRPr="00D04067">
        <w:rPr>
          <w:rFonts w:ascii="Calibri" w:hAnsi="Calibri"/>
        </w:rPr>
        <w:lastRenderedPageBreak/>
        <w:t>deliberately mischaracterise the efficacy of existing ALRA provisions;</w:t>
      </w:r>
    </w:p>
    <w:p w:rsidR="00340397" w:rsidRPr="00D04067" w:rsidRDefault="00340397" w:rsidP="00EA6F6C">
      <w:pPr>
        <w:numPr>
          <w:ilvl w:val="0"/>
          <w:numId w:val="12"/>
        </w:numPr>
        <w:spacing w:line="276" w:lineRule="auto"/>
        <w:rPr>
          <w:rFonts w:ascii="Calibri" w:hAnsi="Calibri"/>
        </w:rPr>
      </w:pPr>
      <w:r w:rsidRPr="00D04067">
        <w:rPr>
          <w:rFonts w:ascii="Calibri" w:hAnsi="Calibri"/>
        </w:rPr>
        <w:t>ignore the intended beneficiaries, the Aboriginal land owners, in devising tenure ‘solutions’;</w:t>
      </w:r>
    </w:p>
    <w:p w:rsidR="00340397" w:rsidRDefault="00340397" w:rsidP="00EA6F6C">
      <w:pPr>
        <w:numPr>
          <w:ilvl w:val="0"/>
          <w:numId w:val="12"/>
        </w:numPr>
        <w:spacing w:line="276" w:lineRule="auto"/>
        <w:rPr>
          <w:rFonts w:ascii="Calibri" w:hAnsi="Calibri"/>
        </w:rPr>
      </w:pPr>
      <w:r w:rsidRPr="00D04067">
        <w:rPr>
          <w:rFonts w:ascii="Calibri" w:hAnsi="Calibri"/>
        </w:rPr>
        <w:t>overemphasise the likely outcomes of major legislative reform</w:t>
      </w:r>
      <w:r>
        <w:rPr>
          <w:rFonts w:ascii="Calibri" w:hAnsi="Calibri"/>
        </w:rPr>
        <w:t>;</w:t>
      </w:r>
      <w:r w:rsidRPr="00D04067">
        <w:rPr>
          <w:rFonts w:ascii="Calibri" w:hAnsi="Calibri"/>
        </w:rPr>
        <w:t xml:space="preserve"> </w:t>
      </w:r>
    </w:p>
    <w:p w:rsidR="00340397" w:rsidRPr="00D04067" w:rsidRDefault="00340397" w:rsidP="00EA6F6C">
      <w:pPr>
        <w:spacing w:line="276" w:lineRule="auto"/>
        <w:ind w:left="720"/>
        <w:rPr>
          <w:rFonts w:ascii="Calibri" w:hAnsi="Calibri"/>
        </w:rPr>
      </w:pPr>
      <w:r w:rsidRPr="00D04067">
        <w:rPr>
          <w:rFonts w:ascii="Calibri" w:hAnsi="Calibri"/>
        </w:rPr>
        <w:t>and, more recently</w:t>
      </w:r>
      <w:r>
        <w:rPr>
          <w:rFonts w:ascii="Calibri" w:hAnsi="Calibri"/>
        </w:rPr>
        <w:t>,</w:t>
      </w:r>
    </w:p>
    <w:p w:rsidR="00340397" w:rsidRDefault="00340397" w:rsidP="00EA6F6C">
      <w:pPr>
        <w:numPr>
          <w:ilvl w:val="0"/>
          <w:numId w:val="12"/>
        </w:numPr>
        <w:spacing w:line="276" w:lineRule="auto"/>
        <w:rPr>
          <w:rFonts w:ascii="Calibri" w:hAnsi="Calibri"/>
        </w:rPr>
      </w:pPr>
      <w:r w:rsidRPr="00D04067">
        <w:rPr>
          <w:rFonts w:ascii="Calibri" w:hAnsi="Calibri"/>
        </w:rPr>
        <w:t xml:space="preserve">ignore the significant extent to which </w:t>
      </w:r>
      <w:r>
        <w:rPr>
          <w:rFonts w:ascii="Calibri" w:hAnsi="Calibri"/>
        </w:rPr>
        <w:t>the formalisation of land tenure on Aboriginal communities in the Northern Territory, by means of leasing,</w:t>
      </w:r>
      <w:r w:rsidRPr="00D04067">
        <w:rPr>
          <w:rFonts w:ascii="Calibri" w:hAnsi="Calibri"/>
        </w:rPr>
        <w:t xml:space="preserve"> is now </w:t>
      </w:r>
      <w:r>
        <w:rPr>
          <w:rFonts w:ascii="Calibri" w:hAnsi="Calibri"/>
        </w:rPr>
        <w:t xml:space="preserve">well </w:t>
      </w:r>
      <w:r w:rsidRPr="00D04067">
        <w:rPr>
          <w:rFonts w:ascii="Calibri" w:hAnsi="Calibri"/>
        </w:rPr>
        <w:t>advanced.</w:t>
      </w:r>
    </w:p>
    <w:p w:rsidR="00340397" w:rsidRDefault="00340397" w:rsidP="00EA6F6C">
      <w:pPr>
        <w:spacing w:line="276" w:lineRule="auto"/>
        <w:rPr>
          <w:rFonts w:ascii="Calibri" w:hAnsi="Calibri"/>
        </w:rPr>
      </w:pPr>
    </w:p>
    <w:p w:rsidR="00340397" w:rsidRDefault="00340397" w:rsidP="00EA6F6C">
      <w:pPr>
        <w:spacing w:line="276" w:lineRule="auto"/>
        <w:rPr>
          <w:rFonts w:ascii="Calibri" w:hAnsi="Calibri"/>
        </w:rPr>
      </w:pPr>
      <w:r>
        <w:rPr>
          <w:rFonts w:ascii="Calibri" w:hAnsi="Calibri"/>
        </w:rPr>
        <w:t xml:space="preserve">As we move forward into the fourth decade of land rights in the Northern Territory, it is critical that governments focus on how to facilitate thriving and sustainable Aboriginal communities in the Northern Territory and respond by devising effective </w:t>
      </w:r>
      <w:r w:rsidR="00603E6E">
        <w:rPr>
          <w:rFonts w:ascii="Calibri" w:hAnsi="Calibri"/>
        </w:rPr>
        <w:t>tenure policy and reforms based on evidence rather than ideology.</w:t>
      </w:r>
    </w:p>
    <w:p w:rsidR="00340397" w:rsidRDefault="00340397" w:rsidP="00EA6F6C">
      <w:pPr>
        <w:spacing w:line="276" w:lineRule="auto"/>
        <w:rPr>
          <w:rFonts w:ascii="Calibri" w:hAnsi="Calibri"/>
        </w:rPr>
      </w:pPr>
    </w:p>
    <w:p w:rsidR="00477537" w:rsidRDefault="00477537" w:rsidP="00EA6F6C">
      <w:pPr>
        <w:spacing w:line="276" w:lineRule="auto"/>
        <w:rPr>
          <w:rStyle w:val="SubtleEmphasis"/>
          <w:b/>
        </w:rPr>
      </w:pPr>
      <w:r>
        <w:rPr>
          <w:rStyle w:val="SubtleEmphasis"/>
          <w:b/>
        </w:rPr>
        <w:t>Challenges for Future Development</w:t>
      </w:r>
    </w:p>
    <w:p w:rsidR="00B662FB" w:rsidRDefault="00B662FB" w:rsidP="00EA6F6C">
      <w:pPr>
        <w:spacing w:line="276" w:lineRule="auto"/>
        <w:rPr>
          <w:rFonts w:ascii="Calibri" w:hAnsi="Calibri"/>
        </w:rPr>
      </w:pPr>
      <w:r>
        <w:rPr>
          <w:rFonts w:ascii="Calibri" w:hAnsi="Calibri"/>
        </w:rPr>
        <w:t>With land tenure formalisation within m</w:t>
      </w:r>
      <w:r w:rsidR="00C24FF7">
        <w:rPr>
          <w:rFonts w:ascii="Calibri" w:hAnsi="Calibri"/>
        </w:rPr>
        <w:t>ost remote communities in central Australia</w:t>
      </w:r>
      <w:r w:rsidR="00D57C33">
        <w:rPr>
          <w:rFonts w:ascii="Calibri" w:hAnsi="Calibri"/>
        </w:rPr>
        <w:t xml:space="preserve"> almost complete</w:t>
      </w:r>
      <w:r>
        <w:rPr>
          <w:rFonts w:ascii="Calibri" w:hAnsi="Calibri"/>
        </w:rPr>
        <w:t xml:space="preserve">, the CLC asserts there remain five major challenges to facilitating </w:t>
      </w:r>
      <w:r w:rsidR="00C24FF7">
        <w:rPr>
          <w:rFonts w:ascii="Calibri" w:hAnsi="Calibri"/>
        </w:rPr>
        <w:t xml:space="preserve">further </w:t>
      </w:r>
      <w:r>
        <w:rPr>
          <w:rFonts w:ascii="Calibri" w:hAnsi="Calibri"/>
        </w:rPr>
        <w:t xml:space="preserve">development on Aboriginal land: </w:t>
      </w:r>
    </w:p>
    <w:p w:rsidR="00B662FB" w:rsidRDefault="00B662FB" w:rsidP="00EA6F6C">
      <w:pPr>
        <w:pStyle w:val="ListParagraph"/>
        <w:numPr>
          <w:ilvl w:val="0"/>
          <w:numId w:val="20"/>
        </w:numPr>
        <w:spacing w:line="276" w:lineRule="auto"/>
        <w:rPr>
          <w:rFonts w:ascii="Calibri" w:hAnsi="Calibri"/>
        </w:rPr>
      </w:pPr>
      <w:r w:rsidRPr="00B662FB">
        <w:rPr>
          <w:rFonts w:ascii="Calibri" w:hAnsi="Calibri"/>
        </w:rPr>
        <w:t>development of a cons</w:t>
      </w:r>
      <w:r>
        <w:rPr>
          <w:rFonts w:ascii="Calibri" w:hAnsi="Calibri"/>
        </w:rPr>
        <w:t>istent and sound tenure policy</w:t>
      </w:r>
      <w:r w:rsidR="008A5790">
        <w:rPr>
          <w:rFonts w:ascii="Calibri" w:hAnsi="Calibri"/>
        </w:rPr>
        <w:t xml:space="preserve"> framework which addresses genuine areas of concern and is supported by Aboriginal landowners;</w:t>
      </w:r>
    </w:p>
    <w:p w:rsidR="008A5790" w:rsidRDefault="00B662FB" w:rsidP="00EA6F6C">
      <w:pPr>
        <w:pStyle w:val="ListParagraph"/>
        <w:numPr>
          <w:ilvl w:val="0"/>
          <w:numId w:val="20"/>
        </w:numPr>
        <w:spacing w:line="276" w:lineRule="auto"/>
        <w:rPr>
          <w:rFonts w:ascii="Calibri" w:hAnsi="Calibri"/>
        </w:rPr>
      </w:pPr>
      <w:r w:rsidRPr="00B662FB">
        <w:rPr>
          <w:rFonts w:ascii="Calibri" w:hAnsi="Calibri"/>
        </w:rPr>
        <w:t xml:space="preserve">continued investment in the institutional infrastructure required to more efficiently administer land; </w:t>
      </w:r>
    </w:p>
    <w:p w:rsidR="008A5790" w:rsidRDefault="00B662FB" w:rsidP="00EA6F6C">
      <w:pPr>
        <w:pStyle w:val="ListParagraph"/>
        <w:numPr>
          <w:ilvl w:val="0"/>
          <w:numId w:val="20"/>
        </w:numPr>
        <w:spacing w:line="276" w:lineRule="auto"/>
        <w:rPr>
          <w:rFonts w:ascii="Calibri" w:hAnsi="Calibri"/>
        </w:rPr>
      </w:pPr>
      <w:r w:rsidRPr="00B662FB">
        <w:rPr>
          <w:rFonts w:ascii="Calibri" w:hAnsi="Calibri"/>
        </w:rPr>
        <w:t xml:space="preserve">regularising and expanding the delivery of infrastructure; </w:t>
      </w:r>
    </w:p>
    <w:p w:rsidR="008A5790" w:rsidRDefault="00B662FB" w:rsidP="00EA6F6C">
      <w:pPr>
        <w:pStyle w:val="ListParagraph"/>
        <w:numPr>
          <w:ilvl w:val="0"/>
          <w:numId w:val="20"/>
        </w:numPr>
        <w:spacing w:line="276" w:lineRule="auto"/>
        <w:rPr>
          <w:rFonts w:ascii="Calibri" w:hAnsi="Calibri"/>
        </w:rPr>
      </w:pPr>
      <w:r w:rsidRPr="00B662FB">
        <w:rPr>
          <w:rFonts w:ascii="Calibri" w:hAnsi="Calibri"/>
        </w:rPr>
        <w:t xml:space="preserve">ensuring that there is access to finance for economic development; and </w:t>
      </w:r>
    </w:p>
    <w:p w:rsidR="00B662FB" w:rsidRPr="00B662FB" w:rsidRDefault="00EA6F6C" w:rsidP="00EA6F6C">
      <w:pPr>
        <w:pStyle w:val="ListParagraph"/>
        <w:numPr>
          <w:ilvl w:val="0"/>
          <w:numId w:val="20"/>
        </w:numPr>
        <w:spacing w:line="276" w:lineRule="auto"/>
        <w:rPr>
          <w:rFonts w:ascii="Calibri" w:hAnsi="Calibri"/>
        </w:rPr>
      </w:pPr>
      <w:r>
        <w:rPr>
          <w:rFonts w:ascii="Calibri" w:hAnsi="Calibri"/>
        </w:rPr>
        <w:t>supporting Aboriginal governance and capacity building to enable</w:t>
      </w:r>
      <w:r w:rsidR="00B662FB" w:rsidRPr="00B662FB">
        <w:rPr>
          <w:rFonts w:ascii="Calibri" w:hAnsi="Calibri"/>
        </w:rPr>
        <w:t xml:space="preserve"> development in the NT.</w:t>
      </w:r>
    </w:p>
    <w:p w:rsidR="00B662FB" w:rsidRDefault="00B662FB" w:rsidP="00EA6F6C">
      <w:pPr>
        <w:spacing w:line="276" w:lineRule="auto"/>
        <w:rPr>
          <w:rFonts w:ascii="Calibri" w:hAnsi="Calibri"/>
        </w:rPr>
      </w:pPr>
    </w:p>
    <w:p w:rsidR="00340397" w:rsidRDefault="00340397" w:rsidP="00EA6F6C">
      <w:pPr>
        <w:spacing w:line="276" w:lineRule="auto"/>
        <w:rPr>
          <w:rFonts w:ascii="Calibri" w:hAnsi="Calibri"/>
        </w:rPr>
      </w:pPr>
      <w:r w:rsidRPr="000E7C08">
        <w:rPr>
          <w:rFonts w:ascii="Calibri" w:hAnsi="Calibri"/>
        </w:rPr>
        <w:t>Focusing solely on tenure and communal title as the key barrier to economic development and individual home ownership has distracted</w:t>
      </w:r>
      <w:r w:rsidR="006559DB">
        <w:rPr>
          <w:rFonts w:ascii="Calibri" w:hAnsi="Calibri"/>
        </w:rPr>
        <w:t xml:space="preserve"> focus </w:t>
      </w:r>
      <w:r w:rsidRPr="000E7C08">
        <w:rPr>
          <w:rFonts w:ascii="Calibri" w:hAnsi="Calibri"/>
        </w:rPr>
        <w:t>from the other critical factors requiring urgent attention.</w:t>
      </w:r>
      <w:r w:rsidR="006559DB">
        <w:rPr>
          <w:rFonts w:ascii="Calibri" w:hAnsi="Calibri"/>
        </w:rPr>
        <w:t xml:space="preserve"> </w:t>
      </w:r>
      <w:r w:rsidRPr="000E7C08">
        <w:rPr>
          <w:rFonts w:ascii="Calibri" w:hAnsi="Calibri"/>
        </w:rPr>
        <w:t>The most pressing and ubiquitous barriers to economic development and home ownership on remote communities in the Northern Territory continue to be neglected.</w:t>
      </w:r>
      <w:r w:rsidR="006559DB">
        <w:rPr>
          <w:rFonts w:ascii="Calibri" w:hAnsi="Calibri"/>
        </w:rPr>
        <w:t xml:space="preserve"> </w:t>
      </w:r>
      <w:r w:rsidRPr="000E7C08">
        <w:rPr>
          <w:rFonts w:ascii="Calibri" w:hAnsi="Calibri"/>
        </w:rPr>
        <w:t xml:space="preserve">These include major power, water and sewerage constraints and serious limitations on available serviced land. </w:t>
      </w:r>
      <w:r w:rsidR="006559DB" w:rsidRPr="006559DB">
        <w:rPr>
          <w:rFonts w:ascii="Calibri" w:hAnsi="Calibri"/>
        </w:rPr>
        <w:t>They also include the high cost of construction, the quality of infrastructure, low average incomes, the caution of mortgage lenders and a range of other market factors.</w:t>
      </w:r>
      <w:r w:rsidR="006559DB">
        <w:rPr>
          <w:rFonts w:ascii="Calibri" w:hAnsi="Calibri"/>
        </w:rPr>
        <w:t xml:space="preserve"> </w:t>
      </w:r>
      <w:r w:rsidRPr="00A968FC">
        <w:rPr>
          <w:rFonts w:ascii="Calibri" w:hAnsi="Calibri"/>
        </w:rPr>
        <w:t xml:space="preserve">These are the same barriers that exist in other primarily Aboriginal towns in the CLC region which are on ordinary Northern Territory freehold </w:t>
      </w:r>
      <w:r w:rsidR="006559DB">
        <w:rPr>
          <w:rFonts w:ascii="Calibri" w:hAnsi="Calibri"/>
        </w:rPr>
        <w:t>title</w:t>
      </w:r>
      <w:r w:rsidR="006559DB" w:rsidRPr="006559DB">
        <w:rPr>
          <w:rFonts w:ascii="Calibri" w:hAnsi="Calibri"/>
        </w:rPr>
        <w:t xml:space="preserve">, where the tenure system does offer private ownership. These include Aputula (Finke) and Kalkarindji, where </w:t>
      </w:r>
      <w:r w:rsidRPr="00A968FC">
        <w:rPr>
          <w:rFonts w:ascii="Calibri" w:hAnsi="Calibri"/>
        </w:rPr>
        <w:t>economic development and private home ownership are no further advanced</w:t>
      </w:r>
      <w:r>
        <w:rPr>
          <w:rFonts w:ascii="Calibri" w:hAnsi="Calibri"/>
        </w:rPr>
        <w:t xml:space="preserve"> than in communities situated on Aboriginal land.</w:t>
      </w:r>
    </w:p>
    <w:p w:rsidR="00340397" w:rsidRPr="00D04067" w:rsidRDefault="00340397" w:rsidP="00EA6F6C">
      <w:pPr>
        <w:spacing w:line="276" w:lineRule="auto"/>
        <w:rPr>
          <w:rFonts w:ascii="Calibri" w:hAnsi="Calibri"/>
        </w:rPr>
      </w:pPr>
    </w:p>
    <w:p w:rsidR="00AA2F66" w:rsidRPr="00532528" w:rsidRDefault="009F2C5E" w:rsidP="00EA6F6C">
      <w:pPr>
        <w:spacing w:line="276" w:lineRule="auto"/>
        <w:rPr>
          <w:rFonts w:asciiTheme="minorHAnsi" w:hAnsiTheme="minorHAnsi"/>
        </w:rPr>
      </w:pPr>
      <w:r>
        <w:rPr>
          <w:rFonts w:ascii="Calibri" w:hAnsi="Calibri"/>
        </w:rPr>
        <w:lastRenderedPageBreak/>
        <w:t>There is also a</w:t>
      </w:r>
      <w:r w:rsidR="00AA2F66">
        <w:rPr>
          <w:rFonts w:ascii="Calibri" w:hAnsi="Calibri"/>
        </w:rPr>
        <w:t xml:space="preserve"> need for continued </w:t>
      </w:r>
      <w:r w:rsidR="00AA2F66" w:rsidRPr="00D04067">
        <w:rPr>
          <w:rFonts w:ascii="Calibri" w:hAnsi="Calibri"/>
        </w:rPr>
        <w:t>investment in land administration systems and institutional infrastructure relating to land use</w:t>
      </w:r>
      <w:r w:rsidR="00AA2F66">
        <w:rPr>
          <w:rFonts w:ascii="Calibri" w:hAnsi="Calibri"/>
        </w:rPr>
        <w:t>.</w:t>
      </w:r>
      <w:r w:rsidR="00AA2F66">
        <w:rPr>
          <w:rFonts w:asciiTheme="minorHAnsi" w:hAnsiTheme="minorHAnsi"/>
        </w:rPr>
        <w:t xml:space="preserve"> Resources now need to be applied to ensure that surveys are undertaken for proposed new development areas, and to refine the systems allowing for all leases to be registered and publicly accessible.</w:t>
      </w:r>
    </w:p>
    <w:p w:rsidR="00AA2F66" w:rsidRDefault="00AA2F66" w:rsidP="00EA6F6C">
      <w:pPr>
        <w:spacing w:line="276" w:lineRule="auto"/>
        <w:rPr>
          <w:rFonts w:ascii="Calibri" w:hAnsi="Calibri"/>
        </w:rPr>
      </w:pPr>
    </w:p>
    <w:p w:rsidR="009949D6" w:rsidRDefault="009949D6" w:rsidP="00EA6F6C">
      <w:pPr>
        <w:spacing w:line="276" w:lineRule="auto"/>
        <w:rPr>
          <w:rFonts w:ascii="Calibri" w:hAnsi="Calibri"/>
        </w:rPr>
      </w:pPr>
      <w:r>
        <w:rPr>
          <w:rFonts w:asciiTheme="minorHAnsi" w:hAnsiTheme="minorHAnsi"/>
        </w:rPr>
        <w:t>It is worth noting that recent tenure reforms have been largely focused on reforming arrangements within remote communities, with little attention paid to broadacre Aboriginal land where leasing and mining exploration consultation and consent processes are clear and efficient.</w:t>
      </w:r>
      <w:r>
        <w:rPr>
          <w:rFonts w:ascii="Calibri" w:hAnsi="Calibri"/>
        </w:rPr>
        <w:t xml:space="preserve">  </w:t>
      </w:r>
      <w:r w:rsidR="00AA2F66">
        <w:rPr>
          <w:rFonts w:ascii="Calibri" w:hAnsi="Calibri"/>
        </w:rPr>
        <w:t xml:space="preserve">There is an </w:t>
      </w:r>
      <w:r w:rsidR="00340397" w:rsidRPr="005704E2">
        <w:rPr>
          <w:rFonts w:ascii="Calibri" w:hAnsi="Calibri"/>
        </w:rPr>
        <w:t>identified need in some communities to negotiate a settlement in relation to future land use that ack</w:t>
      </w:r>
      <w:r w:rsidR="006559DB" w:rsidRPr="005704E2">
        <w:rPr>
          <w:rFonts w:ascii="Calibri" w:hAnsi="Calibri"/>
        </w:rPr>
        <w:t>nowledges the interests of long-</w:t>
      </w:r>
      <w:r w:rsidR="00340397" w:rsidRPr="005704E2">
        <w:rPr>
          <w:rFonts w:ascii="Calibri" w:hAnsi="Calibri"/>
        </w:rPr>
        <w:t xml:space="preserve">term Aboriginal </w:t>
      </w:r>
      <w:r w:rsidR="00CA66E1" w:rsidRPr="005704E2">
        <w:rPr>
          <w:rFonts w:ascii="Calibri" w:hAnsi="Calibri"/>
        </w:rPr>
        <w:t>residents</w:t>
      </w:r>
      <w:r w:rsidR="00340397" w:rsidRPr="005704E2">
        <w:rPr>
          <w:rFonts w:ascii="Calibri" w:hAnsi="Calibri"/>
        </w:rPr>
        <w:t xml:space="preserve"> in addition to </w:t>
      </w:r>
      <w:r w:rsidR="006559DB" w:rsidRPr="005704E2">
        <w:rPr>
          <w:rFonts w:ascii="Calibri" w:hAnsi="Calibri"/>
        </w:rPr>
        <w:t xml:space="preserve">those of </w:t>
      </w:r>
      <w:r w:rsidR="00340397" w:rsidRPr="005704E2">
        <w:rPr>
          <w:rFonts w:ascii="Calibri" w:hAnsi="Calibri"/>
        </w:rPr>
        <w:t>the traditional owners of that community.</w:t>
      </w:r>
      <w:r w:rsidR="006559DB">
        <w:rPr>
          <w:rFonts w:ascii="Calibri" w:hAnsi="Calibri"/>
        </w:rPr>
        <w:t xml:space="preserve"> </w:t>
      </w:r>
      <w:r w:rsidR="00674569">
        <w:rPr>
          <w:rFonts w:ascii="Calibri" w:hAnsi="Calibri"/>
        </w:rPr>
        <w:t xml:space="preserve">  Where this is applicable and desired the Australian Government needs to enable whole </w:t>
      </w:r>
      <w:r w:rsidR="00CE0ADC">
        <w:rPr>
          <w:rFonts w:ascii="Calibri" w:hAnsi="Calibri"/>
        </w:rPr>
        <w:t>o</w:t>
      </w:r>
      <w:r w:rsidR="00674569">
        <w:rPr>
          <w:rFonts w:ascii="Calibri" w:hAnsi="Calibri"/>
        </w:rPr>
        <w:t xml:space="preserve">f community leasing models that are held </w:t>
      </w:r>
      <w:r w:rsidR="00FE29F7">
        <w:rPr>
          <w:rFonts w:ascii="Calibri" w:hAnsi="Calibri"/>
        </w:rPr>
        <w:t xml:space="preserve">by Aboriginal community corporations rather than </w:t>
      </w:r>
      <w:r w:rsidR="00674569">
        <w:rPr>
          <w:rFonts w:ascii="Calibri" w:hAnsi="Calibri"/>
        </w:rPr>
        <w:t>the representative of the Australian Government, the Executive Director of Township Leasing.</w:t>
      </w:r>
      <w:r w:rsidR="00AA2F66">
        <w:rPr>
          <w:rFonts w:ascii="Calibri" w:hAnsi="Calibri"/>
        </w:rPr>
        <w:t xml:space="preserve">  </w:t>
      </w:r>
    </w:p>
    <w:p w:rsidR="009949D6" w:rsidRDefault="009949D6" w:rsidP="00EA6F6C">
      <w:pPr>
        <w:spacing w:line="276" w:lineRule="auto"/>
        <w:rPr>
          <w:rFonts w:ascii="Calibri" w:hAnsi="Calibri"/>
        </w:rPr>
      </w:pPr>
    </w:p>
    <w:p w:rsidR="00340397" w:rsidRDefault="009949D6" w:rsidP="00EA6F6C">
      <w:pPr>
        <w:spacing w:line="276" w:lineRule="auto"/>
        <w:rPr>
          <w:rFonts w:ascii="Calibri" w:hAnsi="Calibri"/>
        </w:rPr>
      </w:pPr>
      <w:r>
        <w:rPr>
          <w:rFonts w:ascii="Calibri" w:hAnsi="Calibri"/>
        </w:rPr>
        <w:t>T</w:t>
      </w:r>
      <w:r w:rsidR="00AA2F66">
        <w:rPr>
          <w:rFonts w:ascii="Calibri" w:hAnsi="Calibri"/>
        </w:rPr>
        <w:t xml:space="preserve">here is an urgent need for </w:t>
      </w:r>
      <w:r>
        <w:rPr>
          <w:rFonts w:ascii="Calibri" w:hAnsi="Calibri"/>
        </w:rPr>
        <w:t>to support Aboriginal governance and capacity bu</w:t>
      </w:r>
      <w:r w:rsidR="00944D09">
        <w:rPr>
          <w:rFonts w:ascii="Calibri" w:hAnsi="Calibri"/>
        </w:rPr>
        <w:t xml:space="preserve">ilding as a critical foundation to sustainable </w:t>
      </w:r>
      <w:r>
        <w:rPr>
          <w:rFonts w:ascii="Calibri" w:hAnsi="Calibri"/>
        </w:rPr>
        <w:t xml:space="preserve">development. This includes capacity </w:t>
      </w:r>
      <w:r w:rsidR="00D0342A">
        <w:rPr>
          <w:rFonts w:ascii="Calibri" w:hAnsi="Calibri"/>
        </w:rPr>
        <w:t xml:space="preserve">building </w:t>
      </w:r>
      <w:r>
        <w:rPr>
          <w:rFonts w:ascii="Calibri" w:hAnsi="Calibri"/>
        </w:rPr>
        <w:t xml:space="preserve">for the community corporation model discussed above, and the </w:t>
      </w:r>
      <w:r w:rsidR="00AA2F66">
        <w:rPr>
          <w:rFonts w:ascii="Calibri" w:hAnsi="Calibri"/>
        </w:rPr>
        <w:t>int</w:t>
      </w:r>
      <w:r w:rsidR="00D201A3">
        <w:rPr>
          <w:rFonts w:ascii="Calibri" w:hAnsi="Calibri"/>
        </w:rPr>
        <w:t>ensive support required to enable</w:t>
      </w:r>
      <w:r w:rsidR="00AA2F66">
        <w:rPr>
          <w:rFonts w:ascii="Calibri" w:hAnsi="Calibri"/>
        </w:rPr>
        <w:t xml:space="preserve"> corporations, family gro</w:t>
      </w:r>
      <w:r>
        <w:rPr>
          <w:rFonts w:ascii="Calibri" w:hAnsi="Calibri"/>
        </w:rPr>
        <w:t xml:space="preserve">ups and individuals to </w:t>
      </w:r>
      <w:r w:rsidR="00AA2F66">
        <w:rPr>
          <w:rFonts w:ascii="Calibri" w:hAnsi="Calibri"/>
        </w:rPr>
        <w:t>implement economic or enterprise development initiatives in the challenging remote context.</w:t>
      </w:r>
    </w:p>
    <w:p w:rsidR="00D57C33" w:rsidRDefault="00D57C33" w:rsidP="00D57C33">
      <w:pPr>
        <w:autoSpaceDE w:val="0"/>
        <w:autoSpaceDN w:val="0"/>
        <w:adjustRightInd w:val="0"/>
        <w:spacing w:line="276" w:lineRule="auto"/>
        <w:rPr>
          <w:rFonts w:ascii="Calibri" w:hAnsi="Calibri"/>
        </w:rPr>
      </w:pPr>
    </w:p>
    <w:p w:rsidR="00D57C33" w:rsidRPr="00477537" w:rsidRDefault="00D57C33" w:rsidP="00477537">
      <w:pPr>
        <w:autoSpaceDE w:val="0"/>
        <w:autoSpaceDN w:val="0"/>
        <w:adjustRightInd w:val="0"/>
        <w:spacing w:line="276" w:lineRule="auto"/>
        <w:rPr>
          <w:rFonts w:asciiTheme="minorHAnsi" w:hAnsiTheme="minorHAnsi" w:cs="Calibri,Bold"/>
          <w:bCs/>
        </w:rPr>
      </w:pPr>
      <w:r w:rsidRPr="00D57C33">
        <w:rPr>
          <w:rFonts w:asciiTheme="minorHAnsi" w:hAnsiTheme="minorHAnsi"/>
        </w:rPr>
        <w:t xml:space="preserve">This submission briefly provides some broad context for the Aboriginal land tenure debate, summarises the history and outcomes of tenure reform over the past eight years in the NT and outlines a number of key barriers to economic development beyond land tenure.  </w:t>
      </w:r>
      <w:r w:rsidRPr="00D57C33">
        <w:rPr>
          <w:rFonts w:asciiTheme="minorHAnsi" w:hAnsiTheme="minorHAnsi" w:cs="Calibri,Bold"/>
          <w:bCs/>
        </w:rPr>
        <w:t xml:space="preserve">The Central land Council (CLC) is a member of the National Native Title Council (NNTC) and native title issues will be addressed comprehensively in the NNTC submission to this investigation, as such, they are not addressed here.  </w:t>
      </w:r>
      <w:r w:rsidRPr="00D57C33">
        <w:rPr>
          <w:rFonts w:asciiTheme="minorHAnsi" w:hAnsiTheme="minorHAnsi"/>
        </w:rPr>
        <w:t>This submission draws on a paper published previously by the CLC, titled ‘</w:t>
      </w:r>
      <w:r w:rsidRPr="00D57C33">
        <w:rPr>
          <w:rFonts w:asciiTheme="minorHAnsi" w:hAnsiTheme="minorHAnsi" w:cs="Calibri,Bold"/>
          <w:bCs/>
        </w:rPr>
        <w:t>Land Reform in the Northern Territory: evidence not ideology’.</w:t>
      </w:r>
      <w:r w:rsidRPr="00D57C33">
        <w:rPr>
          <w:rStyle w:val="FootnoteReference"/>
          <w:rFonts w:asciiTheme="minorHAnsi" w:hAnsiTheme="minorHAnsi" w:cs="Calibri,Bold"/>
          <w:bCs/>
        </w:rPr>
        <w:footnoteReference w:id="2"/>
      </w:r>
    </w:p>
    <w:p w:rsidR="00D64C27" w:rsidRDefault="00D64C27" w:rsidP="00EA6F6C">
      <w:pPr>
        <w:pStyle w:val="Title"/>
        <w:spacing w:line="276" w:lineRule="auto"/>
      </w:pPr>
      <w:bookmarkStart w:id="21" w:name="_Toc421623432"/>
      <w:r>
        <w:t>Recommendations</w:t>
      </w:r>
      <w:bookmarkEnd w:id="21"/>
    </w:p>
    <w:p w:rsidR="007A40D3" w:rsidRDefault="007A40D3" w:rsidP="00EA6F6C">
      <w:pPr>
        <w:spacing w:line="276" w:lineRule="auto"/>
        <w:rPr>
          <w:rFonts w:asciiTheme="minorHAnsi" w:hAnsiTheme="minorHAnsi"/>
          <w:b/>
        </w:rPr>
      </w:pPr>
    </w:p>
    <w:p w:rsidR="00536B7C" w:rsidRDefault="00E75E03" w:rsidP="00EA6F6C">
      <w:pPr>
        <w:spacing w:line="276" w:lineRule="auto"/>
        <w:rPr>
          <w:rFonts w:asciiTheme="minorHAnsi" w:hAnsiTheme="minorHAnsi"/>
          <w:b/>
        </w:rPr>
      </w:pPr>
      <w:r>
        <w:rPr>
          <w:rFonts w:asciiTheme="minorHAnsi" w:hAnsiTheme="minorHAnsi"/>
          <w:b/>
        </w:rPr>
        <w:t>Recommendation</w:t>
      </w:r>
      <w:r w:rsidR="00D721D1">
        <w:rPr>
          <w:rFonts w:asciiTheme="minorHAnsi" w:hAnsiTheme="minorHAnsi"/>
          <w:b/>
        </w:rPr>
        <w:t xml:space="preserve"> 1</w:t>
      </w:r>
      <w:r w:rsidR="00FE2535">
        <w:rPr>
          <w:rFonts w:asciiTheme="minorHAnsi" w:hAnsiTheme="minorHAnsi"/>
          <w:b/>
        </w:rPr>
        <w:t>.</w:t>
      </w:r>
      <w:r w:rsidR="00205A01">
        <w:rPr>
          <w:rFonts w:asciiTheme="minorHAnsi" w:hAnsiTheme="minorHAnsi"/>
          <w:b/>
        </w:rPr>
        <w:t xml:space="preserve">  </w:t>
      </w:r>
      <w:r w:rsidR="00536B7C">
        <w:rPr>
          <w:rFonts w:asciiTheme="minorHAnsi" w:hAnsiTheme="minorHAnsi"/>
        </w:rPr>
        <w:t xml:space="preserve">That this investigation recognise that the ALRA is the high water mark of land rights legislation and provides a unique and effective model for recognising </w:t>
      </w:r>
      <w:r w:rsidR="00470376">
        <w:rPr>
          <w:rFonts w:asciiTheme="minorHAnsi" w:hAnsiTheme="minorHAnsi"/>
        </w:rPr>
        <w:t xml:space="preserve">and preserving </w:t>
      </w:r>
      <w:r w:rsidR="00536B7C">
        <w:rPr>
          <w:rFonts w:asciiTheme="minorHAnsi" w:hAnsiTheme="minorHAnsi"/>
        </w:rPr>
        <w:t>customary authority and communal ownership of land whilst also providing for development through the granting of leasehold interests.</w:t>
      </w:r>
    </w:p>
    <w:p w:rsidR="008C48D7" w:rsidRDefault="008C48D7" w:rsidP="00EA6F6C">
      <w:pPr>
        <w:spacing w:line="276" w:lineRule="auto"/>
        <w:rPr>
          <w:rFonts w:asciiTheme="minorHAnsi" w:hAnsiTheme="minorHAnsi"/>
        </w:rPr>
      </w:pPr>
    </w:p>
    <w:p w:rsidR="00FA6586" w:rsidRDefault="009E1509" w:rsidP="00EA6F6C">
      <w:pPr>
        <w:spacing w:line="276" w:lineRule="auto"/>
        <w:rPr>
          <w:rFonts w:asciiTheme="minorHAnsi" w:hAnsiTheme="minorHAnsi"/>
        </w:rPr>
      </w:pPr>
      <w:r w:rsidRPr="009E1509">
        <w:rPr>
          <w:rFonts w:asciiTheme="minorHAnsi" w:hAnsiTheme="minorHAnsi"/>
          <w:b/>
        </w:rPr>
        <w:lastRenderedPageBreak/>
        <w:t>Recommendation</w:t>
      </w:r>
      <w:r w:rsidR="00D721D1">
        <w:rPr>
          <w:rFonts w:asciiTheme="minorHAnsi" w:hAnsiTheme="minorHAnsi"/>
          <w:b/>
        </w:rPr>
        <w:t xml:space="preserve"> 2</w:t>
      </w:r>
      <w:r w:rsidR="00FE2535">
        <w:rPr>
          <w:rFonts w:asciiTheme="minorHAnsi" w:hAnsiTheme="minorHAnsi"/>
          <w:b/>
        </w:rPr>
        <w:t>.</w:t>
      </w:r>
      <w:r w:rsidR="00205A01">
        <w:rPr>
          <w:rFonts w:asciiTheme="minorHAnsi" w:hAnsiTheme="minorHAnsi"/>
        </w:rPr>
        <w:t xml:space="preserve">  </w:t>
      </w:r>
      <w:r w:rsidR="00536B7C">
        <w:rPr>
          <w:rFonts w:asciiTheme="minorHAnsi" w:hAnsiTheme="minorHAnsi"/>
        </w:rPr>
        <w:t>T</w:t>
      </w:r>
      <w:r w:rsidR="00536B7C" w:rsidRPr="00E75E03">
        <w:rPr>
          <w:rFonts w:asciiTheme="minorHAnsi" w:hAnsiTheme="minorHAnsi"/>
        </w:rPr>
        <w:t>hat</w:t>
      </w:r>
      <w:r w:rsidR="00536B7C" w:rsidRPr="009E1509">
        <w:rPr>
          <w:rFonts w:asciiTheme="minorHAnsi" w:hAnsiTheme="minorHAnsi"/>
        </w:rPr>
        <w:t xml:space="preserve"> </w:t>
      </w:r>
      <w:r w:rsidR="00536B7C">
        <w:rPr>
          <w:rFonts w:asciiTheme="minorHAnsi" w:hAnsiTheme="minorHAnsi"/>
        </w:rPr>
        <w:t xml:space="preserve">the ALRA and other </w:t>
      </w:r>
      <w:r w:rsidR="00536B7C" w:rsidRPr="009E1509">
        <w:rPr>
          <w:rFonts w:asciiTheme="minorHAnsi" w:hAnsiTheme="minorHAnsi"/>
        </w:rPr>
        <w:t>Indigenous land and native title legislation</w:t>
      </w:r>
      <w:r w:rsidR="00536B7C">
        <w:rPr>
          <w:rFonts w:asciiTheme="minorHAnsi" w:hAnsiTheme="minorHAnsi"/>
        </w:rPr>
        <w:t xml:space="preserve">, </w:t>
      </w:r>
      <w:r w:rsidR="00536B7C" w:rsidRPr="009E1509">
        <w:rPr>
          <w:rFonts w:asciiTheme="minorHAnsi" w:hAnsiTheme="minorHAnsi"/>
        </w:rPr>
        <w:t xml:space="preserve">not be amended without the informed consent </w:t>
      </w:r>
      <w:r w:rsidR="00536B7C">
        <w:rPr>
          <w:rFonts w:asciiTheme="minorHAnsi" w:hAnsiTheme="minorHAnsi"/>
        </w:rPr>
        <w:t>of relevant Aboriginal landowners.</w:t>
      </w:r>
    </w:p>
    <w:p w:rsidR="003339F3" w:rsidRDefault="003339F3" w:rsidP="00EA6F6C">
      <w:pPr>
        <w:spacing w:line="276" w:lineRule="auto"/>
        <w:rPr>
          <w:rFonts w:asciiTheme="minorHAnsi" w:hAnsiTheme="minorHAnsi"/>
          <w:b/>
        </w:rPr>
      </w:pPr>
    </w:p>
    <w:p w:rsidR="00FA6586" w:rsidRDefault="00D721D1" w:rsidP="00EA6F6C">
      <w:pPr>
        <w:spacing w:line="276" w:lineRule="auto"/>
        <w:rPr>
          <w:rFonts w:asciiTheme="minorHAnsi" w:hAnsiTheme="minorHAnsi"/>
        </w:rPr>
      </w:pPr>
      <w:r>
        <w:rPr>
          <w:rFonts w:asciiTheme="minorHAnsi" w:hAnsiTheme="minorHAnsi"/>
          <w:b/>
        </w:rPr>
        <w:t>Recommendation 3</w:t>
      </w:r>
      <w:r w:rsidR="00FA6586" w:rsidRPr="00FA6586">
        <w:rPr>
          <w:rFonts w:asciiTheme="minorHAnsi" w:hAnsiTheme="minorHAnsi"/>
          <w:b/>
        </w:rPr>
        <w:t>.</w:t>
      </w:r>
      <w:r w:rsidR="00FA6586">
        <w:rPr>
          <w:rFonts w:asciiTheme="minorHAnsi" w:hAnsiTheme="minorHAnsi"/>
        </w:rPr>
        <w:t xml:space="preserve">  That this investigation recognise the extent to which the formalisation of leasehold interests in the CLC region has progressed, with 1954 leases consented to since June</w:t>
      </w:r>
      <w:r w:rsidR="00A0164F">
        <w:rPr>
          <w:rFonts w:asciiTheme="minorHAnsi" w:hAnsiTheme="minorHAnsi"/>
        </w:rPr>
        <w:t xml:space="preserve"> 200</w:t>
      </w:r>
      <w:r w:rsidR="00FA6586">
        <w:rPr>
          <w:rFonts w:asciiTheme="minorHAnsi" w:hAnsiTheme="minorHAnsi"/>
        </w:rPr>
        <w:t xml:space="preserve">7. </w:t>
      </w:r>
    </w:p>
    <w:p w:rsidR="001836FB" w:rsidRPr="002F2C0A" w:rsidRDefault="001836FB" w:rsidP="00EA6F6C">
      <w:pPr>
        <w:pStyle w:val="Heading1"/>
      </w:pPr>
      <w:bookmarkStart w:id="22" w:name="_Toc421270174"/>
      <w:bookmarkStart w:id="23" w:name="_Toc421445723"/>
      <w:bookmarkStart w:id="24" w:name="_Toc421447240"/>
      <w:bookmarkStart w:id="25" w:name="_Toc421623218"/>
      <w:bookmarkStart w:id="26" w:name="_Toc421623433"/>
      <w:r w:rsidRPr="002F2C0A">
        <w:t>Recommendation</w:t>
      </w:r>
      <w:r w:rsidR="007650B2">
        <w:t xml:space="preserve"> 4</w:t>
      </w:r>
      <w:r w:rsidR="00FA6586" w:rsidRPr="002F2C0A">
        <w:t>.</w:t>
      </w:r>
      <w:r w:rsidR="00225688" w:rsidRPr="002F2C0A">
        <w:t xml:space="preserve">  </w:t>
      </w:r>
      <w:r w:rsidRPr="001B2A5C">
        <w:rPr>
          <w:b w:val="0"/>
        </w:rPr>
        <w:t xml:space="preserve">That further collaborative work be undertaken to ensure that the policy settings to enable remote home ownership </w:t>
      </w:r>
      <w:r w:rsidR="0023505B" w:rsidRPr="001B2A5C">
        <w:rPr>
          <w:b w:val="0"/>
        </w:rPr>
        <w:t xml:space="preserve">are appropriate and comprehend </w:t>
      </w:r>
      <w:r w:rsidRPr="001B2A5C">
        <w:rPr>
          <w:b w:val="0"/>
        </w:rPr>
        <w:t>the behaviour of remote markets, the financial risk for purchasers, and issues relating to transferability</w:t>
      </w:r>
      <w:bookmarkEnd w:id="22"/>
      <w:r w:rsidR="0023505B" w:rsidRPr="001B2A5C">
        <w:rPr>
          <w:b w:val="0"/>
        </w:rPr>
        <w:t>.</w:t>
      </w:r>
      <w:bookmarkEnd w:id="23"/>
      <w:bookmarkEnd w:id="24"/>
      <w:bookmarkEnd w:id="25"/>
      <w:bookmarkEnd w:id="26"/>
    </w:p>
    <w:p w:rsidR="00D721D1" w:rsidRDefault="00D721D1" w:rsidP="00D721D1">
      <w:pPr>
        <w:spacing w:line="276" w:lineRule="auto"/>
        <w:rPr>
          <w:rFonts w:asciiTheme="minorHAnsi" w:hAnsiTheme="minorHAnsi"/>
        </w:rPr>
      </w:pPr>
      <w:r w:rsidRPr="008C6601">
        <w:rPr>
          <w:rFonts w:asciiTheme="minorHAnsi" w:hAnsiTheme="minorHAnsi"/>
          <w:b/>
        </w:rPr>
        <w:t>Recommendation</w:t>
      </w:r>
      <w:r w:rsidR="007650B2">
        <w:rPr>
          <w:rFonts w:asciiTheme="minorHAnsi" w:hAnsiTheme="minorHAnsi"/>
          <w:b/>
        </w:rPr>
        <w:t xml:space="preserve"> 5</w:t>
      </w:r>
      <w:r>
        <w:rPr>
          <w:rFonts w:asciiTheme="minorHAnsi" w:hAnsiTheme="minorHAnsi"/>
          <w:b/>
        </w:rPr>
        <w:t>.</w:t>
      </w:r>
      <w:r w:rsidRPr="008C6601">
        <w:rPr>
          <w:rFonts w:asciiTheme="minorHAnsi" w:hAnsiTheme="minorHAnsi"/>
          <w:b/>
        </w:rPr>
        <w:t xml:space="preserve"> </w:t>
      </w:r>
      <w:r>
        <w:rPr>
          <w:rFonts w:asciiTheme="minorHAnsi" w:hAnsiTheme="minorHAnsi"/>
        </w:rPr>
        <w:t xml:space="preserve"> That the Australian, State and Territory governments work with Aboriginal landowners and their representative organisations to develop a comprehensive and consistent Aboriginal land tenure policy relevant to their jurisdiction.</w:t>
      </w:r>
    </w:p>
    <w:p w:rsidR="008C48D7" w:rsidRDefault="008C48D7" w:rsidP="00EA6F6C">
      <w:pPr>
        <w:spacing w:line="276" w:lineRule="auto"/>
        <w:rPr>
          <w:rFonts w:asciiTheme="minorHAnsi" w:hAnsiTheme="minorHAnsi"/>
          <w:b/>
        </w:rPr>
      </w:pPr>
    </w:p>
    <w:p w:rsidR="00205A01" w:rsidRPr="00205A01" w:rsidRDefault="00205A01" w:rsidP="00EA6F6C">
      <w:pPr>
        <w:spacing w:line="276" w:lineRule="auto"/>
        <w:rPr>
          <w:rFonts w:asciiTheme="minorHAnsi" w:hAnsiTheme="minorHAnsi"/>
        </w:rPr>
      </w:pPr>
      <w:r w:rsidRPr="00D4292E">
        <w:rPr>
          <w:rFonts w:asciiTheme="minorHAnsi" w:hAnsiTheme="minorHAnsi"/>
          <w:b/>
        </w:rPr>
        <w:t>Recommendation</w:t>
      </w:r>
      <w:r w:rsidR="007650B2">
        <w:rPr>
          <w:rFonts w:asciiTheme="minorHAnsi" w:hAnsiTheme="minorHAnsi"/>
          <w:b/>
        </w:rPr>
        <w:t xml:space="preserve"> 6</w:t>
      </w:r>
      <w:r w:rsidR="00FA6586">
        <w:rPr>
          <w:rFonts w:asciiTheme="minorHAnsi" w:hAnsiTheme="minorHAnsi"/>
          <w:b/>
        </w:rPr>
        <w:t>.</w:t>
      </w:r>
      <w:r w:rsidR="0006404F">
        <w:rPr>
          <w:rFonts w:asciiTheme="minorHAnsi" w:hAnsiTheme="minorHAnsi"/>
          <w:b/>
        </w:rPr>
        <w:t xml:space="preserve"> </w:t>
      </w:r>
      <w:r>
        <w:rPr>
          <w:rFonts w:asciiTheme="minorHAnsi" w:hAnsiTheme="minorHAnsi"/>
          <w:b/>
        </w:rPr>
        <w:t xml:space="preserve"> </w:t>
      </w:r>
      <w:r w:rsidR="0006404F">
        <w:rPr>
          <w:rFonts w:asciiTheme="minorHAnsi" w:hAnsiTheme="minorHAnsi"/>
        </w:rPr>
        <w:t xml:space="preserve">That resources continue to be invested in </w:t>
      </w:r>
      <w:r w:rsidRPr="00205A01">
        <w:rPr>
          <w:rFonts w:asciiTheme="minorHAnsi" w:hAnsiTheme="minorHAnsi"/>
        </w:rPr>
        <w:t>land administration institutional infrastructure as a precursor to development.</w:t>
      </w:r>
      <w:r w:rsidR="00A65734">
        <w:rPr>
          <w:rFonts w:asciiTheme="minorHAnsi" w:hAnsiTheme="minorHAnsi"/>
        </w:rPr>
        <w:t xml:space="preserve">  In the NT</w:t>
      </w:r>
      <w:r w:rsidR="002F2C0A">
        <w:rPr>
          <w:rFonts w:asciiTheme="minorHAnsi" w:hAnsiTheme="minorHAnsi"/>
        </w:rPr>
        <w:t>,</w:t>
      </w:r>
      <w:r w:rsidR="00A65734">
        <w:rPr>
          <w:rFonts w:asciiTheme="minorHAnsi" w:hAnsiTheme="minorHAnsi"/>
        </w:rPr>
        <w:t xml:space="preserve"> surveys should now be undertaken on potential areas of new development in large communities.</w:t>
      </w:r>
    </w:p>
    <w:p w:rsidR="00205A01" w:rsidRDefault="00205A01" w:rsidP="00EA6F6C">
      <w:pPr>
        <w:spacing w:line="276" w:lineRule="auto"/>
        <w:rPr>
          <w:rFonts w:asciiTheme="minorHAnsi" w:hAnsiTheme="minorHAnsi"/>
          <w:b/>
        </w:rPr>
      </w:pPr>
    </w:p>
    <w:p w:rsidR="00D64C27" w:rsidRDefault="00D64C27" w:rsidP="00EA6F6C">
      <w:pPr>
        <w:spacing w:line="276" w:lineRule="auto"/>
        <w:rPr>
          <w:rFonts w:asciiTheme="minorHAnsi" w:hAnsiTheme="minorHAnsi"/>
        </w:rPr>
      </w:pPr>
      <w:r w:rsidRPr="00BB770E">
        <w:rPr>
          <w:rFonts w:asciiTheme="minorHAnsi" w:hAnsiTheme="minorHAnsi"/>
          <w:b/>
        </w:rPr>
        <w:t>Recommendation</w:t>
      </w:r>
      <w:r w:rsidR="007650B2">
        <w:rPr>
          <w:rFonts w:asciiTheme="minorHAnsi" w:hAnsiTheme="minorHAnsi"/>
          <w:b/>
        </w:rPr>
        <w:t xml:space="preserve"> 7</w:t>
      </w:r>
      <w:r w:rsidR="00A65734">
        <w:rPr>
          <w:rFonts w:asciiTheme="minorHAnsi" w:hAnsiTheme="minorHAnsi"/>
          <w:b/>
        </w:rPr>
        <w:t>.</w:t>
      </w:r>
      <w:r w:rsidR="00225688">
        <w:rPr>
          <w:rFonts w:asciiTheme="minorHAnsi" w:hAnsiTheme="minorHAnsi"/>
          <w:b/>
        </w:rPr>
        <w:t xml:space="preserve"> </w:t>
      </w:r>
      <w:r>
        <w:rPr>
          <w:rFonts w:asciiTheme="minorHAnsi" w:hAnsiTheme="minorHAnsi"/>
        </w:rPr>
        <w:t xml:space="preserve">That </w:t>
      </w:r>
      <w:r w:rsidR="00E75E03">
        <w:rPr>
          <w:rFonts w:asciiTheme="minorHAnsi" w:hAnsiTheme="minorHAnsi"/>
        </w:rPr>
        <w:t xml:space="preserve">the Australian Government respond to the </w:t>
      </w:r>
      <w:r>
        <w:rPr>
          <w:rFonts w:asciiTheme="minorHAnsi" w:hAnsiTheme="minorHAnsi"/>
        </w:rPr>
        <w:t>investment recommendations made in the Infrastructure Australia Audit of North Australia (2015) and the report of the joint Select Committee on Northern Australia (2014).</w:t>
      </w:r>
    </w:p>
    <w:p w:rsidR="008C48D7" w:rsidRDefault="008C48D7" w:rsidP="00EA6F6C">
      <w:pPr>
        <w:spacing w:line="276" w:lineRule="auto"/>
        <w:rPr>
          <w:rFonts w:asciiTheme="minorHAnsi" w:hAnsiTheme="minorHAnsi"/>
        </w:rPr>
      </w:pPr>
    </w:p>
    <w:p w:rsidR="00E75E03" w:rsidRPr="00EE0D2F" w:rsidRDefault="00E75E03" w:rsidP="00EA6F6C">
      <w:pPr>
        <w:spacing w:line="276" w:lineRule="auto"/>
        <w:rPr>
          <w:rFonts w:asciiTheme="minorHAnsi" w:hAnsiTheme="minorHAnsi"/>
        </w:rPr>
      </w:pPr>
      <w:r w:rsidRPr="00EE0D2F">
        <w:rPr>
          <w:rFonts w:asciiTheme="minorHAnsi" w:hAnsiTheme="minorHAnsi"/>
          <w:b/>
        </w:rPr>
        <w:t>Recommendation</w:t>
      </w:r>
      <w:r w:rsidR="007650B2">
        <w:rPr>
          <w:rFonts w:asciiTheme="minorHAnsi" w:hAnsiTheme="minorHAnsi"/>
          <w:b/>
        </w:rPr>
        <w:t xml:space="preserve"> 8</w:t>
      </w:r>
      <w:r w:rsidR="00A65734">
        <w:rPr>
          <w:rFonts w:asciiTheme="minorHAnsi" w:hAnsiTheme="minorHAnsi"/>
          <w:b/>
        </w:rPr>
        <w:t xml:space="preserve">. </w:t>
      </w:r>
      <w:r>
        <w:rPr>
          <w:rFonts w:asciiTheme="minorHAnsi" w:hAnsiTheme="minorHAnsi"/>
        </w:rPr>
        <w:t>That the Australian Government ensure that Aborigin</w:t>
      </w:r>
      <w:r w:rsidR="00E01C79">
        <w:rPr>
          <w:rFonts w:asciiTheme="minorHAnsi" w:hAnsiTheme="minorHAnsi"/>
        </w:rPr>
        <w:t>al development proposals are</w:t>
      </w:r>
      <w:r>
        <w:rPr>
          <w:rFonts w:asciiTheme="minorHAnsi" w:hAnsiTheme="minorHAnsi"/>
        </w:rPr>
        <w:t xml:space="preserve"> considered a high priority for access to the recently announced North Australian loan facility, and that all </w:t>
      </w:r>
      <w:r w:rsidR="00E01C79">
        <w:rPr>
          <w:rFonts w:asciiTheme="minorHAnsi" w:hAnsiTheme="minorHAnsi"/>
        </w:rPr>
        <w:t>development loan applications are</w:t>
      </w:r>
      <w:r>
        <w:rPr>
          <w:rFonts w:asciiTheme="minorHAnsi" w:hAnsiTheme="minorHAnsi"/>
        </w:rPr>
        <w:t xml:space="preserve"> required to detail how the infrastructure proposal will benefit Aboriginal landowners and communities.   </w:t>
      </w:r>
    </w:p>
    <w:p w:rsidR="00D64C27" w:rsidRDefault="00D64C27" w:rsidP="00EA6F6C">
      <w:pPr>
        <w:spacing w:line="276" w:lineRule="auto"/>
        <w:rPr>
          <w:rFonts w:asciiTheme="minorHAnsi" w:hAnsiTheme="minorHAnsi"/>
        </w:rPr>
      </w:pPr>
    </w:p>
    <w:p w:rsidR="0033360A" w:rsidRPr="0091080B" w:rsidRDefault="007650B2" w:rsidP="0033360A">
      <w:pPr>
        <w:spacing w:line="276" w:lineRule="auto"/>
        <w:rPr>
          <w:rFonts w:asciiTheme="minorHAnsi" w:hAnsiTheme="minorHAnsi"/>
          <w:b/>
        </w:rPr>
      </w:pPr>
      <w:r>
        <w:rPr>
          <w:rFonts w:asciiTheme="minorHAnsi" w:hAnsiTheme="minorHAnsi"/>
          <w:b/>
        </w:rPr>
        <w:t>Recommendation 9</w:t>
      </w:r>
      <w:r w:rsidR="0033360A" w:rsidRPr="0091080B">
        <w:rPr>
          <w:rFonts w:asciiTheme="minorHAnsi" w:hAnsiTheme="minorHAnsi"/>
          <w:b/>
        </w:rPr>
        <w:t xml:space="preserve">.  </w:t>
      </w:r>
      <w:r w:rsidR="0033360A" w:rsidRPr="0033360A">
        <w:rPr>
          <w:rFonts w:asciiTheme="minorHAnsi" w:hAnsiTheme="minorHAnsi"/>
        </w:rPr>
        <w:t>That further work be undertaken to investigate options for more innovative and targeted financial products to support development on Aboriginal land, including government guarantees and specific loan products.</w:t>
      </w:r>
    </w:p>
    <w:p w:rsidR="0033360A" w:rsidRDefault="0033360A" w:rsidP="0033360A">
      <w:pPr>
        <w:spacing w:line="276" w:lineRule="auto"/>
        <w:rPr>
          <w:rFonts w:asciiTheme="minorHAnsi" w:hAnsiTheme="minorHAnsi"/>
          <w:b/>
        </w:rPr>
      </w:pPr>
    </w:p>
    <w:p w:rsidR="0033360A" w:rsidRPr="00C472FF" w:rsidRDefault="0033360A" w:rsidP="0033360A">
      <w:pPr>
        <w:spacing w:line="276" w:lineRule="auto"/>
        <w:rPr>
          <w:rFonts w:asciiTheme="minorHAnsi" w:hAnsiTheme="minorHAnsi"/>
        </w:rPr>
      </w:pPr>
      <w:r>
        <w:rPr>
          <w:rFonts w:asciiTheme="minorHAnsi" w:hAnsiTheme="minorHAnsi"/>
          <w:b/>
        </w:rPr>
        <w:t>Recommendation 1</w:t>
      </w:r>
      <w:r w:rsidR="007650B2">
        <w:rPr>
          <w:rFonts w:asciiTheme="minorHAnsi" w:hAnsiTheme="minorHAnsi"/>
          <w:b/>
        </w:rPr>
        <w:t>0</w:t>
      </w:r>
      <w:r>
        <w:rPr>
          <w:rFonts w:asciiTheme="minorHAnsi" w:hAnsiTheme="minorHAnsi"/>
          <w:b/>
        </w:rPr>
        <w:t xml:space="preserve">.  </w:t>
      </w:r>
      <w:r w:rsidRPr="0033360A">
        <w:rPr>
          <w:rFonts w:asciiTheme="minorHAnsi" w:hAnsiTheme="minorHAnsi"/>
        </w:rPr>
        <w:t>That remote housing policies reflect that fact that private home ownership will not be a solution to remote housing shortages and continued investment in public housing over the next decade will be required to reduce overcrowding.</w:t>
      </w:r>
    </w:p>
    <w:p w:rsidR="0033360A" w:rsidRDefault="0033360A" w:rsidP="00EA6F6C">
      <w:pPr>
        <w:spacing w:line="276" w:lineRule="auto"/>
        <w:rPr>
          <w:rFonts w:asciiTheme="minorHAnsi" w:hAnsiTheme="minorHAnsi"/>
          <w:b/>
        </w:rPr>
      </w:pPr>
    </w:p>
    <w:p w:rsidR="00D64C27" w:rsidRDefault="00D64C27" w:rsidP="00EA6F6C">
      <w:pPr>
        <w:spacing w:line="276" w:lineRule="auto"/>
        <w:rPr>
          <w:rFonts w:asciiTheme="minorHAnsi" w:hAnsiTheme="minorHAnsi"/>
        </w:rPr>
      </w:pPr>
      <w:r w:rsidRPr="00BB770E">
        <w:rPr>
          <w:rFonts w:asciiTheme="minorHAnsi" w:hAnsiTheme="minorHAnsi"/>
          <w:b/>
        </w:rPr>
        <w:t>Recommendation</w:t>
      </w:r>
      <w:r w:rsidR="007650B2">
        <w:rPr>
          <w:rFonts w:asciiTheme="minorHAnsi" w:hAnsiTheme="minorHAnsi"/>
          <w:b/>
        </w:rPr>
        <w:t xml:space="preserve"> 11</w:t>
      </w:r>
      <w:r w:rsidR="00FA6586">
        <w:rPr>
          <w:rFonts w:asciiTheme="minorHAnsi" w:hAnsiTheme="minorHAnsi"/>
          <w:b/>
        </w:rPr>
        <w:t>.</w:t>
      </w:r>
      <w:r w:rsidRPr="00BB770E">
        <w:rPr>
          <w:rFonts w:asciiTheme="minorHAnsi" w:hAnsiTheme="minorHAnsi"/>
          <w:b/>
        </w:rPr>
        <w:t xml:space="preserve"> </w:t>
      </w:r>
      <w:r>
        <w:rPr>
          <w:rFonts w:asciiTheme="minorHAnsi" w:hAnsiTheme="minorHAnsi"/>
        </w:rPr>
        <w:t xml:space="preserve"> That the Australian Government recognise that s.19A township leasing to an arm of government (EDTL) is not the preferred approach to tenure reform in central Australia, and work cooperatively with Aboriginal land owners to progress an alternative model whereby a whole of community lease may be held by an Aboriginal community corporation.</w:t>
      </w:r>
    </w:p>
    <w:p w:rsidR="00D64C27" w:rsidRDefault="00D64C27" w:rsidP="00EA6F6C">
      <w:pPr>
        <w:spacing w:line="276" w:lineRule="auto"/>
        <w:rPr>
          <w:rFonts w:asciiTheme="minorHAnsi" w:hAnsiTheme="minorHAnsi"/>
        </w:rPr>
      </w:pPr>
    </w:p>
    <w:p w:rsidR="00D64C27" w:rsidRDefault="00E75E03" w:rsidP="00EA6F6C">
      <w:pPr>
        <w:spacing w:line="276" w:lineRule="auto"/>
        <w:rPr>
          <w:rFonts w:asciiTheme="minorHAnsi" w:hAnsiTheme="minorHAnsi"/>
        </w:rPr>
      </w:pPr>
      <w:r>
        <w:rPr>
          <w:rFonts w:asciiTheme="minorHAnsi" w:hAnsiTheme="minorHAnsi"/>
          <w:b/>
        </w:rPr>
        <w:t>Recommendation</w:t>
      </w:r>
      <w:r w:rsidR="007650B2">
        <w:rPr>
          <w:rFonts w:asciiTheme="minorHAnsi" w:hAnsiTheme="minorHAnsi"/>
          <w:b/>
        </w:rPr>
        <w:t xml:space="preserve"> 12</w:t>
      </w:r>
      <w:r w:rsidR="00F550BF">
        <w:rPr>
          <w:rFonts w:asciiTheme="minorHAnsi" w:hAnsiTheme="minorHAnsi"/>
          <w:b/>
        </w:rPr>
        <w:t>.</w:t>
      </w:r>
      <w:r w:rsidR="00D64C27">
        <w:rPr>
          <w:rFonts w:asciiTheme="minorHAnsi" w:hAnsiTheme="minorHAnsi"/>
        </w:rPr>
        <w:t xml:space="preserve"> That the Australian Government review the incentives currently offered to communities and traditional owners encouraging consent to a township lease to the EDTL, and ensure these are applied equitably to an alternative community corporation model.  This should include legislative exem</w:t>
      </w:r>
      <w:r w:rsidR="00F550BF">
        <w:rPr>
          <w:rFonts w:asciiTheme="minorHAnsi" w:hAnsiTheme="minorHAnsi"/>
        </w:rPr>
        <w:t>ptions an</w:t>
      </w:r>
      <w:r w:rsidR="00C4580D">
        <w:rPr>
          <w:rFonts w:asciiTheme="minorHAnsi" w:hAnsiTheme="minorHAnsi"/>
        </w:rPr>
        <w:t>d</w:t>
      </w:r>
      <w:r w:rsidR="00F550BF">
        <w:rPr>
          <w:rFonts w:asciiTheme="minorHAnsi" w:hAnsiTheme="minorHAnsi"/>
        </w:rPr>
        <w:t xml:space="preserve"> financial incentives.</w:t>
      </w:r>
    </w:p>
    <w:p w:rsidR="00D64C27" w:rsidRDefault="00D64C27" w:rsidP="00EA6F6C">
      <w:pPr>
        <w:spacing w:line="276" w:lineRule="auto"/>
        <w:rPr>
          <w:rFonts w:asciiTheme="minorHAnsi" w:hAnsiTheme="minorHAnsi"/>
        </w:rPr>
      </w:pPr>
    </w:p>
    <w:p w:rsidR="00AA0689" w:rsidRDefault="00C84974" w:rsidP="00EA6F6C">
      <w:pPr>
        <w:spacing w:line="276" w:lineRule="auto"/>
        <w:rPr>
          <w:rFonts w:asciiTheme="minorHAnsi" w:hAnsiTheme="minorHAnsi"/>
        </w:rPr>
      </w:pPr>
      <w:r w:rsidRPr="00225688">
        <w:rPr>
          <w:rFonts w:asciiTheme="minorHAnsi" w:hAnsiTheme="minorHAnsi"/>
          <w:b/>
        </w:rPr>
        <w:t>Recommendation</w:t>
      </w:r>
      <w:r w:rsidR="007650B2">
        <w:rPr>
          <w:rFonts w:asciiTheme="minorHAnsi" w:hAnsiTheme="minorHAnsi"/>
          <w:b/>
        </w:rPr>
        <w:t xml:space="preserve"> 13</w:t>
      </w:r>
      <w:r w:rsidR="00F550BF">
        <w:rPr>
          <w:rFonts w:asciiTheme="minorHAnsi" w:hAnsiTheme="minorHAnsi"/>
          <w:b/>
        </w:rPr>
        <w:t>.</w:t>
      </w:r>
      <w:r>
        <w:rPr>
          <w:rFonts w:asciiTheme="minorHAnsi" w:hAnsiTheme="minorHAnsi"/>
        </w:rPr>
        <w:t xml:space="preserve"> That the Australian Government recognise that programs supporting Aboriginal governance</w:t>
      </w:r>
      <w:r w:rsidR="009F2C5E">
        <w:rPr>
          <w:rFonts w:asciiTheme="minorHAnsi" w:hAnsiTheme="minorHAnsi"/>
        </w:rPr>
        <w:t xml:space="preserve"> and capacity building</w:t>
      </w:r>
      <w:r>
        <w:rPr>
          <w:rFonts w:asciiTheme="minorHAnsi" w:hAnsiTheme="minorHAnsi"/>
        </w:rPr>
        <w:t xml:space="preserve"> are critical to ensuring future social, cultural and economic development and governance development should be added to the five prior</w:t>
      </w:r>
      <w:r w:rsidR="008C48D7">
        <w:rPr>
          <w:rFonts w:asciiTheme="minorHAnsi" w:hAnsiTheme="minorHAnsi"/>
        </w:rPr>
        <w:t>ity funding areas under the IAS.</w:t>
      </w:r>
    </w:p>
    <w:p w:rsidR="00536B7C" w:rsidRPr="008C48D7" w:rsidRDefault="00536B7C" w:rsidP="00EA6F6C">
      <w:pPr>
        <w:spacing w:line="276" w:lineRule="auto"/>
        <w:rPr>
          <w:rFonts w:asciiTheme="minorHAnsi" w:hAnsiTheme="minorHAnsi"/>
        </w:rPr>
      </w:pPr>
    </w:p>
    <w:p w:rsidR="00235C28" w:rsidRPr="008D1A6D" w:rsidRDefault="00106A53" w:rsidP="00EA6F6C">
      <w:pPr>
        <w:pStyle w:val="Title"/>
        <w:spacing w:line="276" w:lineRule="auto"/>
        <w:rPr>
          <w:rFonts w:asciiTheme="minorHAnsi" w:hAnsiTheme="minorHAnsi"/>
        </w:rPr>
      </w:pPr>
      <w:bookmarkStart w:id="27" w:name="_Toc421623434"/>
      <w:r>
        <w:t>Introduction</w:t>
      </w:r>
      <w:r w:rsidR="005108E6">
        <w:t xml:space="preserve"> and Context</w:t>
      </w:r>
      <w:bookmarkEnd w:id="27"/>
    </w:p>
    <w:p w:rsidR="008C48D7" w:rsidRDefault="00106A53" w:rsidP="00EA6F6C">
      <w:pPr>
        <w:autoSpaceDE w:val="0"/>
        <w:autoSpaceDN w:val="0"/>
        <w:adjustRightInd w:val="0"/>
        <w:spacing w:line="276" w:lineRule="auto"/>
        <w:rPr>
          <w:rFonts w:asciiTheme="minorHAnsi" w:hAnsiTheme="minorHAnsi"/>
        </w:rPr>
      </w:pPr>
      <w:r w:rsidRPr="008D1A6D">
        <w:rPr>
          <w:rFonts w:asciiTheme="minorHAnsi" w:hAnsiTheme="minorHAnsi"/>
        </w:rPr>
        <w:t xml:space="preserve">The Central Land Council (CLC) welcomes this opportunity to provide a submission to the </w:t>
      </w:r>
      <w:r w:rsidR="008A5790">
        <w:rPr>
          <w:rFonts w:asciiTheme="minorHAnsi" w:hAnsiTheme="minorHAnsi"/>
        </w:rPr>
        <w:t>Indigenous Expert W</w:t>
      </w:r>
      <w:r w:rsidR="00A775B1">
        <w:rPr>
          <w:rFonts w:asciiTheme="minorHAnsi" w:hAnsiTheme="minorHAnsi"/>
        </w:rPr>
        <w:t xml:space="preserve">orking Group providing advice to the </w:t>
      </w:r>
      <w:r w:rsidRPr="008D1A6D">
        <w:rPr>
          <w:rFonts w:asciiTheme="minorHAnsi" w:hAnsiTheme="minorHAnsi"/>
        </w:rPr>
        <w:t xml:space="preserve">COAG Inquiry into </w:t>
      </w:r>
      <w:r w:rsidRPr="008D1A6D">
        <w:rPr>
          <w:rFonts w:asciiTheme="minorHAnsi" w:hAnsiTheme="minorHAnsi"/>
          <w:color w:val="1E1E1E"/>
          <w:spacing w:val="5"/>
          <w:lang w:val="en"/>
        </w:rPr>
        <w:t>Indigenous land administration and use</w:t>
      </w:r>
      <w:r w:rsidR="008D1A6D" w:rsidRPr="008D1A6D">
        <w:rPr>
          <w:rFonts w:asciiTheme="minorHAnsi" w:hAnsiTheme="minorHAnsi"/>
        </w:rPr>
        <w:t xml:space="preserve">. </w:t>
      </w:r>
    </w:p>
    <w:p w:rsidR="008C48D7" w:rsidRDefault="008C48D7" w:rsidP="00EA6F6C">
      <w:pPr>
        <w:autoSpaceDE w:val="0"/>
        <w:autoSpaceDN w:val="0"/>
        <w:adjustRightInd w:val="0"/>
        <w:spacing w:line="276" w:lineRule="auto"/>
        <w:rPr>
          <w:rFonts w:asciiTheme="minorHAnsi" w:hAnsiTheme="minorHAnsi"/>
        </w:rPr>
      </w:pPr>
    </w:p>
    <w:p w:rsidR="008D1A6D" w:rsidRPr="00A775B1" w:rsidRDefault="00D201A3" w:rsidP="00EA6F6C">
      <w:pPr>
        <w:autoSpaceDE w:val="0"/>
        <w:autoSpaceDN w:val="0"/>
        <w:adjustRightInd w:val="0"/>
        <w:spacing w:line="276" w:lineRule="auto"/>
        <w:rPr>
          <w:rFonts w:asciiTheme="minorHAnsi" w:hAnsiTheme="minorHAnsi"/>
          <w:i/>
          <w:iCs/>
        </w:rPr>
      </w:pPr>
      <w:r>
        <w:rPr>
          <w:rFonts w:asciiTheme="minorHAnsi" w:hAnsiTheme="minorHAnsi"/>
        </w:rPr>
        <w:t>The CLC</w:t>
      </w:r>
      <w:r w:rsidR="008D1A6D" w:rsidRPr="008D1A6D">
        <w:rPr>
          <w:rFonts w:asciiTheme="minorHAnsi" w:hAnsiTheme="minorHAnsi"/>
        </w:rPr>
        <w:t xml:space="preserve"> is a statutory authority established under the </w:t>
      </w:r>
      <w:r w:rsidR="008D1A6D" w:rsidRPr="008D1A6D">
        <w:rPr>
          <w:rFonts w:asciiTheme="minorHAnsi" w:hAnsiTheme="minorHAnsi"/>
          <w:i/>
          <w:iCs/>
        </w:rPr>
        <w:t>Aboriginal</w:t>
      </w:r>
      <w:r w:rsidR="00A775B1">
        <w:rPr>
          <w:rFonts w:asciiTheme="minorHAnsi" w:hAnsiTheme="minorHAnsi"/>
          <w:i/>
          <w:iCs/>
        </w:rPr>
        <w:t xml:space="preserve"> </w:t>
      </w:r>
      <w:r w:rsidR="008D1A6D" w:rsidRPr="008D1A6D">
        <w:rPr>
          <w:rFonts w:asciiTheme="minorHAnsi" w:hAnsiTheme="minorHAnsi"/>
          <w:i/>
          <w:iCs/>
        </w:rPr>
        <w:t xml:space="preserve">Land Rights (Northern Territory) Act 1976 </w:t>
      </w:r>
      <w:r w:rsidR="008D1A6D" w:rsidRPr="008D1A6D">
        <w:rPr>
          <w:rFonts w:asciiTheme="minorHAnsi" w:hAnsiTheme="minorHAnsi"/>
        </w:rPr>
        <w:t>(‘ALRA’). Among</w:t>
      </w:r>
      <w:r w:rsidR="00AA0689">
        <w:rPr>
          <w:rFonts w:asciiTheme="minorHAnsi" w:hAnsiTheme="minorHAnsi"/>
        </w:rPr>
        <w:t>st</w:t>
      </w:r>
      <w:r w:rsidR="008D1A6D" w:rsidRPr="008D1A6D">
        <w:rPr>
          <w:rFonts w:asciiTheme="minorHAnsi" w:hAnsiTheme="minorHAnsi"/>
        </w:rPr>
        <w:t xml:space="preserve"> other functions, it has statutory responsibilities for Aboriginal land acquisition and land management over an area of </w:t>
      </w:r>
      <w:r w:rsidR="00AA0689">
        <w:rPr>
          <w:rFonts w:asciiTheme="minorHAnsi" w:hAnsiTheme="minorHAnsi"/>
        </w:rPr>
        <w:t>approximately 780,000 km² covering</w:t>
      </w:r>
      <w:r w:rsidR="008D1A6D" w:rsidRPr="008D1A6D">
        <w:rPr>
          <w:rFonts w:asciiTheme="minorHAnsi" w:hAnsiTheme="minorHAnsi"/>
        </w:rPr>
        <w:t xml:space="preserve"> the southern portion of the Northern Territory. The CLC is also a Native Title Representative Body established under the </w:t>
      </w:r>
      <w:r w:rsidR="008D1A6D" w:rsidRPr="008D1A6D">
        <w:rPr>
          <w:rFonts w:asciiTheme="minorHAnsi" w:hAnsiTheme="minorHAnsi"/>
          <w:i/>
          <w:iCs/>
        </w:rPr>
        <w:t xml:space="preserve">Native Title Act 1993 </w:t>
      </w:r>
      <w:r w:rsidR="008D1A6D" w:rsidRPr="008D1A6D">
        <w:rPr>
          <w:rFonts w:asciiTheme="minorHAnsi" w:hAnsiTheme="minorHAnsi"/>
        </w:rPr>
        <w:t>(‘NTA’). Through its elected representative Council of 90 community delegates the CLC continues to represent the aspirations and interests of approximately 17,500 traditional landowners and other Aboriginal people resident in its region, on a wide range of land-based and socio-political issues</w:t>
      </w:r>
      <w:r w:rsidR="00AA0689">
        <w:rPr>
          <w:rFonts w:asciiTheme="minorHAnsi" w:hAnsiTheme="minorHAnsi"/>
        </w:rPr>
        <w:t>.</w:t>
      </w:r>
    </w:p>
    <w:p w:rsidR="008D1A6D" w:rsidRPr="008D1A6D" w:rsidRDefault="008D1A6D" w:rsidP="00EA6F6C">
      <w:pPr>
        <w:autoSpaceDE w:val="0"/>
        <w:autoSpaceDN w:val="0"/>
        <w:adjustRightInd w:val="0"/>
        <w:spacing w:line="276" w:lineRule="auto"/>
        <w:rPr>
          <w:rFonts w:asciiTheme="minorHAnsi" w:hAnsiTheme="minorHAnsi"/>
        </w:rPr>
      </w:pPr>
    </w:p>
    <w:p w:rsidR="00AA0689" w:rsidRPr="008C48D7" w:rsidRDefault="008D1A6D" w:rsidP="008C48D7">
      <w:pPr>
        <w:autoSpaceDE w:val="0"/>
        <w:autoSpaceDN w:val="0"/>
        <w:adjustRightInd w:val="0"/>
        <w:spacing w:line="276" w:lineRule="auto"/>
        <w:rPr>
          <w:rFonts w:asciiTheme="minorHAnsi" w:hAnsiTheme="minorHAnsi"/>
        </w:rPr>
      </w:pPr>
      <w:r w:rsidRPr="008D1A6D">
        <w:rPr>
          <w:rFonts w:asciiTheme="minorHAnsi" w:hAnsiTheme="minorHAnsi"/>
        </w:rPr>
        <w:t>The CLC aims to improve the lives and futures of it</w:t>
      </w:r>
      <w:r w:rsidR="002F0449">
        <w:rPr>
          <w:rFonts w:asciiTheme="minorHAnsi" w:hAnsiTheme="minorHAnsi"/>
        </w:rPr>
        <w:t xml:space="preserve">s Aboriginal constituents </w:t>
      </w:r>
      <w:r w:rsidRPr="008D1A6D">
        <w:rPr>
          <w:rFonts w:asciiTheme="minorHAnsi" w:hAnsiTheme="minorHAnsi"/>
        </w:rPr>
        <w:t>through sustainable development and change. The CLC’s approach to sustainable development is based on an integrated and strengths-based strategy of building economic, social and cultural capital. Significant work is being done under the various functions of the CLC in each of these related ar</w:t>
      </w:r>
      <w:r w:rsidR="008C48D7">
        <w:rPr>
          <w:rFonts w:asciiTheme="minorHAnsi" w:hAnsiTheme="minorHAnsi"/>
        </w:rPr>
        <w:t>eas through initiatives in</w:t>
      </w:r>
      <w:r w:rsidR="002F0449">
        <w:rPr>
          <w:rFonts w:asciiTheme="minorHAnsi" w:hAnsiTheme="minorHAnsi"/>
        </w:rPr>
        <w:t>:</w:t>
      </w:r>
      <w:r w:rsidR="008C48D7">
        <w:rPr>
          <w:rFonts w:asciiTheme="minorHAnsi" w:hAnsiTheme="minorHAnsi"/>
        </w:rPr>
        <w:t xml:space="preserve"> </w:t>
      </w:r>
      <w:r w:rsidRPr="008C48D7">
        <w:rPr>
          <w:rFonts w:asciiTheme="minorHAnsi" w:hAnsiTheme="minorHAnsi"/>
        </w:rPr>
        <w:t>natural a</w:t>
      </w:r>
      <w:r w:rsidR="008C48D7">
        <w:rPr>
          <w:rFonts w:asciiTheme="minorHAnsi" w:hAnsiTheme="minorHAnsi"/>
        </w:rPr>
        <w:t>nd cultural resource management</w:t>
      </w:r>
      <w:r w:rsidR="002F0449">
        <w:rPr>
          <w:rFonts w:asciiTheme="minorHAnsi" w:hAnsiTheme="minorHAnsi"/>
        </w:rPr>
        <w:t xml:space="preserve">; </w:t>
      </w:r>
      <w:r w:rsidR="008C48D7">
        <w:rPr>
          <w:rFonts w:asciiTheme="minorHAnsi" w:hAnsiTheme="minorHAnsi"/>
        </w:rPr>
        <w:t xml:space="preserve">the development of </w:t>
      </w:r>
      <w:r w:rsidRPr="008C48D7">
        <w:rPr>
          <w:rFonts w:asciiTheme="minorHAnsi" w:hAnsiTheme="minorHAnsi"/>
        </w:rPr>
        <w:t xml:space="preserve">remote </w:t>
      </w:r>
      <w:r w:rsidR="00AA0689" w:rsidRPr="008C48D7">
        <w:rPr>
          <w:rFonts w:asciiTheme="minorHAnsi" w:hAnsiTheme="minorHAnsi"/>
        </w:rPr>
        <w:t xml:space="preserve">enterprise and </w:t>
      </w:r>
      <w:r w:rsidR="002F0449">
        <w:rPr>
          <w:rFonts w:asciiTheme="minorHAnsi" w:hAnsiTheme="minorHAnsi"/>
        </w:rPr>
        <w:t>employment pathways;</w:t>
      </w:r>
      <w:r w:rsidR="008C48D7">
        <w:rPr>
          <w:rFonts w:asciiTheme="minorHAnsi" w:hAnsiTheme="minorHAnsi"/>
        </w:rPr>
        <w:t xml:space="preserve"> </w:t>
      </w:r>
      <w:r w:rsidRPr="008C48D7">
        <w:rPr>
          <w:rFonts w:asciiTheme="minorHAnsi" w:hAnsiTheme="minorHAnsi"/>
        </w:rPr>
        <w:t>innova</w:t>
      </w:r>
      <w:r w:rsidR="00AA0689" w:rsidRPr="008C48D7">
        <w:rPr>
          <w:rFonts w:asciiTheme="minorHAnsi" w:hAnsiTheme="minorHAnsi"/>
        </w:rPr>
        <w:t>tive community development wo</w:t>
      </w:r>
      <w:r w:rsidR="00993CBF">
        <w:rPr>
          <w:rFonts w:asciiTheme="minorHAnsi" w:hAnsiTheme="minorHAnsi"/>
        </w:rPr>
        <w:t>rk, ensuring land owners use</w:t>
      </w:r>
      <w:r w:rsidR="00AA0689" w:rsidRPr="008C48D7">
        <w:rPr>
          <w:rFonts w:asciiTheme="minorHAnsi" w:hAnsiTheme="minorHAnsi"/>
        </w:rPr>
        <w:t xml:space="preserve"> income generated from land use agreeme</w:t>
      </w:r>
      <w:r w:rsidR="002F0449">
        <w:rPr>
          <w:rFonts w:asciiTheme="minorHAnsi" w:hAnsiTheme="minorHAnsi"/>
        </w:rPr>
        <w:t>nts for broad community benefit;</w:t>
      </w:r>
      <w:r w:rsidR="00AA0689" w:rsidRPr="008C48D7">
        <w:rPr>
          <w:rFonts w:asciiTheme="minorHAnsi" w:hAnsiTheme="minorHAnsi"/>
        </w:rPr>
        <w:t xml:space="preserve"> and</w:t>
      </w:r>
      <w:r w:rsidR="008C48D7">
        <w:rPr>
          <w:rFonts w:asciiTheme="minorHAnsi" w:hAnsiTheme="minorHAnsi"/>
        </w:rPr>
        <w:t xml:space="preserve"> </w:t>
      </w:r>
      <w:r w:rsidR="00AA0689" w:rsidRPr="008C48D7">
        <w:rPr>
          <w:rFonts w:asciiTheme="minorHAnsi" w:hAnsiTheme="minorHAnsi"/>
        </w:rPr>
        <w:t>land administration and land use agreements for third parties and traditional owners.</w:t>
      </w:r>
    </w:p>
    <w:p w:rsidR="00106A53" w:rsidRDefault="00106A53" w:rsidP="00EA6F6C">
      <w:pPr>
        <w:spacing w:line="276" w:lineRule="auto"/>
        <w:rPr>
          <w:rFonts w:asciiTheme="minorHAnsi" w:hAnsiTheme="minorHAnsi"/>
        </w:rPr>
      </w:pPr>
    </w:p>
    <w:p w:rsidR="006B3DCF" w:rsidRDefault="008D1A6D" w:rsidP="00EA6F6C">
      <w:pPr>
        <w:spacing w:line="276" w:lineRule="auto"/>
        <w:rPr>
          <w:rFonts w:asciiTheme="minorHAnsi" w:hAnsiTheme="minorHAnsi"/>
        </w:rPr>
      </w:pPr>
      <w:r>
        <w:rPr>
          <w:rFonts w:asciiTheme="minorHAnsi" w:hAnsiTheme="minorHAnsi"/>
        </w:rPr>
        <w:t xml:space="preserve">The CLC is both a strong Indigenous representative body and a land administrator.  </w:t>
      </w:r>
      <w:r w:rsidR="0030012C">
        <w:rPr>
          <w:rFonts w:asciiTheme="minorHAnsi" w:hAnsiTheme="minorHAnsi"/>
        </w:rPr>
        <w:t>Th</w:t>
      </w:r>
      <w:r w:rsidR="001152FE">
        <w:rPr>
          <w:rFonts w:asciiTheme="minorHAnsi" w:hAnsiTheme="minorHAnsi"/>
        </w:rPr>
        <w:t>is submission draws on the CLC’s forty years of experience</w:t>
      </w:r>
      <w:r w:rsidR="00026CA1">
        <w:rPr>
          <w:rFonts w:asciiTheme="minorHAnsi" w:hAnsiTheme="minorHAnsi"/>
        </w:rPr>
        <w:t xml:space="preserve"> </w:t>
      </w:r>
      <w:r w:rsidR="0030012C">
        <w:rPr>
          <w:rFonts w:asciiTheme="minorHAnsi" w:hAnsiTheme="minorHAnsi"/>
        </w:rPr>
        <w:t xml:space="preserve">in order to counter the considerable misinformation about the barriers to remote Indigenous economic </w:t>
      </w:r>
      <w:r w:rsidR="0030012C">
        <w:rPr>
          <w:rFonts w:asciiTheme="minorHAnsi" w:hAnsiTheme="minorHAnsi"/>
        </w:rPr>
        <w:lastRenderedPageBreak/>
        <w:t>development, demonstrate the workability of the ALRA, and to propose solutions to th</w:t>
      </w:r>
      <w:r w:rsidR="008A5790">
        <w:rPr>
          <w:rFonts w:asciiTheme="minorHAnsi" w:hAnsiTheme="minorHAnsi"/>
        </w:rPr>
        <w:t>e barriers</w:t>
      </w:r>
      <w:r w:rsidR="00753EA8">
        <w:rPr>
          <w:rFonts w:asciiTheme="minorHAnsi" w:hAnsiTheme="minorHAnsi"/>
        </w:rPr>
        <w:t xml:space="preserve"> inhibiting develop</w:t>
      </w:r>
      <w:r w:rsidR="00A775B1">
        <w:rPr>
          <w:rFonts w:asciiTheme="minorHAnsi" w:hAnsiTheme="minorHAnsi"/>
        </w:rPr>
        <w:t xml:space="preserve">ment on Aboriginal lands.   </w:t>
      </w:r>
    </w:p>
    <w:p w:rsidR="00753EA8" w:rsidRDefault="00753EA8" w:rsidP="00EA6F6C">
      <w:pPr>
        <w:spacing w:line="276" w:lineRule="auto"/>
        <w:rPr>
          <w:rFonts w:asciiTheme="minorHAnsi" w:hAnsiTheme="minorHAnsi"/>
        </w:rPr>
      </w:pPr>
    </w:p>
    <w:p w:rsidR="00147412" w:rsidRPr="00426EFB" w:rsidRDefault="00147412" w:rsidP="00EA6F6C">
      <w:pPr>
        <w:pStyle w:val="Heading1"/>
        <w:rPr>
          <w:rStyle w:val="SubtleEmphasis"/>
        </w:rPr>
      </w:pPr>
      <w:bookmarkStart w:id="28" w:name="_Toc421623435"/>
      <w:r w:rsidRPr="00426EFB">
        <w:rPr>
          <w:rStyle w:val="SubtleEmphasis"/>
        </w:rPr>
        <w:t>Land tenure in central Australia</w:t>
      </w:r>
      <w:bookmarkEnd w:id="28"/>
    </w:p>
    <w:p w:rsidR="00147412" w:rsidRDefault="00147412" w:rsidP="00EA6F6C">
      <w:pPr>
        <w:spacing w:line="276" w:lineRule="auto"/>
        <w:rPr>
          <w:rFonts w:asciiTheme="minorHAnsi" w:hAnsiTheme="minorHAnsi"/>
        </w:rPr>
      </w:pPr>
      <w:r>
        <w:rPr>
          <w:rFonts w:asciiTheme="minorHAnsi" w:hAnsiTheme="minorHAnsi"/>
        </w:rPr>
        <w:t>Pursuant to the</w:t>
      </w:r>
      <w:r w:rsidRPr="00B2380F">
        <w:rPr>
          <w:rFonts w:asciiTheme="minorHAnsi" w:hAnsiTheme="minorHAnsi"/>
        </w:rPr>
        <w:t xml:space="preserve"> ALRA more than 50% of the N</w:t>
      </w:r>
      <w:r>
        <w:rPr>
          <w:rFonts w:asciiTheme="minorHAnsi" w:hAnsiTheme="minorHAnsi"/>
        </w:rPr>
        <w:t>T</w:t>
      </w:r>
      <w:r w:rsidRPr="00B2380F">
        <w:rPr>
          <w:rFonts w:asciiTheme="minorHAnsi" w:hAnsiTheme="minorHAnsi"/>
        </w:rPr>
        <w:t xml:space="preserve"> and more than 85% of the NT coastline is now held b</w:t>
      </w:r>
      <w:r>
        <w:rPr>
          <w:rFonts w:asciiTheme="minorHAnsi" w:hAnsiTheme="minorHAnsi"/>
        </w:rPr>
        <w:t>y Aboriginal L</w:t>
      </w:r>
      <w:r w:rsidRPr="00B2380F">
        <w:rPr>
          <w:rFonts w:asciiTheme="minorHAnsi" w:hAnsiTheme="minorHAnsi"/>
        </w:rPr>
        <w:t>and Trusts on behalf of traditional owners.</w:t>
      </w:r>
      <w:r>
        <w:rPr>
          <w:rFonts w:asciiTheme="minorHAnsi" w:hAnsiTheme="minorHAnsi"/>
        </w:rPr>
        <w:t xml:space="preserve"> The CLC region covers </w:t>
      </w:r>
      <w:r w:rsidRPr="008D1A6D">
        <w:rPr>
          <w:rFonts w:asciiTheme="minorHAnsi" w:hAnsiTheme="minorHAnsi"/>
        </w:rPr>
        <w:t>approximately 780,000 km²</w:t>
      </w:r>
      <w:r>
        <w:rPr>
          <w:rFonts w:asciiTheme="minorHAnsi" w:hAnsiTheme="minorHAnsi"/>
        </w:rPr>
        <w:t xml:space="preserve"> of land, and 417,318 km2 is Aboriginal land under the ALRA.  Given existing pastoral land was not able to be claimed this Aboriginal land tends to be very arid and remote.  In addition, rights have been asserted and won under the Native Title Act 1993, and traditional owners unable to claim land under the ALRA have succeeded in obtaining rights to small areas known as Community Living Areas, under NT legislation.  Still others have purchased pastoral properties in order to access traditional lands and engage in pastoral activities, for example the Huckitta and Ooratippra pastoral properties have been purchased by traditional owners and are now Aboriginal-owned pastoral leases.</w:t>
      </w:r>
    </w:p>
    <w:p w:rsidR="00147412" w:rsidRPr="008D69E7" w:rsidRDefault="00147412" w:rsidP="00EA6F6C">
      <w:pPr>
        <w:spacing w:line="276" w:lineRule="auto"/>
        <w:rPr>
          <w:rFonts w:asciiTheme="minorHAnsi" w:hAnsiTheme="minorHAnsi"/>
          <w:i/>
        </w:rPr>
      </w:pPr>
    </w:p>
    <w:p w:rsidR="00147412" w:rsidRDefault="00E55782" w:rsidP="00EA6F6C">
      <w:pPr>
        <w:spacing w:line="276" w:lineRule="auto"/>
        <w:rPr>
          <w:rFonts w:asciiTheme="minorHAnsi" w:hAnsiTheme="minorHAnsi"/>
        </w:rPr>
      </w:pPr>
      <w:r>
        <w:rPr>
          <w:rFonts w:asciiTheme="minorHAnsi" w:hAnsiTheme="minorHAnsi"/>
        </w:rPr>
        <w:t xml:space="preserve">There are also </w:t>
      </w:r>
      <w:r w:rsidR="00C27D13">
        <w:rPr>
          <w:rFonts w:asciiTheme="minorHAnsi" w:hAnsiTheme="minorHAnsi"/>
        </w:rPr>
        <w:t>20</w:t>
      </w:r>
      <w:r w:rsidR="00147412">
        <w:rPr>
          <w:rFonts w:asciiTheme="minorHAnsi" w:hAnsiTheme="minorHAnsi"/>
        </w:rPr>
        <w:t xml:space="preserve"> NT parks </w:t>
      </w:r>
      <w:r>
        <w:rPr>
          <w:rFonts w:asciiTheme="minorHAnsi" w:hAnsiTheme="minorHAnsi"/>
        </w:rPr>
        <w:t xml:space="preserve">in the CLC region </w:t>
      </w:r>
      <w:r w:rsidR="00147412">
        <w:rPr>
          <w:rFonts w:asciiTheme="minorHAnsi" w:hAnsiTheme="minorHAnsi"/>
        </w:rPr>
        <w:t xml:space="preserve">which are jointly managed, of these </w:t>
      </w:r>
      <w:r w:rsidR="00C27D13">
        <w:rPr>
          <w:rFonts w:asciiTheme="minorHAnsi" w:hAnsiTheme="minorHAnsi"/>
        </w:rPr>
        <w:t>12</w:t>
      </w:r>
      <w:r w:rsidR="00212F30">
        <w:rPr>
          <w:rFonts w:asciiTheme="minorHAnsi" w:hAnsiTheme="minorHAnsi"/>
        </w:rPr>
        <w:t xml:space="preserve"> are on Aboriginal land</w:t>
      </w:r>
      <w:r w:rsidR="00C27D13">
        <w:rPr>
          <w:rFonts w:asciiTheme="minorHAnsi" w:hAnsiTheme="minorHAnsi"/>
        </w:rPr>
        <w:t>.</w:t>
      </w:r>
      <w:r w:rsidR="00212F30">
        <w:rPr>
          <w:rFonts w:asciiTheme="minorHAnsi" w:hAnsiTheme="minorHAnsi"/>
        </w:rPr>
        <w:t xml:space="preserve">  All</w:t>
      </w:r>
      <w:r w:rsidR="00147412">
        <w:rPr>
          <w:rFonts w:asciiTheme="minorHAnsi" w:hAnsiTheme="minorHAnsi"/>
        </w:rPr>
        <w:t xml:space="preserve"> are leased back to the NT Government for 99 years.  The Uluru-KataTjuta National Park is also on ALRA land with a lease back to the Commonwealth for 99 years, commencing in 1985.</w:t>
      </w:r>
    </w:p>
    <w:p w:rsidR="00147412" w:rsidRDefault="00147412" w:rsidP="00EA6F6C">
      <w:pPr>
        <w:spacing w:line="276" w:lineRule="auto"/>
        <w:rPr>
          <w:rFonts w:asciiTheme="minorHAnsi" w:hAnsiTheme="minorHAnsi"/>
        </w:rPr>
      </w:pPr>
    </w:p>
    <w:p w:rsidR="00147412" w:rsidRDefault="00147412" w:rsidP="00EA6F6C">
      <w:pPr>
        <w:spacing w:line="276" w:lineRule="auto"/>
        <w:rPr>
          <w:rFonts w:asciiTheme="minorHAnsi" w:hAnsiTheme="minorHAnsi"/>
        </w:rPr>
      </w:pPr>
      <w:r>
        <w:rPr>
          <w:rFonts w:asciiTheme="minorHAnsi" w:hAnsiTheme="minorHAnsi"/>
        </w:rPr>
        <w:t>Of the 30 major communities in the CLC region (excluding the many homelands), 20 are situated on ALRA land and 10 are situated on Community Living Areas on a form of NT freehold title.  An additional two, Finke and Kalkaringi, have the same characteristics as other remote Aboriginal communities but are actually normal NT freehold towns. Recent tenure reforms have been largely focused on reforming arrangements within remote communities, with little attention pa</w:t>
      </w:r>
      <w:r w:rsidR="00C27D13">
        <w:rPr>
          <w:rFonts w:asciiTheme="minorHAnsi" w:hAnsiTheme="minorHAnsi"/>
        </w:rPr>
        <w:t>id to broadacre Aboriginal land where leasing and mining exploration consultation and consent processes are clear and efficient.</w:t>
      </w:r>
    </w:p>
    <w:p w:rsidR="00147412" w:rsidRDefault="00147412" w:rsidP="00EA6F6C">
      <w:pPr>
        <w:spacing w:line="276" w:lineRule="auto"/>
        <w:rPr>
          <w:rFonts w:asciiTheme="minorHAnsi" w:hAnsiTheme="minorHAnsi"/>
        </w:rPr>
      </w:pPr>
    </w:p>
    <w:p w:rsidR="00A775B1" w:rsidRDefault="00A775B1" w:rsidP="00EA6F6C">
      <w:pPr>
        <w:pStyle w:val="Heading1"/>
        <w:rPr>
          <w:rStyle w:val="SubtleEmphasis"/>
        </w:rPr>
      </w:pPr>
      <w:bookmarkStart w:id="29" w:name="_Toc421623436"/>
      <w:r>
        <w:rPr>
          <w:rStyle w:val="SubtleEmphasis"/>
        </w:rPr>
        <w:t xml:space="preserve">Context for the </w:t>
      </w:r>
      <w:r w:rsidRPr="000969F1">
        <w:rPr>
          <w:rStyle w:val="SubtleEmphasis"/>
        </w:rPr>
        <w:t>COAG investigation</w:t>
      </w:r>
      <w:bookmarkEnd w:id="29"/>
    </w:p>
    <w:p w:rsidR="00235C28" w:rsidRPr="006A4E73" w:rsidRDefault="00A775B1" w:rsidP="00EA6F6C">
      <w:pPr>
        <w:spacing w:line="276" w:lineRule="auto"/>
        <w:rPr>
          <w:rFonts w:asciiTheme="minorHAnsi" w:hAnsiTheme="minorHAnsi"/>
        </w:rPr>
      </w:pPr>
      <w:r>
        <w:rPr>
          <w:rFonts w:asciiTheme="minorHAnsi" w:hAnsiTheme="minorHAnsi"/>
        </w:rPr>
        <w:t>T</w:t>
      </w:r>
      <w:r w:rsidR="006F0DA9">
        <w:rPr>
          <w:rFonts w:asciiTheme="minorHAnsi" w:hAnsiTheme="minorHAnsi"/>
        </w:rPr>
        <w:t>he announcement of this</w:t>
      </w:r>
      <w:r w:rsidR="006B3DCF">
        <w:rPr>
          <w:rFonts w:asciiTheme="minorHAnsi" w:hAnsiTheme="minorHAnsi"/>
        </w:rPr>
        <w:t xml:space="preserve"> investiga</w:t>
      </w:r>
      <w:r w:rsidR="006F0DA9">
        <w:rPr>
          <w:rFonts w:asciiTheme="minorHAnsi" w:hAnsiTheme="minorHAnsi"/>
        </w:rPr>
        <w:t>ti</w:t>
      </w:r>
      <w:r w:rsidR="00504F4E">
        <w:rPr>
          <w:rFonts w:asciiTheme="minorHAnsi" w:hAnsiTheme="minorHAnsi"/>
        </w:rPr>
        <w:t>on di</w:t>
      </w:r>
      <w:r w:rsidR="008A5790">
        <w:rPr>
          <w:rFonts w:asciiTheme="minorHAnsi" w:hAnsiTheme="minorHAnsi"/>
        </w:rPr>
        <w:t>d little to reassure Aboriginal people in the NT</w:t>
      </w:r>
      <w:r w:rsidR="00504F4E">
        <w:rPr>
          <w:rFonts w:asciiTheme="minorHAnsi" w:hAnsiTheme="minorHAnsi"/>
        </w:rPr>
        <w:t xml:space="preserve"> that this process </w:t>
      </w:r>
      <w:r w:rsidR="00FB0096">
        <w:rPr>
          <w:rFonts w:asciiTheme="minorHAnsi" w:hAnsiTheme="minorHAnsi"/>
        </w:rPr>
        <w:t>was not simply another</w:t>
      </w:r>
      <w:r w:rsidR="00474C1B">
        <w:rPr>
          <w:rFonts w:asciiTheme="minorHAnsi" w:hAnsiTheme="minorHAnsi"/>
        </w:rPr>
        <w:t xml:space="preserve"> attempt to</w:t>
      </w:r>
      <w:r w:rsidR="00FB0096">
        <w:rPr>
          <w:rFonts w:asciiTheme="minorHAnsi" w:hAnsiTheme="minorHAnsi"/>
        </w:rPr>
        <w:t xml:space="preserve"> </w:t>
      </w:r>
      <w:r w:rsidR="00474C1B">
        <w:rPr>
          <w:rFonts w:asciiTheme="minorHAnsi" w:hAnsiTheme="minorHAnsi"/>
        </w:rPr>
        <w:t>wind</w:t>
      </w:r>
      <w:r w:rsidR="008A5790">
        <w:rPr>
          <w:rFonts w:asciiTheme="minorHAnsi" w:hAnsiTheme="minorHAnsi"/>
        </w:rPr>
        <w:t xml:space="preserve"> back their hard-won land rights</w:t>
      </w:r>
      <w:r w:rsidR="00FB0096">
        <w:rPr>
          <w:rFonts w:asciiTheme="minorHAnsi" w:hAnsiTheme="minorHAnsi"/>
        </w:rPr>
        <w:t xml:space="preserve">. </w:t>
      </w:r>
      <w:r w:rsidR="00504F4E">
        <w:rPr>
          <w:rFonts w:asciiTheme="minorHAnsi" w:hAnsiTheme="minorHAnsi"/>
        </w:rPr>
        <w:t xml:space="preserve"> </w:t>
      </w:r>
      <w:r w:rsidR="00235C28" w:rsidRPr="006A4E73">
        <w:rPr>
          <w:rFonts w:asciiTheme="minorHAnsi" w:hAnsiTheme="minorHAnsi"/>
        </w:rPr>
        <w:t>At the COAG joint press conference following the meeting, the Chief Minister of the NT,</w:t>
      </w:r>
      <w:r w:rsidR="00FB0096">
        <w:rPr>
          <w:rFonts w:asciiTheme="minorHAnsi" w:hAnsiTheme="minorHAnsi"/>
        </w:rPr>
        <w:t xml:space="preserve"> Adam</w:t>
      </w:r>
      <w:r w:rsidR="00235C28" w:rsidRPr="006A4E73">
        <w:rPr>
          <w:rFonts w:asciiTheme="minorHAnsi" w:hAnsiTheme="minorHAnsi"/>
        </w:rPr>
        <w:t xml:space="preserve"> Giles said,</w:t>
      </w:r>
    </w:p>
    <w:p w:rsidR="00235C28" w:rsidRPr="005F4124" w:rsidRDefault="00235C28" w:rsidP="00EA6F6C">
      <w:pPr>
        <w:spacing w:line="276" w:lineRule="auto"/>
        <w:ind w:left="720"/>
        <w:rPr>
          <w:rFonts w:asciiTheme="minorHAnsi" w:hAnsiTheme="minorHAnsi"/>
          <w:sz w:val="22"/>
          <w:szCs w:val="22"/>
        </w:rPr>
      </w:pPr>
      <w:r w:rsidRPr="005F4124">
        <w:rPr>
          <w:rFonts w:asciiTheme="minorHAnsi" w:hAnsiTheme="minorHAnsi"/>
          <w:sz w:val="22"/>
          <w:szCs w:val="22"/>
        </w:rPr>
        <w:t>In regards to the white paper, that presents an opportunity for the Northern Territor</w:t>
      </w:r>
      <w:r w:rsidR="00AD0D26" w:rsidRPr="005F4124">
        <w:rPr>
          <w:rFonts w:asciiTheme="minorHAnsi" w:hAnsiTheme="minorHAnsi"/>
          <w:sz w:val="22"/>
          <w:szCs w:val="22"/>
        </w:rPr>
        <w:t>y…..</w:t>
      </w:r>
      <w:r w:rsidRPr="005F4124">
        <w:rPr>
          <w:rFonts w:asciiTheme="minorHAnsi" w:hAnsiTheme="minorHAnsi"/>
          <w:sz w:val="22"/>
          <w:szCs w:val="22"/>
        </w:rPr>
        <w:t xml:space="preserve">to talk about the </w:t>
      </w:r>
      <w:r w:rsidRPr="005F4124">
        <w:rPr>
          <w:rFonts w:asciiTheme="minorHAnsi" w:hAnsiTheme="minorHAnsi"/>
          <w:i/>
          <w:sz w:val="22"/>
          <w:szCs w:val="22"/>
        </w:rPr>
        <w:t>Aboriginal Land Rights Act</w:t>
      </w:r>
      <w:r w:rsidRPr="005F4124">
        <w:rPr>
          <w:rFonts w:asciiTheme="minorHAnsi" w:hAnsiTheme="minorHAnsi"/>
          <w:sz w:val="22"/>
          <w:szCs w:val="22"/>
        </w:rPr>
        <w:t xml:space="preserve"> and the ownership or the management of land tenure of 50% of the jurisdiction.  It also gives us an opportunity to talk about the ownership of </w:t>
      </w:r>
      <w:r w:rsidR="006A4E73" w:rsidRPr="005F4124">
        <w:rPr>
          <w:rFonts w:asciiTheme="minorHAnsi" w:hAnsiTheme="minorHAnsi"/>
          <w:sz w:val="22"/>
          <w:szCs w:val="22"/>
        </w:rPr>
        <w:t>National parks in the Northern T</w:t>
      </w:r>
      <w:r w:rsidRPr="005F4124">
        <w:rPr>
          <w:rFonts w:asciiTheme="minorHAnsi" w:hAnsiTheme="minorHAnsi"/>
          <w:sz w:val="22"/>
          <w:szCs w:val="22"/>
        </w:rPr>
        <w:t>erritory, something that is really important to Territorians in how we move forward progressively in an economic sense</w:t>
      </w:r>
      <w:r w:rsidR="00AD0D26" w:rsidRPr="005F4124">
        <w:rPr>
          <w:rFonts w:asciiTheme="minorHAnsi" w:hAnsiTheme="minorHAnsi"/>
          <w:sz w:val="22"/>
          <w:szCs w:val="22"/>
        </w:rPr>
        <w:t>…..</w:t>
      </w:r>
      <w:r w:rsidRPr="005F4124">
        <w:rPr>
          <w:rFonts w:asciiTheme="minorHAnsi" w:hAnsiTheme="minorHAnsi"/>
          <w:sz w:val="22"/>
          <w:szCs w:val="22"/>
        </w:rPr>
        <w:t xml:space="preserve">The </w:t>
      </w:r>
      <w:r w:rsidRPr="005F4124">
        <w:rPr>
          <w:rFonts w:asciiTheme="minorHAnsi" w:hAnsiTheme="minorHAnsi"/>
          <w:i/>
          <w:sz w:val="22"/>
          <w:szCs w:val="22"/>
        </w:rPr>
        <w:t>Land Rights Act</w:t>
      </w:r>
      <w:r w:rsidRPr="005F4124">
        <w:rPr>
          <w:rFonts w:asciiTheme="minorHAnsi" w:hAnsiTheme="minorHAnsi"/>
          <w:sz w:val="22"/>
          <w:szCs w:val="22"/>
        </w:rPr>
        <w:t xml:space="preserve"> has held Aboriginal people back in the Northern Territory.  We continue to hear </w:t>
      </w:r>
      <w:r w:rsidRPr="005F4124">
        <w:rPr>
          <w:rFonts w:asciiTheme="minorHAnsi" w:hAnsiTheme="minorHAnsi"/>
          <w:sz w:val="22"/>
          <w:szCs w:val="22"/>
        </w:rPr>
        <w:lastRenderedPageBreak/>
        <w:t>about it, we continue to hear negative statistics about it. If we are going to be serious about Aboriginal reform in COAG we have to address these fundamental issues.</w:t>
      </w:r>
    </w:p>
    <w:p w:rsidR="00235C28" w:rsidRPr="00FF4AE1" w:rsidRDefault="00235C28" w:rsidP="00EA6F6C">
      <w:pPr>
        <w:spacing w:line="276" w:lineRule="auto"/>
        <w:rPr>
          <w:rFonts w:asciiTheme="minorHAnsi" w:hAnsiTheme="minorHAnsi"/>
        </w:rPr>
      </w:pPr>
    </w:p>
    <w:p w:rsidR="00C956AA" w:rsidRDefault="006A4E73" w:rsidP="00EA6F6C">
      <w:pPr>
        <w:spacing w:line="276" w:lineRule="auto"/>
        <w:rPr>
          <w:rFonts w:asciiTheme="minorHAnsi" w:hAnsiTheme="minorHAnsi" w:cs="Arial"/>
          <w:color w:val="282828"/>
        </w:rPr>
      </w:pPr>
      <w:r>
        <w:rPr>
          <w:rFonts w:asciiTheme="minorHAnsi" w:hAnsiTheme="minorHAnsi"/>
        </w:rPr>
        <w:t xml:space="preserve">Further, </w:t>
      </w:r>
      <w:r w:rsidR="00235C28" w:rsidRPr="00235C28">
        <w:rPr>
          <w:rFonts w:asciiTheme="minorHAnsi" w:hAnsiTheme="minorHAnsi"/>
        </w:rPr>
        <w:t>Chief</w:t>
      </w:r>
      <w:r w:rsidR="00993CBF">
        <w:rPr>
          <w:rFonts w:asciiTheme="minorHAnsi" w:hAnsiTheme="minorHAnsi"/>
        </w:rPr>
        <w:t xml:space="preserve"> Minister Giles stated </w:t>
      </w:r>
      <w:r w:rsidR="00235C28" w:rsidRPr="00235C28">
        <w:rPr>
          <w:rFonts w:asciiTheme="minorHAnsi" w:hAnsiTheme="minorHAnsi"/>
        </w:rPr>
        <w:t>‘</w:t>
      </w:r>
      <w:r w:rsidR="00235C28" w:rsidRPr="00FF4AE1">
        <w:rPr>
          <w:rFonts w:asciiTheme="minorHAnsi" w:hAnsiTheme="minorHAnsi" w:cs="Arial"/>
          <w:color w:val="282828"/>
        </w:rPr>
        <w:t>I firmly believe that the protracted and complicated processes for approving development projects on Aboriginal land are prohibiting Indigenous Territorians from pulling themselves out of poverty</w:t>
      </w:r>
      <w:r w:rsidR="00235C28">
        <w:rPr>
          <w:rFonts w:asciiTheme="minorHAnsi" w:hAnsiTheme="minorHAnsi" w:cs="Arial"/>
          <w:color w:val="282828"/>
        </w:rPr>
        <w:t xml:space="preserve"> through economic development’ and</w:t>
      </w:r>
      <w:r w:rsidR="00235C28">
        <w:rPr>
          <w:rFonts w:asciiTheme="minorHAnsi" w:hAnsiTheme="minorHAnsi"/>
          <w:b/>
        </w:rPr>
        <w:t xml:space="preserve"> </w:t>
      </w:r>
      <w:r w:rsidR="00235C28">
        <w:rPr>
          <w:rFonts w:asciiTheme="minorHAnsi" w:hAnsiTheme="minorHAnsi" w:cs="Arial"/>
          <w:color w:val="282828"/>
        </w:rPr>
        <w:t>‘</w:t>
      </w:r>
      <w:r w:rsidR="00235C28" w:rsidRPr="00FF4AE1">
        <w:rPr>
          <w:rFonts w:asciiTheme="minorHAnsi" w:hAnsiTheme="minorHAnsi" w:cs="Arial"/>
          <w:color w:val="282828"/>
        </w:rPr>
        <w:t>I am pleased that the Prime Minister has agreed to work with the Northern Territory on ways to remove those barriers to the development of Aboriginal land.</w:t>
      </w:r>
      <w:r w:rsidR="00235C28">
        <w:rPr>
          <w:rFonts w:asciiTheme="minorHAnsi" w:hAnsiTheme="minorHAnsi" w:cs="Arial"/>
          <w:color w:val="282828"/>
        </w:rPr>
        <w:t>’</w:t>
      </w:r>
      <w:bookmarkEnd w:id="18"/>
      <w:r w:rsidR="007C4BE8">
        <w:rPr>
          <w:rStyle w:val="FootnoteReference"/>
          <w:rFonts w:asciiTheme="minorHAnsi" w:hAnsiTheme="minorHAnsi" w:cs="Arial"/>
          <w:color w:val="282828"/>
        </w:rPr>
        <w:footnoteReference w:id="3"/>
      </w:r>
      <w:r w:rsidR="00474C1B">
        <w:rPr>
          <w:rFonts w:asciiTheme="minorHAnsi" w:hAnsiTheme="minorHAnsi" w:cs="Arial"/>
          <w:color w:val="282828"/>
        </w:rPr>
        <w:t xml:space="preserve">  Thes</w:t>
      </w:r>
      <w:r w:rsidR="008A5790">
        <w:rPr>
          <w:rFonts w:asciiTheme="minorHAnsi" w:hAnsiTheme="minorHAnsi" w:cs="Arial"/>
          <w:color w:val="282828"/>
        </w:rPr>
        <w:t xml:space="preserve">e types of ill-informed, inflammatory </w:t>
      </w:r>
      <w:r w:rsidR="00474C1B">
        <w:rPr>
          <w:rFonts w:asciiTheme="minorHAnsi" w:hAnsiTheme="minorHAnsi" w:cs="Arial"/>
          <w:color w:val="282828"/>
        </w:rPr>
        <w:t xml:space="preserve">comments draw on a long history of opposition to land rights in the NT, </w:t>
      </w:r>
      <w:r w:rsidR="008A5790">
        <w:rPr>
          <w:rFonts w:asciiTheme="minorHAnsi" w:hAnsiTheme="minorHAnsi" w:cs="Arial"/>
          <w:color w:val="282828"/>
        </w:rPr>
        <w:t xml:space="preserve">and illustrate the point that tenure debates </w:t>
      </w:r>
      <w:r w:rsidR="0026399F">
        <w:rPr>
          <w:rFonts w:asciiTheme="minorHAnsi" w:hAnsiTheme="minorHAnsi" w:cs="Arial"/>
          <w:color w:val="282828"/>
        </w:rPr>
        <w:t xml:space="preserve">tend to be ideologically driven and </w:t>
      </w:r>
      <w:r w:rsidR="003B65D5">
        <w:rPr>
          <w:rFonts w:asciiTheme="minorHAnsi" w:hAnsiTheme="minorHAnsi" w:cs="Arial"/>
          <w:color w:val="282828"/>
        </w:rPr>
        <w:t>distract from the work required to</w:t>
      </w:r>
      <w:r w:rsidR="0026399F">
        <w:rPr>
          <w:rFonts w:asciiTheme="minorHAnsi" w:hAnsiTheme="minorHAnsi" w:cs="Arial"/>
          <w:color w:val="282828"/>
        </w:rPr>
        <w:t xml:space="preserve"> identify genuine </w:t>
      </w:r>
      <w:r w:rsidR="0066272A">
        <w:rPr>
          <w:rFonts w:asciiTheme="minorHAnsi" w:hAnsiTheme="minorHAnsi" w:cs="Arial"/>
          <w:color w:val="282828"/>
        </w:rPr>
        <w:t xml:space="preserve">areas of concern. </w:t>
      </w:r>
      <w:r w:rsidR="0026399F">
        <w:rPr>
          <w:rFonts w:asciiTheme="minorHAnsi" w:hAnsiTheme="minorHAnsi" w:cs="Arial"/>
          <w:color w:val="282828"/>
        </w:rPr>
        <w:t>Fortunately, useful and cooperative work with NT departmental officials has ensured steady progress on the roll-out of cadastral surveys and leasing arrangements on Aboriginal land despite the politicised nature of the tenure debate</w:t>
      </w:r>
      <w:r w:rsidR="000D2C5E">
        <w:rPr>
          <w:rFonts w:asciiTheme="minorHAnsi" w:hAnsiTheme="minorHAnsi" w:cs="Arial"/>
          <w:color w:val="282828"/>
        </w:rPr>
        <w:t xml:space="preserve"> generally</w:t>
      </w:r>
      <w:r w:rsidR="0026399F">
        <w:rPr>
          <w:rFonts w:asciiTheme="minorHAnsi" w:hAnsiTheme="minorHAnsi" w:cs="Arial"/>
          <w:color w:val="282828"/>
        </w:rPr>
        <w:t>.</w:t>
      </w:r>
    </w:p>
    <w:p w:rsidR="00C956AA" w:rsidRDefault="00C956AA" w:rsidP="00EA6F6C">
      <w:pPr>
        <w:spacing w:line="276" w:lineRule="auto"/>
        <w:rPr>
          <w:rFonts w:asciiTheme="minorHAnsi" w:hAnsiTheme="minorHAnsi" w:cs="Arial"/>
          <w:color w:val="282828"/>
        </w:rPr>
      </w:pPr>
    </w:p>
    <w:p w:rsidR="00CE6587" w:rsidRDefault="00CE6587" w:rsidP="00EA6F6C">
      <w:pPr>
        <w:pStyle w:val="Title"/>
        <w:spacing w:line="276" w:lineRule="auto"/>
      </w:pPr>
      <w:bookmarkStart w:id="30" w:name="_Toc421623437"/>
      <w:r>
        <w:t>ALRA tenure reform</w:t>
      </w:r>
      <w:bookmarkEnd w:id="30"/>
    </w:p>
    <w:p w:rsidR="00BB73E9" w:rsidRPr="00DD1E50" w:rsidRDefault="009D6314" w:rsidP="00EA6F6C">
      <w:pPr>
        <w:spacing w:line="276" w:lineRule="auto"/>
        <w:rPr>
          <w:rFonts w:asciiTheme="minorHAnsi" w:hAnsiTheme="minorHAnsi"/>
        </w:rPr>
      </w:pPr>
      <w:r w:rsidRPr="000834DD">
        <w:rPr>
          <w:rFonts w:asciiTheme="minorHAnsi" w:hAnsiTheme="minorHAnsi"/>
        </w:rPr>
        <w:t xml:space="preserve">Since 2004 </w:t>
      </w:r>
      <w:r w:rsidR="00814E16" w:rsidRPr="000834DD">
        <w:rPr>
          <w:rFonts w:asciiTheme="minorHAnsi" w:hAnsiTheme="minorHAnsi"/>
        </w:rPr>
        <w:t xml:space="preserve">there has been considerable debate around </w:t>
      </w:r>
      <w:r w:rsidR="003B7915" w:rsidRPr="000834DD">
        <w:rPr>
          <w:rFonts w:asciiTheme="minorHAnsi" w:hAnsiTheme="minorHAnsi"/>
        </w:rPr>
        <w:t xml:space="preserve">Indigenous </w:t>
      </w:r>
      <w:r w:rsidR="00814E16" w:rsidRPr="000834DD">
        <w:rPr>
          <w:rFonts w:asciiTheme="minorHAnsi" w:hAnsiTheme="minorHAnsi"/>
        </w:rPr>
        <w:t>communal land</w:t>
      </w:r>
      <w:r w:rsidR="002234C5" w:rsidRPr="000834DD">
        <w:rPr>
          <w:rFonts w:asciiTheme="minorHAnsi" w:hAnsiTheme="minorHAnsi"/>
        </w:rPr>
        <w:t xml:space="preserve"> </w:t>
      </w:r>
      <w:r w:rsidR="00814E16" w:rsidRPr="000834DD">
        <w:rPr>
          <w:rFonts w:asciiTheme="minorHAnsi" w:hAnsiTheme="minorHAnsi"/>
        </w:rPr>
        <w:t>ownership at the national level</w:t>
      </w:r>
      <w:r w:rsidR="00E86583" w:rsidRPr="000834DD">
        <w:rPr>
          <w:rFonts w:asciiTheme="minorHAnsi" w:hAnsiTheme="minorHAnsi"/>
        </w:rPr>
        <w:t>.</w:t>
      </w:r>
      <w:r w:rsidR="00DA66EC" w:rsidRPr="000834DD">
        <w:rPr>
          <w:rStyle w:val="FootnoteReference"/>
          <w:rFonts w:asciiTheme="minorHAnsi" w:hAnsiTheme="minorHAnsi"/>
        </w:rPr>
        <w:footnoteReference w:id="4"/>
      </w:r>
      <w:r w:rsidR="00E86583" w:rsidRPr="000834DD">
        <w:rPr>
          <w:rFonts w:asciiTheme="minorHAnsi" w:hAnsiTheme="minorHAnsi"/>
        </w:rPr>
        <w:t xml:space="preserve"> </w:t>
      </w:r>
      <w:r w:rsidR="006C53D9">
        <w:rPr>
          <w:rFonts w:asciiTheme="minorHAnsi" w:hAnsiTheme="minorHAnsi"/>
        </w:rPr>
        <w:t xml:space="preserve">The </w:t>
      </w:r>
      <w:r w:rsidR="00A86536" w:rsidRPr="00602438">
        <w:rPr>
          <w:rFonts w:asciiTheme="minorHAnsi" w:hAnsiTheme="minorHAnsi"/>
        </w:rPr>
        <w:t>Australian Government has participated in the debate around communal title and has devised a range of ‘land reform’ policies, ostensibly in response to this debate.</w:t>
      </w:r>
      <w:r w:rsidR="00A86536" w:rsidRPr="00602438">
        <w:rPr>
          <w:rStyle w:val="FootnoteReference"/>
          <w:rFonts w:asciiTheme="minorHAnsi" w:hAnsiTheme="minorHAnsi"/>
        </w:rPr>
        <w:t xml:space="preserve"> </w:t>
      </w:r>
      <w:r w:rsidR="00A86536" w:rsidRPr="00602438">
        <w:rPr>
          <w:rStyle w:val="FootnoteReference"/>
          <w:rFonts w:asciiTheme="minorHAnsi" w:hAnsiTheme="minorHAnsi"/>
        </w:rPr>
        <w:footnoteReference w:id="5"/>
      </w:r>
      <w:r w:rsidR="006C53D9">
        <w:rPr>
          <w:rFonts w:asciiTheme="minorHAnsi" w:hAnsiTheme="minorHAnsi"/>
        </w:rPr>
        <w:t xml:space="preserve"> Then M</w:t>
      </w:r>
      <w:r w:rsidR="00A86536" w:rsidRPr="00602438">
        <w:rPr>
          <w:rFonts w:asciiTheme="minorHAnsi" w:hAnsiTheme="minorHAnsi"/>
        </w:rPr>
        <w:t>inister for Indigenous Affairs Amanda Vanstone, and Mal Brough after her, relied on criticism of communal title to justify amendments to the ALRA which passed in 2006.</w:t>
      </w:r>
      <w:r w:rsidR="00A86536" w:rsidRPr="00DD1E50">
        <w:rPr>
          <w:rStyle w:val="FootnoteReference"/>
          <w:rFonts w:asciiTheme="minorHAnsi" w:hAnsiTheme="minorHAnsi"/>
        </w:rPr>
        <w:footnoteReference w:id="6"/>
      </w:r>
      <w:r w:rsidR="00A86536" w:rsidRPr="00DD1E50">
        <w:rPr>
          <w:rFonts w:asciiTheme="minorHAnsi" w:hAnsiTheme="minorHAnsi"/>
        </w:rPr>
        <w:t xml:space="preserve"> </w:t>
      </w:r>
      <w:r w:rsidR="00A86536" w:rsidRPr="000834DD">
        <w:rPr>
          <w:rFonts w:asciiTheme="minorHAnsi" w:hAnsiTheme="minorHAnsi"/>
        </w:rPr>
        <w:t>Those amendments provided, among other things, for the leasing of whole remote Aboriginal townships to a government entity for ninety-nine years.</w:t>
      </w:r>
      <w:r w:rsidR="00A86536" w:rsidRPr="000834DD">
        <w:rPr>
          <w:rStyle w:val="FootnoteReference"/>
          <w:rFonts w:asciiTheme="minorHAnsi" w:hAnsiTheme="minorHAnsi"/>
        </w:rPr>
        <w:footnoteReference w:id="7"/>
      </w:r>
      <w:r w:rsidR="00A86536" w:rsidRPr="000834DD">
        <w:rPr>
          <w:rFonts w:asciiTheme="minorHAnsi" w:hAnsiTheme="minorHAnsi"/>
        </w:rPr>
        <w:t xml:space="preserve"> The amendments were characterised as heralding an end to the ‘days of the failed </w:t>
      </w:r>
      <w:r w:rsidR="00A86536" w:rsidRPr="000834DD">
        <w:rPr>
          <w:rFonts w:asciiTheme="minorHAnsi" w:hAnsiTheme="minorHAnsi"/>
        </w:rPr>
        <w:lastRenderedPageBreak/>
        <w:t>collective.’</w:t>
      </w:r>
      <w:r w:rsidR="00A86536" w:rsidRPr="000834DD">
        <w:rPr>
          <w:rStyle w:val="FootnoteReference"/>
          <w:rFonts w:asciiTheme="minorHAnsi" w:hAnsiTheme="minorHAnsi"/>
        </w:rPr>
        <w:footnoteReference w:id="8"/>
      </w:r>
      <w:r w:rsidR="00A86536" w:rsidRPr="000834DD">
        <w:rPr>
          <w:rFonts w:asciiTheme="minorHAnsi" w:hAnsiTheme="minorHAnsi"/>
        </w:rPr>
        <w:t xml:space="preserve"> Then minister for Indigenous Affairs Mal Brough said the changes would facilitate economic development and increase private home ownership</w:t>
      </w:r>
      <w:r w:rsidR="00A86536" w:rsidRPr="000834DD">
        <w:rPr>
          <w:rFonts w:asciiTheme="minorHAnsi" w:hAnsiTheme="minorHAnsi"/>
          <w:i/>
        </w:rPr>
        <w:t xml:space="preserve">. </w:t>
      </w:r>
      <w:r w:rsidR="00BB73E9" w:rsidRPr="00DD1E50">
        <w:rPr>
          <w:rFonts w:asciiTheme="minorHAnsi" w:hAnsiTheme="minorHAnsi"/>
        </w:rPr>
        <w:t>Introducing the Aboriginal Land Rights (Northern Territory) Amendment Bill 2006 (the Bill), then minister for Indigenous Affairs Mal Brough asserted that it would:</w:t>
      </w:r>
    </w:p>
    <w:p w:rsidR="00BB73E9" w:rsidRPr="00DD1E50" w:rsidRDefault="00BB73E9" w:rsidP="00EA6F6C">
      <w:pPr>
        <w:spacing w:line="276" w:lineRule="auto"/>
        <w:rPr>
          <w:rFonts w:asciiTheme="minorHAnsi" w:hAnsiTheme="minorHAnsi"/>
        </w:rPr>
      </w:pPr>
    </w:p>
    <w:p w:rsidR="00BB73E9" w:rsidRPr="007A0FBF" w:rsidRDefault="00BB73E9" w:rsidP="00EA6F6C">
      <w:pPr>
        <w:spacing w:line="276" w:lineRule="auto"/>
        <w:ind w:left="720"/>
        <w:rPr>
          <w:rFonts w:asciiTheme="minorHAnsi" w:hAnsiTheme="minorHAnsi"/>
          <w:sz w:val="22"/>
          <w:szCs w:val="22"/>
        </w:rPr>
      </w:pPr>
      <w:r w:rsidRPr="007A0FBF">
        <w:rPr>
          <w:rFonts w:asciiTheme="minorHAnsi" w:hAnsiTheme="minorHAnsi"/>
          <w:sz w:val="22"/>
          <w:szCs w:val="22"/>
        </w:rPr>
        <w:t>provide more choices in life for Aboriginal people in the Northern Territory… [by providing] for a new tenure system for townships on Aboriginal land that will allow individuals to have property rights. It is individual property rights that drive economic development. The days of the failed collective are over.</w:t>
      </w:r>
      <w:r w:rsidRPr="007A0FBF">
        <w:rPr>
          <w:rStyle w:val="FootnoteReference"/>
          <w:rFonts w:asciiTheme="minorHAnsi" w:hAnsiTheme="minorHAnsi"/>
          <w:sz w:val="22"/>
          <w:szCs w:val="22"/>
        </w:rPr>
        <w:footnoteReference w:id="9"/>
      </w:r>
      <w:r w:rsidRPr="007A0FBF">
        <w:rPr>
          <w:rFonts w:asciiTheme="minorHAnsi" w:hAnsiTheme="minorHAnsi"/>
          <w:sz w:val="22"/>
          <w:szCs w:val="22"/>
        </w:rPr>
        <w:t xml:space="preserve"> </w:t>
      </w:r>
    </w:p>
    <w:p w:rsidR="00BB73E9" w:rsidRPr="00DD1E50" w:rsidRDefault="00BB73E9" w:rsidP="00EA6F6C">
      <w:pPr>
        <w:pStyle w:val="Subtitle"/>
        <w:spacing w:line="276" w:lineRule="auto"/>
        <w:jc w:val="left"/>
        <w:rPr>
          <w:rFonts w:asciiTheme="minorHAnsi" w:hAnsiTheme="minorHAnsi"/>
        </w:rPr>
      </w:pPr>
    </w:p>
    <w:p w:rsidR="00BB73E9" w:rsidRPr="008A3ED3" w:rsidRDefault="00BB73E9" w:rsidP="00EA6F6C">
      <w:pPr>
        <w:spacing w:line="276" w:lineRule="auto"/>
        <w:rPr>
          <w:rFonts w:asciiTheme="minorHAnsi" w:hAnsiTheme="minorHAnsi"/>
          <w:color w:val="FF0000"/>
        </w:rPr>
      </w:pPr>
      <w:r w:rsidRPr="00DD1E50">
        <w:rPr>
          <w:rFonts w:asciiTheme="minorHAnsi" w:hAnsiTheme="minorHAnsi"/>
        </w:rPr>
        <w:t>Minister Brough noted that ‘many of the proposed amendments come from a joint submission by the Northern Territory government and land councils.’</w:t>
      </w:r>
      <w:r w:rsidRPr="00DD1E50">
        <w:rPr>
          <w:rStyle w:val="FootnoteReference"/>
          <w:rFonts w:asciiTheme="minorHAnsi" w:hAnsiTheme="minorHAnsi"/>
        </w:rPr>
        <w:footnoteReference w:id="10"/>
      </w:r>
      <w:r w:rsidRPr="00DD1E50">
        <w:rPr>
          <w:rFonts w:asciiTheme="minorHAnsi" w:hAnsiTheme="minorHAnsi"/>
        </w:rPr>
        <w:t xml:space="preserve"> Those amendments that the NT Government and the Land Councils had jointly proposed were directed toward addressing technical aspects of the ALRA that had been acknowledged as increasing transaction costs and impeding, to some extent, the fungibility of ALRA land.</w:t>
      </w:r>
      <w:r w:rsidRPr="00DD1E50">
        <w:rPr>
          <w:rStyle w:val="FootnoteReference"/>
          <w:rFonts w:asciiTheme="minorHAnsi" w:hAnsiTheme="minorHAnsi"/>
        </w:rPr>
        <w:t xml:space="preserve"> </w:t>
      </w:r>
      <w:r w:rsidRPr="00DD1E50">
        <w:rPr>
          <w:rStyle w:val="FootnoteReference"/>
          <w:rFonts w:asciiTheme="minorHAnsi" w:hAnsiTheme="minorHAnsi"/>
        </w:rPr>
        <w:footnoteReference w:id="11"/>
      </w:r>
      <w:r w:rsidRPr="008A3ED3">
        <w:rPr>
          <w:rFonts w:asciiTheme="minorHAnsi" w:hAnsiTheme="minorHAnsi"/>
        </w:rPr>
        <w:t xml:space="preserve"> </w:t>
      </w:r>
    </w:p>
    <w:p w:rsidR="00BB73E9" w:rsidRPr="008A3ED3" w:rsidRDefault="00BB73E9" w:rsidP="00EA6F6C">
      <w:pPr>
        <w:spacing w:line="276" w:lineRule="auto"/>
        <w:rPr>
          <w:rFonts w:asciiTheme="minorHAnsi" w:hAnsiTheme="minorHAnsi"/>
        </w:rPr>
      </w:pPr>
    </w:p>
    <w:p w:rsidR="00BB73E9" w:rsidRPr="00D33BE6" w:rsidRDefault="00BB73E9" w:rsidP="00EA6F6C">
      <w:pPr>
        <w:spacing w:line="276" w:lineRule="auto"/>
        <w:rPr>
          <w:rFonts w:asciiTheme="minorHAnsi" w:hAnsiTheme="minorHAnsi"/>
        </w:rPr>
      </w:pPr>
      <w:r w:rsidRPr="008A3ED3">
        <w:rPr>
          <w:rFonts w:asciiTheme="minorHAnsi" w:hAnsiTheme="minorHAnsi"/>
        </w:rPr>
        <w:t>Under the jointly agreed amendments, leasing for up to 40 years would be permissible without federal Ministerial consent (previously this was 10 or 21 years depending on the purpose). Further, Ministerial consent would only be required where $1m or more was to be paid or received on behalf of a Land Trust (previously such consent was required for transactions in excess of $100,000). Another jointly proposed amendment clarified that, in order for leased land to be used as a security, land-owner consent could be provided upfront for the transfer of the leasehold interest by a mortgagee. The existing drafting of the relevant provision was considered by some to restrict a mortgagee’s ability to enforce their mortgage over an ALRA lease.</w:t>
      </w:r>
      <w:r w:rsidRPr="00D33BE6">
        <w:rPr>
          <w:rStyle w:val="FootnoteReference"/>
          <w:rFonts w:asciiTheme="minorHAnsi" w:hAnsiTheme="minorHAnsi"/>
        </w:rPr>
        <w:footnoteReference w:id="12"/>
      </w:r>
      <w:r w:rsidRPr="00D33BE6">
        <w:rPr>
          <w:rFonts w:asciiTheme="minorHAnsi" w:hAnsiTheme="minorHAnsi"/>
        </w:rPr>
        <w:t xml:space="preserve"> The jointly proposed amendments were directed towards ensuring the existing ALRA regime facilitated:</w:t>
      </w:r>
    </w:p>
    <w:p w:rsidR="00BB73E9" w:rsidRPr="00D33BE6" w:rsidRDefault="00BB73E9" w:rsidP="00EA6F6C">
      <w:pPr>
        <w:spacing w:line="276" w:lineRule="auto"/>
        <w:rPr>
          <w:rFonts w:asciiTheme="minorHAnsi" w:hAnsiTheme="minorHAnsi"/>
        </w:rPr>
      </w:pPr>
    </w:p>
    <w:p w:rsidR="00BB73E9" w:rsidRPr="007A0FBF" w:rsidRDefault="00BB73E9" w:rsidP="00EA6F6C">
      <w:pPr>
        <w:spacing w:line="276" w:lineRule="auto"/>
        <w:ind w:left="720"/>
        <w:rPr>
          <w:rFonts w:asciiTheme="minorHAnsi" w:hAnsiTheme="minorHAnsi"/>
          <w:sz w:val="22"/>
          <w:szCs w:val="22"/>
        </w:rPr>
      </w:pPr>
      <w:r w:rsidRPr="007A0FBF">
        <w:rPr>
          <w:rFonts w:asciiTheme="minorHAnsi" w:hAnsiTheme="minorHAnsi"/>
          <w:sz w:val="22"/>
          <w:szCs w:val="22"/>
        </w:rPr>
        <w:t>long term leasing, security transactions and the use of equity capital to promote both home ownership and businesses…without undermining the role of traditional owners in the enjoyment and management of their traditional lands or effecting a transfer of institutional and power relationships at play in those lands.</w:t>
      </w:r>
      <w:r w:rsidRPr="007A0FBF">
        <w:rPr>
          <w:rStyle w:val="FootnoteReference"/>
          <w:rFonts w:asciiTheme="minorHAnsi" w:hAnsiTheme="minorHAnsi"/>
          <w:sz w:val="22"/>
          <w:szCs w:val="22"/>
        </w:rPr>
        <w:footnoteReference w:id="13"/>
      </w:r>
      <w:r w:rsidRPr="007A0FBF">
        <w:rPr>
          <w:rFonts w:asciiTheme="minorHAnsi" w:hAnsiTheme="minorHAnsi"/>
          <w:sz w:val="22"/>
          <w:szCs w:val="22"/>
        </w:rPr>
        <w:t xml:space="preserve"> </w:t>
      </w:r>
    </w:p>
    <w:p w:rsidR="00BB73E9" w:rsidRPr="00D33BE6" w:rsidRDefault="00BB73E9" w:rsidP="00EA6F6C">
      <w:pPr>
        <w:spacing w:line="276" w:lineRule="auto"/>
        <w:rPr>
          <w:rFonts w:asciiTheme="minorHAnsi" w:hAnsiTheme="minorHAnsi"/>
        </w:rPr>
      </w:pPr>
    </w:p>
    <w:p w:rsidR="00BB73E9" w:rsidRPr="00D33BE6" w:rsidRDefault="00BB73E9" w:rsidP="00EA6F6C">
      <w:pPr>
        <w:spacing w:line="276" w:lineRule="auto"/>
        <w:rPr>
          <w:rFonts w:asciiTheme="minorHAnsi" w:hAnsiTheme="minorHAnsi"/>
        </w:rPr>
      </w:pPr>
      <w:r w:rsidRPr="00D33BE6">
        <w:rPr>
          <w:rFonts w:asciiTheme="minorHAnsi" w:hAnsiTheme="minorHAnsi"/>
        </w:rPr>
        <w:lastRenderedPageBreak/>
        <w:t>From the CLC’s perspective, a sensible approach would have been for the Australian Government to monitor the extent to which these jointly proposed amendments achieved their purpose of making the ALRA more ‘workable’ before introducing more radical land reform initiatives. As it happened, the amendments were introduced alongside the whole of township leasing provisions, which did not come from this joint submission, had not been subject to consultation with the Land Councils,</w:t>
      </w:r>
      <w:r w:rsidRPr="00D33BE6">
        <w:rPr>
          <w:rStyle w:val="FootnoteReference"/>
          <w:rFonts w:asciiTheme="minorHAnsi" w:hAnsiTheme="minorHAnsi"/>
        </w:rPr>
        <w:footnoteReference w:id="14"/>
      </w:r>
      <w:r w:rsidRPr="00D33BE6">
        <w:rPr>
          <w:rFonts w:asciiTheme="minorHAnsi" w:hAnsiTheme="minorHAnsi"/>
        </w:rPr>
        <w:t xml:space="preserve"> were light on detail (which was largely left to regulations) and were premised on the alleged failure of the existing ALRA leasing provisions. </w:t>
      </w:r>
    </w:p>
    <w:p w:rsidR="00A17FD3" w:rsidRPr="00DD1E50" w:rsidRDefault="00A17FD3" w:rsidP="00EA6F6C">
      <w:pPr>
        <w:spacing w:line="276" w:lineRule="auto"/>
        <w:rPr>
          <w:rStyle w:val="SubtleEmphasis"/>
          <w:rFonts w:asciiTheme="minorHAnsi" w:hAnsiTheme="minorHAnsi"/>
        </w:rPr>
      </w:pPr>
    </w:p>
    <w:p w:rsidR="008F79A5" w:rsidRPr="00FE29F7" w:rsidRDefault="00790A51" w:rsidP="00EA6F6C">
      <w:pPr>
        <w:pStyle w:val="Subtitle"/>
        <w:spacing w:line="276" w:lineRule="auto"/>
        <w:jc w:val="left"/>
        <w:rPr>
          <w:rStyle w:val="SubtleEmphasis"/>
          <w:rFonts w:asciiTheme="minorHAnsi" w:hAnsiTheme="minorHAnsi"/>
          <w:b/>
        </w:rPr>
      </w:pPr>
      <w:bookmarkStart w:id="31" w:name="_Toc421623438"/>
      <w:r w:rsidRPr="00FE29F7">
        <w:rPr>
          <w:rStyle w:val="SubtleEmphasis"/>
          <w:rFonts w:asciiTheme="minorHAnsi" w:hAnsiTheme="minorHAnsi"/>
          <w:b/>
        </w:rPr>
        <w:t>Whole of t</w:t>
      </w:r>
      <w:r w:rsidR="008F79A5" w:rsidRPr="00FE29F7">
        <w:rPr>
          <w:rStyle w:val="SubtleEmphasis"/>
          <w:rFonts w:asciiTheme="minorHAnsi" w:hAnsiTheme="minorHAnsi"/>
          <w:b/>
        </w:rPr>
        <w:t>ownship leasing</w:t>
      </w:r>
      <w:bookmarkEnd w:id="31"/>
    </w:p>
    <w:p w:rsidR="009F44BE" w:rsidRPr="00D33BE6" w:rsidRDefault="00983396" w:rsidP="00EA6F6C">
      <w:pPr>
        <w:spacing w:line="276" w:lineRule="auto"/>
        <w:rPr>
          <w:rFonts w:asciiTheme="minorHAnsi" w:hAnsiTheme="minorHAnsi"/>
          <w:lang w:val="en-US"/>
        </w:rPr>
      </w:pPr>
      <w:r w:rsidRPr="00D33BE6">
        <w:rPr>
          <w:rFonts w:asciiTheme="minorHAnsi" w:hAnsiTheme="minorHAnsi"/>
        </w:rPr>
        <w:t>The 2006 amendments introduced section 19A into the ALRA</w:t>
      </w:r>
      <w:r w:rsidR="005C3BEC" w:rsidRPr="00D33BE6">
        <w:rPr>
          <w:rFonts w:asciiTheme="minorHAnsi" w:hAnsiTheme="minorHAnsi"/>
        </w:rPr>
        <w:t xml:space="preserve">, which </w:t>
      </w:r>
      <w:r w:rsidR="005127D5" w:rsidRPr="00D33BE6">
        <w:rPr>
          <w:rFonts w:asciiTheme="minorHAnsi" w:hAnsiTheme="minorHAnsi"/>
        </w:rPr>
        <w:t>provide</w:t>
      </w:r>
      <w:r w:rsidR="005C3BEC" w:rsidRPr="00D33BE6">
        <w:rPr>
          <w:rFonts w:asciiTheme="minorHAnsi" w:hAnsiTheme="minorHAnsi"/>
        </w:rPr>
        <w:t>d</w:t>
      </w:r>
      <w:r w:rsidRPr="00D33BE6">
        <w:rPr>
          <w:rFonts w:asciiTheme="minorHAnsi" w:hAnsiTheme="minorHAnsi"/>
        </w:rPr>
        <w:t xml:space="preserve"> that a Land Trust may</w:t>
      </w:r>
      <w:r w:rsidR="002B6DED" w:rsidRPr="00D33BE6">
        <w:rPr>
          <w:rFonts w:asciiTheme="minorHAnsi" w:hAnsiTheme="minorHAnsi"/>
        </w:rPr>
        <w:t xml:space="preserve"> </w:t>
      </w:r>
      <w:r w:rsidRPr="00D33BE6">
        <w:rPr>
          <w:rFonts w:asciiTheme="minorHAnsi" w:hAnsiTheme="minorHAnsi"/>
        </w:rPr>
        <w:t>lease</w:t>
      </w:r>
      <w:r w:rsidR="00AE1C20" w:rsidRPr="00D33BE6">
        <w:rPr>
          <w:rFonts w:asciiTheme="minorHAnsi" w:hAnsiTheme="minorHAnsi"/>
        </w:rPr>
        <w:t xml:space="preserve"> </w:t>
      </w:r>
      <w:r w:rsidR="005127D5" w:rsidRPr="00D33BE6">
        <w:rPr>
          <w:rFonts w:asciiTheme="minorHAnsi" w:hAnsiTheme="minorHAnsi"/>
        </w:rPr>
        <w:t>an ent</w:t>
      </w:r>
      <w:r w:rsidR="005C3BEC" w:rsidRPr="00D33BE6">
        <w:rPr>
          <w:rFonts w:asciiTheme="minorHAnsi" w:hAnsiTheme="minorHAnsi"/>
        </w:rPr>
        <w:t>i</w:t>
      </w:r>
      <w:r w:rsidR="005127D5" w:rsidRPr="00D33BE6">
        <w:rPr>
          <w:rFonts w:asciiTheme="minorHAnsi" w:hAnsiTheme="minorHAnsi"/>
        </w:rPr>
        <w:t>re</w:t>
      </w:r>
      <w:r w:rsidR="00211C72" w:rsidRPr="00D33BE6">
        <w:rPr>
          <w:rFonts w:asciiTheme="minorHAnsi" w:hAnsiTheme="minorHAnsi"/>
        </w:rPr>
        <w:t xml:space="preserve"> </w:t>
      </w:r>
      <w:r w:rsidR="00AE1C20" w:rsidRPr="00D33BE6">
        <w:rPr>
          <w:rFonts w:asciiTheme="minorHAnsi" w:hAnsiTheme="minorHAnsi"/>
        </w:rPr>
        <w:t xml:space="preserve">‘township’ to an NT or </w:t>
      </w:r>
      <w:r w:rsidR="005C71B4" w:rsidRPr="00D33BE6">
        <w:rPr>
          <w:rFonts w:asciiTheme="minorHAnsi" w:hAnsiTheme="minorHAnsi"/>
        </w:rPr>
        <w:t>Australian</w:t>
      </w:r>
      <w:r w:rsidR="00AE1C20" w:rsidRPr="00D33BE6">
        <w:rPr>
          <w:rFonts w:asciiTheme="minorHAnsi" w:hAnsiTheme="minorHAnsi"/>
        </w:rPr>
        <w:t xml:space="preserve"> entity. </w:t>
      </w:r>
      <w:r w:rsidR="006B443C" w:rsidRPr="00D33BE6">
        <w:rPr>
          <w:rFonts w:asciiTheme="minorHAnsi" w:hAnsiTheme="minorHAnsi"/>
          <w:lang w:val="en-US"/>
        </w:rPr>
        <w:t>Th</w:t>
      </w:r>
      <w:r w:rsidR="00746D40" w:rsidRPr="00D33BE6">
        <w:rPr>
          <w:rFonts w:asciiTheme="minorHAnsi" w:hAnsiTheme="minorHAnsi"/>
          <w:lang w:val="en-US"/>
        </w:rPr>
        <w:t xml:space="preserve">ough a </w:t>
      </w:r>
      <w:r w:rsidR="006B443C" w:rsidRPr="00D33BE6">
        <w:rPr>
          <w:rFonts w:asciiTheme="minorHAnsi" w:hAnsiTheme="minorHAnsi"/>
          <w:lang w:val="en-US"/>
        </w:rPr>
        <w:t xml:space="preserve">voluntary </w:t>
      </w:r>
      <w:r w:rsidR="00D23E97" w:rsidRPr="00D33BE6">
        <w:rPr>
          <w:rFonts w:asciiTheme="minorHAnsi" w:hAnsiTheme="minorHAnsi"/>
          <w:lang w:val="en-US"/>
        </w:rPr>
        <w:t>option,</w:t>
      </w:r>
      <w:r w:rsidR="00746D40" w:rsidRPr="00D33BE6">
        <w:rPr>
          <w:rFonts w:asciiTheme="minorHAnsi" w:hAnsiTheme="minorHAnsi"/>
          <w:lang w:val="en-US"/>
        </w:rPr>
        <w:t xml:space="preserve"> the </w:t>
      </w:r>
      <w:r w:rsidR="006B443C" w:rsidRPr="00D33BE6">
        <w:rPr>
          <w:rFonts w:asciiTheme="minorHAnsi" w:hAnsiTheme="minorHAnsi"/>
          <w:lang w:val="en-US"/>
        </w:rPr>
        <w:t xml:space="preserve">CLC and the NLC </w:t>
      </w:r>
      <w:r w:rsidR="00746D40" w:rsidRPr="00D33BE6">
        <w:rPr>
          <w:rFonts w:asciiTheme="minorHAnsi" w:hAnsiTheme="minorHAnsi"/>
          <w:lang w:val="en-US"/>
        </w:rPr>
        <w:t xml:space="preserve">were concerned by </w:t>
      </w:r>
      <w:r w:rsidR="00D23E97" w:rsidRPr="00D33BE6">
        <w:rPr>
          <w:rFonts w:asciiTheme="minorHAnsi" w:hAnsiTheme="minorHAnsi"/>
          <w:lang w:val="en-US"/>
        </w:rPr>
        <w:t xml:space="preserve">apparent </w:t>
      </w:r>
      <w:r w:rsidR="006B443C" w:rsidRPr="00D33BE6">
        <w:rPr>
          <w:rFonts w:asciiTheme="minorHAnsi" w:hAnsiTheme="minorHAnsi"/>
          <w:lang w:val="en-US"/>
        </w:rPr>
        <w:t>pressure</w:t>
      </w:r>
      <w:r w:rsidR="007A4EFB" w:rsidRPr="00D33BE6">
        <w:rPr>
          <w:rFonts w:asciiTheme="minorHAnsi" w:hAnsiTheme="minorHAnsi"/>
        </w:rPr>
        <w:t xml:space="preserve"> </w:t>
      </w:r>
      <w:r w:rsidR="005C3BEC" w:rsidRPr="00D33BE6">
        <w:rPr>
          <w:rFonts w:asciiTheme="minorHAnsi" w:hAnsiTheme="minorHAnsi"/>
        </w:rPr>
        <w:t xml:space="preserve">applied </w:t>
      </w:r>
      <w:r w:rsidR="007A4EFB" w:rsidRPr="00D33BE6">
        <w:rPr>
          <w:rFonts w:asciiTheme="minorHAnsi" w:hAnsiTheme="minorHAnsi"/>
          <w:lang w:val="en-US"/>
        </w:rPr>
        <w:t>in negotiations with the Tiwi Islanders and others</w:t>
      </w:r>
      <w:r w:rsidR="005C3BEC" w:rsidRPr="00D33BE6">
        <w:rPr>
          <w:rFonts w:asciiTheme="minorHAnsi" w:hAnsiTheme="minorHAnsi"/>
          <w:lang w:val="en-US"/>
        </w:rPr>
        <w:t xml:space="preserve"> </w:t>
      </w:r>
      <w:r w:rsidR="006B443C" w:rsidRPr="00D33BE6">
        <w:rPr>
          <w:rFonts w:asciiTheme="minorHAnsi" w:hAnsiTheme="minorHAnsi"/>
          <w:lang w:val="en-US"/>
        </w:rPr>
        <w:t xml:space="preserve">to sign up to the township model in exchange for delivery of </w:t>
      </w:r>
      <w:r w:rsidR="00D23E97" w:rsidRPr="00D33BE6">
        <w:rPr>
          <w:rFonts w:asciiTheme="minorHAnsi" w:hAnsiTheme="minorHAnsi"/>
          <w:lang w:val="en-US"/>
        </w:rPr>
        <w:t xml:space="preserve">basic </w:t>
      </w:r>
      <w:r w:rsidR="006B443C" w:rsidRPr="00D33BE6">
        <w:rPr>
          <w:rFonts w:asciiTheme="minorHAnsi" w:hAnsiTheme="minorHAnsi"/>
          <w:lang w:val="en-US"/>
        </w:rPr>
        <w:t>services</w:t>
      </w:r>
      <w:r w:rsidR="00BC59DE">
        <w:rPr>
          <w:rFonts w:asciiTheme="minorHAnsi" w:hAnsiTheme="minorHAnsi"/>
          <w:lang w:val="en-US"/>
        </w:rPr>
        <w:t xml:space="preserve"> and </w:t>
      </w:r>
      <w:r w:rsidR="002B5067">
        <w:rPr>
          <w:rFonts w:asciiTheme="minorHAnsi" w:hAnsiTheme="minorHAnsi"/>
          <w:lang w:val="en-US"/>
        </w:rPr>
        <w:t>financial incentives</w:t>
      </w:r>
      <w:r w:rsidR="006B443C" w:rsidRPr="00D33BE6">
        <w:rPr>
          <w:rFonts w:asciiTheme="minorHAnsi" w:hAnsiTheme="minorHAnsi"/>
          <w:lang w:val="en-US"/>
        </w:rPr>
        <w:t>.</w:t>
      </w:r>
      <w:r w:rsidR="006B443C" w:rsidRPr="00D33BE6">
        <w:rPr>
          <w:rFonts w:asciiTheme="minorHAnsi" w:hAnsiTheme="minorHAnsi"/>
          <w:vertAlign w:val="superscript"/>
          <w:lang w:val="en-US"/>
        </w:rPr>
        <w:footnoteReference w:id="15"/>
      </w:r>
      <w:r w:rsidR="00235756" w:rsidRPr="00D33BE6">
        <w:rPr>
          <w:rFonts w:asciiTheme="minorHAnsi" w:hAnsiTheme="minorHAnsi"/>
          <w:lang w:val="en-US"/>
        </w:rPr>
        <w:t xml:space="preserve"> </w:t>
      </w:r>
    </w:p>
    <w:p w:rsidR="009F44BE" w:rsidRPr="00D33BE6" w:rsidRDefault="009F44BE" w:rsidP="00EA6F6C">
      <w:pPr>
        <w:spacing w:line="276" w:lineRule="auto"/>
        <w:rPr>
          <w:rFonts w:asciiTheme="minorHAnsi" w:hAnsiTheme="minorHAnsi"/>
          <w:lang w:val="en-US"/>
        </w:rPr>
      </w:pPr>
    </w:p>
    <w:p w:rsidR="00C1541B" w:rsidRPr="00D33BE6" w:rsidRDefault="009F44BE" w:rsidP="00EA6F6C">
      <w:pPr>
        <w:spacing w:line="276" w:lineRule="auto"/>
        <w:rPr>
          <w:rFonts w:asciiTheme="minorHAnsi" w:hAnsiTheme="minorHAnsi"/>
          <w:sz w:val="22"/>
          <w:szCs w:val="22"/>
        </w:rPr>
      </w:pPr>
      <w:r w:rsidRPr="00D33BE6">
        <w:rPr>
          <w:rFonts w:asciiTheme="minorHAnsi" w:hAnsiTheme="minorHAnsi"/>
          <w:lang w:val="en-US"/>
        </w:rPr>
        <w:t>While inalienability of title would be legally preserved</w:t>
      </w:r>
      <w:r w:rsidR="005C3BEC" w:rsidRPr="00D33BE6">
        <w:rPr>
          <w:rFonts w:asciiTheme="minorHAnsi" w:hAnsiTheme="minorHAnsi"/>
          <w:lang w:val="en-US"/>
        </w:rPr>
        <w:t xml:space="preserve"> under the new township leasing provision</w:t>
      </w:r>
      <w:r w:rsidRPr="00D33BE6">
        <w:rPr>
          <w:rFonts w:asciiTheme="minorHAnsi" w:hAnsiTheme="minorHAnsi"/>
          <w:lang w:val="en-US"/>
        </w:rPr>
        <w:t xml:space="preserve">, </w:t>
      </w:r>
      <w:r w:rsidR="00890491" w:rsidRPr="00D33BE6">
        <w:rPr>
          <w:rFonts w:asciiTheme="minorHAnsi" w:hAnsiTheme="minorHAnsi"/>
          <w:lang w:val="en-US"/>
        </w:rPr>
        <w:t xml:space="preserve">the </w:t>
      </w:r>
      <w:r w:rsidR="00D22705" w:rsidRPr="00D33BE6">
        <w:rPr>
          <w:rFonts w:asciiTheme="minorHAnsi" w:hAnsiTheme="minorHAnsi"/>
          <w:lang w:val="en-US"/>
        </w:rPr>
        <w:t>Land Council</w:t>
      </w:r>
      <w:r w:rsidR="00890491" w:rsidRPr="00D33BE6">
        <w:rPr>
          <w:rFonts w:asciiTheme="minorHAnsi" w:hAnsiTheme="minorHAnsi"/>
          <w:lang w:val="en-US"/>
        </w:rPr>
        <w:t xml:space="preserve">s considered that </w:t>
      </w:r>
      <w:r w:rsidRPr="00D33BE6">
        <w:rPr>
          <w:rFonts w:asciiTheme="minorHAnsi" w:hAnsiTheme="minorHAnsi"/>
          <w:lang w:val="en-US"/>
        </w:rPr>
        <w:t xml:space="preserve">the practical </w:t>
      </w:r>
      <w:r w:rsidR="005127D5" w:rsidRPr="00D33BE6">
        <w:rPr>
          <w:rFonts w:asciiTheme="minorHAnsi" w:hAnsiTheme="minorHAnsi"/>
          <w:lang w:val="en-US"/>
        </w:rPr>
        <w:t xml:space="preserve">effect of </w:t>
      </w:r>
      <w:r w:rsidR="005C3BEC" w:rsidRPr="00D33BE6">
        <w:rPr>
          <w:rFonts w:asciiTheme="minorHAnsi" w:hAnsiTheme="minorHAnsi"/>
          <w:lang w:val="en-US"/>
        </w:rPr>
        <w:t xml:space="preserve">such an agreement </w:t>
      </w:r>
      <w:r w:rsidR="005A47C4" w:rsidRPr="00D33BE6">
        <w:rPr>
          <w:rFonts w:asciiTheme="minorHAnsi" w:hAnsiTheme="minorHAnsi"/>
          <w:lang w:val="en-US"/>
        </w:rPr>
        <w:t xml:space="preserve">was </w:t>
      </w:r>
      <w:r w:rsidR="0045783F" w:rsidRPr="00D33BE6">
        <w:rPr>
          <w:rFonts w:asciiTheme="minorHAnsi" w:hAnsiTheme="minorHAnsi"/>
          <w:lang w:val="en-US"/>
        </w:rPr>
        <w:t xml:space="preserve">to negate </w:t>
      </w:r>
      <w:r w:rsidR="005A47C4" w:rsidRPr="00D33BE6">
        <w:rPr>
          <w:rFonts w:asciiTheme="minorHAnsi" w:hAnsiTheme="minorHAnsi"/>
          <w:lang w:val="en-US"/>
        </w:rPr>
        <w:t xml:space="preserve">some of </w:t>
      </w:r>
      <w:r w:rsidR="0045783F" w:rsidRPr="00D33BE6">
        <w:rPr>
          <w:rFonts w:asciiTheme="minorHAnsi" w:hAnsiTheme="minorHAnsi"/>
          <w:lang w:val="en-US"/>
        </w:rPr>
        <w:t xml:space="preserve">the primary benefits of land ownership, including rights that </w:t>
      </w:r>
      <w:r w:rsidR="00485804" w:rsidRPr="00D33BE6">
        <w:rPr>
          <w:rFonts w:asciiTheme="minorHAnsi" w:hAnsiTheme="minorHAnsi"/>
          <w:lang w:val="en-US"/>
        </w:rPr>
        <w:t xml:space="preserve">a lessor </w:t>
      </w:r>
      <w:r w:rsidR="0045783F" w:rsidRPr="00D33BE6">
        <w:rPr>
          <w:rFonts w:asciiTheme="minorHAnsi" w:hAnsiTheme="minorHAnsi"/>
          <w:lang w:val="en-US"/>
        </w:rPr>
        <w:t xml:space="preserve">would ordinarily </w:t>
      </w:r>
      <w:r w:rsidR="005A47C4" w:rsidRPr="00D33BE6">
        <w:rPr>
          <w:rFonts w:asciiTheme="minorHAnsi" w:hAnsiTheme="minorHAnsi"/>
          <w:lang w:val="en-US"/>
        </w:rPr>
        <w:t>retain</w:t>
      </w:r>
      <w:r w:rsidRPr="00D33BE6">
        <w:rPr>
          <w:rFonts w:asciiTheme="minorHAnsi" w:hAnsiTheme="minorHAnsi"/>
          <w:lang w:val="en-US"/>
        </w:rPr>
        <w:t xml:space="preserve">. </w:t>
      </w:r>
      <w:r w:rsidR="00890491" w:rsidRPr="00D33BE6">
        <w:rPr>
          <w:rFonts w:asciiTheme="minorHAnsi" w:hAnsiTheme="minorHAnsi"/>
        </w:rPr>
        <w:t xml:space="preserve">Maureen Tehan described </w:t>
      </w:r>
      <w:r w:rsidR="00C1541B" w:rsidRPr="00D33BE6">
        <w:rPr>
          <w:rFonts w:asciiTheme="minorHAnsi" w:hAnsiTheme="minorHAnsi"/>
        </w:rPr>
        <w:t>ent</w:t>
      </w:r>
      <w:r w:rsidR="00890491" w:rsidRPr="00D33BE6">
        <w:rPr>
          <w:rFonts w:asciiTheme="minorHAnsi" w:hAnsiTheme="minorHAnsi"/>
        </w:rPr>
        <w:t>ering</w:t>
      </w:r>
      <w:r w:rsidR="00C1541B" w:rsidRPr="00D33BE6">
        <w:rPr>
          <w:rFonts w:asciiTheme="minorHAnsi" w:hAnsiTheme="minorHAnsi"/>
        </w:rPr>
        <w:t xml:space="preserve"> into </w:t>
      </w:r>
      <w:r w:rsidR="007A4EFB" w:rsidRPr="00D33BE6">
        <w:rPr>
          <w:rFonts w:asciiTheme="minorHAnsi" w:hAnsiTheme="minorHAnsi"/>
        </w:rPr>
        <w:t xml:space="preserve">a whole of township lease </w:t>
      </w:r>
      <w:r w:rsidR="00C1541B" w:rsidRPr="00D33BE6">
        <w:rPr>
          <w:rFonts w:asciiTheme="minorHAnsi" w:hAnsiTheme="minorHAnsi"/>
        </w:rPr>
        <w:t>as</w:t>
      </w:r>
      <w:r w:rsidR="00890491" w:rsidRPr="00D33BE6">
        <w:rPr>
          <w:rFonts w:asciiTheme="minorHAnsi" w:hAnsiTheme="minorHAnsi"/>
        </w:rPr>
        <w:t xml:space="preserve"> effectively resulting in</w:t>
      </w:r>
      <w:r w:rsidR="007A4EFB" w:rsidRPr="00D33BE6">
        <w:rPr>
          <w:rFonts w:asciiTheme="minorHAnsi" w:hAnsiTheme="minorHAnsi"/>
        </w:rPr>
        <w:t xml:space="preserve"> the</w:t>
      </w:r>
      <w:r w:rsidR="00A43246" w:rsidRPr="00D33BE6">
        <w:rPr>
          <w:rFonts w:asciiTheme="minorHAnsi" w:hAnsiTheme="minorHAnsi"/>
        </w:rPr>
        <w:t xml:space="preserve"> </w:t>
      </w:r>
      <w:r w:rsidR="005A47C4" w:rsidRPr="00D33BE6">
        <w:rPr>
          <w:rFonts w:asciiTheme="minorHAnsi" w:hAnsiTheme="minorHAnsi"/>
        </w:rPr>
        <w:t>‘</w:t>
      </w:r>
      <w:r w:rsidR="007A4EFB" w:rsidRPr="00D33BE6">
        <w:rPr>
          <w:rFonts w:asciiTheme="minorHAnsi" w:hAnsiTheme="minorHAnsi"/>
        </w:rPr>
        <w:t>[</w:t>
      </w:r>
      <w:r w:rsidR="00C1541B" w:rsidRPr="00D33BE6">
        <w:rPr>
          <w:rFonts w:asciiTheme="minorHAnsi" w:hAnsiTheme="minorHAnsi"/>
        </w:rPr>
        <w:t>pass</w:t>
      </w:r>
      <w:r w:rsidR="007A4EFB" w:rsidRPr="00D33BE6">
        <w:rPr>
          <w:rFonts w:asciiTheme="minorHAnsi" w:hAnsiTheme="minorHAnsi"/>
        </w:rPr>
        <w:t>age]</w:t>
      </w:r>
      <w:r w:rsidR="00C1541B" w:rsidRPr="00D33BE6">
        <w:rPr>
          <w:rFonts w:asciiTheme="minorHAnsi" w:hAnsiTheme="minorHAnsi"/>
        </w:rPr>
        <w:t xml:space="preserve"> of control of the land from traditional owners to the entity which will control all land dealings within the township for [99 years] and will be empowered to sublease portions of the lan</w:t>
      </w:r>
      <w:r w:rsidR="00A43246" w:rsidRPr="00D33BE6">
        <w:rPr>
          <w:rFonts w:asciiTheme="minorHAnsi" w:hAnsiTheme="minorHAnsi"/>
        </w:rPr>
        <w:t>d.</w:t>
      </w:r>
      <w:r w:rsidR="005A47C4" w:rsidRPr="00D33BE6">
        <w:rPr>
          <w:rFonts w:asciiTheme="minorHAnsi" w:hAnsiTheme="minorHAnsi"/>
        </w:rPr>
        <w:t>’</w:t>
      </w:r>
      <w:r w:rsidR="00C1541B" w:rsidRPr="00D33BE6">
        <w:rPr>
          <w:rStyle w:val="FootnoteReference"/>
          <w:rFonts w:asciiTheme="minorHAnsi" w:hAnsiTheme="minorHAnsi"/>
        </w:rPr>
        <w:footnoteReference w:id="16"/>
      </w:r>
    </w:p>
    <w:p w:rsidR="00C04409" w:rsidRPr="00D33BE6" w:rsidRDefault="00C04409" w:rsidP="00EA6F6C">
      <w:pPr>
        <w:spacing w:line="276" w:lineRule="auto"/>
        <w:rPr>
          <w:rFonts w:asciiTheme="minorHAnsi" w:hAnsiTheme="minorHAnsi"/>
          <w:lang w:val="en-US"/>
        </w:rPr>
      </w:pPr>
    </w:p>
    <w:p w:rsidR="001319E4" w:rsidRPr="00D33BE6" w:rsidRDefault="001319E4" w:rsidP="00EA6F6C">
      <w:pPr>
        <w:spacing w:line="276" w:lineRule="auto"/>
        <w:rPr>
          <w:rFonts w:asciiTheme="minorHAnsi" w:hAnsiTheme="minorHAnsi"/>
          <w:lang w:val="en-US"/>
        </w:rPr>
      </w:pPr>
      <w:r w:rsidRPr="00D33BE6">
        <w:rPr>
          <w:rFonts w:asciiTheme="minorHAnsi" w:hAnsiTheme="minorHAnsi"/>
          <w:lang w:val="en-US"/>
        </w:rPr>
        <w:t xml:space="preserve">Both the </w:t>
      </w:r>
      <w:r w:rsidR="00990EE4" w:rsidRPr="00D33BE6">
        <w:rPr>
          <w:rFonts w:asciiTheme="minorHAnsi" w:hAnsiTheme="minorHAnsi"/>
          <w:lang w:val="en-US"/>
        </w:rPr>
        <w:t>CLC and the NLC</w:t>
      </w:r>
      <w:r w:rsidRPr="00D33BE6">
        <w:rPr>
          <w:rFonts w:asciiTheme="minorHAnsi" w:hAnsiTheme="minorHAnsi"/>
          <w:lang w:val="en-US"/>
        </w:rPr>
        <w:t xml:space="preserve"> were critical</w:t>
      </w:r>
      <w:r w:rsidR="00495D3D" w:rsidRPr="00D33BE6">
        <w:rPr>
          <w:rFonts w:asciiTheme="minorHAnsi" w:hAnsiTheme="minorHAnsi"/>
          <w:lang w:val="en-US"/>
        </w:rPr>
        <w:t xml:space="preserve"> </w:t>
      </w:r>
      <w:r w:rsidRPr="00D33BE6">
        <w:rPr>
          <w:rFonts w:asciiTheme="minorHAnsi" w:hAnsiTheme="minorHAnsi"/>
          <w:lang w:val="en-US"/>
        </w:rPr>
        <w:t>of the township leas</w:t>
      </w:r>
      <w:r w:rsidR="00BF7133" w:rsidRPr="00D33BE6">
        <w:rPr>
          <w:rFonts w:asciiTheme="minorHAnsi" w:hAnsiTheme="minorHAnsi"/>
          <w:lang w:val="en-US"/>
        </w:rPr>
        <w:t>ing provisions</w:t>
      </w:r>
      <w:r w:rsidR="00E82236" w:rsidRPr="00D33BE6">
        <w:rPr>
          <w:rFonts w:asciiTheme="minorHAnsi" w:hAnsiTheme="minorHAnsi"/>
          <w:lang w:val="en-US"/>
        </w:rPr>
        <w:t>,</w:t>
      </w:r>
      <w:r w:rsidR="00BF7133" w:rsidRPr="00D33BE6">
        <w:rPr>
          <w:rFonts w:asciiTheme="minorHAnsi" w:hAnsiTheme="minorHAnsi"/>
          <w:lang w:val="en-US"/>
        </w:rPr>
        <w:t xml:space="preserve"> arguing that</w:t>
      </w:r>
      <w:r w:rsidRPr="00D33BE6">
        <w:rPr>
          <w:rFonts w:asciiTheme="minorHAnsi" w:hAnsiTheme="minorHAnsi"/>
          <w:lang w:val="en-US"/>
        </w:rPr>
        <w:t>:</w:t>
      </w:r>
      <w:r w:rsidR="00B126DC" w:rsidRPr="00D33BE6">
        <w:rPr>
          <w:rStyle w:val="FootnoteReference"/>
          <w:rFonts w:asciiTheme="minorHAnsi" w:hAnsiTheme="minorHAnsi"/>
          <w:lang w:val="en-US"/>
        </w:rPr>
        <w:footnoteReference w:id="17"/>
      </w:r>
    </w:p>
    <w:p w:rsidR="001319E4" w:rsidRPr="00D33BE6" w:rsidRDefault="00BF7133" w:rsidP="00EA6F6C">
      <w:pPr>
        <w:numPr>
          <w:ilvl w:val="0"/>
          <w:numId w:val="5"/>
        </w:numPr>
        <w:spacing w:line="276" w:lineRule="auto"/>
        <w:rPr>
          <w:rFonts w:asciiTheme="minorHAnsi" w:hAnsiTheme="minorHAnsi"/>
          <w:lang w:val="en-US"/>
        </w:rPr>
      </w:pPr>
      <w:r w:rsidRPr="00D33BE6">
        <w:rPr>
          <w:rFonts w:asciiTheme="minorHAnsi" w:hAnsiTheme="minorHAnsi"/>
          <w:lang w:val="en-US"/>
        </w:rPr>
        <w:t xml:space="preserve">They </w:t>
      </w:r>
      <w:r w:rsidR="00C1541B" w:rsidRPr="00D33BE6">
        <w:rPr>
          <w:rFonts w:asciiTheme="minorHAnsi" w:hAnsiTheme="minorHAnsi"/>
          <w:lang w:val="en-US"/>
        </w:rPr>
        <w:t>are</w:t>
      </w:r>
      <w:r w:rsidR="006F4671" w:rsidRPr="00D33BE6">
        <w:rPr>
          <w:rFonts w:asciiTheme="minorHAnsi" w:hAnsiTheme="minorHAnsi"/>
          <w:lang w:val="en-US"/>
        </w:rPr>
        <w:t xml:space="preserve"> unnecessary</w:t>
      </w:r>
      <w:r w:rsidR="006B443C" w:rsidRPr="00D33BE6">
        <w:rPr>
          <w:rFonts w:asciiTheme="minorHAnsi" w:hAnsiTheme="minorHAnsi"/>
          <w:lang w:val="en-US"/>
        </w:rPr>
        <w:t>.</w:t>
      </w:r>
      <w:r w:rsidR="001319E4" w:rsidRPr="00D33BE6">
        <w:rPr>
          <w:rFonts w:asciiTheme="minorHAnsi" w:hAnsiTheme="minorHAnsi"/>
          <w:lang w:val="en-US"/>
        </w:rPr>
        <w:t xml:space="preserve"> The outcomes sought c</w:t>
      </w:r>
      <w:r w:rsidR="00A43246" w:rsidRPr="00D33BE6">
        <w:rPr>
          <w:rFonts w:asciiTheme="minorHAnsi" w:hAnsiTheme="minorHAnsi"/>
          <w:lang w:val="en-US"/>
        </w:rPr>
        <w:t>an</w:t>
      </w:r>
      <w:r w:rsidR="001319E4" w:rsidRPr="00D33BE6">
        <w:rPr>
          <w:rFonts w:asciiTheme="minorHAnsi" w:hAnsiTheme="minorHAnsi"/>
          <w:lang w:val="en-US"/>
        </w:rPr>
        <w:t xml:space="preserve"> be achieved through leases under section</w:t>
      </w:r>
      <w:r w:rsidR="00746D40" w:rsidRPr="00D33BE6">
        <w:rPr>
          <w:rFonts w:asciiTheme="minorHAnsi" w:hAnsiTheme="minorHAnsi"/>
          <w:lang w:val="en-US"/>
        </w:rPr>
        <w:t xml:space="preserve"> 19</w:t>
      </w:r>
      <w:r w:rsidR="00FA531B" w:rsidRPr="00D33BE6">
        <w:rPr>
          <w:rFonts w:asciiTheme="minorHAnsi" w:hAnsiTheme="minorHAnsi"/>
          <w:lang w:val="en-US"/>
        </w:rPr>
        <w:t>.</w:t>
      </w:r>
    </w:p>
    <w:p w:rsidR="00B126DC" w:rsidRPr="00D33BE6" w:rsidRDefault="00B126DC" w:rsidP="00EA6F6C">
      <w:pPr>
        <w:numPr>
          <w:ilvl w:val="0"/>
          <w:numId w:val="5"/>
        </w:numPr>
        <w:spacing w:line="276" w:lineRule="auto"/>
        <w:rPr>
          <w:rFonts w:asciiTheme="minorHAnsi" w:hAnsiTheme="minorHAnsi"/>
          <w:lang w:val="en-US"/>
        </w:rPr>
      </w:pPr>
      <w:r w:rsidRPr="00D33BE6">
        <w:rPr>
          <w:rFonts w:asciiTheme="minorHAnsi" w:hAnsiTheme="minorHAnsi"/>
          <w:lang w:val="en-US"/>
        </w:rPr>
        <w:t>They restrict the freedom of traditional owners to bargain commercially, through legislative restrictions on what may be provided for in the head</w:t>
      </w:r>
      <w:r w:rsidR="003C0607" w:rsidRPr="00D33BE6">
        <w:rPr>
          <w:rFonts w:asciiTheme="minorHAnsi" w:hAnsiTheme="minorHAnsi"/>
          <w:lang w:val="en-US"/>
        </w:rPr>
        <w:t xml:space="preserve"> </w:t>
      </w:r>
      <w:r w:rsidRPr="00D33BE6">
        <w:rPr>
          <w:rFonts w:asciiTheme="minorHAnsi" w:hAnsiTheme="minorHAnsi"/>
          <w:lang w:val="en-US"/>
        </w:rPr>
        <w:t>lease</w:t>
      </w:r>
      <w:r w:rsidR="00E82236" w:rsidRPr="00D33BE6">
        <w:rPr>
          <w:rFonts w:asciiTheme="minorHAnsi" w:hAnsiTheme="minorHAnsi"/>
          <w:lang w:val="en-US"/>
        </w:rPr>
        <w:t>.</w:t>
      </w:r>
      <w:r w:rsidRPr="00D33BE6">
        <w:rPr>
          <w:rStyle w:val="FootnoteReference"/>
          <w:rFonts w:asciiTheme="minorHAnsi" w:hAnsiTheme="minorHAnsi"/>
          <w:lang w:val="en-US"/>
        </w:rPr>
        <w:footnoteReference w:id="18"/>
      </w:r>
    </w:p>
    <w:p w:rsidR="00E94463" w:rsidRPr="00D33BE6" w:rsidRDefault="00BF7133" w:rsidP="00EA6F6C">
      <w:pPr>
        <w:numPr>
          <w:ilvl w:val="0"/>
          <w:numId w:val="5"/>
        </w:numPr>
        <w:spacing w:line="276" w:lineRule="auto"/>
        <w:rPr>
          <w:rFonts w:asciiTheme="minorHAnsi" w:hAnsiTheme="minorHAnsi"/>
          <w:lang w:val="en-US"/>
        </w:rPr>
      </w:pPr>
      <w:r w:rsidRPr="00D33BE6">
        <w:rPr>
          <w:rFonts w:asciiTheme="minorHAnsi" w:hAnsiTheme="minorHAnsi"/>
          <w:lang w:val="en-US"/>
        </w:rPr>
        <w:t>The</w:t>
      </w:r>
      <w:r w:rsidR="00E94463" w:rsidRPr="00D33BE6">
        <w:rPr>
          <w:rFonts w:asciiTheme="minorHAnsi" w:hAnsiTheme="minorHAnsi"/>
          <w:lang w:val="en-US"/>
        </w:rPr>
        <w:t xml:space="preserve"> expectation that traditional owners </w:t>
      </w:r>
      <w:r w:rsidR="00211C72" w:rsidRPr="00D33BE6">
        <w:rPr>
          <w:rFonts w:asciiTheme="minorHAnsi" w:hAnsiTheme="minorHAnsi"/>
          <w:lang w:val="en-US"/>
        </w:rPr>
        <w:t xml:space="preserve">would </w:t>
      </w:r>
      <w:r w:rsidR="00E94463" w:rsidRPr="00D33BE6">
        <w:rPr>
          <w:rFonts w:asciiTheme="minorHAnsi" w:hAnsiTheme="minorHAnsi"/>
          <w:lang w:val="en-US"/>
        </w:rPr>
        <w:t xml:space="preserve">forgo their right to engage in commercial development over large areas of vacant land for </w:t>
      </w:r>
      <w:r w:rsidR="00C76711" w:rsidRPr="00D33BE6">
        <w:rPr>
          <w:rFonts w:asciiTheme="minorHAnsi" w:hAnsiTheme="minorHAnsi"/>
          <w:lang w:val="en-US"/>
        </w:rPr>
        <w:t xml:space="preserve">ninety-nine </w:t>
      </w:r>
      <w:r w:rsidR="00E94463" w:rsidRPr="00D33BE6">
        <w:rPr>
          <w:rFonts w:asciiTheme="minorHAnsi" w:hAnsiTheme="minorHAnsi"/>
          <w:lang w:val="en-US"/>
        </w:rPr>
        <w:t>years in return for a rental determined by valuation rather than negotiation</w:t>
      </w:r>
      <w:r w:rsidRPr="00D33BE6">
        <w:rPr>
          <w:rFonts w:asciiTheme="minorHAnsi" w:hAnsiTheme="minorHAnsi"/>
          <w:lang w:val="en-US"/>
        </w:rPr>
        <w:t xml:space="preserve"> was unreasonable</w:t>
      </w:r>
      <w:r w:rsidR="00E94463" w:rsidRPr="00D33BE6">
        <w:rPr>
          <w:rFonts w:asciiTheme="minorHAnsi" w:hAnsiTheme="minorHAnsi"/>
          <w:lang w:val="en-US"/>
        </w:rPr>
        <w:t>.</w:t>
      </w:r>
    </w:p>
    <w:p w:rsidR="00261CBC" w:rsidRPr="00963AC9" w:rsidRDefault="00BF7133" w:rsidP="00EA6F6C">
      <w:pPr>
        <w:numPr>
          <w:ilvl w:val="0"/>
          <w:numId w:val="5"/>
        </w:numPr>
        <w:spacing w:line="276" w:lineRule="auto"/>
        <w:rPr>
          <w:rFonts w:asciiTheme="minorHAnsi" w:hAnsiTheme="minorHAnsi"/>
          <w:lang w:val="en-US"/>
        </w:rPr>
      </w:pPr>
      <w:r w:rsidRPr="00D33BE6">
        <w:rPr>
          <w:rFonts w:asciiTheme="minorHAnsi" w:hAnsiTheme="minorHAnsi"/>
          <w:lang w:val="en-US"/>
        </w:rPr>
        <w:lastRenderedPageBreak/>
        <w:t xml:space="preserve">They </w:t>
      </w:r>
      <w:r w:rsidR="00261CBC" w:rsidRPr="00D33BE6">
        <w:rPr>
          <w:rFonts w:asciiTheme="minorHAnsi" w:hAnsiTheme="minorHAnsi"/>
          <w:lang w:val="en-US"/>
        </w:rPr>
        <w:t>promote private investment in housing and entrepreneurship by community residents w</w:t>
      </w:r>
      <w:r w:rsidR="00211C72" w:rsidRPr="00D33BE6">
        <w:rPr>
          <w:rFonts w:asciiTheme="minorHAnsi" w:hAnsiTheme="minorHAnsi"/>
          <w:lang w:val="en-US"/>
        </w:rPr>
        <w:t>hile denying</w:t>
      </w:r>
      <w:r w:rsidR="00261CBC" w:rsidRPr="00D33BE6">
        <w:rPr>
          <w:rFonts w:asciiTheme="minorHAnsi" w:hAnsiTheme="minorHAnsi"/>
          <w:lang w:val="en-US"/>
        </w:rPr>
        <w:t xml:space="preserve"> such investment and entrepreneurship </w:t>
      </w:r>
      <w:r w:rsidR="00211C72" w:rsidRPr="00D33BE6">
        <w:rPr>
          <w:rFonts w:asciiTheme="minorHAnsi" w:hAnsiTheme="minorHAnsi"/>
          <w:lang w:val="en-US"/>
        </w:rPr>
        <w:t>to</w:t>
      </w:r>
      <w:r w:rsidR="00261CBC" w:rsidRPr="00D33BE6">
        <w:rPr>
          <w:rFonts w:asciiTheme="minorHAnsi" w:hAnsiTheme="minorHAnsi"/>
          <w:lang w:val="en-US"/>
        </w:rPr>
        <w:t xml:space="preserve"> </w:t>
      </w:r>
      <w:r w:rsidR="00211C72" w:rsidRPr="00D33BE6">
        <w:rPr>
          <w:rFonts w:asciiTheme="minorHAnsi" w:hAnsiTheme="minorHAnsi"/>
          <w:lang w:val="en-US"/>
        </w:rPr>
        <w:t xml:space="preserve">non-resident </w:t>
      </w:r>
      <w:r w:rsidR="00746D40" w:rsidRPr="00D33BE6">
        <w:rPr>
          <w:rFonts w:asciiTheme="minorHAnsi" w:hAnsiTheme="minorHAnsi"/>
          <w:lang w:val="en-US"/>
        </w:rPr>
        <w:t>traditional owners</w:t>
      </w:r>
      <w:r w:rsidR="00604259" w:rsidRPr="00D33BE6">
        <w:rPr>
          <w:rFonts w:asciiTheme="minorHAnsi" w:hAnsiTheme="minorHAnsi"/>
          <w:lang w:val="en-US"/>
        </w:rPr>
        <w:t>.</w:t>
      </w:r>
      <w:r w:rsidR="00604259" w:rsidRPr="00963AC9">
        <w:rPr>
          <w:rStyle w:val="FootnoteReference"/>
          <w:rFonts w:asciiTheme="minorHAnsi" w:hAnsiTheme="minorHAnsi"/>
          <w:lang w:val="en-US"/>
        </w:rPr>
        <w:footnoteReference w:id="19"/>
      </w:r>
    </w:p>
    <w:p w:rsidR="007D5CF0" w:rsidRPr="00963AC9" w:rsidRDefault="007D5CF0" w:rsidP="00EA6F6C">
      <w:pPr>
        <w:spacing w:line="276" w:lineRule="auto"/>
        <w:ind w:left="780"/>
        <w:rPr>
          <w:rFonts w:asciiTheme="minorHAnsi" w:hAnsiTheme="minorHAnsi"/>
          <w:lang w:val="en-US"/>
        </w:rPr>
      </w:pPr>
    </w:p>
    <w:p w:rsidR="007D33AB" w:rsidRPr="00963AC9" w:rsidRDefault="00737DDD" w:rsidP="00EA6F6C">
      <w:pPr>
        <w:spacing w:line="276" w:lineRule="auto"/>
        <w:rPr>
          <w:rFonts w:asciiTheme="minorHAnsi" w:hAnsiTheme="minorHAnsi"/>
        </w:rPr>
      </w:pPr>
      <w:r w:rsidRPr="00963AC9">
        <w:rPr>
          <w:rFonts w:asciiTheme="minorHAnsi" w:hAnsiTheme="minorHAnsi"/>
        </w:rPr>
        <w:t xml:space="preserve">Tehan </w:t>
      </w:r>
      <w:r w:rsidR="00A43246" w:rsidRPr="00963AC9">
        <w:rPr>
          <w:rFonts w:asciiTheme="minorHAnsi" w:hAnsiTheme="minorHAnsi"/>
        </w:rPr>
        <w:t>observe</w:t>
      </w:r>
      <w:r w:rsidR="005A47C4" w:rsidRPr="00963AC9">
        <w:rPr>
          <w:rFonts w:asciiTheme="minorHAnsi" w:hAnsiTheme="minorHAnsi"/>
        </w:rPr>
        <w:t>d</w:t>
      </w:r>
      <w:r w:rsidRPr="00963AC9">
        <w:rPr>
          <w:rFonts w:asciiTheme="minorHAnsi" w:hAnsiTheme="minorHAnsi"/>
        </w:rPr>
        <w:t xml:space="preserve"> that in the development and discussion of the township leasing amendments ‘</w:t>
      </w:r>
      <w:r w:rsidR="009A6F8C" w:rsidRPr="00963AC9">
        <w:rPr>
          <w:rFonts w:asciiTheme="minorHAnsi" w:hAnsiTheme="minorHAnsi"/>
        </w:rPr>
        <w:t>little</w:t>
      </w:r>
      <w:r w:rsidRPr="00963AC9">
        <w:rPr>
          <w:rFonts w:asciiTheme="minorHAnsi" w:hAnsiTheme="minorHAnsi"/>
        </w:rPr>
        <w:t xml:space="preserve"> serious argument was made to support the assumptions underlying the changes</w:t>
      </w:r>
      <w:r w:rsidR="00E82236" w:rsidRPr="00963AC9">
        <w:rPr>
          <w:rFonts w:asciiTheme="minorHAnsi" w:hAnsiTheme="minorHAnsi"/>
        </w:rPr>
        <w:t xml:space="preserve"> – </w:t>
      </w:r>
      <w:r w:rsidRPr="00963AC9">
        <w:rPr>
          <w:rFonts w:asciiTheme="minorHAnsi" w:hAnsiTheme="minorHAnsi"/>
        </w:rPr>
        <w:t>that</w:t>
      </w:r>
      <w:r w:rsidR="00DB4F5E" w:rsidRPr="00963AC9">
        <w:rPr>
          <w:rFonts w:asciiTheme="minorHAnsi" w:hAnsiTheme="minorHAnsi"/>
        </w:rPr>
        <w:t xml:space="preserve"> [they] </w:t>
      </w:r>
      <w:r w:rsidRPr="00963AC9">
        <w:rPr>
          <w:rFonts w:asciiTheme="minorHAnsi" w:hAnsiTheme="minorHAnsi"/>
        </w:rPr>
        <w:t>will inevitably produce economic, social and political development as an antidote to the social and economic alienation of Indigenous peoples within Australia.’</w:t>
      </w:r>
      <w:r w:rsidR="009F44BE" w:rsidRPr="00963AC9">
        <w:rPr>
          <w:rStyle w:val="FootnoteReference"/>
          <w:rFonts w:asciiTheme="minorHAnsi" w:hAnsiTheme="minorHAnsi"/>
        </w:rPr>
        <w:footnoteReference w:id="20"/>
      </w:r>
      <w:r w:rsidRPr="00963AC9">
        <w:rPr>
          <w:rFonts w:asciiTheme="minorHAnsi" w:hAnsiTheme="minorHAnsi"/>
        </w:rPr>
        <w:t xml:space="preserve"> </w:t>
      </w:r>
      <w:r w:rsidR="00CA28B4" w:rsidRPr="00963AC9">
        <w:rPr>
          <w:rFonts w:asciiTheme="minorHAnsi" w:hAnsiTheme="minorHAnsi"/>
        </w:rPr>
        <w:t>Moreover</w:t>
      </w:r>
      <w:r w:rsidR="006B443C" w:rsidRPr="00963AC9">
        <w:rPr>
          <w:rFonts w:asciiTheme="minorHAnsi" w:hAnsiTheme="minorHAnsi"/>
        </w:rPr>
        <w:t>,</w:t>
      </w:r>
      <w:r w:rsidR="00E455CD" w:rsidRPr="00963AC9">
        <w:rPr>
          <w:rFonts w:asciiTheme="minorHAnsi" w:hAnsiTheme="minorHAnsi"/>
        </w:rPr>
        <w:t xml:space="preserve"> </w:t>
      </w:r>
      <w:r w:rsidR="00CA28B4" w:rsidRPr="00963AC9">
        <w:rPr>
          <w:rFonts w:asciiTheme="minorHAnsi" w:hAnsiTheme="minorHAnsi"/>
        </w:rPr>
        <w:t>despite free market rhetoric having been used to promote the township leasing model</w:t>
      </w:r>
      <w:r w:rsidR="000B7739" w:rsidRPr="00963AC9">
        <w:rPr>
          <w:rFonts w:asciiTheme="minorHAnsi" w:hAnsiTheme="minorHAnsi"/>
        </w:rPr>
        <w:t>,</w:t>
      </w:r>
      <w:r w:rsidR="00CA28B4" w:rsidRPr="00963AC9">
        <w:rPr>
          <w:rFonts w:asciiTheme="minorHAnsi" w:hAnsiTheme="minorHAnsi"/>
        </w:rPr>
        <w:t xml:space="preserve"> </w:t>
      </w:r>
      <w:r w:rsidR="00C1541B" w:rsidRPr="00963AC9">
        <w:rPr>
          <w:rFonts w:asciiTheme="minorHAnsi" w:hAnsiTheme="minorHAnsi"/>
        </w:rPr>
        <w:t>it has been argued that</w:t>
      </w:r>
      <w:r w:rsidR="00B23A2C" w:rsidRPr="00963AC9">
        <w:rPr>
          <w:rFonts w:asciiTheme="minorHAnsi" w:hAnsiTheme="minorHAnsi"/>
        </w:rPr>
        <w:t xml:space="preserve"> in p</w:t>
      </w:r>
      <w:r w:rsidR="00380F79" w:rsidRPr="00963AC9">
        <w:rPr>
          <w:rFonts w:asciiTheme="minorHAnsi" w:hAnsiTheme="minorHAnsi"/>
        </w:rPr>
        <w:t>ractic</w:t>
      </w:r>
      <w:r w:rsidR="00B23A2C" w:rsidRPr="00963AC9">
        <w:rPr>
          <w:rFonts w:asciiTheme="minorHAnsi" w:hAnsiTheme="minorHAnsi"/>
        </w:rPr>
        <w:t>e</w:t>
      </w:r>
      <w:r w:rsidR="00C1541B" w:rsidRPr="00963AC9">
        <w:rPr>
          <w:rFonts w:asciiTheme="minorHAnsi" w:hAnsiTheme="minorHAnsi"/>
        </w:rPr>
        <w:t xml:space="preserve"> </w:t>
      </w:r>
      <w:r w:rsidR="00380F79" w:rsidRPr="00963AC9">
        <w:rPr>
          <w:rFonts w:asciiTheme="minorHAnsi" w:hAnsiTheme="minorHAnsi"/>
        </w:rPr>
        <w:t xml:space="preserve">the effect of the model </w:t>
      </w:r>
      <w:r w:rsidR="00CA28B4" w:rsidRPr="00963AC9">
        <w:rPr>
          <w:rFonts w:asciiTheme="minorHAnsi" w:hAnsiTheme="minorHAnsi"/>
        </w:rPr>
        <w:t>‘is to introduce a higher level of government control over private decision making.’</w:t>
      </w:r>
      <w:r w:rsidR="00E455CD" w:rsidRPr="00963AC9">
        <w:rPr>
          <w:rStyle w:val="FootnoteReference"/>
          <w:rFonts w:asciiTheme="minorHAnsi" w:hAnsiTheme="minorHAnsi"/>
        </w:rPr>
        <w:footnoteReference w:id="21"/>
      </w:r>
    </w:p>
    <w:p w:rsidR="00737DDD" w:rsidRPr="00963AC9" w:rsidRDefault="00737DDD" w:rsidP="00EA6F6C">
      <w:pPr>
        <w:spacing w:line="276" w:lineRule="auto"/>
        <w:rPr>
          <w:rFonts w:asciiTheme="minorHAnsi" w:hAnsiTheme="minorHAnsi"/>
        </w:rPr>
      </w:pPr>
    </w:p>
    <w:p w:rsidR="003D4D44" w:rsidRPr="00963AC9" w:rsidRDefault="00810268" w:rsidP="00EA6F6C">
      <w:pPr>
        <w:spacing w:line="276" w:lineRule="auto"/>
        <w:rPr>
          <w:rFonts w:asciiTheme="minorHAnsi" w:hAnsiTheme="minorHAnsi"/>
        </w:rPr>
      </w:pPr>
      <w:r w:rsidRPr="00963AC9">
        <w:rPr>
          <w:rFonts w:asciiTheme="minorHAnsi" w:hAnsiTheme="minorHAnsi"/>
        </w:rPr>
        <w:t>Terrill</w:t>
      </w:r>
      <w:r w:rsidR="00746D40" w:rsidRPr="00963AC9">
        <w:rPr>
          <w:rFonts w:asciiTheme="minorHAnsi" w:hAnsiTheme="minorHAnsi"/>
        </w:rPr>
        <w:t xml:space="preserve"> considers that, commencing with </w:t>
      </w:r>
      <w:r w:rsidR="007D5CF0" w:rsidRPr="00963AC9">
        <w:rPr>
          <w:rFonts w:asciiTheme="minorHAnsi" w:hAnsiTheme="minorHAnsi"/>
        </w:rPr>
        <w:t>the</w:t>
      </w:r>
      <w:r w:rsidR="00211C72" w:rsidRPr="00963AC9">
        <w:rPr>
          <w:rFonts w:asciiTheme="minorHAnsi" w:hAnsiTheme="minorHAnsi"/>
        </w:rPr>
        <w:t xml:space="preserve"> whole of township</w:t>
      </w:r>
      <w:r w:rsidR="007D5CF0" w:rsidRPr="00963AC9">
        <w:rPr>
          <w:rFonts w:asciiTheme="minorHAnsi" w:hAnsiTheme="minorHAnsi"/>
        </w:rPr>
        <w:t xml:space="preserve"> amendments, </w:t>
      </w:r>
      <w:r w:rsidR="003D4D44" w:rsidRPr="00963AC9">
        <w:rPr>
          <w:rFonts w:asciiTheme="minorHAnsi" w:hAnsiTheme="minorHAnsi"/>
        </w:rPr>
        <w:t xml:space="preserve">the </w:t>
      </w:r>
      <w:r w:rsidR="005C71B4" w:rsidRPr="00963AC9">
        <w:rPr>
          <w:rFonts w:asciiTheme="minorHAnsi" w:hAnsiTheme="minorHAnsi"/>
        </w:rPr>
        <w:t>Australian</w:t>
      </w:r>
      <w:r w:rsidR="001C3AD3" w:rsidRPr="00963AC9">
        <w:rPr>
          <w:rFonts w:asciiTheme="minorHAnsi" w:hAnsiTheme="minorHAnsi"/>
        </w:rPr>
        <w:t xml:space="preserve"> Government</w:t>
      </w:r>
      <w:r w:rsidR="003D4D44" w:rsidRPr="00963AC9">
        <w:rPr>
          <w:rFonts w:asciiTheme="minorHAnsi" w:hAnsiTheme="minorHAnsi"/>
        </w:rPr>
        <w:t xml:space="preserve">’s approach </w:t>
      </w:r>
      <w:r w:rsidR="005A47C4" w:rsidRPr="00963AC9">
        <w:rPr>
          <w:rFonts w:asciiTheme="minorHAnsi" w:hAnsiTheme="minorHAnsi"/>
        </w:rPr>
        <w:t xml:space="preserve">to land reform </w:t>
      </w:r>
      <w:r w:rsidR="003D4D44" w:rsidRPr="00963AC9">
        <w:rPr>
          <w:rFonts w:asciiTheme="minorHAnsi" w:hAnsiTheme="minorHAnsi"/>
        </w:rPr>
        <w:t>in the Northern Territory ha</w:t>
      </w:r>
      <w:r w:rsidR="007D5CF0" w:rsidRPr="00963AC9">
        <w:rPr>
          <w:rFonts w:asciiTheme="minorHAnsi" w:hAnsiTheme="minorHAnsi"/>
        </w:rPr>
        <w:t>s</w:t>
      </w:r>
      <w:r w:rsidR="003D4D44" w:rsidRPr="00963AC9">
        <w:rPr>
          <w:rFonts w:asciiTheme="minorHAnsi" w:hAnsiTheme="minorHAnsi"/>
        </w:rPr>
        <w:t xml:space="preserve"> been disappointingly simplistic and ‘characterised by a tendency to jump directly from debate at a fairly ideological level to implementation of the reforms.’</w:t>
      </w:r>
      <w:r w:rsidR="00A81052" w:rsidRPr="00963AC9">
        <w:rPr>
          <w:rStyle w:val="FootnoteReference"/>
          <w:rFonts w:asciiTheme="minorHAnsi" w:hAnsiTheme="minorHAnsi"/>
        </w:rPr>
        <w:footnoteReference w:id="22"/>
      </w:r>
      <w:r w:rsidR="00096A40" w:rsidRPr="00963AC9">
        <w:rPr>
          <w:rFonts w:asciiTheme="minorHAnsi" w:hAnsiTheme="minorHAnsi"/>
        </w:rPr>
        <w:t xml:space="preserve"> </w:t>
      </w:r>
      <w:r w:rsidR="006B443C" w:rsidRPr="00963AC9">
        <w:rPr>
          <w:rFonts w:asciiTheme="minorHAnsi" w:hAnsiTheme="minorHAnsi"/>
        </w:rPr>
        <w:t>T</w:t>
      </w:r>
      <w:r w:rsidR="003D4D44" w:rsidRPr="00963AC9">
        <w:rPr>
          <w:rFonts w:asciiTheme="minorHAnsi" w:hAnsiTheme="minorHAnsi"/>
        </w:rPr>
        <w:t xml:space="preserve">he </w:t>
      </w:r>
      <w:r w:rsidR="005C71B4" w:rsidRPr="00963AC9">
        <w:rPr>
          <w:rFonts w:asciiTheme="minorHAnsi" w:hAnsiTheme="minorHAnsi"/>
        </w:rPr>
        <w:t>Australian</w:t>
      </w:r>
      <w:r w:rsidR="003D4D44" w:rsidRPr="00963AC9">
        <w:rPr>
          <w:rFonts w:asciiTheme="minorHAnsi" w:hAnsiTheme="minorHAnsi"/>
        </w:rPr>
        <w:t xml:space="preserve"> </w:t>
      </w:r>
      <w:r w:rsidR="00896FA8" w:rsidRPr="00963AC9">
        <w:rPr>
          <w:rFonts w:asciiTheme="minorHAnsi" w:hAnsiTheme="minorHAnsi"/>
        </w:rPr>
        <w:t xml:space="preserve">Government </w:t>
      </w:r>
      <w:r w:rsidR="003D4D44" w:rsidRPr="00963AC9">
        <w:rPr>
          <w:rFonts w:asciiTheme="minorHAnsi" w:hAnsiTheme="minorHAnsi"/>
        </w:rPr>
        <w:t>missed the important step of clarifying the aims of its reform and has not necessarily devised policy in a way that directly responds to the debate</w:t>
      </w:r>
      <w:r w:rsidR="003D4D44" w:rsidRPr="00963AC9">
        <w:rPr>
          <w:rFonts w:asciiTheme="minorHAnsi" w:hAnsiTheme="minorHAnsi"/>
          <w:sz w:val="22"/>
          <w:szCs w:val="22"/>
        </w:rPr>
        <w:t>:</w:t>
      </w:r>
      <w:r w:rsidR="00096A40" w:rsidRPr="00963AC9">
        <w:rPr>
          <w:rFonts w:asciiTheme="minorHAnsi" w:hAnsiTheme="minorHAnsi"/>
        </w:rPr>
        <w:t xml:space="preserve"> </w:t>
      </w:r>
    </w:p>
    <w:p w:rsidR="003D4D44" w:rsidRPr="00963AC9" w:rsidRDefault="003D4D44" w:rsidP="00EA6F6C">
      <w:pPr>
        <w:spacing w:line="276" w:lineRule="auto"/>
        <w:rPr>
          <w:rFonts w:asciiTheme="minorHAnsi" w:hAnsiTheme="minorHAnsi"/>
          <w:sz w:val="22"/>
          <w:szCs w:val="22"/>
        </w:rPr>
      </w:pPr>
    </w:p>
    <w:p w:rsidR="003D4D44" w:rsidRPr="00D46028" w:rsidRDefault="003D4D44" w:rsidP="00EA6F6C">
      <w:pPr>
        <w:pStyle w:val="Default"/>
        <w:spacing w:line="276" w:lineRule="auto"/>
        <w:ind w:left="720"/>
        <w:rPr>
          <w:rFonts w:asciiTheme="minorHAnsi" w:hAnsiTheme="minorHAnsi"/>
        </w:rPr>
      </w:pPr>
      <w:r w:rsidRPr="00963AC9">
        <w:rPr>
          <w:rFonts w:asciiTheme="minorHAnsi" w:hAnsiTheme="minorHAnsi"/>
          <w:sz w:val="22"/>
          <w:szCs w:val="22"/>
        </w:rPr>
        <w:t>While the public debate in Australia has been dominated by references to economic development and home ownership, government practice has instead focussed on implementing a new decision making structure.</w:t>
      </w:r>
      <w:r w:rsidR="00DB4F5E" w:rsidRPr="00D46028">
        <w:rPr>
          <w:rStyle w:val="FootnoteReference"/>
          <w:rFonts w:asciiTheme="minorHAnsi" w:hAnsiTheme="minorHAnsi"/>
          <w:sz w:val="22"/>
          <w:szCs w:val="22"/>
        </w:rPr>
        <w:footnoteReference w:id="23"/>
      </w:r>
      <w:r w:rsidRPr="00D46028">
        <w:rPr>
          <w:rFonts w:asciiTheme="minorHAnsi" w:hAnsiTheme="minorHAnsi"/>
        </w:rPr>
        <w:t xml:space="preserve"> </w:t>
      </w:r>
    </w:p>
    <w:p w:rsidR="009E7883" w:rsidRPr="00D46028" w:rsidRDefault="009E7883" w:rsidP="00EA6F6C">
      <w:pPr>
        <w:spacing w:line="276" w:lineRule="auto"/>
        <w:rPr>
          <w:rFonts w:asciiTheme="minorHAnsi" w:hAnsiTheme="minorHAnsi"/>
        </w:rPr>
      </w:pPr>
    </w:p>
    <w:p w:rsidR="00D71B28" w:rsidRPr="00D46028" w:rsidRDefault="00B23A2C" w:rsidP="00EA6F6C">
      <w:pPr>
        <w:spacing w:line="276" w:lineRule="auto"/>
        <w:rPr>
          <w:rFonts w:asciiTheme="minorHAnsi" w:hAnsiTheme="minorHAnsi"/>
        </w:rPr>
      </w:pPr>
      <w:r w:rsidRPr="00D46028">
        <w:rPr>
          <w:rFonts w:asciiTheme="minorHAnsi" w:hAnsiTheme="minorHAnsi"/>
        </w:rPr>
        <w:t>Such a practice</w:t>
      </w:r>
      <w:r w:rsidR="00436E10" w:rsidRPr="00D46028">
        <w:rPr>
          <w:rFonts w:asciiTheme="minorHAnsi" w:hAnsiTheme="minorHAnsi"/>
        </w:rPr>
        <w:t xml:space="preserve"> was evident in the next iteration of land reform policy in the Northern Territory</w:t>
      </w:r>
      <w:r w:rsidR="00096A40" w:rsidRPr="00D46028">
        <w:rPr>
          <w:rFonts w:asciiTheme="minorHAnsi" w:hAnsiTheme="minorHAnsi"/>
        </w:rPr>
        <w:t>:</w:t>
      </w:r>
      <w:r w:rsidR="00436E10" w:rsidRPr="00D46028">
        <w:rPr>
          <w:rFonts w:asciiTheme="minorHAnsi" w:hAnsiTheme="minorHAnsi"/>
        </w:rPr>
        <w:t xml:space="preserve"> the</w:t>
      </w:r>
      <w:r w:rsidR="00D71B28" w:rsidRPr="00D46028">
        <w:rPr>
          <w:rFonts w:asciiTheme="minorHAnsi" w:hAnsiTheme="minorHAnsi"/>
        </w:rPr>
        <w:t xml:space="preserve"> compulsory acquisition of five year leases under the </w:t>
      </w:r>
      <w:r w:rsidR="00BB336F" w:rsidRPr="00D46028">
        <w:rPr>
          <w:rFonts w:asciiTheme="minorHAnsi" w:hAnsiTheme="minorHAnsi"/>
        </w:rPr>
        <w:t>NTNER</w:t>
      </w:r>
      <w:r w:rsidR="004D0855" w:rsidRPr="00D46028">
        <w:rPr>
          <w:rFonts w:asciiTheme="minorHAnsi" w:hAnsiTheme="minorHAnsi"/>
        </w:rPr>
        <w:t>.</w:t>
      </w:r>
    </w:p>
    <w:p w:rsidR="00145096" w:rsidRPr="00D46028" w:rsidRDefault="00145096" w:rsidP="00EA6F6C">
      <w:pPr>
        <w:spacing w:line="276" w:lineRule="auto"/>
        <w:rPr>
          <w:rFonts w:asciiTheme="minorHAnsi" w:hAnsiTheme="minorHAnsi"/>
        </w:rPr>
      </w:pPr>
    </w:p>
    <w:p w:rsidR="00D71B28" w:rsidRPr="00FE29F7" w:rsidRDefault="00E736C9" w:rsidP="00EA6F6C">
      <w:pPr>
        <w:pStyle w:val="Subtitle"/>
        <w:spacing w:line="276" w:lineRule="auto"/>
        <w:jc w:val="left"/>
        <w:rPr>
          <w:rStyle w:val="SubtleEmphasis"/>
          <w:rFonts w:asciiTheme="minorHAnsi" w:hAnsiTheme="minorHAnsi"/>
          <w:b/>
        </w:rPr>
      </w:pPr>
      <w:bookmarkStart w:id="32" w:name="_Toc421623439"/>
      <w:r w:rsidRPr="00FE29F7">
        <w:rPr>
          <w:rStyle w:val="SubtleEmphasis"/>
          <w:rFonts w:asciiTheme="minorHAnsi" w:hAnsiTheme="minorHAnsi"/>
          <w:b/>
        </w:rPr>
        <w:t xml:space="preserve">Compulsory </w:t>
      </w:r>
      <w:r w:rsidR="00262835" w:rsidRPr="00FE29F7">
        <w:rPr>
          <w:rStyle w:val="SubtleEmphasis"/>
          <w:rFonts w:asciiTheme="minorHAnsi" w:hAnsiTheme="minorHAnsi"/>
          <w:b/>
        </w:rPr>
        <w:t>f</w:t>
      </w:r>
      <w:r w:rsidR="00D71B28" w:rsidRPr="00FE29F7">
        <w:rPr>
          <w:rStyle w:val="SubtleEmphasis"/>
          <w:rFonts w:asciiTheme="minorHAnsi" w:hAnsiTheme="minorHAnsi"/>
          <w:b/>
        </w:rPr>
        <w:t xml:space="preserve">ive </w:t>
      </w:r>
      <w:r w:rsidR="00262835" w:rsidRPr="00FE29F7">
        <w:rPr>
          <w:rStyle w:val="SubtleEmphasis"/>
          <w:rFonts w:asciiTheme="minorHAnsi" w:hAnsiTheme="minorHAnsi"/>
          <w:b/>
        </w:rPr>
        <w:t>y</w:t>
      </w:r>
      <w:r w:rsidR="00D71B28" w:rsidRPr="00FE29F7">
        <w:rPr>
          <w:rStyle w:val="SubtleEmphasis"/>
          <w:rFonts w:asciiTheme="minorHAnsi" w:hAnsiTheme="minorHAnsi"/>
          <w:b/>
        </w:rPr>
        <w:t xml:space="preserve">ear </w:t>
      </w:r>
      <w:r w:rsidR="00262835" w:rsidRPr="00FE29F7">
        <w:rPr>
          <w:rStyle w:val="SubtleEmphasis"/>
          <w:b/>
        </w:rPr>
        <w:t>l</w:t>
      </w:r>
      <w:r w:rsidR="00D71B28" w:rsidRPr="00FE29F7">
        <w:rPr>
          <w:rStyle w:val="SubtleEmphasis"/>
          <w:b/>
        </w:rPr>
        <w:t>eases</w:t>
      </w:r>
      <w:bookmarkEnd w:id="32"/>
    </w:p>
    <w:p w:rsidR="007D5CF0" w:rsidRPr="00FC088A" w:rsidRDefault="00D71B28" w:rsidP="00EA6F6C">
      <w:pPr>
        <w:spacing w:line="276" w:lineRule="auto"/>
        <w:rPr>
          <w:rFonts w:asciiTheme="minorHAnsi" w:hAnsiTheme="minorHAnsi"/>
        </w:rPr>
      </w:pPr>
      <w:r w:rsidRPr="00D46028">
        <w:rPr>
          <w:rFonts w:asciiTheme="minorHAnsi" w:hAnsiTheme="minorHAnsi"/>
        </w:rPr>
        <w:t xml:space="preserve">Under the </w:t>
      </w:r>
      <w:r w:rsidRPr="00D46028">
        <w:rPr>
          <w:rFonts w:asciiTheme="minorHAnsi" w:hAnsiTheme="minorHAnsi"/>
          <w:i/>
        </w:rPr>
        <w:t xml:space="preserve">Northern Territory National Emergency Response Act 2007 </w:t>
      </w:r>
      <w:r w:rsidRPr="00D46028">
        <w:rPr>
          <w:rFonts w:asciiTheme="minorHAnsi" w:hAnsiTheme="minorHAnsi"/>
        </w:rPr>
        <w:t>(Cth)</w:t>
      </w:r>
      <w:r w:rsidR="00BB336F" w:rsidRPr="00D46028">
        <w:rPr>
          <w:rFonts w:asciiTheme="minorHAnsi" w:hAnsiTheme="minorHAnsi"/>
        </w:rPr>
        <w:t xml:space="preserve">, </w:t>
      </w:r>
      <w:r w:rsidR="00C728B2" w:rsidRPr="00D46028">
        <w:rPr>
          <w:rFonts w:asciiTheme="minorHAnsi" w:hAnsiTheme="minorHAnsi"/>
        </w:rPr>
        <w:t xml:space="preserve">the </w:t>
      </w:r>
      <w:r w:rsidR="005A47C4" w:rsidRPr="00D46028">
        <w:rPr>
          <w:rFonts w:asciiTheme="minorHAnsi" w:hAnsiTheme="minorHAnsi"/>
        </w:rPr>
        <w:t>Australian</w:t>
      </w:r>
      <w:r w:rsidR="00C728B2" w:rsidRPr="00D46028">
        <w:rPr>
          <w:rFonts w:asciiTheme="minorHAnsi" w:hAnsiTheme="minorHAnsi"/>
        </w:rPr>
        <w:t xml:space="preserve"> </w:t>
      </w:r>
      <w:r w:rsidR="00AC0DCE" w:rsidRPr="00D46028">
        <w:rPr>
          <w:rFonts w:asciiTheme="minorHAnsi" w:hAnsiTheme="minorHAnsi"/>
        </w:rPr>
        <w:t xml:space="preserve">Government </w:t>
      </w:r>
      <w:r w:rsidR="00C728B2" w:rsidRPr="00D46028">
        <w:rPr>
          <w:rFonts w:asciiTheme="minorHAnsi" w:hAnsiTheme="minorHAnsi"/>
        </w:rPr>
        <w:t xml:space="preserve">compulsorily acquired five year </w:t>
      </w:r>
      <w:r w:rsidR="00AC0DCE" w:rsidRPr="00D46028">
        <w:rPr>
          <w:rFonts w:asciiTheme="minorHAnsi" w:hAnsiTheme="minorHAnsi"/>
        </w:rPr>
        <w:t>‘</w:t>
      </w:r>
      <w:r w:rsidR="00C728B2" w:rsidRPr="00D46028">
        <w:rPr>
          <w:rFonts w:asciiTheme="minorHAnsi" w:hAnsiTheme="minorHAnsi"/>
        </w:rPr>
        <w:t>leases</w:t>
      </w:r>
      <w:r w:rsidR="00AC0DCE" w:rsidRPr="00D46028">
        <w:rPr>
          <w:rFonts w:asciiTheme="minorHAnsi" w:hAnsiTheme="minorHAnsi"/>
        </w:rPr>
        <w:t>’</w:t>
      </w:r>
      <w:r w:rsidR="00C728B2" w:rsidRPr="00D46028">
        <w:rPr>
          <w:rFonts w:asciiTheme="minorHAnsi" w:hAnsiTheme="minorHAnsi"/>
        </w:rPr>
        <w:t xml:space="preserve"> over </w:t>
      </w:r>
      <w:r w:rsidR="00262835" w:rsidRPr="00D46028">
        <w:rPr>
          <w:rFonts w:asciiTheme="minorHAnsi" w:hAnsiTheme="minorHAnsi"/>
        </w:rPr>
        <w:t>sixty-four</w:t>
      </w:r>
      <w:r w:rsidR="00C728B2" w:rsidRPr="00D46028">
        <w:rPr>
          <w:rFonts w:asciiTheme="minorHAnsi" w:hAnsiTheme="minorHAnsi"/>
        </w:rPr>
        <w:t xml:space="preserve"> communities</w:t>
      </w:r>
      <w:r w:rsidR="00AC0DCE" w:rsidRPr="00D46028">
        <w:rPr>
          <w:rFonts w:asciiTheme="minorHAnsi" w:hAnsiTheme="minorHAnsi"/>
        </w:rPr>
        <w:t xml:space="preserve"> across the Northern Territory</w:t>
      </w:r>
      <w:r w:rsidR="00C728B2" w:rsidRPr="00D46028">
        <w:rPr>
          <w:rFonts w:asciiTheme="minorHAnsi" w:hAnsiTheme="minorHAnsi"/>
        </w:rPr>
        <w:t xml:space="preserve">. </w:t>
      </w:r>
      <w:r w:rsidR="005206DA" w:rsidRPr="00D46028">
        <w:rPr>
          <w:rFonts w:asciiTheme="minorHAnsi" w:hAnsiTheme="minorHAnsi"/>
        </w:rPr>
        <w:t>Thirty</w:t>
      </w:r>
      <w:r w:rsidR="00D4627C" w:rsidRPr="00D46028">
        <w:rPr>
          <w:rFonts w:asciiTheme="minorHAnsi" w:hAnsiTheme="minorHAnsi"/>
        </w:rPr>
        <w:t>-</w:t>
      </w:r>
      <w:r w:rsidR="005206DA" w:rsidRPr="00D46028">
        <w:rPr>
          <w:rFonts w:asciiTheme="minorHAnsi" w:hAnsiTheme="minorHAnsi"/>
        </w:rPr>
        <w:t xml:space="preserve">one </w:t>
      </w:r>
      <w:r w:rsidR="00C728B2" w:rsidRPr="00D46028">
        <w:rPr>
          <w:rFonts w:asciiTheme="minorHAnsi" w:hAnsiTheme="minorHAnsi"/>
        </w:rPr>
        <w:t>of these are in the Central Land Council region</w:t>
      </w:r>
      <w:r w:rsidR="005206DA" w:rsidRPr="00D46028">
        <w:rPr>
          <w:rFonts w:asciiTheme="minorHAnsi" w:hAnsiTheme="minorHAnsi"/>
        </w:rPr>
        <w:t xml:space="preserve"> and </w:t>
      </w:r>
      <w:r w:rsidR="00262835" w:rsidRPr="00D46028">
        <w:rPr>
          <w:rFonts w:asciiTheme="minorHAnsi" w:hAnsiTheme="minorHAnsi"/>
        </w:rPr>
        <w:lastRenderedPageBreak/>
        <w:t>twenty</w:t>
      </w:r>
      <w:r w:rsidR="00D4627C" w:rsidRPr="00D46028">
        <w:rPr>
          <w:rFonts w:asciiTheme="minorHAnsi" w:hAnsiTheme="minorHAnsi"/>
        </w:rPr>
        <w:t xml:space="preserve"> </w:t>
      </w:r>
      <w:r w:rsidR="005206DA" w:rsidRPr="00D46028">
        <w:rPr>
          <w:rFonts w:asciiTheme="minorHAnsi" w:hAnsiTheme="minorHAnsi"/>
        </w:rPr>
        <w:t>are on ALRA land</w:t>
      </w:r>
      <w:r w:rsidR="00C728B2" w:rsidRPr="00D46028">
        <w:rPr>
          <w:rFonts w:asciiTheme="minorHAnsi" w:hAnsiTheme="minorHAnsi"/>
        </w:rPr>
        <w:t>.</w:t>
      </w:r>
      <w:r w:rsidR="00AC0DCE" w:rsidRPr="00D46028">
        <w:rPr>
          <w:rStyle w:val="FootnoteReference"/>
          <w:rFonts w:asciiTheme="minorHAnsi" w:hAnsiTheme="minorHAnsi"/>
        </w:rPr>
        <w:footnoteReference w:id="24"/>
      </w:r>
      <w:r w:rsidR="00C728B2" w:rsidRPr="00D46028">
        <w:rPr>
          <w:rFonts w:asciiTheme="minorHAnsi" w:hAnsiTheme="minorHAnsi"/>
        </w:rPr>
        <w:t xml:space="preserve"> </w:t>
      </w:r>
      <w:r w:rsidR="00F2511E" w:rsidRPr="00D46028">
        <w:rPr>
          <w:rFonts w:asciiTheme="minorHAnsi" w:hAnsiTheme="minorHAnsi"/>
        </w:rPr>
        <w:t>Minister</w:t>
      </w:r>
      <w:r w:rsidR="00B23A2C" w:rsidRPr="00D46028">
        <w:rPr>
          <w:rFonts w:asciiTheme="minorHAnsi" w:hAnsiTheme="minorHAnsi"/>
        </w:rPr>
        <w:t xml:space="preserve"> Brough</w:t>
      </w:r>
      <w:r w:rsidR="00F2511E" w:rsidRPr="00D46028">
        <w:rPr>
          <w:rFonts w:asciiTheme="minorHAnsi" w:hAnsiTheme="minorHAnsi"/>
        </w:rPr>
        <w:t xml:space="preserve"> described the acquisition of the leases as </w:t>
      </w:r>
      <w:r w:rsidR="00674D28" w:rsidRPr="00D46028">
        <w:rPr>
          <w:rFonts w:asciiTheme="minorHAnsi" w:hAnsiTheme="minorHAnsi"/>
        </w:rPr>
        <w:t>‘</w:t>
      </w:r>
      <w:r w:rsidR="00F2511E" w:rsidRPr="00D46028">
        <w:rPr>
          <w:rFonts w:asciiTheme="minorHAnsi" w:hAnsiTheme="minorHAnsi"/>
        </w:rPr>
        <w:t>crucial to removing barriers so that living conditions can be changed for the better in these communities in the shortest possible time frame.</w:t>
      </w:r>
      <w:r w:rsidR="00674D28" w:rsidRPr="00D46028">
        <w:rPr>
          <w:rFonts w:asciiTheme="minorHAnsi" w:hAnsiTheme="minorHAnsi"/>
        </w:rPr>
        <w:t>’</w:t>
      </w:r>
      <w:r w:rsidR="00674D28" w:rsidRPr="00D46028">
        <w:rPr>
          <w:rStyle w:val="FootnoteReference"/>
          <w:rFonts w:asciiTheme="minorHAnsi" w:hAnsiTheme="minorHAnsi"/>
        </w:rPr>
        <w:footnoteReference w:id="25"/>
      </w:r>
      <w:r w:rsidR="00096A40" w:rsidRPr="00D46028">
        <w:rPr>
          <w:rFonts w:asciiTheme="minorHAnsi" w:hAnsiTheme="minorHAnsi"/>
        </w:rPr>
        <w:t xml:space="preserve"> </w:t>
      </w:r>
      <w:r w:rsidR="007B5018">
        <w:rPr>
          <w:rFonts w:asciiTheme="minorHAnsi" w:hAnsiTheme="minorHAnsi"/>
        </w:rPr>
        <w:t xml:space="preserve">  The leases gave</w:t>
      </w:r>
      <w:r w:rsidR="00F2511E" w:rsidRPr="00D46028">
        <w:rPr>
          <w:rFonts w:asciiTheme="minorHAnsi" w:hAnsiTheme="minorHAnsi"/>
        </w:rPr>
        <w:t xml:space="preserve"> </w:t>
      </w:r>
      <w:r w:rsidR="00674D28" w:rsidRPr="00D46028">
        <w:rPr>
          <w:rFonts w:asciiTheme="minorHAnsi" w:hAnsiTheme="minorHAnsi"/>
        </w:rPr>
        <w:t>‘</w:t>
      </w:r>
      <w:r w:rsidR="00F2511E" w:rsidRPr="00D46028">
        <w:rPr>
          <w:rFonts w:asciiTheme="minorHAnsi" w:hAnsiTheme="minorHAnsi"/>
        </w:rPr>
        <w:t>the government the unconditional access to land and assets required to facilitate the early repair of buildings and infrastructure.</w:t>
      </w:r>
      <w:r w:rsidR="00674D28" w:rsidRPr="00D46028">
        <w:rPr>
          <w:rFonts w:asciiTheme="minorHAnsi" w:hAnsiTheme="minorHAnsi"/>
        </w:rPr>
        <w:t>’</w:t>
      </w:r>
      <w:r w:rsidR="00F2511E" w:rsidRPr="007570B6">
        <w:rPr>
          <w:rStyle w:val="FootnoteReference"/>
          <w:rFonts w:asciiTheme="minorHAnsi" w:hAnsiTheme="minorHAnsi"/>
        </w:rPr>
        <w:footnoteReference w:id="26"/>
      </w:r>
      <w:r w:rsidR="001A534A" w:rsidRPr="007570B6">
        <w:rPr>
          <w:rFonts w:asciiTheme="minorHAnsi" w:hAnsiTheme="minorHAnsi"/>
        </w:rPr>
        <w:t xml:space="preserve"> </w:t>
      </w:r>
      <w:r w:rsidR="00896FA8" w:rsidRPr="007570B6">
        <w:rPr>
          <w:rFonts w:asciiTheme="minorHAnsi" w:hAnsiTheme="minorHAnsi"/>
        </w:rPr>
        <w:t>The</w:t>
      </w:r>
      <w:r w:rsidR="00E455CD" w:rsidRPr="007570B6">
        <w:rPr>
          <w:rFonts w:asciiTheme="minorHAnsi" w:hAnsiTheme="minorHAnsi"/>
        </w:rPr>
        <w:t xml:space="preserve"> provisions</w:t>
      </w:r>
      <w:r w:rsidR="001A534A" w:rsidRPr="007570B6">
        <w:rPr>
          <w:rFonts w:asciiTheme="minorHAnsi" w:hAnsiTheme="minorHAnsi"/>
        </w:rPr>
        <w:t xml:space="preserve"> </w:t>
      </w:r>
      <w:r w:rsidR="00896FA8" w:rsidRPr="007570B6">
        <w:rPr>
          <w:rFonts w:asciiTheme="minorHAnsi" w:hAnsiTheme="minorHAnsi"/>
        </w:rPr>
        <w:t xml:space="preserve">went </w:t>
      </w:r>
      <w:r w:rsidR="001A534A" w:rsidRPr="007570B6">
        <w:rPr>
          <w:rFonts w:asciiTheme="minorHAnsi" w:hAnsiTheme="minorHAnsi"/>
        </w:rPr>
        <w:t>f</w:t>
      </w:r>
      <w:r w:rsidR="00896FA8" w:rsidRPr="007570B6">
        <w:rPr>
          <w:rFonts w:asciiTheme="minorHAnsi" w:hAnsiTheme="minorHAnsi"/>
        </w:rPr>
        <w:t>urther than this</w:t>
      </w:r>
      <w:r w:rsidR="001A534A" w:rsidRPr="007570B6">
        <w:rPr>
          <w:rFonts w:asciiTheme="minorHAnsi" w:hAnsiTheme="minorHAnsi"/>
        </w:rPr>
        <w:t xml:space="preserve">, giving </w:t>
      </w:r>
      <w:r w:rsidR="000B7739" w:rsidRPr="007570B6">
        <w:rPr>
          <w:rFonts w:asciiTheme="minorHAnsi" w:hAnsiTheme="minorHAnsi"/>
        </w:rPr>
        <w:t xml:space="preserve">the Australian Government </w:t>
      </w:r>
      <w:r w:rsidR="000204D2" w:rsidRPr="007570B6">
        <w:rPr>
          <w:rFonts w:asciiTheme="minorHAnsi" w:hAnsiTheme="minorHAnsi"/>
        </w:rPr>
        <w:t>control</w:t>
      </w:r>
      <w:r w:rsidR="001A534A" w:rsidRPr="007570B6">
        <w:rPr>
          <w:rFonts w:asciiTheme="minorHAnsi" w:hAnsiTheme="minorHAnsi"/>
        </w:rPr>
        <w:t xml:space="preserve"> over entire communities. </w:t>
      </w:r>
      <w:r w:rsidR="001A1EA0" w:rsidRPr="007570B6">
        <w:rPr>
          <w:rFonts w:asciiTheme="minorHAnsi" w:hAnsiTheme="minorHAnsi"/>
        </w:rPr>
        <w:t xml:space="preserve">No </w:t>
      </w:r>
      <w:r w:rsidR="00AC0DCE" w:rsidRPr="007570B6">
        <w:rPr>
          <w:rFonts w:asciiTheme="minorHAnsi" w:hAnsiTheme="minorHAnsi"/>
        </w:rPr>
        <w:t>lease</w:t>
      </w:r>
      <w:r w:rsidR="005B1098" w:rsidRPr="007570B6">
        <w:rPr>
          <w:rFonts w:asciiTheme="minorHAnsi" w:hAnsiTheme="minorHAnsi"/>
        </w:rPr>
        <w:t>s</w:t>
      </w:r>
      <w:r w:rsidR="000204D2" w:rsidRPr="007570B6">
        <w:rPr>
          <w:rFonts w:asciiTheme="minorHAnsi" w:hAnsiTheme="minorHAnsi"/>
        </w:rPr>
        <w:t xml:space="preserve"> were </w:t>
      </w:r>
      <w:r w:rsidR="00674D28" w:rsidRPr="007570B6">
        <w:rPr>
          <w:rFonts w:asciiTheme="minorHAnsi" w:hAnsiTheme="minorHAnsi"/>
        </w:rPr>
        <w:t>negotiated</w:t>
      </w:r>
      <w:r w:rsidR="001A1EA0" w:rsidRPr="007570B6">
        <w:rPr>
          <w:rFonts w:asciiTheme="minorHAnsi" w:hAnsiTheme="minorHAnsi"/>
        </w:rPr>
        <w:t xml:space="preserve">. </w:t>
      </w:r>
      <w:r w:rsidRPr="00FC088A">
        <w:rPr>
          <w:rFonts w:asciiTheme="minorHAnsi" w:hAnsiTheme="minorHAnsi"/>
        </w:rPr>
        <w:t xml:space="preserve">Despite a change </w:t>
      </w:r>
      <w:r w:rsidR="001A1EA0" w:rsidRPr="00FC088A">
        <w:rPr>
          <w:rFonts w:asciiTheme="minorHAnsi" w:hAnsiTheme="minorHAnsi"/>
        </w:rPr>
        <w:t>in government in 2007</w:t>
      </w:r>
      <w:r w:rsidR="00674D28" w:rsidRPr="00FC088A">
        <w:rPr>
          <w:rFonts w:asciiTheme="minorHAnsi" w:hAnsiTheme="minorHAnsi"/>
        </w:rPr>
        <w:t>,</w:t>
      </w:r>
      <w:r w:rsidR="001A1EA0" w:rsidRPr="00FC088A">
        <w:rPr>
          <w:rFonts w:asciiTheme="minorHAnsi" w:hAnsiTheme="minorHAnsi"/>
        </w:rPr>
        <w:t xml:space="preserve"> compulsory </w:t>
      </w:r>
      <w:r w:rsidR="00833893" w:rsidRPr="00FC088A">
        <w:rPr>
          <w:rFonts w:asciiTheme="minorHAnsi" w:hAnsiTheme="minorHAnsi"/>
        </w:rPr>
        <w:t xml:space="preserve">five </w:t>
      </w:r>
      <w:r w:rsidR="001A1EA0" w:rsidRPr="00FC088A">
        <w:rPr>
          <w:rFonts w:asciiTheme="minorHAnsi" w:hAnsiTheme="minorHAnsi"/>
        </w:rPr>
        <w:t xml:space="preserve">year leases were retained with only </w:t>
      </w:r>
      <w:r w:rsidR="00896FA8" w:rsidRPr="00FC088A">
        <w:rPr>
          <w:rFonts w:asciiTheme="minorHAnsi" w:hAnsiTheme="minorHAnsi"/>
        </w:rPr>
        <w:t>minor</w:t>
      </w:r>
      <w:r w:rsidR="001A1EA0" w:rsidRPr="00FC088A">
        <w:rPr>
          <w:rFonts w:asciiTheme="minorHAnsi" w:hAnsiTheme="minorHAnsi"/>
        </w:rPr>
        <w:t xml:space="preserve"> </w:t>
      </w:r>
      <w:r w:rsidR="00E455CD" w:rsidRPr="00FC088A">
        <w:rPr>
          <w:rFonts w:asciiTheme="minorHAnsi" w:hAnsiTheme="minorHAnsi"/>
        </w:rPr>
        <w:t>changes</w:t>
      </w:r>
      <w:r w:rsidR="00BF7133" w:rsidRPr="00FC088A">
        <w:rPr>
          <w:rFonts w:asciiTheme="minorHAnsi" w:hAnsiTheme="minorHAnsi"/>
        </w:rPr>
        <w:t xml:space="preserve">. </w:t>
      </w:r>
      <w:r w:rsidR="00E455CD" w:rsidRPr="00FC088A">
        <w:rPr>
          <w:rFonts w:asciiTheme="minorHAnsi" w:hAnsiTheme="minorHAnsi"/>
        </w:rPr>
        <w:t>S</w:t>
      </w:r>
      <w:r w:rsidR="001A1EA0" w:rsidRPr="00FC088A">
        <w:rPr>
          <w:rFonts w:asciiTheme="minorHAnsi" w:hAnsiTheme="minorHAnsi"/>
        </w:rPr>
        <w:t>ignificantly, however</w:t>
      </w:r>
      <w:r w:rsidR="00E455CD" w:rsidRPr="00FC088A">
        <w:rPr>
          <w:rFonts w:asciiTheme="minorHAnsi" w:hAnsiTheme="minorHAnsi"/>
        </w:rPr>
        <w:t>,</w:t>
      </w:r>
      <w:r w:rsidR="001A1EA0" w:rsidRPr="00FC088A">
        <w:rPr>
          <w:rFonts w:asciiTheme="minorHAnsi" w:hAnsiTheme="minorHAnsi"/>
        </w:rPr>
        <w:t xml:space="preserve"> the new </w:t>
      </w:r>
      <w:r w:rsidR="00896FA8" w:rsidRPr="00FC088A">
        <w:rPr>
          <w:rFonts w:asciiTheme="minorHAnsi" w:hAnsiTheme="minorHAnsi"/>
        </w:rPr>
        <w:t>L</w:t>
      </w:r>
      <w:r w:rsidR="001C3AD3" w:rsidRPr="00FC088A">
        <w:rPr>
          <w:rFonts w:asciiTheme="minorHAnsi" w:hAnsiTheme="minorHAnsi"/>
        </w:rPr>
        <w:t xml:space="preserve">abor </w:t>
      </w:r>
      <w:r w:rsidR="001A1EA0" w:rsidRPr="00FC088A">
        <w:rPr>
          <w:rFonts w:asciiTheme="minorHAnsi" w:hAnsiTheme="minorHAnsi"/>
        </w:rPr>
        <w:t>Government agreed to</w:t>
      </w:r>
      <w:r w:rsidR="00ED141D" w:rsidRPr="00FC088A">
        <w:rPr>
          <w:rFonts w:asciiTheme="minorHAnsi" w:hAnsiTheme="minorHAnsi"/>
        </w:rPr>
        <w:t xml:space="preserve"> begin negotiations for the </w:t>
      </w:r>
      <w:r w:rsidR="001A1EA0" w:rsidRPr="00FC088A">
        <w:rPr>
          <w:rFonts w:asciiTheme="minorHAnsi" w:hAnsiTheme="minorHAnsi"/>
        </w:rPr>
        <w:t>pay</w:t>
      </w:r>
      <w:r w:rsidR="00ED141D" w:rsidRPr="00FC088A">
        <w:rPr>
          <w:rFonts w:asciiTheme="minorHAnsi" w:hAnsiTheme="minorHAnsi"/>
        </w:rPr>
        <w:t>ment</w:t>
      </w:r>
      <w:r w:rsidR="00833893" w:rsidRPr="00FC088A">
        <w:rPr>
          <w:rFonts w:asciiTheme="minorHAnsi" w:hAnsiTheme="minorHAnsi"/>
        </w:rPr>
        <w:t xml:space="preserve"> of</w:t>
      </w:r>
      <w:r w:rsidR="001A1EA0" w:rsidRPr="00FC088A">
        <w:rPr>
          <w:rFonts w:asciiTheme="minorHAnsi" w:hAnsiTheme="minorHAnsi"/>
        </w:rPr>
        <w:t xml:space="preserve"> rent and</w:t>
      </w:r>
      <w:r w:rsidR="00ED141D" w:rsidRPr="00FC088A">
        <w:rPr>
          <w:rFonts w:asciiTheme="minorHAnsi" w:hAnsiTheme="minorHAnsi"/>
        </w:rPr>
        <w:t xml:space="preserve"> </w:t>
      </w:r>
      <w:r w:rsidR="001A1EA0" w:rsidRPr="00FC088A">
        <w:rPr>
          <w:rFonts w:asciiTheme="minorHAnsi" w:hAnsiTheme="minorHAnsi"/>
        </w:rPr>
        <w:t>compensation for th</w:t>
      </w:r>
      <w:r w:rsidR="00674D28" w:rsidRPr="00FC088A">
        <w:rPr>
          <w:rFonts w:asciiTheme="minorHAnsi" w:hAnsiTheme="minorHAnsi"/>
        </w:rPr>
        <w:t>is compulsory</w:t>
      </w:r>
      <w:r w:rsidR="001A1EA0" w:rsidRPr="00FC088A">
        <w:rPr>
          <w:rFonts w:asciiTheme="minorHAnsi" w:hAnsiTheme="minorHAnsi"/>
        </w:rPr>
        <w:t xml:space="preserve"> acquisition</w:t>
      </w:r>
      <w:r w:rsidR="00ED141D" w:rsidRPr="00FC088A">
        <w:rPr>
          <w:rFonts w:asciiTheme="minorHAnsi" w:hAnsiTheme="minorHAnsi"/>
        </w:rPr>
        <w:t xml:space="preserve">. Further, they </w:t>
      </w:r>
      <w:r w:rsidR="007D5CF0" w:rsidRPr="00FC088A">
        <w:rPr>
          <w:rFonts w:asciiTheme="minorHAnsi" w:hAnsiTheme="minorHAnsi"/>
        </w:rPr>
        <w:t>committed to voluntary leas</w:t>
      </w:r>
      <w:r w:rsidR="002E26BB" w:rsidRPr="00FC088A">
        <w:rPr>
          <w:rFonts w:asciiTheme="minorHAnsi" w:hAnsiTheme="minorHAnsi"/>
        </w:rPr>
        <w:t>e negotiations</w:t>
      </w:r>
      <w:r w:rsidR="007D5CF0" w:rsidRPr="00FC088A">
        <w:rPr>
          <w:rFonts w:asciiTheme="minorHAnsi" w:hAnsiTheme="minorHAnsi"/>
        </w:rPr>
        <w:t xml:space="preserve"> at the expiry of the five year leases</w:t>
      </w:r>
      <w:r w:rsidR="00A43246" w:rsidRPr="00FC088A">
        <w:rPr>
          <w:rFonts w:asciiTheme="minorHAnsi" w:hAnsiTheme="minorHAnsi"/>
        </w:rPr>
        <w:t>.</w:t>
      </w:r>
      <w:r w:rsidR="00A43246" w:rsidRPr="00FC088A">
        <w:rPr>
          <w:rStyle w:val="FootnoteReference"/>
          <w:rFonts w:asciiTheme="minorHAnsi" w:hAnsiTheme="minorHAnsi"/>
        </w:rPr>
        <w:footnoteReference w:id="27"/>
      </w:r>
      <w:r w:rsidR="001A1EA0" w:rsidRPr="00FC088A">
        <w:rPr>
          <w:rFonts w:asciiTheme="minorHAnsi" w:hAnsiTheme="minorHAnsi"/>
        </w:rPr>
        <w:t xml:space="preserve"> </w:t>
      </w:r>
    </w:p>
    <w:p w:rsidR="007D5CF0" w:rsidRPr="00FC088A" w:rsidRDefault="007D5CF0" w:rsidP="00EA6F6C">
      <w:pPr>
        <w:spacing w:line="276" w:lineRule="auto"/>
        <w:rPr>
          <w:rFonts w:asciiTheme="minorHAnsi" w:hAnsiTheme="minorHAnsi"/>
        </w:rPr>
      </w:pPr>
    </w:p>
    <w:p w:rsidR="00675F09" w:rsidRPr="00FC088A" w:rsidRDefault="001A1EA0" w:rsidP="00EA6F6C">
      <w:pPr>
        <w:spacing w:line="276" w:lineRule="auto"/>
        <w:rPr>
          <w:rFonts w:asciiTheme="minorHAnsi" w:hAnsiTheme="minorHAnsi"/>
        </w:rPr>
      </w:pPr>
      <w:r w:rsidRPr="00FC088A">
        <w:rPr>
          <w:rFonts w:asciiTheme="minorHAnsi" w:hAnsiTheme="minorHAnsi"/>
        </w:rPr>
        <w:t xml:space="preserve">The compulsory acquisition of five year leases damaged relations between the </w:t>
      </w:r>
      <w:r w:rsidR="005C71B4" w:rsidRPr="00FC088A">
        <w:rPr>
          <w:rFonts w:asciiTheme="minorHAnsi" w:hAnsiTheme="minorHAnsi"/>
        </w:rPr>
        <w:t>Australian</w:t>
      </w:r>
      <w:r w:rsidRPr="00FC088A">
        <w:rPr>
          <w:rFonts w:asciiTheme="minorHAnsi" w:hAnsiTheme="minorHAnsi"/>
        </w:rPr>
        <w:t xml:space="preserve"> </w:t>
      </w:r>
      <w:r w:rsidR="00674D28" w:rsidRPr="00FC088A">
        <w:rPr>
          <w:rFonts w:asciiTheme="minorHAnsi" w:hAnsiTheme="minorHAnsi"/>
        </w:rPr>
        <w:t>G</w:t>
      </w:r>
      <w:r w:rsidRPr="00FC088A">
        <w:rPr>
          <w:rFonts w:asciiTheme="minorHAnsi" w:hAnsiTheme="minorHAnsi"/>
        </w:rPr>
        <w:t xml:space="preserve">overnment and Aboriginal </w:t>
      </w:r>
      <w:r w:rsidR="00674D28" w:rsidRPr="00FC088A">
        <w:rPr>
          <w:rFonts w:asciiTheme="minorHAnsi" w:hAnsiTheme="minorHAnsi"/>
        </w:rPr>
        <w:t xml:space="preserve">people in remote </w:t>
      </w:r>
      <w:r w:rsidRPr="00FC088A">
        <w:rPr>
          <w:rFonts w:asciiTheme="minorHAnsi" w:hAnsiTheme="minorHAnsi"/>
        </w:rPr>
        <w:t xml:space="preserve">communities in the </w:t>
      </w:r>
      <w:r w:rsidR="00C23F19">
        <w:rPr>
          <w:rFonts w:asciiTheme="minorHAnsi" w:hAnsiTheme="minorHAnsi"/>
        </w:rPr>
        <w:t>NT</w:t>
      </w:r>
      <w:r w:rsidR="001C3AD3" w:rsidRPr="00FC088A">
        <w:rPr>
          <w:rFonts w:asciiTheme="minorHAnsi" w:hAnsiTheme="minorHAnsi"/>
        </w:rPr>
        <w:t xml:space="preserve">. </w:t>
      </w:r>
      <w:r w:rsidR="000204D2" w:rsidRPr="00FC088A">
        <w:rPr>
          <w:rFonts w:asciiTheme="minorHAnsi" w:hAnsiTheme="minorHAnsi"/>
        </w:rPr>
        <w:t>I</w:t>
      </w:r>
      <w:r w:rsidR="001C3AD3" w:rsidRPr="00FC088A">
        <w:rPr>
          <w:rFonts w:asciiTheme="minorHAnsi" w:hAnsiTheme="minorHAnsi"/>
        </w:rPr>
        <w:t>t</w:t>
      </w:r>
      <w:r w:rsidRPr="00FC088A">
        <w:rPr>
          <w:rFonts w:asciiTheme="minorHAnsi" w:hAnsiTheme="minorHAnsi"/>
        </w:rPr>
        <w:t xml:space="preserve"> stalled the formalisation of </w:t>
      </w:r>
      <w:r w:rsidR="006B2E39" w:rsidRPr="00FC088A">
        <w:rPr>
          <w:rFonts w:asciiTheme="minorHAnsi" w:hAnsiTheme="minorHAnsi"/>
        </w:rPr>
        <w:t xml:space="preserve">tenure </w:t>
      </w:r>
      <w:r w:rsidRPr="00FC088A">
        <w:rPr>
          <w:rFonts w:asciiTheme="minorHAnsi" w:hAnsiTheme="minorHAnsi"/>
        </w:rPr>
        <w:t xml:space="preserve">in communities and </w:t>
      </w:r>
      <w:r w:rsidR="007D5CF0" w:rsidRPr="00FC088A">
        <w:rPr>
          <w:rFonts w:asciiTheme="minorHAnsi" w:hAnsiTheme="minorHAnsi"/>
        </w:rPr>
        <w:t>tainted</w:t>
      </w:r>
      <w:r w:rsidR="006F7F02" w:rsidRPr="00FC088A">
        <w:rPr>
          <w:rFonts w:asciiTheme="minorHAnsi" w:hAnsiTheme="minorHAnsi"/>
        </w:rPr>
        <w:t xml:space="preserve"> the </w:t>
      </w:r>
      <w:r w:rsidR="00C23F19">
        <w:rPr>
          <w:rFonts w:asciiTheme="minorHAnsi" w:hAnsiTheme="minorHAnsi"/>
        </w:rPr>
        <w:t>ongoing consultations</w:t>
      </w:r>
      <w:r w:rsidR="00C23F19" w:rsidRPr="00FC088A">
        <w:rPr>
          <w:rFonts w:asciiTheme="minorHAnsi" w:hAnsiTheme="minorHAnsi"/>
        </w:rPr>
        <w:t xml:space="preserve"> </w:t>
      </w:r>
      <w:r w:rsidR="00C23F19">
        <w:rPr>
          <w:rFonts w:asciiTheme="minorHAnsi" w:hAnsiTheme="minorHAnsi"/>
        </w:rPr>
        <w:t>for</w:t>
      </w:r>
      <w:r w:rsidR="00C23F19" w:rsidRPr="00FC088A">
        <w:rPr>
          <w:rFonts w:asciiTheme="minorHAnsi" w:hAnsiTheme="minorHAnsi"/>
        </w:rPr>
        <w:t xml:space="preserve"> </w:t>
      </w:r>
      <w:r w:rsidR="006F7F02" w:rsidRPr="00FC088A">
        <w:rPr>
          <w:rFonts w:asciiTheme="minorHAnsi" w:hAnsiTheme="minorHAnsi"/>
        </w:rPr>
        <w:t>leasing</w:t>
      </w:r>
      <w:r w:rsidR="001C3AD3" w:rsidRPr="00FC088A">
        <w:rPr>
          <w:rFonts w:asciiTheme="minorHAnsi" w:hAnsiTheme="minorHAnsi"/>
        </w:rPr>
        <w:t xml:space="preserve"> in </w:t>
      </w:r>
      <w:r w:rsidR="00674D28" w:rsidRPr="00FC088A">
        <w:rPr>
          <w:rFonts w:asciiTheme="minorHAnsi" w:hAnsiTheme="minorHAnsi"/>
        </w:rPr>
        <w:t>communities placed under five year lease</w:t>
      </w:r>
      <w:r w:rsidR="006F7F02" w:rsidRPr="00FC088A">
        <w:rPr>
          <w:rFonts w:asciiTheme="minorHAnsi" w:hAnsiTheme="minorHAnsi"/>
        </w:rPr>
        <w:t>.</w:t>
      </w:r>
      <w:r w:rsidR="00B126DC" w:rsidRPr="00FC088A">
        <w:rPr>
          <w:rStyle w:val="FootnoteReference"/>
          <w:rFonts w:asciiTheme="minorHAnsi" w:hAnsiTheme="minorHAnsi"/>
        </w:rPr>
        <w:footnoteReference w:id="28"/>
      </w:r>
      <w:r w:rsidR="002E26BB" w:rsidRPr="00FC088A">
        <w:rPr>
          <w:rFonts w:asciiTheme="minorHAnsi" w:hAnsiTheme="minorHAnsi"/>
        </w:rPr>
        <w:t xml:space="preserve"> </w:t>
      </w:r>
      <w:r w:rsidR="00674D28" w:rsidRPr="00FC088A">
        <w:rPr>
          <w:rFonts w:asciiTheme="minorHAnsi" w:hAnsiTheme="minorHAnsi"/>
        </w:rPr>
        <w:t>F</w:t>
      </w:r>
      <w:r w:rsidR="006B443C" w:rsidRPr="00FC088A">
        <w:rPr>
          <w:rFonts w:asciiTheme="minorHAnsi" w:hAnsiTheme="minorHAnsi"/>
        </w:rPr>
        <w:t>ive</w:t>
      </w:r>
      <w:r w:rsidR="00483395" w:rsidRPr="00FC088A">
        <w:rPr>
          <w:rFonts w:asciiTheme="minorHAnsi" w:hAnsiTheme="minorHAnsi"/>
        </w:rPr>
        <w:t xml:space="preserve"> year leases ended in August 2012</w:t>
      </w:r>
      <w:r w:rsidR="00674D28" w:rsidRPr="00FC088A">
        <w:rPr>
          <w:rFonts w:asciiTheme="minorHAnsi" w:hAnsiTheme="minorHAnsi"/>
        </w:rPr>
        <w:t xml:space="preserve"> and p</w:t>
      </w:r>
      <w:r w:rsidR="00483395" w:rsidRPr="00FC088A">
        <w:rPr>
          <w:rFonts w:asciiTheme="minorHAnsi" w:hAnsiTheme="minorHAnsi"/>
        </w:rPr>
        <w:t xml:space="preserve">rotracted negotiations between the Central and Northern Land Councils and the Australian </w:t>
      </w:r>
      <w:r w:rsidR="00833893" w:rsidRPr="00FC088A">
        <w:rPr>
          <w:rFonts w:asciiTheme="minorHAnsi" w:hAnsiTheme="minorHAnsi"/>
        </w:rPr>
        <w:t xml:space="preserve">Government </w:t>
      </w:r>
      <w:r w:rsidR="00483395" w:rsidRPr="00FC088A">
        <w:rPr>
          <w:rFonts w:asciiTheme="minorHAnsi" w:hAnsiTheme="minorHAnsi"/>
        </w:rPr>
        <w:t xml:space="preserve">over valuation methodologies for the payment of fair rent and compensation </w:t>
      </w:r>
      <w:r w:rsidR="00C23F19">
        <w:rPr>
          <w:rFonts w:asciiTheme="minorHAnsi" w:hAnsiTheme="minorHAnsi"/>
        </w:rPr>
        <w:t>were</w:t>
      </w:r>
      <w:r w:rsidR="00C23F19" w:rsidRPr="00FC088A">
        <w:rPr>
          <w:rFonts w:asciiTheme="minorHAnsi" w:hAnsiTheme="minorHAnsi"/>
        </w:rPr>
        <w:t xml:space="preserve"> </w:t>
      </w:r>
      <w:r w:rsidR="00483395" w:rsidRPr="00FC088A">
        <w:rPr>
          <w:rFonts w:asciiTheme="minorHAnsi" w:hAnsiTheme="minorHAnsi"/>
        </w:rPr>
        <w:t>finally complete</w:t>
      </w:r>
      <w:r w:rsidR="00C23F19">
        <w:rPr>
          <w:rFonts w:asciiTheme="minorHAnsi" w:hAnsiTheme="minorHAnsi"/>
        </w:rPr>
        <w:t>d in 2012</w:t>
      </w:r>
      <w:r w:rsidR="00483395" w:rsidRPr="00FC088A">
        <w:rPr>
          <w:rFonts w:asciiTheme="minorHAnsi" w:hAnsiTheme="minorHAnsi"/>
        </w:rPr>
        <w:t>.</w:t>
      </w:r>
      <w:r w:rsidR="00AB17F8" w:rsidRPr="00FC088A">
        <w:rPr>
          <w:rFonts w:asciiTheme="minorHAnsi" w:hAnsiTheme="minorHAnsi"/>
        </w:rPr>
        <w:t xml:space="preserve"> Negotiations for voluntary leases under the pre-existing </w:t>
      </w:r>
      <w:r w:rsidR="00ED2AC8">
        <w:rPr>
          <w:rFonts w:asciiTheme="minorHAnsi" w:hAnsiTheme="minorHAnsi"/>
        </w:rPr>
        <w:t xml:space="preserve">s.19 </w:t>
      </w:r>
      <w:r w:rsidR="00AB17F8" w:rsidRPr="00FC088A">
        <w:rPr>
          <w:rFonts w:asciiTheme="minorHAnsi" w:hAnsiTheme="minorHAnsi"/>
        </w:rPr>
        <w:t>provisions of the ALRA</w:t>
      </w:r>
      <w:r w:rsidR="000204D2" w:rsidRPr="00FC088A">
        <w:rPr>
          <w:rFonts w:asciiTheme="minorHAnsi" w:hAnsiTheme="minorHAnsi"/>
        </w:rPr>
        <w:t>, rather than through township leasing,</w:t>
      </w:r>
      <w:r w:rsidR="00483395" w:rsidRPr="00FC088A">
        <w:rPr>
          <w:rFonts w:asciiTheme="minorHAnsi" w:hAnsiTheme="minorHAnsi"/>
        </w:rPr>
        <w:t xml:space="preserve"> </w:t>
      </w:r>
      <w:r w:rsidR="00AB17F8" w:rsidRPr="00FC088A">
        <w:rPr>
          <w:rFonts w:asciiTheme="minorHAnsi" w:hAnsiTheme="minorHAnsi"/>
        </w:rPr>
        <w:t xml:space="preserve">are now </w:t>
      </w:r>
      <w:r w:rsidR="002C0222">
        <w:rPr>
          <w:rFonts w:asciiTheme="minorHAnsi" w:hAnsiTheme="minorHAnsi"/>
        </w:rPr>
        <w:t xml:space="preserve">significantly </w:t>
      </w:r>
      <w:r w:rsidR="002E26BB" w:rsidRPr="00FC088A">
        <w:rPr>
          <w:rFonts w:asciiTheme="minorHAnsi" w:hAnsiTheme="minorHAnsi"/>
        </w:rPr>
        <w:t xml:space="preserve">advanced </w:t>
      </w:r>
      <w:r w:rsidR="00AB17F8" w:rsidRPr="00FC088A">
        <w:rPr>
          <w:rFonts w:asciiTheme="minorHAnsi" w:hAnsiTheme="minorHAnsi"/>
        </w:rPr>
        <w:t>throughout the CLC region</w:t>
      </w:r>
      <w:r w:rsidR="00A61972" w:rsidRPr="00FC088A">
        <w:rPr>
          <w:rFonts w:asciiTheme="minorHAnsi" w:hAnsiTheme="minorHAnsi"/>
        </w:rPr>
        <w:t xml:space="preserve"> (see below)</w:t>
      </w:r>
      <w:r w:rsidR="00AB17F8" w:rsidRPr="00FC088A">
        <w:rPr>
          <w:rFonts w:asciiTheme="minorHAnsi" w:hAnsiTheme="minorHAnsi"/>
        </w:rPr>
        <w:t>.</w:t>
      </w:r>
    </w:p>
    <w:p w:rsidR="00C36426" w:rsidRPr="00FC088A" w:rsidRDefault="00C36426" w:rsidP="00EA6F6C">
      <w:pPr>
        <w:spacing w:line="276" w:lineRule="auto"/>
        <w:rPr>
          <w:rStyle w:val="SubtleEmphasis"/>
          <w:rFonts w:asciiTheme="minorHAnsi" w:hAnsiTheme="minorHAnsi"/>
        </w:rPr>
      </w:pPr>
    </w:p>
    <w:p w:rsidR="001319E4" w:rsidRPr="00FE29F7" w:rsidRDefault="00727061" w:rsidP="00EA6F6C">
      <w:pPr>
        <w:pStyle w:val="Subtitle"/>
        <w:spacing w:line="276" w:lineRule="auto"/>
        <w:jc w:val="left"/>
        <w:rPr>
          <w:rStyle w:val="SubtleEmphasis"/>
          <w:rFonts w:asciiTheme="minorHAnsi" w:hAnsiTheme="minorHAnsi"/>
          <w:b/>
        </w:rPr>
      </w:pPr>
      <w:bookmarkStart w:id="33" w:name="_Toc421623440"/>
      <w:r w:rsidRPr="00FE29F7">
        <w:rPr>
          <w:rStyle w:val="SubtleEmphasis"/>
          <w:rFonts w:asciiTheme="minorHAnsi" w:hAnsiTheme="minorHAnsi"/>
          <w:b/>
        </w:rPr>
        <w:t>‘</w:t>
      </w:r>
      <w:r w:rsidR="001319E4" w:rsidRPr="00FE29F7">
        <w:rPr>
          <w:rStyle w:val="SubtleEmphasis"/>
          <w:rFonts w:asciiTheme="minorHAnsi" w:hAnsiTheme="minorHAnsi"/>
          <w:b/>
        </w:rPr>
        <w:t>Secure</w:t>
      </w:r>
      <w:r w:rsidRPr="00FE29F7">
        <w:rPr>
          <w:rStyle w:val="SubtleEmphasis"/>
          <w:rFonts w:asciiTheme="minorHAnsi" w:hAnsiTheme="minorHAnsi"/>
          <w:b/>
        </w:rPr>
        <w:t>’</w:t>
      </w:r>
      <w:r w:rsidR="001319E4" w:rsidRPr="00FE29F7">
        <w:rPr>
          <w:rStyle w:val="SubtleEmphasis"/>
          <w:rFonts w:asciiTheme="minorHAnsi" w:hAnsiTheme="minorHAnsi"/>
          <w:b/>
        </w:rPr>
        <w:t xml:space="preserve"> Tenure </w:t>
      </w:r>
      <w:r w:rsidRPr="00FE29F7">
        <w:rPr>
          <w:rStyle w:val="SubtleEmphasis"/>
          <w:rFonts w:asciiTheme="minorHAnsi" w:hAnsiTheme="minorHAnsi"/>
          <w:b/>
        </w:rPr>
        <w:t>Policy</w:t>
      </w:r>
      <w:bookmarkEnd w:id="33"/>
    </w:p>
    <w:p w:rsidR="00504C34" w:rsidRPr="002E6F64" w:rsidRDefault="0045783F" w:rsidP="00EA6F6C">
      <w:pPr>
        <w:spacing w:line="276" w:lineRule="auto"/>
        <w:rPr>
          <w:rFonts w:asciiTheme="minorHAnsi" w:hAnsiTheme="minorHAnsi"/>
        </w:rPr>
      </w:pPr>
      <w:r w:rsidRPr="00FC088A">
        <w:rPr>
          <w:rFonts w:asciiTheme="minorHAnsi" w:hAnsiTheme="minorHAnsi"/>
        </w:rPr>
        <w:t>It is largely unknown and unacknowledged that</w:t>
      </w:r>
      <w:r w:rsidR="00AC4025" w:rsidRPr="00FC088A">
        <w:rPr>
          <w:rFonts w:asciiTheme="minorHAnsi" w:hAnsiTheme="minorHAnsi"/>
        </w:rPr>
        <w:t>, until recently,</w:t>
      </w:r>
      <w:r w:rsidRPr="00FC088A">
        <w:rPr>
          <w:rFonts w:asciiTheme="minorHAnsi" w:hAnsiTheme="minorHAnsi"/>
        </w:rPr>
        <w:t xml:space="preserve"> governments routinely built infrastructure on Aboriginal land not only without a lease but </w:t>
      </w:r>
      <w:r w:rsidR="00AC4025" w:rsidRPr="00FC088A">
        <w:rPr>
          <w:rFonts w:asciiTheme="minorHAnsi" w:hAnsiTheme="minorHAnsi"/>
        </w:rPr>
        <w:t xml:space="preserve">sometimes </w:t>
      </w:r>
      <w:r w:rsidRPr="00FC088A">
        <w:rPr>
          <w:rFonts w:asciiTheme="minorHAnsi" w:hAnsiTheme="minorHAnsi"/>
        </w:rPr>
        <w:t>without permission or consultation.</w:t>
      </w:r>
      <w:r w:rsidR="00096A40" w:rsidRPr="00FC088A">
        <w:rPr>
          <w:rFonts w:asciiTheme="minorHAnsi" w:hAnsiTheme="minorHAnsi"/>
        </w:rPr>
        <w:t xml:space="preserve"> </w:t>
      </w:r>
      <w:r w:rsidRPr="00FC088A">
        <w:rPr>
          <w:rFonts w:asciiTheme="minorHAnsi" w:hAnsiTheme="minorHAnsi"/>
        </w:rPr>
        <w:t>It is</w:t>
      </w:r>
      <w:r w:rsidR="00674D28" w:rsidRPr="00FC088A">
        <w:rPr>
          <w:rFonts w:asciiTheme="minorHAnsi" w:hAnsiTheme="minorHAnsi"/>
        </w:rPr>
        <w:t xml:space="preserve"> therefore</w:t>
      </w:r>
      <w:r w:rsidRPr="00FC088A">
        <w:rPr>
          <w:rFonts w:asciiTheme="minorHAnsi" w:hAnsiTheme="minorHAnsi"/>
        </w:rPr>
        <w:t xml:space="preserve"> </w:t>
      </w:r>
      <w:r w:rsidR="00674D28" w:rsidRPr="00FC088A">
        <w:rPr>
          <w:rFonts w:asciiTheme="minorHAnsi" w:hAnsiTheme="minorHAnsi"/>
        </w:rPr>
        <w:t>unsurprising</w:t>
      </w:r>
      <w:r w:rsidRPr="00FC088A">
        <w:rPr>
          <w:rFonts w:asciiTheme="minorHAnsi" w:hAnsiTheme="minorHAnsi"/>
        </w:rPr>
        <w:t xml:space="preserve"> that </w:t>
      </w:r>
      <w:r w:rsidR="005B1098" w:rsidRPr="00FC088A">
        <w:rPr>
          <w:rFonts w:asciiTheme="minorHAnsi" w:hAnsiTheme="minorHAnsi"/>
        </w:rPr>
        <w:t xml:space="preserve">ownership of a building, defining who has an interest in it and the </w:t>
      </w:r>
      <w:r w:rsidRPr="00FC088A">
        <w:rPr>
          <w:rFonts w:asciiTheme="minorHAnsi" w:hAnsiTheme="minorHAnsi"/>
        </w:rPr>
        <w:t xml:space="preserve">responsibility for </w:t>
      </w:r>
      <w:r w:rsidR="005B1098" w:rsidRPr="00FC088A">
        <w:rPr>
          <w:rFonts w:asciiTheme="minorHAnsi" w:hAnsiTheme="minorHAnsi"/>
        </w:rPr>
        <w:t xml:space="preserve">its </w:t>
      </w:r>
      <w:r w:rsidRPr="00FC088A">
        <w:rPr>
          <w:rFonts w:asciiTheme="minorHAnsi" w:hAnsiTheme="minorHAnsi"/>
        </w:rPr>
        <w:t xml:space="preserve">ongoing maintenance has </w:t>
      </w:r>
      <w:r w:rsidR="00674D28" w:rsidRPr="00FC088A">
        <w:rPr>
          <w:rFonts w:asciiTheme="minorHAnsi" w:hAnsiTheme="minorHAnsi"/>
        </w:rPr>
        <w:t xml:space="preserve">often </w:t>
      </w:r>
      <w:r w:rsidRPr="00FC088A">
        <w:rPr>
          <w:rFonts w:asciiTheme="minorHAnsi" w:hAnsiTheme="minorHAnsi"/>
        </w:rPr>
        <w:t xml:space="preserve">been </w:t>
      </w:r>
      <w:r w:rsidR="0008374A">
        <w:rPr>
          <w:rFonts w:asciiTheme="minorHAnsi" w:hAnsiTheme="minorHAnsi"/>
        </w:rPr>
        <w:t xml:space="preserve">unclear. </w:t>
      </w:r>
      <w:r w:rsidR="007B5018">
        <w:rPr>
          <w:rFonts w:asciiTheme="minorHAnsi" w:hAnsiTheme="minorHAnsi"/>
        </w:rPr>
        <w:t xml:space="preserve">Roll-out of new housing under the </w:t>
      </w:r>
      <w:r w:rsidR="007D5CF0" w:rsidRPr="002E6F64">
        <w:rPr>
          <w:rFonts w:asciiTheme="minorHAnsi" w:hAnsiTheme="minorHAnsi"/>
          <w:i/>
        </w:rPr>
        <w:t>Strategic Indigenous Housing and Infrastructure Program</w:t>
      </w:r>
      <w:r w:rsidR="007D5CF0" w:rsidRPr="002E6F64">
        <w:rPr>
          <w:rFonts w:asciiTheme="minorHAnsi" w:hAnsiTheme="minorHAnsi"/>
        </w:rPr>
        <w:t xml:space="preserve"> </w:t>
      </w:r>
      <w:r w:rsidR="00701677" w:rsidRPr="002E6F64">
        <w:rPr>
          <w:rFonts w:asciiTheme="minorHAnsi" w:hAnsiTheme="minorHAnsi"/>
        </w:rPr>
        <w:t>(</w:t>
      </w:r>
      <w:r w:rsidR="00CA28B4" w:rsidRPr="002E6F64">
        <w:rPr>
          <w:rFonts w:asciiTheme="minorHAnsi" w:hAnsiTheme="minorHAnsi"/>
        </w:rPr>
        <w:t>SIHIP</w:t>
      </w:r>
      <w:r w:rsidR="00701677" w:rsidRPr="002E6F64">
        <w:rPr>
          <w:rFonts w:asciiTheme="minorHAnsi" w:hAnsiTheme="minorHAnsi"/>
        </w:rPr>
        <w:t>)</w:t>
      </w:r>
      <w:r w:rsidR="007B5018">
        <w:rPr>
          <w:rFonts w:asciiTheme="minorHAnsi" w:hAnsiTheme="minorHAnsi"/>
        </w:rPr>
        <w:t xml:space="preserve"> was contingent upon a </w:t>
      </w:r>
      <w:r w:rsidR="00CA28B4" w:rsidRPr="002E6F64">
        <w:rPr>
          <w:rFonts w:asciiTheme="minorHAnsi" w:hAnsiTheme="minorHAnsi"/>
        </w:rPr>
        <w:t>long-term lease</w:t>
      </w:r>
      <w:r w:rsidR="007B5018">
        <w:rPr>
          <w:rFonts w:asciiTheme="minorHAnsi" w:hAnsiTheme="minorHAnsi"/>
        </w:rPr>
        <w:t xml:space="preserve"> over </w:t>
      </w:r>
      <w:r w:rsidR="000204D2" w:rsidRPr="002E6F64">
        <w:rPr>
          <w:rFonts w:asciiTheme="minorHAnsi" w:hAnsiTheme="minorHAnsi"/>
        </w:rPr>
        <w:t>community housing lots</w:t>
      </w:r>
      <w:r w:rsidR="007B5018">
        <w:rPr>
          <w:rFonts w:asciiTheme="minorHAnsi" w:hAnsiTheme="minorHAnsi"/>
        </w:rPr>
        <w:t xml:space="preserve"> being entered into.</w:t>
      </w:r>
      <w:r w:rsidR="00162CFF" w:rsidRPr="002E6F64">
        <w:rPr>
          <w:rFonts w:asciiTheme="minorHAnsi" w:hAnsiTheme="minorHAnsi"/>
        </w:rPr>
        <w:t xml:space="preserve"> This was </w:t>
      </w:r>
      <w:r w:rsidR="001A534A" w:rsidRPr="002E6F64">
        <w:rPr>
          <w:rFonts w:asciiTheme="minorHAnsi" w:hAnsiTheme="minorHAnsi"/>
        </w:rPr>
        <w:t>effectiv</w:t>
      </w:r>
      <w:r w:rsidR="002C0222">
        <w:rPr>
          <w:rFonts w:asciiTheme="minorHAnsi" w:hAnsiTheme="minorHAnsi"/>
        </w:rPr>
        <w:t>ely the first manifestation of the</w:t>
      </w:r>
      <w:r w:rsidR="001A534A" w:rsidRPr="002E6F64">
        <w:rPr>
          <w:rFonts w:asciiTheme="minorHAnsi" w:hAnsiTheme="minorHAnsi"/>
        </w:rPr>
        <w:t xml:space="preserve"> new ‘secure tenure’ policy</w:t>
      </w:r>
      <w:r w:rsidR="00162CFF" w:rsidRPr="002E6F64">
        <w:rPr>
          <w:rFonts w:asciiTheme="minorHAnsi" w:hAnsiTheme="minorHAnsi"/>
        </w:rPr>
        <w:t>.</w:t>
      </w:r>
      <w:r w:rsidR="001A534A" w:rsidRPr="002E6F64">
        <w:rPr>
          <w:rStyle w:val="FootnoteReference"/>
          <w:rFonts w:asciiTheme="minorHAnsi" w:hAnsiTheme="minorHAnsi"/>
        </w:rPr>
        <w:footnoteReference w:id="29"/>
      </w:r>
      <w:r w:rsidR="001A534A" w:rsidRPr="002E6F64">
        <w:rPr>
          <w:rFonts w:asciiTheme="minorHAnsi" w:hAnsiTheme="minorHAnsi"/>
        </w:rPr>
        <w:t xml:space="preserve"> </w:t>
      </w:r>
    </w:p>
    <w:p w:rsidR="00504C34" w:rsidRPr="002E6F64" w:rsidRDefault="00504C34" w:rsidP="00EA6F6C">
      <w:pPr>
        <w:spacing w:line="276" w:lineRule="auto"/>
        <w:rPr>
          <w:rFonts w:asciiTheme="minorHAnsi" w:hAnsiTheme="minorHAnsi"/>
        </w:rPr>
      </w:pPr>
    </w:p>
    <w:p w:rsidR="000204D2" w:rsidRDefault="00C632E1" w:rsidP="00EA6F6C">
      <w:pPr>
        <w:spacing w:line="276" w:lineRule="auto"/>
        <w:rPr>
          <w:rFonts w:asciiTheme="minorHAnsi" w:hAnsiTheme="minorHAnsi"/>
        </w:rPr>
      </w:pPr>
      <w:r w:rsidRPr="002E6F64">
        <w:rPr>
          <w:rFonts w:asciiTheme="minorHAnsi" w:hAnsiTheme="minorHAnsi"/>
        </w:rPr>
        <w:lastRenderedPageBreak/>
        <w:t>In practice, t</w:t>
      </w:r>
      <w:r w:rsidR="00DE3867">
        <w:rPr>
          <w:rFonts w:asciiTheme="minorHAnsi" w:hAnsiTheme="minorHAnsi"/>
        </w:rPr>
        <w:t>he ‘secure tenure’ policy wa</w:t>
      </w:r>
      <w:r w:rsidR="00504C34" w:rsidRPr="002E6F64">
        <w:rPr>
          <w:rFonts w:asciiTheme="minorHAnsi" w:hAnsiTheme="minorHAnsi"/>
        </w:rPr>
        <w:t>s a policy</w:t>
      </w:r>
      <w:r w:rsidR="000B7739" w:rsidRPr="002E6F64">
        <w:rPr>
          <w:rFonts w:asciiTheme="minorHAnsi" w:hAnsiTheme="minorHAnsi"/>
        </w:rPr>
        <w:t xml:space="preserve"> for formalisation of tenure</w:t>
      </w:r>
      <w:r w:rsidR="0008374A">
        <w:rPr>
          <w:rFonts w:asciiTheme="minorHAnsi" w:hAnsiTheme="minorHAnsi"/>
        </w:rPr>
        <w:t xml:space="preserve"> arrangements</w:t>
      </w:r>
      <w:r w:rsidR="00ED141D" w:rsidRPr="002E6F64">
        <w:rPr>
          <w:rFonts w:asciiTheme="minorHAnsi" w:hAnsiTheme="minorHAnsi"/>
        </w:rPr>
        <w:t xml:space="preserve">. </w:t>
      </w:r>
      <w:r w:rsidR="006171ED">
        <w:rPr>
          <w:rFonts w:asciiTheme="minorHAnsi" w:hAnsiTheme="minorHAnsi"/>
        </w:rPr>
        <w:t xml:space="preserve">It has resulted in almost all existing occupiers of premises in remote communities on </w:t>
      </w:r>
      <w:r w:rsidR="006171ED" w:rsidRPr="006171ED">
        <w:rPr>
          <w:rFonts w:asciiTheme="minorHAnsi" w:hAnsiTheme="minorHAnsi"/>
        </w:rPr>
        <w:t xml:space="preserve">Aboriginal land, and Community Living Areas applying for leases.  In the vast majority of cases these leases have been consented to by traditional owners.   </w:t>
      </w:r>
      <w:r w:rsidR="00CF4C83" w:rsidRPr="006171ED">
        <w:rPr>
          <w:rFonts w:asciiTheme="minorHAnsi" w:hAnsiTheme="minorHAnsi"/>
        </w:rPr>
        <w:t xml:space="preserve">The </w:t>
      </w:r>
      <w:r w:rsidR="000204D2" w:rsidRPr="006171ED">
        <w:rPr>
          <w:rFonts w:asciiTheme="minorHAnsi" w:hAnsiTheme="minorHAnsi"/>
        </w:rPr>
        <w:t>Central Land Council</w:t>
      </w:r>
      <w:r w:rsidR="00A331B4" w:rsidRPr="006171ED">
        <w:rPr>
          <w:rFonts w:asciiTheme="minorHAnsi" w:hAnsiTheme="minorHAnsi"/>
        </w:rPr>
        <w:t xml:space="preserve"> </w:t>
      </w:r>
      <w:r w:rsidR="00CF4C83" w:rsidRPr="006171ED">
        <w:rPr>
          <w:rFonts w:asciiTheme="minorHAnsi" w:hAnsiTheme="minorHAnsi"/>
        </w:rPr>
        <w:t xml:space="preserve">supports the policy </w:t>
      </w:r>
      <w:r w:rsidR="00A331B4" w:rsidRPr="006171ED">
        <w:rPr>
          <w:rFonts w:asciiTheme="minorHAnsi" w:hAnsiTheme="minorHAnsi"/>
        </w:rPr>
        <w:t xml:space="preserve">to the extent that it </w:t>
      </w:r>
      <w:r w:rsidR="00833893" w:rsidRPr="006171ED">
        <w:rPr>
          <w:rFonts w:asciiTheme="minorHAnsi" w:hAnsiTheme="minorHAnsi"/>
        </w:rPr>
        <w:t xml:space="preserve">is </w:t>
      </w:r>
      <w:r w:rsidR="00A331B4" w:rsidRPr="006171ED">
        <w:rPr>
          <w:rFonts w:asciiTheme="minorHAnsi" w:hAnsiTheme="minorHAnsi"/>
        </w:rPr>
        <w:t>concerned with formalising occupancy</w:t>
      </w:r>
      <w:r w:rsidR="00CF4C83" w:rsidRPr="006171ED">
        <w:rPr>
          <w:rFonts w:asciiTheme="minorHAnsi" w:hAnsiTheme="minorHAnsi"/>
        </w:rPr>
        <w:t xml:space="preserve"> and </w:t>
      </w:r>
      <w:r w:rsidR="006B2E39" w:rsidRPr="006171ED">
        <w:rPr>
          <w:rFonts w:asciiTheme="minorHAnsi" w:hAnsiTheme="minorHAnsi"/>
        </w:rPr>
        <w:t xml:space="preserve">clarifying the </w:t>
      </w:r>
      <w:r w:rsidR="00A331B4" w:rsidRPr="006171ED">
        <w:rPr>
          <w:rFonts w:asciiTheme="minorHAnsi" w:hAnsiTheme="minorHAnsi"/>
        </w:rPr>
        <w:t>responsibilities of third parties</w:t>
      </w:r>
      <w:r w:rsidR="0008374A" w:rsidRPr="006171ED">
        <w:rPr>
          <w:rFonts w:asciiTheme="minorHAnsi" w:hAnsiTheme="minorHAnsi"/>
        </w:rPr>
        <w:t>,</w:t>
      </w:r>
      <w:r w:rsidR="00A331B4" w:rsidRPr="006171ED">
        <w:rPr>
          <w:rFonts w:asciiTheme="minorHAnsi" w:hAnsiTheme="minorHAnsi"/>
        </w:rPr>
        <w:t xml:space="preserve"> and the payment of rent to land</w:t>
      </w:r>
      <w:r w:rsidRPr="006171ED">
        <w:rPr>
          <w:rFonts w:asciiTheme="minorHAnsi" w:hAnsiTheme="minorHAnsi"/>
        </w:rPr>
        <w:t xml:space="preserve"> </w:t>
      </w:r>
      <w:r w:rsidR="00A331B4" w:rsidRPr="006171ED">
        <w:rPr>
          <w:rFonts w:asciiTheme="minorHAnsi" w:hAnsiTheme="minorHAnsi"/>
        </w:rPr>
        <w:t>owners</w:t>
      </w:r>
      <w:r w:rsidR="00AB17F8" w:rsidRPr="006171ED">
        <w:rPr>
          <w:rFonts w:asciiTheme="minorHAnsi" w:hAnsiTheme="minorHAnsi"/>
        </w:rPr>
        <w:t>.</w:t>
      </w:r>
      <w:r w:rsidR="000310B7" w:rsidRPr="006171ED">
        <w:rPr>
          <w:rStyle w:val="FootnoteReference"/>
          <w:rFonts w:asciiTheme="minorHAnsi" w:hAnsiTheme="minorHAnsi"/>
        </w:rPr>
        <w:footnoteReference w:id="30"/>
      </w:r>
      <w:r w:rsidR="000204D2" w:rsidRPr="002E6F64">
        <w:rPr>
          <w:rFonts w:asciiTheme="minorHAnsi" w:hAnsiTheme="minorHAnsi"/>
        </w:rPr>
        <w:t xml:space="preserve"> </w:t>
      </w:r>
    </w:p>
    <w:p w:rsidR="008A4E13" w:rsidRDefault="008A4E13" w:rsidP="00EA6F6C">
      <w:pPr>
        <w:spacing w:line="276" w:lineRule="auto"/>
        <w:rPr>
          <w:rFonts w:asciiTheme="minorHAnsi" w:hAnsiTheme="minorHAnsi"/>
        </w:rPr>
      </w:pPr>
    </w:p>
    <w:p w:rsidR="00C179CA" w:rsidRPr="00FE29F7" w:rsidRDefault="00C179CA" w:rsidP="00EA6F6C">
      <w:pPr>
        <w:spacing w:line="276" w:lineRule="auto"/>
        <w:rPr>
          <w:rStyle w:val="SubtleEmphasis"/>
          <w:b/>
        </w:rPr>
      </w:pPr>
      <w:r w:rsidRPr="00FE29F7">
        <w:rPr>
          <w:rStyle w:val="SubtleEmphasis"/>
          <w:b/>
        </w:rPr>
        <w:t>Tenure reform significantly advanced in the NT</w:t>
      </w:r>
    </w:p>
    <w:p w:rsidR="008A4E13" w:rsidRDefault="00F80D39" w:rsidP="00EA6F6C">
      <w:pPr>
        <w:spacing w:line="276" w:lineRule="auto"/>
        <w:rPr>
          <w:rFonts w:asciiTheme="minorHAnsi" w:hAnsiTheme="minorHAnsi"/>
        </w:rPr>
      </w:pPr>
      <w:r>
        <w:rPr>
          <w:rFonts w:asciiTheme="minorHAnsi" w:hAnsiTheme="minorHAnsi"/>
        </w:rPr>
        <w:t>Traditional owners have consented to approximately 1954 leases</w:t>
      </w:r>
      <w:r w:rsidR="00470376">
        <w:rPr>
          <w:rFonts w:asciiTheme="minorHAnsi" w:hAnsiTheme="minorHAnsi"/>
        </w:rPr>
        <w:t xml:space="preserve"> in the CLC region</w:t>
      </w:r>
      <w:r>
        <w:rPr>
          <w:rFonts w:asciiTheme="minorHAnsi" w:hAnsiTheme="minorHAnsi"/>
        </w:rPr>
        <w:t xml:space="preserve"> since the commencement of the NTER in June 2007</w:t>
      </w:r>
      <w:r>
        <w:rPr>
          <w:rStyle w:val="FootnoteReference"/>
          <w:rFonts w:asciiTheme="minorHAnsi" w:hAnsiTheme="minorHAnsi"/>
        </w:rPr>
        <w:footnoteReference w:id="31"/>
      </w:r>
      <w:r>
        <w:rPr>
          <w:rFonts w:asciiTheme="minorHAnsi" w:hAnsiTheme="minorHAnsi"/>
        </w:rPr>
        <w:t>.  This includes leases over community housing, NT Government infrastructure, Commonwealth government infrastructure, stores, arts centres,</w:t>
      </w:r>
      <w:r w:rsidR="000D2C5E">
        <w:rPr>
          <w:rFonts w:asciiTheme="minorHAnsi" w:hAnsiTheme="minorHAnsi"/>
        </w:rPr>
        <w:t xml:space="preserve"> </w:t>
      </w:r>
      <w:r>
        <w:rPr>
          <w:rFonts w:asciiTheme="minorHAnsi" w:hAnsiTheme="minorHAnsi"/>
        </w:rPr>
        <w:t>Regional Council</w:t>
      </w:r>
      <w:r w:rsidR="000D2C5E">
        <w:rPr>
          <w:rFonts w:asciiTheme="minorHAnsi" w:hAnsiTheme="minorHAnsi"/>
        </w:rPr>
        <w:t xml:space="preserve"> and NGO</w:t>
      </w:r>
      <w:r>
        <w:rPr>
          <w:rFonts w:asciiTheme="minorHAnsi" w:hAnsiTheme="minorHAnsi"/>
        </w:rPr>
        <w:t xml:space="preserve"> assets.  The roll-out of leasing arrangements has focused primarily on existing assets and infrastructure, and, as predicted, the formalisation of tenure has not resulted in increased applications for new business or commercial opportunities.</w:t>
      </w:r>
      <w:r w:rsidR="007D51A4">
        <w:rPr>
          <w:rFonts w:asciiTheme="minorHAnsi" w:hAnsiTheme="minorHAnsi"/>
        </w:rPr>
        <w:t xml:space="preserve">  Most of these leases provide rent to traditional owners with the main exception being the forty housing headleases over comm</w:t>
      </w:r>
      <w:r w:rsidR="00C179CA">
        <w:rPr>
          <w:rFonts w:asciiTheme="minorHAnsi" w:hAnsiTheme="minorHAnsi"/>
        </w:rPr>
        <w:t>unity housing.  The Australian G</w:t>
      </w:r>
      <w:r w:rsidR="007D51A4">
        <w:rPr>
          <w:rFonts w:asciiTheme="minorHAnsi" w:hAnsiTheme="minorHAnsi"/>
        </w:rPr>
        <w:t xml:space="preserve">overnment refused to pay rent to traditional owners for these leases on the basis that consent </w:t>
      </w:r>
      <w:r w:rsidR="00C23F19">
        <w:rPr>
          <w:rFonts w:asciiTheme="minorHAnsi" w:hAnsiTheme="minorHAnsi"/>
        </w:rPr>
        <w:t>t</w:t>
      </w:r>
      <w:r w:rsidR="007D51A4">
        <w:rPr>
          <w:rFonts w:asciiTheme="minorHAnsi" w:hAnsiTheme="minorHAnsi"/>
        </w:rPr>
        <w:t>o such a lease would attract government investment in housing infrastructure and repairs and maintenance</w:t>
      </w:r>
      <w:r w:rsidR="002B5067">
        <w:rPr>
          <w:rStyle w:val="FootnoteReference"/>
          <w:rFonts w:asciiTheme="minorHAnsi" w:hAnsiTheme="minorHAnsi"/>
        </w:rPr>
        <w:footnoteReference w:id="32"/>
      </w:r>
      <w:r w:rsidR="007D51A4">
        <w:rPr>
          <w:rFonts w:asciiTheme="minorHAnsi" w:hAnsiTheme="minorHAnsi"/>
        </w:rPr>
        <w:t>.  Traditional owners also regularly agree to a ‘peppercorn’ rent whe</w:t>
      </w:r>
      <w:r w:rsidR="00CB4663">
        <w:rPr>
          <w:rFonts w:asciiTheme="minorHAnsi" w:hAnsiTheme="minorHAnsi"/>
        </w:rPr>
        <w:t>re the asset is used to benefit the community, for example youth facilities.</w:t>
      </w:r>
    </w:p>
    <w:p w:rsidR="00C179CA" w:rsidRDefault="00C179CA" w:rsidP="00EA6F6C">
      <w:pPr>
        <w:spacing w:line="276" w:lineRule="auto"/>
        <w:rPr>
          <w:rFonts w:asciiTheme="minorHAnsi" w:hAnsiTheme="minorHAnsi"/>
        </w:rPr>
      </w:pPr>
    </w:p>
    <w:p w:rsidR="00C179CA" w:rsidRPr="002E6F64" w:rsidRDefault="00C179CA" w:rsidP="00EA6F6C">
      <w:pPr>
        <w:spacing w:line="276" w:lineRule="auto"/>
        <w:rPr>
          <w:rFonts w:asciiTheme="minorHAnsi" w:hAnsiTheme="minorHAnsi"/>
        </w:rPr>
      </w:pPr>
      <w:r>
        <w:rPr>
          <w:rFonts w:asciiTheme="minorHAnsi" w:hAnsiTheme="minorHAnsi"/>
        </w:rPr>
        <w:t xml:space="preserve">Taken in conjunction with similar progress in the NLC region there is likely to be more leases on Aboriginal </w:t>
      </w:r>
      <w:r w:rsidR="00993CBF">
        <w:rPr>
          <w:rFonts w:asciiTheme="minorHAnsi" w:hAnsiTheme="minorHAnsi"/>
        </w:rPr>
        <w:t>land in the NT</w:t>
      </w:r>
      <w:r>
        <w:rPr>
          <w:rFonts w:asciiTheme="minorHAnsi" w:hAnsiTheme="minorHAnsi"/>
        </w:rPr>
        <w:t xml:space="preserve"> than in any other jurisdiction in Australia.  These leases are voluntary and require tradition owners</w:t>
      </w:r>
      <w:r w:rsidR="00D201A3">
        <w:rPr>
          <w:rFonts w:asciiTheme="minorHAnsi" w:hAnsiTheme="minorHAnsi"/>
        </w:rPr>
        <w:t>’</w:t>
      </w:r>
      <w:r>
        <w:rPr>
          <w:rFonts w:asciiTheme="minorHAnsi" w:hAnsiTheme="minorHAnsi"/>
        </w:rPr>
        <w:t xml:space="preserve"> informed consent, have flexible and negotiated terms and conditions, are transferable and can be used to secure a mortgage.</w:t>
      </w:r>
    </w:p>
    <w:p w:rsidR="000204D2" w:rsidRPr="002E6F64" w:rsidRDefault="00C52B0C" w:rsidP="00EA6F6C">
      <w:pPr>
        <w:spacing w:line="276" w:lineRule="auto"/>
        <w:rPr>
          <w:rFonts w:asciiTheme="minorHAnsi" w:hAnsiTheme="minorHAnsi"/>
        </w:rPr>
      </w:pPr>
      <w:r w:rsidRPr="002E6F64">
        <w:rPr>
          <w:rFonts w:asciiTheme="minorHAnsi" w:hAnsiTheme="minorHAnsi"/>
          <w:noProof/>
        </w:rPr>
        <mc:AlternateContent>
          <mc:Choice Requires="wps">
            <w:drawing>
              <wp:anchor distT="0" distB="0" distL="114300" distR="114300" simplePos="0" relativeHeight="251675648" behindDoc="1" locked="0" layoutInCell="1" allowOverlap="1" wp14:anchorId="08795498" wp14:editId="31AF0750">
                <wp:simplePos x="0" y="0"/>
                <wp:positionH relativeFrom="column">
                  <wp:posOffset>6293485</wp:posOffset>
                </wp:positionH>
                <wp:positionV relativeFrom="paragraph">
                  <wp:posOffset>17145</wp:posOffset>
                </wp:positionV>
                <wp:extent cx="45085" cy="1035050"/>
                <wp:effectExtent l="0" t="0" r="0" b="0"/>
                <wp:wrapThrough wrapText="bothSides">
                  <wp:wrapPolygon edited="0">
                    <wp:start x="0" y="0"/>
                    <wp:lineTo x="0" y="21070"/>
                    <wp:lineTo x="9127" y="21070"/>
                    <wp:lineTo x="9127" y="0"/>
                    <wp:lineTo x="0" y="0"/>
                  </wp:wrapPolygon>
                </wp:wrapThrough>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085" cy="1035050"/>
                        </a:xfrm>
                        <a:prstGeom prst="rect">
                          <a:avLst/>
                        </a:prstGeom>
                        <a:solidFill>
                          <a:srgbClr val="FFFFFF"/>
                        </a:solidFill>
                        <a:ln w="9525">
                          <a:noFill/>
                          <a:miter lim="800000"/>
                          <a:headEnd/>
                          <a:tailEnd/>
                        </a:ln>
                      </wps:spPr>
                      <wps:txbx>
                        <w:txbxContent>
                          <w:p w:rsidR="00D57C33" w:rsidRPr="00215567" w:rsidRDefault="00D57C33">
                            <w:pPr>
                              <w:rPr>
                                <w:rFonts w:ascii="Calibri" w:hAnsi="Calibri"/>
                                <w:i/>
                                <w:color w:val="0066CC"/>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5.55pt;margin-top:1.35pt;width:3.55pt;height:81.5pt;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" stroked="f">
                <v:textbox>
                  <w:txbxContent>
                    <w:p w:rsidR="00D57C33" w:rsidRPr="00215567" w:rsidRDefault="00D57C33">
                      <w:pPr>
                        <w:rPr>
                          <w:rFonts w:ascii="Calibri" w:hAnsi="Calibri"/>
                          <w:i/>
                          <w:color w:val="0066CC"/>
                          <w:sz w:val="28"/>
                          <w:szCs w:val="28"/>
                        </w:rPr>
                      </w:pPr>
                    </w:p>
                  </w:txbxContent>
                </v:textbox>
                <w10:wrap type="through"/>
              </v:shape>
            </w:pict>
          </mc:Fallback>
        </mc:AlternateContent>
      </w:r>
    </w:p>
    <w:p w:rsidR="007650B2" w:rsidRDefault="007650B2">
      <w:pPr>
        <w:rPr>
          <w:rFonts w:asciiTheme="minorHAnsi" w:hAnsiTheme="minorHAnsi"/>
          <w:b/>
        </w:rPr>
      </w:pPr>
      <w:r>
        <w:rPr>
          <w:rFonts w:asciiTheme="minorHAnsi" w:hAnsiTheme="minorHAnsi"/>
          <w:b/>
        </w:rPr>
        <w:br w:type="page"/>
      </w:r>
    </w:p>
    <w:p w:rsidR="002858F6" w:rsidRPr="009248BD" w:rsidRDefault="00D721D1" w:rsidP="00EA6F6C">
      <w:pPr>
        <w:spacing w:line="276" w:lineRule="auto"/>
        <w:rPr>
          <w:rFonts w:asciiTheme="minorHAnsi" w:hAnsiTheme="minorHAnsi"/>
          <w:b/>
        </w:rPr>
      </w:pPr>
      <w:r>
        <w:rPr>
          <w:rFonts w:asciiTheme="minorHAnsi" w:hAnsiTheme="minorHAnsi"/>
          <w:b/>
        </w:rPr>
        <w:lastRenderedPageBreak/>
        <w:t>Recommendation 1</w:t>
      </w:r>
      <w:r w:rsidR="002858F6" w:rsidRPr="009248BD">
        <w:rPr>
          <w:rFonts w:asciiTheme="minorHAnsi" w:hAnsiTheme="minorHAnsi"/>
          <w:b/>
        </w:rPr>
        <w:t xml:space="preserve">.  </w:t>
      </w:r>
      <w:r w:rsidR="000D2C5E" w:rsidRPr="009248BD">
        <w:rPr>
          <w:rFonts w:asciiTheme="minorHAnsi" w:hAnsiTheme="minorHAnsi"/>
          <w:b/>
        </w:rPr>
        <w:t xml:space="preserve">That this investigation recognise that the ALRA is the high water mark of land rights legislation and provides a unique and effective model for recognising </w:t>
      </w:r>
      <w:r w:rsidR="00470376">
        <w:rPr>
          <w:rFonts w:asciiTheme="minorHAnsi" w:hAnsiTheme="minorHAnsi"/>
          <w:b/>
        </w:rPr>
        <w:t xml:space="preserve">and preserving </w:t>
      </w:r>
      <w:r w:rsidR="000D2C5E" w:rsidRPr="009248BD">
        <w:rPr>
          <w:rFonts w:asciiTheme="minorHAnsi" w:hAnsiTheme="minorHAnsi"/>
          <w:b/>
        </w:rPr>
        <w:t xml:space="preserve">customary authority and communal ownership of land whilst also providing for development through the granting of leasehold interests. </w:t>
      </w:r>
    </w:p>
    <w:p w:rsidR="000D2C5E" w:rsidRDefault="000D2C5E" w:rsidP="000D2C5E">
      <w:pPr>
        <w:spacing w:line="276" w:lineRule="auto"/>
        <w:rPr>
          <w:rFonts w:asciiTheme="minorHAnsi" w:hAnsiTheme="minorHAnsi"/>
          <w:b/>
        </w:rPr>
      </w:pPr>
    </w:p>
    <w:p w:rsidR="000D2C5E" w:rsidRPr="009248BD" w:rsidRDefault="00D721D1" w:rsidP="000D2C5E">
      <w:pPr>
        <w:spacing w:line="276" w:lineRule="auto"/>
        <w:rPr>
          <w:rFonts w:asciiTheme="minorHAnsi" w:hAnsiTheme="minorHAnsi"/>
          <w:b/>
        </w:rPr>
      </w:pPr>
      <w:r>
        <w:rPr>
          <w:rFonts w:asciiTheme="minorHAnsi" w:hAnsiTheme="minorHAnsi"/>
          <w:b/>
        </w:rPr>
        <w:t>Recommendation 2</w:t>
      </w:r>
      <w:r w:rsidR="002858F6" w:rsidRPr="009248BD">
        <w:rPr>
          <w:rFonts w:asciiTheme="minorHAnsi" w:hAnsiTheme="minorHAnsi"/>
          <w:b/>
        </w:rPr>
        <w:t xml:space="preserve">.  </w:t>
      </w:r>
      <w:r w:rsidR="000D2C5E" w:rsidRPr="009248BD">
        <w:rPr>
          <w:rFonts w:asciiTheme="minorHAnsi" w:hAnsiTheme="minorHAnsi"/>
          <w:b/>
        </w:rPr>
        <w:t>That the ALRA and other Indigenous land and native title legislation, not be amended without the informed consent of relevant Aboriginal landowners.</w:t>
      </w:r>
    </w:p>
    <w:p w:rsidR="002858F6" w:rsidRPr="009248BD" w:rsidRDefault="002858F6" w:rsidP="00EA6F6C">
      <w:pPr>
        <w:spacing w:line="276" w:lineRule="auto"/>
        <w:rPr>
          <w:rFonts w:asciiTheme="minorHAnsi" w:hAnsiTheme="minorHAnsi"/>
          <w:b/>
        </w:rPr>
      </w:pPr>
    </w:p>
    <w:p w:rsidR="002858F6" w:rsidRPr="009248BD" w:rsidRDefault="002858F6" w:rsidP="00EA6F6C">
      <w:pPr>
        <w:spacing w:line="276" w:lineRule="auto"/>
        <w:rPr>
          <w:rFonts w:asciiTheme="minorHAnsi" w:hAnsiTheme="minorHAnsi"/>
          <w:b/>
        </w:rPr>
      </w:pPr>
      <w:r w:rsidRPr="009248BD">
        <w:rPr>
          <w:rFonts w:asciiTheme="minorHAnsi" w:hAnsiTheme="minorHAnsi"/>
          <w:b/>
        </w:rPr>
        <w:t>Recommenda</w:t>
      </w:r>
      <w:r w:rsidR="00D721D1">
        <w:rPr>
          <w:rFonts w:asciiTheme="minorHAnsi" w:hAnsiTheme="minorHAnsi"/>
          <w:b/>
        </w:rPr>
        <w:t>tion 3</w:t>
      </w:r>
      <w:r w:rsidRPr="009248BD">
        <w:rPr>
          <w:rFonts w:asciiTheme="minorHAnsi" w:hAnsiTheme="minorHAnsi"/>
          <w:b/>
        </w:rPr>
        <w:t xml:space="preserve">.  That this investigation recognise the extent to which the formalisation of leasehold interests in the CLC region has progressed, with 1954 leases consented to since June 2007. </w:t>
      </w:r>
    </w:p>
    <w:p w:rsidR="002858F6" w:rsidRPr="009248BD" w:rsidRDefault="002858F6" w:rsidP="00EA6F6C">
      <w:pPr>
        <w:spacing w:line="276" w:lineRule="auto"/>
        <w:rPr>
          <w:rFonts w:asciiTheme="minorHAnsi" w:hAnsiTheme="minorHAnsi"/>
          <w:b/>
        </w:rPr>
      </w:pPr>
    </w:p>
    <w:p w:rsidR="002858F6" w:rsidRDefault="002858F6" w:rsidP="00EA6F6C">
      <w:pPr>
        <w:spacing w:line="276" w:lineRule="auto"/>
        <w:rPr>
          <w:rStyle w:val="SubtleEmphasis"/>
        </w:rPr>
      </w:pPr>
    </w:p>
    <w:p w:rsidR="006171ED" w:rsidRPr="00FE29F7" w:rsidRDefault="006171ED" w:rsidP="00EA6F6C">
      <w:pPr>
        <w:spacing w:line="276" w:lineRule="auto"/>
        <w:rPr>
          <w:rStyle w:val="SubtleEmphasis"/>
          <w:b/>
        </w:rPr>
      </w:pPr>
      <w:r w:rsidRPr="00FE29F7">
        <w:rPr>
          <w:rStyle w:val="SubtleEmphasis"/>
          <w:b/>
        </w:rPr>
        <w:t>Policy trends since September 2013</w:t>
      </w:r>
    </w:p>
    <w:p w:rsidR="00DC2266" w:rsidRPr="00DE3867" w:rsidRDefault="006171ED" w:rsidP="00EA6F6C">
      <w:pPr>
        <w:spacing w:line="276" w:lineRule="auto"/>
        <w:rPr>
          <w:rFonts w:asciiTheme="minorHAnsi" w:hAnsiTheme="minorHAnsi"/>
          <w:iCs/>
        </w:rPr>
      </w:pPr>
      <w:r w:rsidRPr="006171ED">
        <w:rPr>
          <w:rStyle w:val="SubtleEmphasis"/>
          <w:rFonts w:asciiTheme="minorHAnsi" w:hAnsiTheme="minorHAnsi"/>
          <w:i w:val="0"/>
          <w:color w:val="auto"/>
        </w:rPr>
        <w:t xml:space="preserve">Since the </w:t>
      </w:r>
      <w:r>
        <w:rPr>
          <w:rStyle w:val="SubtleEmphasis"/>
          <w:rFonts w:asciiTheme="minorHAnsi" w:hAnsiTheme="minorHAnsi"/>
          <w:i w:val="0"/>
          <w:color w:val="auto"/>
        </w:rPr>
        <w:t xml:space="preserve">election </w:t>
      </w:r>
      <w:r w:rsidRPr="006171ED">
        <w:rPr>
          <w:rStyle w:val="SubtleEmphasis"/>
          <w:rFonts w:asciiTheme="minorHAnsi" w:hAnsiTheme="minorHAnsi"/>
          <w:i w:val="0"/>
          <w:color w:val="auto"/>
        </w:rPr>
        <w:t>of a new Coalition Government</w:t>
      </w:r>
      <w:r w:rsidR="00201562">
        <w:rPr>
          <w:rStyle w:val="SubtleEmphasis"/>
          <w:rFonts w:asciiTheme="minorHAnsi" w:hAnsiTheme="minorHAnsi"/>
          <w:i w:val="0"/>
          <w:color w:val="auto"/>
        </w:rPr>
        <w:t xml:space="preserve"> in September 2013 the policy framework applying to Aboriginal land reform has again shifted. </w:t>
      </w:r>
      <w:r w:rsidR="00DE3867">
        <w:rPr>
          <w:rStyle w:val="SubtleEmphasis"/>
          <w:rFonts w:asciiTheme="minorHAnsi" w:hAnsiTheme="minorHAnsi"/>
          <w:i w:val="0"/>
          <w:color w:val="auto"/>
        </w:rPr>
        <w:t xml:space="preserve"> The ‘secure tenure’ approach</w:t>
      </w:r>
      <w:r w:rsidR="00201562">
        <w:rPr>
          <w:rStyle w:val="SubtleEmphasis"/>
          <w:rFonts w:asciiTheme="minorHAnsi" w:hAnsiTheme="minorHAnsi"/>
          <w:i w:val="0"/>
          <w:color w:val="auto"/>
        </w:rPr>
        <w:t xml:space="preserve"> adopted by the previous Labor government has been abandoned.  There is sti</w:t>
      </w:r>
      <w:r w:rsidR="00DE3867">
        <w:rPr>
          <w:rStyle w:val="SubtleEmphasis"/>
          <w:rFonts w:asciiTheme="minorHAnsi" w:hAnsiTheme="minorHAnsi"/>
          <w:i w:val="0"/>
          <w:color w:val="auto"/>
        </w:rPr>
        <w:t xml:space="preserve">ll no overarching land tenure </w:t>
      </w:r>
      <w:r w:rsidR="00DC2266">
        <w:rPr>
          <w:rStyle w:val="SubtleEmphasis"/>
          <w:rFonts w:asciiTheme="minorHAnsi" w:hAnsiTheme="minorHAnsi"/>
          <w:i w:val="0"/>
          <w:color w:val="auto"/>
        </w:rPr>
        <w:t>policy paper and the policy objectives of the Australian Government must instead be pieced together through media announcements and funding guidelines.</w:t>
      </w:r>
      <w:r w:rsidR="00DE3867">
        <w:rPr>
          <w:rStyle w:val="SubtleEmphasis"/>
          <w:rFonts w:asciiTheme="minorHAnsi" w:hAnsiTheme="minorHAnsi"/>
          <w:i w:val="0"/>
          <w:color w:val="auto"/>
        </w:rPr>
        <w:t xml:space="preserve">  </w:t>
      </w:r>
      <w:r w:rsidR="00DC2266">
        <w:rPr>
          <w:rFonts w:asciiTheme="minorHAnsi" w:hAnsiTheme="minorHAnsi"/>
        </w:rPr>
        <w:t>It is</w:t>
      </w:r>
      <w:r w:rsidR="00DE3867">
        <w:rPr>
          <w:rFonts w:asciiTheme="minorHAnsi" w:hAnsiTheme="minorHAnsi"/>
        </w:rPr>
        <w:t xml:space="preserve">, however, </w:t>
      </w:r>
      <w:r w:rsidR="00DC2266">
        <w:rPr>
          <w:rFonts w:asciiTheme="minorHAnsi" w:hAnsiTheme="minorHAnsi"/>
        </w:rPr>
        <w:t>very clear th</w:t>
      </w:r>
      <w:r w:rsidR="00A560CA">
        <w:rPr>
          <w:rFonts w:asciiTheme="minorHAnsi" w:hAnsiTheme="minorHAnsi"/>
        </w:rPr>
        <w:t>at the preferred tenure outcome</w:t>
      </w:r>
      <w:r w:rsidR="00DE3867">
        <w:rPr>
          <w:rFonts w:asciiTheme="minorHAnsi" w:hAnsiTheme="minorHAnsi"/>
        </w:rPr>
        <w:t xml:space="preserve"> in the NT</w:t>
      </w:r>
      <w:r w:rsidR="00DC2266">
        <w:rPr>
          <w:rFonts w:asciiTheme="minorHAnsi" w:hAnsiTheme="minorHAnsi"/>
        </w:rPr>
        <w:t xml:space="preserve"> is township leases</w:t>
      </w:r>
      <w:r w:rsidR="00A560CA">
        <w:rPr>
          <w:rFonts w:asciiTheme="minorHAnsi" w:hAnsiTheme="minorHAnsi"/>
        </w:rPr>
        <w:t xml:space="preserve"> to the EDTL</w:t>
      </w:r>
      <w:r w:rsidR="00DC2266">
        <w:rPr>
          <w:rFonts w:asciiTheme="minorHAnsi" w:hAnsiTheme="minorHAnsi"/>
        </w:rPr>
        <w:t xml:space="preserve">, to provide for </w:t>
      </w:r>
      <w:r w:rsidR="00DE3867">
        <w:rPr>
          <w:rFonts w:asciiTheme="minorHAnsi" w:hAnsiTheme="minorHAnsi"/>
        </w:rPr>
        <w:t>‘</w:t>
      </w:r>
      <w:r w:rsidR="00DC2266">
        <w:rPr>
          <w:rFonts w:asciiTheme="minorHAnsi" w:hAnsiTheme="minorHAnsi"/>
        </w:rPr>
        <w:t>tradeable tenure and private home ownership</w:t>
      </w:r>
      <w:r w:rsidR="00DE3867">
        <w:rPr>
          <w:rFonts w:asciiTheme="minorHAnsi" w:hAnsiTheme="minorHAnsi"/>
        </w:rPr>
        <w:t>’</w:t>
      </w:r>
      <w:r w:rsidR="00993CBF">
        <w:rPr>
          <w:rFonts w:asciiTheme="minorHAnsi" w:hAnsiTheme="minorHAnsi"/>
        </w:rPr>
        <w:t>.  The Minister for I</w:t>
      </w:r>
      <w:r w:rsidR="00DC2266">
        <w:rPr>
          <w:rFonts w:asciiTheme="minorHAnsi" w:hAnsiTheme="minorHAnsi"/>
        </w:rPr>
        <w:t>ndigenous Affairs, Nigel Scullion</w:t>
      </w:r>
      <w:r w:rsidR="00D201A3">
        <w:rPr>
          <w:rFonts w:asciiTheme="minorHAnsi" w:hAnsiTheme="minorHAnsi"/>
        </w:rPr>
        <w:t>,</w:t>
      </w:r>
      <w:r w:rsidR="00DC2266">
        <w:rPr>
          <w:rFonts w:asciiTheme="minorHAnsi" w:hAnsiTheme="minorHAnsi"/>
        </w:rPr>
        <w:t xml:space="preserve"> states,</w:t>
      </w:r>
    </w:p>
    <w:p w:rsidR="00DC2266" w:rsidRDefault="00DC2266" w:rsidP="00EA6F6C">
      <w:pPr>
        <w:spacing w:line="276" w:lineRule="auto"/>
        <w:rPr>
          <w:rFonts w:asciiTheme="minorHAnsi" w:hAnsiTheme="minorHAnsi"/>
        </w:rPr>
      </w:pPr>
    </w:p>
    <w:p w:rsidR="00DC2266" w:rsidRPr="00DC2266" w:rsidRDefault="00DC2266" w:rsidP="00EA6F6C">
      <w:pPr>
        <w:spacing w:line="276" w:lineRule="auto"/>
        <w:ind w:left="720"/>
        <w:rPr>
          <w:rFonts w:asciiTheme="minorHAnsi" w:hAnsiTheme="minorHAnsi"/>
          <w:sz w:val="22"/>
          <w:szCs w:val="22"/>
        </w:rPr>
      </w:pPr>
      <w:r w:rsidRPr="00F37E4C">
        <w:rPr>
          <w:rFonts w:asciiTheme="minorHAnsi" w:hAnsiTheme="minorHAnsi"/>
          <w:sz w:val="22"/>
          <w:szCs w:val="22"/>
        </w:rPr>
        <w:t>While Government regularly leases or controls individual lots of land in remote Aboriginal communities to assist in the delivery of services, these individual arrangements have not led to significant economic development opportunities for Aboriginal people.  Township leasing is starting to change this in the Northern T</w:t>
      </w:r>
      <w:r w:rsidR="00F37E4C" w:rsidRPr="00F37E4C">
        <w:rPr>
          <w:rFonts w:asciiTheme="minorHAnsi" w:hAnsiTheme="minorHAnsi"/>
          <w:sz w:val="22"/>
          <w:szCs w:val="22"/>
        </w:rPr>
        <w:t>erritory….Land tenure reform is not about benefiting government and it is not about giving government control of the land.  It is about giving Aboriginal people the same opportunities and responsibilities as other Australians to own their own homes, and leverage their assets to generate wealth for the benefit of themselves, their families and their communities</w:t>
      </w:r>
      <w:r w:rsidRPr="00DC2266">
        <w:rPr>
          <w:rFonts w:asciiTheme="minorHAnsi" w:hAnsiTheme="minorHAnsi" w:cs="Arial"/>
          <w:color w:val="000000"/>
          <w:sz w:val="22"/>
          <w:szCs w:val="22"/>
          <w:lang w:val="en"/>
        </w:rPr>
        <w:t>.</w:t>
      </w:r>
      <w:r w:rsidRPr="00F37E4C">
        <w:rPr>
          <w:rStyle w:val="FootnoteReference"/>
          <w:rFonts w:asciiTheme="minorHAnsi" w:hAnsiTheme="minorHAnsi" w:cs="Arial"/>
          <w:color w:val="000000"/>
          <w:sz w:val="22"/>
          <w:szCs w:val="22"/>
          <w:lang w:val="en"/>
        </w:rPr>
        <w:footnoteReference w:id="33"/>
      </w:r>
    </w:p>
    <w:p w:rsidR="00DC2266" w:rsidRDefault="00DC2266" w:rsidP="00EA6F6C">
      <w:pPr>
        <w:spacing w:line="276" w:lineRule="auto"/>
        <w:rPr>
          <w:rFonts w:asciiTheme="minorHAnsi" w:hAnsiTheme="minorHAnsi"/>
        </w:rPr>
      </w:pPr>
    </w:p>
    <w:p w:rsidR="00BE2469" w:rsidRDefault="00F37E4C" w:rsidP="00EA6F6C">
      <w:pPr>
        <w:spacing w:line="276" w:lineRule="auto"/>
        <w:rPr>
          <w:rFonts w:asciiTheme="minorHAnsi" w:hAnsiTheme="minorHAnsi"/>
        </w:rPr>
      </w:pPr>
      <w:r>
        <w:rPr>
          <w:rFonts w:asciiTheme="minorHAnsi" w:hAnsiTheme="minorHAnsi"/>
        </w:rPr>
        <w:t xml:space="preserve">The </w:t>
      </w:r>
      <w:r w:rsidR="00BE2469">
        <w:rPr>
          <w:rFonts w:asciiTheme="minorHAnsi" w:hAnsiTheme="minorHAnsi"/>
        </w:rPr>
        <w:t xml:space="preserve">current </w:t>
      </w:r>
      <w:r>
        <w:rPr>
          <w:rFonts w:asciiTheme="minorHAnsi" w:hAnsiTheme="minorHAnsi"/>
        </w:rPr>
        <w:t xml:space="preserve">Australian Government is effectively dismissing the rapid, and almost complete, roll-out of voluntary s.19 leases in remote </w:t>
      </w:r>
      <w:r w:rsidR="00AA55D2">
        <w:rPr>
          <w:rFonts w:asciiTheme="minorHAnsi" w:hAnsiTheme="minorHAnsi"/>
        </w:rPr>
        <w:t xml:space="preserve">ALRA </w:t>
      </w:r>
      <w:r>
        <w:rPr>
          <w:rFonts w:asciiTheme="minorHAnsi" w:hAnsiTheme="minorHAnsi"/>
        </w:rPr>
        <w:t>communities, and similar arrangements</w:t>
      </w:r>
      <w:r w:rsidR="00AA55D2">
        <w:rPr>
          <w:rFonts w:asciiTheme="minorHAnsi" w:hAnsiTheme="minorHAnsi"/>
        </w:rPr>
        <w:t xml:space="preserve"> on Community Living Areas.  Approximately 90% (in some cases more) of most remote communities are now held under lease.  </w:t>
      </w:r>
      <w:r w:rsidR="00BE2469">
        <w:rPr>
          <w:rFonts w:asciiTheme="minorHAnsi" w:hAnsiTheme="minorHAnsi"/>
        </w:rPr>
        <w:t xml:space="preserve">Further, in relation to housing specifically, the tenure goalposts simply keep shifting.  For example, in mid 2012 </w:t>
      </w:r>
      <w:r w:rsidR="00807947">
        <w:rPr>
          <w:rFonts w:asciiTheme="minorHAnsi" w:hAnsiTheme="minorHAnsi"/>
        </w:rPr>
        <w:t xml:space="preserve">most </w:t>
      </w:r>
      <w:r w:rsidR="00BE2469">
        <w:rPr>
          <w:rFonts w:asciiTheme="minorHAnsi" w:hAnsiTheme="minorHAnsi"/>
        </w:rPr>
        <w:t xml:space="preserve">communities in central Australian were sent letters of offer to enter into a voluntary s.19 lease over all community housing for forty years to provide for a better remote public </w:t>
      </w:r>
      <w:r w:rsidR="00BE2469">
        <w:rPr>
          <w:rFonts w:asciiTheme="minorHAnsi" w:hAnsiTheme="minorHAnsi"/>
        </w:rPr>
        <w:lastRenderedPageBreak/>
        <w:t>housing system.  If the</w:t>
      </w:r>
      <w:r w:rsidR="00666331">
        <w:rPr>
          <w:rFonts w:asciiTheme="minorHAnsi" w:hAnsiTheme="minorHAnsi"/>
        </w:rPr>
        <w:t xml:space="preserve"> lease was not entered into</w:t>
      </w:r>
      <w:r w:rsidR="00BE2469">
        <w:rPr>
          <w:rFonts w:asciiTheme="minorHAnsi" w:hAnsiTheme="minorHAnsi"/>
        </w:rPr>
        <w:t xml:space="preserve"> the Australian Government would not fund any building programs or housing upgrades, and only a basic level of repairs and maintenance would be provided. When faced with this choice the overwhelming majority of communities and traditional owners agreed to enter these leases.</w:t>
      </w:r>
    </w:p>
    <w:p w:rsidR="00666331" w:rsidRDefault="00666331" w:rsidP="00EA6F6C">
      <w:pPr>
        <w:spacing w:line="276" w:lineRule="auto"/>
        <w:rPr>
          <w:rFonts w:asciiTheme="minorHAnsi" w:hAnsiTheme="minorHAnsi"/>
        </w:rPr>
      </w:pPr>
    </w:p>
    <w:p w:rsidR="0074639B" w:rsidRPr="0074639B" w:rsidRDefault="00666331" w:rsidP="00EA6F6C">
      <w:pPr>
        <w:spacing w:line="276" w:lineRule="auto"/>
        <w:rPr>
          <w:rFonts w:asciiTheme="minorHAnsi" w:hAnsiTheme="minorHAnsi"/>
        </w:rPr>
      </w:pPr>
      <w:r>
        <w:rPr>
          <w:rFonts w:asciiTheme="minorHAnsi" w:hAnsiTheme="minorHAnsi"/>
        </w:rPr>
        <w:t xml:space="preserve">By November 2014 </w:t>
      </w:r>
      <w:r w:rsidR="00BE2469">
        <w:rPr>
          <w:rFonts w:asciiTheme="minorHAnsi" w:hAnsiTheme="minorHAnsi"/>
        </w:rPr>
        <w:t>the Australian Government d</w:t>
      </w:r>
      <w:r w:rsidR="00877E69">
        <w:rPr>
          <w:rFonts w:asciiTheme="minorHAnsi" w:hAnsiTheme="minorHAnsi"/>
        </w:rPr>
        <w:t xml:space="preserve">ecided that forty years was no longer </w:t>
      </w:r>
      <w:r w:rsidR="00BE2469">
        <w:rPr>
          <w:rFonts w:asciiTheme="minorHAnsi" w:hAnsiTheme="minorHAnsi"/>
        </w:rPr>
        <w:t>sufficient to underpin continued ho</w:t>
      </w:r>
      <w:r w:rsidR="00BE5AEF">
        <w:rPr>
          <w:rFonts w:asciiTheme="minorHAnsi" w:hAnsiTheme="minorHAnsi"/>
        </w:rPr>
        <w:t>using investment.  Instead, the position now seems to be that capital investment in public housing</w:t>
      </w:r>
      <w:r w:rsidR="00877E69">
        <w:rPr>
          <w:rFonts w:asciiTheme="minorHAnsi" w:hAnsiTheme="minorHAnsi"/>
        </w:rPr>
        <w:t xml:space="preserve"> </w:t>
      </w:r>
      <w:r w:rsidR="00BE5AEF">
        <w:rPr>
          <w:rFonts w:asciiTheme="minorHAnsi" w:hAnsiTheme="minorHAnsi"/>
        </w:rPr>
        <w:t>will be contingent on ‘</w:t>
      </w:r>
      <w:r w:rsidR="00877E69">
        <w:rPr>
          <w:rFonts w:asciiTheme="minorHAnsi" w:hAnsiTheme="minorHAnsi"/>
        </w:rPr>
        <w:t>arrangements</w:t>
      </w:r>
      <w:r w:rsidR="00BE5AEF">
        <w:rPr>
          <w:rFonts w:asciiTheme="minorHAnsi" w:hAnsiTheme="minorHAnsi"/>
        </w:rPr>
        <w:t xml:space="preserve"> that allow for long term, tradeable land tenure, such as but not limited to 99 year township leases.’ </w:t>
      </w:r>
      <w:r w:rsidR="00BE5AEF">
        <w:rPr>
          <w:rStyle w:val="FootnoteReference"/>
          <w:rFonts w:asciiTheme="minorHAnsi" w:hAnsiTheme="minorHAnsi"/>
        </w:rPr>
        <w:footnoteReference w:id="34"/>
      </w:r>
      <w:r w:rsidR="00877E69">
        <w:rPr>
          <w:rFonts w:asciiTheme="minorHAnsi" w:hAnsiTheme="minorHAnsi"/>
        </w:rPr>
        <w:t xml:space="preserve">   This position is reinforced by a NT Government home ownership initiative encouraging remote community residents to purchase public housing stock.  This program is only being offered to communit</w:t>
      </w:r>
      <w:r w:rsidR="00807947">
        <w:rPr>
          <w:rFonts w:asciiTheme="minorHAnsi" w:hAnsiTheme="minorHAnsi"/>
        </w:rPr>
        <w:t>ies that have entered into a s.1</w:t>
      </w:r>
      <w:r w:rsidR="00877E69">
        <w:rPr>
          <w:rFonts w:asciiTheme="minorHAnsi" w:hAnsiTheme="minorHAnsi"/>
        </w:rPr>
        <w:t>9</w:t>
      </w:r>
      <w:r w:rsidR="00807947">
        <w:rPr>
          <w:rFonts w:asciiTheme="minorHAnsi" w:hAnsiTheme="minorHAnsi"/>
        </w:rPr>
        <w:t>A</w:t>
      </w:r>
      <w:r w:rsidR="00877E69">
        <w:rPr>
          <w:rFonts w:asciiTheme="minorHAnsi" w:hAnsiTheme="minorHAnsi"/>
        </w:rPr>
        <w:t xml:space="preserve"> township lease to the EDTL.  There is no reason why s.19 leases cannot be used to enable pri</w:t>
      </w:r>
      <w:r w:rsidR="000D06EE">
        <w:rPr>
          <w:rFonts w:asciiTheme="minorHAnsi" w:hAnsiTheme="minorHAnsi"/>
        </w:rPr>
        <w:t xml:space="preserve">vate home ownership.  While there are few residents in the CLC region who will be in a financial position to purchase their own home, limiting the choice to those people living </w:t>
      </w:r>
      <w:r w:rsidR="002B5067">
        <w:rPr>
          <w:rFonts w:asciiTheme="minorHAnsi" w:hAnsiTheme="minorHAnsi"/>
        </w:rPr>
        <w:t>i</w:t>
      </w:r>
      <w:r w:rsidR="000D06EE">
        <w:rPr>
          <w:rFonts w:asciiTheme="minorHAnsi" w:hAnsiTheme="minorHAnsi"/>
        </w:rPr>
        <w:t xml:space="preserve">n </w:t>
      </w:r>
      <w:r w:rsidR="00C23F19">
        <w:rPr>
          <w:rFonts w:asciiTheme="minorHAnsi" w:hAnsiTheme="minorHAnsi"/>
        </w:rPr>
        <w:t xml:space="preserve">communities with a </w:t>
      </w:r>
      <w:r w:rsidR="000D06EE">
        <w:rPr>
          <w:rFonts w:asciiTheme="minorHAnsi" w:hAnsiTheme="minorHAnsi"/>
        </w:rPr>
        <w:t>township lease</w:t>
      </w:r>
      <w:r w:rsidR="00C23F19">
        <w:rPr>
          <w:rFonts w:asciiTheme="minorHAnsi" w:hAnsiTheme="minorHAnsi"/>
        </w:rPr>
        <w:t xml:space="preserve"> is</w:t>
      </w:r>
      <w:r w:rsidR="000D06EE">
        <w:rPr>
          <w:rFonts w:asciiTheme="minorHAnsi" w:hAnsiTheme="minorHAnsi"/>
        </w:rPr>
        <w:t xml:space="preserve"> not reasonable or useful. Getting the policy settings right to enable private home ownership in such a complex environment will require collaboration of all parties and the CLC is disappointed that this work has proceeded without engagement of the land councils.</w:t>
      </w:r>
    </w:p>
    <w:p w:rsidR="00F255F7" w:rsidRDefault="007650B2" w:rsidP="00EA6F6C">
      <w:pPr>
        <w:pStyle w:val="Heading1"/>
      </w:pPr>
      <w:bookmarkStart w:id="34" w:name="_Toc421445731"/>
      <w:bookmarkStart w:id="35" w:name="_Toc421447248"/>
      <w:bookmarkStart w:id="36" w:name="_Toc421623226"/>
      <w:bookmarkStart w:id="37" w:name="_Toc421623441"/>
      <w:r>
        <w:t>Recommendation 4</w:t>
      </w:r>
      <w:r w:rsidR="0074639B" w:rsidRPr="002F2C0A">
        <w:t>.  That further collaborative work be undertaken to ensure that the policy settings to enable remote home ownership are appropriate and comprehend the behaviour of remote markets, the financial risk for purchasers, and issues relating to transferability.</w:t>
      </w:r>
      <w:bookmarkEnd w:id="34"/>
      <w:bookmarkEnd w:id="35"/>
      <w:bookmarkEnd w:id="36"/>
      <w:bookmarkEnd w:id="37"/>
    </w:p>
    <w:p w:rsidR="00F20CFD" w:rsidRPr="00F20CFD" w:rsidRDefault="00F20CFD" w:rsidP="00EA6F6C">
      <w:pPr>
        <w:spacing w:line="276" w:lineRule="auto"/>
      </w:pPr>
    </w:p>
    <w:p w:rsidR="00661586" w:rsidRPr="00661586" w:rsidRDefault="000F51CA" w:rsidP="00EA6F6C">
      <w:pPr>
        <w:pStyle w:val="Title"/>
        <w:spacing w:line="276" w:lineRule="auto"/>
      </w:pPr>
      <w:bookmarkStart w:id="38" w:name="_Toc421623227"/>
      <w:bookmarkStart w:id="39" w:name="_Toc421623442"/>
      <w:r w:rsidRPr="00B976F2">
        <w:t>Remaining issues and challenges</w:t>
      </w:r>
      <w:bookmarkEnd w:id="38"/>
      <w:bookmarkEnd w:id="39"/>
    </w:p>
    <w:p w:rsidR="005D0DE3" w:rsidRPr="009248BD" w:rsidRDefault="005D0DE3" w:rsidP="00EA6F6C">
      <w:pPr>
        <w:pStyle w:val="Heading1"/>
        <w:rPr>
          <w:rStyle w:val="SubtleEmphasis"/>
        </w:rPr>
      </w:pPr>
      <w:bookmarkStart w:id="40" w:name="_Toc421623443"/>
      <w:r w:rsidRPr="009248BD">
        <w:rPr>
          <w:rStyle w:val="SubtleEmphasis"/>
        </w:rPr>
        <w:t>Development of a consistent and sound tenure policy framework</w:t>
      </w:r>
      <w:bookmarkEnd w:id="40"/>
      <w:r w:rsidRPr="009248BD">
        <w:rPr>
          <w:rStyle w:val="SubtleEmphasis"/>
        </w:rPr>
        <w:t xml:space="preserve"> </w:t>
      </w:r>
    </w:p>
    <w:p w:rsidR="00877E69" w:rsidRDefault="00877E69" w:rsidP="00EA6F6C">
      <w:pPr>
        <w:spacing w:line="276" w:lineRule="auto"/>
        <w:rPr>
          <w:rFonts w:asciiTheme="minorHAnsi" w:hAnsiTheme="minorHAnsi"/>
        </w:rPr>
      </w:pPr>
      <w:r>
        <w:rPr>
          <w:rFonts w:asciiTheme="minorHAnsi" w:hAnsiTheme="minorHAnsi"/>
        </w:rPr>
        <w:t>The development of a sensible tenure policy should comprehend the</w:t>
      </w:r>
      <w:r w:rsidR="00405198">
        <w:rPr>
          <w:rFonts w:asciiTheme="minorHAnsi" w:hAnsiTheme="minorHAnsi"/>
        </w:rPr>
        <w:t xml:space="preserve"> rapid changes of the past eight</w:t>
      </w:r>
      <w:r>
        <w:rPr>
          <w:rFonts w:asciiTheme="minorHAnsi" w:hAnsiTheme="minorHAnsi"/>
        </w:rPr>
        <w:t xml:space="preserve"> years, and clearly articulate what objectives now need to be pursued.  This must be developed in close collaboration with Aboriginal land owners.  This is entirely consistent with the recommendation from the parliamentary committee undertaking the inquiry into the development of Northern Australia, </w:t>
      </w:r>
    </w:p>
    <w:p w:rsidR="00877E69" w:rsidRPr="009B1DAD" w:rsidRDefault="00877E69" w:rsidP="00EA6F6C">
      <w:pPr>
        <w:autoSpaceDE w:val="0"/>
        <w:autoSpaceDN w:val="0"/>
        <w:adjustRightInd w:val="0"/>
        <w:spacing w:before="80" w:after="160" w:line="276" w:lineRule="auto"/>
        <w:ind w:left="720"/>
        <w:rPr>
          <w:rFonts w:asciiTheme="minorHAnsi" w:hAnsiTheme="minorHAnsi" w:cs="Book Antiqua"/>
          <w:color w:val="000000"/>
          <w:sz w:val="22"/>
          <w:szCs w:val="22"/>
        </w:rPr>
      </w:pPr>
      <w:r w:rsidRPr="009B1DAD">
        <w:rPr>
          <w:rFonts w:asciiTheme="minorHAnsi" w:hAnsiTheme="minorHAnsi" w:cs="Book Antiqua"/>
          <w:bCs/>
          <w:color w:val="000000"/>
          <w:sz w:val="22"/>
          <w:szCs w:val="22"/>
        </w:rPr>
        <w:t xml:space="preserve">5.134 The Committee recommends that the Australian Government pursue, through the Northern Australia Strategic Partnership, the harmonisation and simplification of land tenure arrangements in the jurisdictions across Northern Australia. The Committee acknowledges the unique nature of the statutory inalienable freehold title under the </w:t>
      </w:r>
      <w:r w:rsidRPr="009B1DAD">
        <w:rPr>
          <w:rFonts w:asciiTheme="minorHAnsi" w:hAnsiTheme="minorHAnsi" w:cs="Book Antiqua"/>
          <w:bCs/>
          <w:i/>
          <w:iCs/>
          <w:color w:val="000000"/>
          <w:sz w:val="22"/>
          <w:szCs w:val="22"/>
        </w:rPr>
        <w:t xml:space="preserve">Aboriginal Land Rights (Northern Territory) Act 1976 </w:t>
      </w:r>
      <w:r w:rsidRPr="009B1DAD">
        <w:rPr>
          <w:rFonts w:asciiTheme="minorHAnsi" w:hAnsiTheme="minorHAnsi" w:cs="Book Antiqua"/>
          <w:bCs/>
          <w:color w:val="000000"/>
          <w:sz w:val="22"/>
          <w:szCs w:val="22"/>
        </w:rPr>
        <w:t xml:space="preserve">and that it is particular to the Northern Territory. The Committee also acknowledges the limited range of rights in land </w:t>
      </w:r>
      <w:r w:rsidRPr="009B1DAD">
        <w:rPr>
          <w:rFonts w:asciiTheme="minorHAnsi" w:hAnsiTheme="minorHAnsi" w:cs="Book Antiqua"/>
          <w:bCs/>
          <w:color w:val="000000"/>
          <w:sz w:val="22"/>
          <w:szCs w:val="22"/>
        </w:rPr>
        <w:lastRenderedPageBreak/>
        <w:t xml:space="preserve">that are derived from the </w:t>
      </w:r>
      <w:r w:rsidRPr="009B1DAD">
        <w:rPr>
          <w:rFonts w:asciiTheme="minorHAnsi" w:hAnsiTheme="minorHAnsi" w:cs="Book Antiqua"/>
          <w:bCs/>
          <w:i/>
          <w:iCs/>
          <w:color w:val="000000"/>
          <w:sz w:val="22"/>
          <w:szCs w:val="22"/>
        </w:rPr>
        <w:t xml:space="preserve">Native Title Act 1993. </w:t>
      </w:r>
      <w:r w:rsidRPr="009B1DAD">
        <w:rPr>
          <w:rFonts w:asciiTheme="minorHAnsi" w:hAnsiTheme="minorHAnsi" w:cs="Book Antiqua"/>
          <w:bCs/>
          <w:color w:val="000000"/>
          <w:sz w:val="22"/>
          <w:szCs w:val="22"/>
        </w:rPr>
        <w:t>The Committee recommends that Governments and business work constructively with Aboriginal and Torres Strait Islander people and organisations such as land councils and native title representative bodies or prescribed bodies corporate to maximise the economic development and employment opportunities on Aboriginal land and/or land over which there is native title.</w:t>
      </w:r>
      <w:r>
        <w:rPr>
          <w:rStyle w:val="FootnoteReference"/>
          <w:rFonts w:asciiTheme="minorHAnsi" w:hAnsiTheme="minorHAnsi" w:cs="Book Antiqua"/>
          <w:bCs/>
          <w:color w:val="000000"/>
          <w:sz w:val="22"/>
          <w:szCs w:val="22"/>
        </w:rPr>
        <w:footnoteReference w:id="35"/>
      </w:r>
    </w:p>
    <w:p w:rsidR="00877E69" w:rsidRDefault="00877E69" w:rsidP="00EA6F6C">
      <w:pPr>
        <w:spacing w:line="276" w:lineRule="auto"/>
        <w:rPr>
          <w:rStyle w:val="SubtleEmphasis"/>
          <w:rFonts w:asciiTheme="minorHAnsi" w:hAnsiTheme="minorHAnsi"/>
          <w:i w:val="0"/>
          <w:color w:val="auto"/>
        </w:rPr>
      </w:pPr>
    </w:p>
    <w:p w:rsidR="005D0DE3" w:rsidRDefault="005D0DE3" w:rsidP="00EA6F6C">
      <w:pPr>
        <w:spacing w:line="276" w:lineRule="auto"/>
        <w:rPr>
          <w:rStyle w:val="SubtleEmphasis"/>
          <w:rFonts w:asciiTheme="minorHAnsi" w:hAnsiTheme="minorHAnsi"/>
          <w:i w:val="0"/>
          <w:color w:val="auto"/>
        </w:rPr>
      </w:pPr>
      <w:r w:rsidRPr="000969F1">
        <w:rPr>
          <w:rStyle w:val="SubtleEmphasis"/>
          <w:rFonts w:asciiTheme="minorHAnsi" w:hAnsiTheme="minorHAnsi"/>
          <w:i w:val="0"/>
          <w:color w:val="auto"/>
        </w:rPr>
        <w:t xml:space="preserve">Developing clarity regarding </w:t>
      </w:r>
      <w:r>
        <w:rPr>
          <w:rStyle w:val="SubtleEmphasis"/>
          <w:rFonts w:asciiTheme="minorHAnsi" w:hAnsiTheme="minorHAnsi"/>
          <w:i w:val="0"/>
          <w:color w:val="auto"/>
        </w:rPr>
        <w:t xml:space="preserve">the objectives of </w:t>
      </w:r>
      <w:r w:rsidRPr="000969F1">
        <w:rPr>
          <w:rStyle w:val="SubtleEmphasis"/>
          <w:rFonts w:asciiTheme="minorHAnsi" w:hAnsiTheme="minorHAnsi"/>
          <w:i w:val="0"/>
          <w:color w:val="auto"/>
        </w:rPr>
        <w:t>tenure reform is critical.</w:t>
      </w:r>
      <w:r>
        <w:rPr>
          <w:rStyle w:val="SubtleEmphasis"/>
          <w:rFonts w:asciiTheme="minorHAnsi" w:hAnsiTheme="minorHAnsi"/>
          <w:i w:val="0"/>
          <w:color w:val="auto"/>
        </w:rPr>
        <w:t xml:space="preserve">  </w:t>
      </w:r>
      <w:r w:rsidR="00993CBF">
        <w:rPr>
          <w:rStyle w:val="SubtleEmphasis"/>
          <w:rFonts w:asciiTheme="minorHAnsi" w:hAnsiTheme="minorHAnsi"/>
          <w:i w:val="0"/>
          <w:color w:val="auto"/>
        </w:rPr>
        <w:t>In a 2015 paper Terrill</w:t>
      </w:r>
      <w:r>
        <w:rPr>
          <w:rStyle w:val="SubtleEmphasis"/>
          <w:rFonts w:asciiTheme="minorHAnsi" w:hAnsiTheme="minorHAnsi"/>
          <w:i w:val="0"/>
          <w:color w:val="auto"/>
        </w:rPr>
        <w:t xml:space="preserve"> argues that not only have the objectives of </w:t>
      </w:r>
      <w:r w:rsidR="00993CBF">
        <w:rPr>
          <w:rStyle w:val="SubtleEmphasis"/>
          <w:rFonts w:asciiTheme="minorHAnsi" w:hAnsiTheme="minorHAnsi"/>
          <w:i w:val="0"/>
          <w:color w:val="auto"/>
        </w:rPr>
        <w:t xml:space="preserve">Australian Government </w:t>
      </w:r>
      <w:r>
        <w:rPr>
          <w:rStyle w:val="SubtleEmphasis"/>
          <w:rFonts w:asciiTheme="minorHAnsi" w:hAnsiTheme="minorHAnsi"/>
          <w:i w:val="0"/>
          <w:color w:val="auto"/>
        </w:rPr>
        <w:t xml:space="preserve">tenure reform been poorly articulated but the language to debate Aboriginal land reform in Australia is ‘poorly defined and ill-suited’ resulting in ‘a great deal of confusion about what the reforms actually do and what they mean for affected communities.’ </w:t>
      </w:r>
      <w:r>
        <w:rPr>
          <w:rStyle w:val="FootnoteReference"/>
          <w:rFonts w:asciiTheme="minorHAnsi" w:hAnsiTheme="minorHAnsi"/>
          <w:iCs/>
        </w:rPr>
        <w:footnoteReference w:id="36"/>
      </w:r>
      <w:r>
        <w:rPr>
          <w:rStyle w:val="SubtleEmphasis"/>
          <w:rFonts w:asciiTheme="minorHAnsi" w:hAnsiTheme="minorHAnsi"/>
          <w:i w:val="0"/>
          <w:color w:val="auto"/>
        </w:rPr>
        <w:t xml:space="preserve">  </w:t>
      </w:r>
      <w:r w:rsidRPr="000834DD">
        <w:rPr>
          <w:rFonts w:asciiTheme="minorHAnsi" w:hAnsiTheme="minorHAnsi"/>
        </w:rPr>
        <w:t>From the perspecti</w:t>
      </w:r>
      <w:r w:rsidR="00993CBF">
        <w:rPr>
          <w:rFonts w:asciiTheme="minorHAnsi" w:hAnsiTheme="minorHAnsi"/>
        </w:rPr>
        <w:t>ve of the CLC</w:t>
      </w:r>
      <w:r w:rsidRPr="000834DD">
        <w:rPr>
          <w:rFonts w:asciiTheme="minorHAnsi" w:hAnsiTheme="minorHAnsi"/>
        </w:rPr>
        <w:t xml:space="preserve">, there has often been a poor correlation between stated </w:t>
      </w:r>
      <w:r w:rsidR="00993CBF">
        <w:rPr>
          <w:rFonts w:asciiTheme="minorHAnsi" w:hAnsiTheme="minorHAnsi"/>
        </w:rPr>
        <w:t xml:space="preserve">government </w:t>
      </w:r>
      <w:r w:rsidRPr="000834DD">
        <w:rPr>
          <w:rFonts w:asciiTheme="minorHAnsi" w:hAnsiTheme="minorHAnsi"/>
        </w:rPr>
        <w:t>policy objectives and measures devised in pursuit of them. It is often asserted that the proposed measures will better facilitate economic development or home ownership without sufficient articulation of precisely how</w:t>
      </w:r>
      <w:r>
        <w:rPr>
          <w:rFonts w:asciiTheme="minorHAnsi" w:hAnsiTheme="minorHAnsi"/>
        </w:rPr>
        <w:t>,</w:t>
      </w:r>
      <w:r w:rsidRPr="000834DD">
        <w:rPr>
          <w:rFonts w:asciiTheme="minorHAnsi" w:hAnsiTheme="minorHAnsi"/>
        </w:rPr>
        <w:t xml:space="preserve"> and without complementary initiatives to overcome non-tenure-related barriers. Significantly, technocratic land tenure ‘solutions’ are largely developed without the input of their would-be beneficiaries: the Aboriginal land owners.</w:t>
      </w:r>
      <w:r w:rsidRPr="000834DD">
        <w:rPr>
          <w:rStyle w:val="FootnoteReference"/>
          <w:rFonts w:asciiTheme="minorHAnsi" w:hAnsiTheme="minorHAnsi"/>
        </w:rPr>
        <w:footnoteReference w:id="37"/>
      </w:r>
      <w:r w:rsidRPr="000834DD">
        <w:rPr>
          <w:rFonts w:asciiTheme="minorHAnsi" w:hAnsiTheme="minorHAnsi"/>
        </w:rPr>
        <w:t xml:space="preserve"> </w:t>
      </w:r>
      <w:r>
        <w:rPr>
          <w:rFonts w:asciiTheme="minorHAnsi" w:hAnsiTheme="minorHAnsi"/>
        </w:rPr>
        <w:t xml:space="preserve"> </w:t>
      </w:r>
      <w:r>
        <w:rPr>
          <w:rStyle w:val="SubtleEmphasis"/>
          <w:rFonts w:asciiTheme="minorHAnsi" w:hAnsiTheme="minorHAnsi"/>
          <w:i w:val="0"/>
          <w:color w:val="auto"/>
        </w:rPr>
        <w:t xml:space="preserve">The Expert Indigenous Working Group has an important role in ensuring this COAG investigation provides an evidence-based, positive and rigorous contribution to the ongoing consideration of land tenure issues.  </w:t>
      </w:r>
    </w:p>
    <w:p w:rsidR="00877E69" w:rsidRDefault="00877E69" w:rsidP="00EA6F6C">
      <w:pPr>
        <w:spacing w:line="276" w:lineRule="auto"/>
        <w:rPr>
          <w:rStyle w:val="SubtleEmphasis"/>
          <w:rFonts w:asciiTheme="minorHAnsi" w:hAnsiTheme="minorHAnsi"/>
          <w:i w:val="0"/>
          <w:color w:val="auto"/>
        </w:rPr>
      </w:pPr>
    </w:p>
    <w:p w:rsidR="001D2170" w:rsidRDefault="001D2170" w:rsidP="00EA6F6C">
      <w:pPr>
        <w:spacing w:line="276" w:lineRule="auto"/>
        <w:rPr>
          <w:rFonts w:asciiTheme="minorHAnsi" w:hAnsiTheme="minorHAnsi"/>
        </w:rPr>
      </w:pPr>
      <w:bookmarkStart w:id="41" w:name="_Remaining_Issues_and"/>
      <w:bookmarkEnd w:id="41"/>
      <w:r w:rsidRPr="008C6601">
        <w:rPr>
          <w:rFonts w:asciiTheme="minorHAnsi" w:hAnsiTheme="minorHAnsi"/>
          <w:b/>
        </w:rPr>
        <w:t>Recommendation</w:t>
      </w:r>
      <w:r w:rsidR="007650B2">
        <w:rPr>
          <w:rFonts w:asciiTheme="minorHAnsi" w:hAnsiTheme="minorHAnsi"/>
          <w:b/>
        </w:rPr>
        <w:t xml:space="preserve"> 5</w:t>
      </w:r>
      <w:r w:rsidRPr="001D2170">
        <w:rPr>
          <w:rFonts w:asciiTheme="minorHAnsi" w:hAnsiTheme="minorHAnsi"/>
          <w:b/>
        </w:rPr>
        <w:t>.  That the Australian, State and Territory governments work with Aboriginal landowners and their representative organisations to develop a comprehensive and consistent Aboriginal land tenure policy relevant to their jurisdiction.</w:t>
      </w:r>
    </w:p>
    <w:p w:rsidR="00877E69" w:rsidRPr="00147412" w:rsidRDefault="00877E69" w:rsidP="00EA6F6C">
      <w:pPr>
        <w:spacing w:line="276" w:lineRule="auto"/>
        <w:rPr>
          <w:rFonts w:asciiTheme="minorHAnsi" w:hAnsiTheme="minorHAnsi"/>
        </w:rPr>
      </w:pPr>
    </w:p>
    <w:p w:rsidR="00661586" w:rsidRPr="002F2C0A" w:rsidRDefault="00661586" w:rsidP="00EA6F6C">
      <w:pPr>
        <w:pStyle w:val="Heading1"/>
        <w:rPr>
          <w:rStyle w:val="SubtleEmphasis"/>
        </w:rPr>
      </w:pPr>
      <w:bookmarkStart w:id="42" w:name="_Toc421623444"/>
      <w:r w:rsidRPr="002F2C0A">
        <w:rPr>
          <w:rStyle w:val="SubtleEmphasis"/>
        </w:rPr>
        <w:lastRenderedPageBreak/>
        <w:t>Investment in Land Administration Institutional Infrastructure</w:t>
      </w:r>
      <w:bookmarkEnd w:id="42"/>
    </w:p>
    <w:p w:rsidR="00661586" w:rsidRPr="00D711F8" w:rsidRDefault="00661586" w:rsidP="00EA6F6C">
      <w:pPr>
        <w:spacing w:line="276" w:lineRule="auto"/>
        <w:rPr>
          <w:rFonts w:asciiTheme="minorHAnsi" w:hAnsiTheme="minorHAnsi"/>
        </w:rPr>
      </w:pPr>
      <w:r w:rsidRPr="00D711F8">
        <w:rPr>
          <w:rFonts w:asciiTheme="minorHAnsi" w:hAnsiTheme="minorHAnsi"/>
        </w:rPr>
        <w:t>A genuine commitment to formalising tenure and facilitating the grant of individual interests require</w:t>
      </w:r>
      <w:r>
        <w:rPr>
          <w:rFonts w:asciiTheme="minorHAnsi" w:hAnsiTheme="minorHAnsi"/>
        </w:rPr>
        <w:t xml:space="preserve">s </w:t>
      </w:r>
      <w:r w:rsidRPr="00D711F8">
        <w:rPr>
          <w:rFonts w:asciiTheme="minorHAnsi" w:hAnsiTheme="minorHAnsi"/>
        </w:rPr>
        <w:t>a range of further matters to be comprehensively addressed (and funded). These include what the World Bank refers to as the ‘institutional infrastructure’ necessary to underpin the recognition of formal leasehold interests:</w:t>
      </w:r>
    </w:p>
    <w:p w:rsidR="00661586" w:rsidRPr="00D711F8" w:rsidRDefault="00661586" w:rsidP="00EA6F6C">
      <w:pPr>
        <w:spacing w:line="276" w:lineRule="auto"/>
        <w:rPr>
          <w:rFonts w:asciiTheme="minorHAnsi" w:hAnsiTheme="minorHAnsi"/>
        </w:rPr>
      </w:pPr>
    </w:p>
    <w:p w:rsidR="00661586" w:rsidRDefault="00661586" w:rsidP="00EA6F6C">
      <w:pPr>
        <w:spacing w:line="276" w:lineRule="auto"/>
        <w:ind w:left="720"/>
        <w:rPr>
          <w:rFonts w:asciiTheme="minorHAnsi" w:hAnsiTheme="minorHAnsi"/>
          <w:sz w:val="22"/>
          <w:szCs w:val="22"/>
        </w:rPr>
      </w:pPr>
      <w:r w:rsidRPr="008220A7">
        <w:rPr>
          <w:rFonts w:asciiTheme="minorHAnsi" w:hAnsiTheme="minorHAnsi"/>
          <w:sz w:val="22"/>
          <w:szCs w:val="22"/>
        </w:rPr>
        <w:t>The establishment of secure property rights, that is, rights that are defined with sufficient precision and can be enforced at low cost so as to instil confidence in economic agents, requires considerable investment in both technical infrastructure, such as boundary demarcation and generation and maintenance of maps and land records, and social infrastructure, such as courts and conflict resolution mechanisms.</w:t>
      </w:r>
      <w:r w:rsidRPr="008220A7">
        <w:rPr>
          <w:rStyle w:val="FootnoteReference"/>
          <w:rFonts w:asciiTheme="minorHAnsi" w:hAnsiTheme="minorHAnsi"/>
          <w:sz w:val="22"/>
          <w:szCs w:val="22"/>
        </w:rPr>
        <w:footnoteReference w:id="38"/>
      </w:r>
    </w:p>
    <w:p w:rsidR="00661586" w:rsidRDefault="00661586" w:rsidP="00EA6F6C">
      <w:pPr>
        <w:spacing w:line="276" w:lineRule="auto"/>
        <w:rPr>
          <w:rFonts w:asciiTheme="minorHAnsi" w:hAnsiTheme="minorHAnsi"/>
          <w:highlight w:val="yellow"/>
        </w:rPr>
      </w:pPr>
    </w:p>
    <w:p w:rsidR="00661586" w:rsidRPr="00D4292E" w:rsidRDefault="00661586" w:rsidP="00EA6F6C">
      <w:pPr>
        <w:spacing w:line="276" w:lineRule="auto"/>
        <w:rPr>
          <w:rFonts w:asciiTheme="minorHAnsi" w:hAnsiTheme="minorHAnsi"/>
        </w:rPr>
      </w:pPr>
      <w:r w:rsidRPr="00D4292E">
        <w:rPr>
          <w:rFonts w:asciiTheme="minorHAnsi" w:hAnsiTheme="minorHAnsi"/>
        </w:rPr>
        <w:t xml:space="preserve">The roll-out of the secure tenure policy in the NT triggered negotiations and collaboration between the NT land councils and the NT Government.  A dedicated remote tenure unit was established within the NTG to coordinate negotiations over template leases, ensure applications from various government agencies, and attend consultations with traditional owners.  As a result, all NTG infrastructure is now leased in remote communities, providing clarity of ownership of assets and a rental income stream to traditional owners.  </w:t>
      </w:r>
    </w:p>
    <w:p w:rsidR="00661586" w:rsidRPr="00D4292E" w:rsidRDefault="00661586" w:rsidP="00EA6F6C">
      <w:pPr>
        <w:spacing w:line="276" w:lineRule="auto"/>
        <w:rPr>
          <w:rFonts w:asciiTheme="minorHAnsi" w:hAnsiTheme="minorHAnsi"/>
        </w:rPr>
      </w:pPr>
    </w:p>
    <w:p w:rsidR="00661586" w:rsidRPr="00D4292E" w:rsidRDefault="00661586" w:rsidP="00EA6F6C">
      <w:pPr>
        <w:spacing w:line="276" w:lineRule="auto"/>
        <w:rPr>
          <w:rFonts w:asciiTheme="minorHAnsi" w:hAnsiTheme="minorHAnsi"/>
        </w:rPr>
      </w:pPr>
      <w:r w:rsidRPr="00D4292E">
        <w:rPr>
          <w:rFonts w:asciiTheme="minorHAnsi" w:hAnsiTheme="minorHAnsi"/>
        </w:rPr>
        <w:t xml:space="preserve">Numerous challenges were encountered and overcome. For example, The </w:t>
      </w:r>
      <w:r w:rsidRPr="00D4292E">
        <w:rPr>
          <w:rFonts w:asciiTheme="minorHAnsi" w:hAnsiTheme="minorHAnsi"/>
          <w:i/>
        </w:rPr>
        <w:t>Planning Act (NT)</w:t>
      </w:r>
      <w:r w:rsidRPr="00D4292E">
        <w:rPr>
          <w:rFonts w:asciiTheme="minorHAnsi" w:hAnsiTheme="minorHAnsi"/>
        </w:rPr>
        <w:t xml:space="preserve"> treats any lease for twelve years or more as a subdivision, which in turn requires a survey in registrable form. Eight years ago none of the NT’s remote communities had surveys and subdivision arrangements which would enable long-term leases to be granted or registered.  The Australian Government provided funding for the NT to roll-out cadastral surveys in all remote communities to provide for </w:t>
      </w:r>
      <w:r w:rsidR="0086187C">
        <w:rPr>
          <w:rFonts w:asciiTheme="minorHAnsi" w:hAnsiTheme="minorHAnsi"/>
        </w:rPr>
        <w:t xml:space="preserve">survey plans and </w:t>
      </w:r>
      <w:r w:rsidRPr="00D4292E">
        <w:rPr>
          <w:rFonts w:asciiTheme="minorHAnsi" w:hAnsiTheme="minorHAnsi"/>
        </w:rPr>
        <w:t>sub</w:t>
      </w:r>
      <w:r w:rsidR="00ED074A">
        <w:rPr>
          <w:rFonts w:asciiTheme="minorHAnsi" w:hAnsiTheme="minorHAnsi"/>
        </w:rPr>
        <w:t>division applications and subsequently</w:t>
      </w:r>
      <w:r w:rsidRPr="00D4292E">
        <w:rPr>
          <w:rFonts w:asciiTheme="minorHAnsi" w:hAnsiTheme="minorHAnsi"/>
        </w:rPr>
        <w:t xml:space="preserve"> the registration of all leases with the Land Titles Office.</w:t>
      </w:r>
    </w:p>
    <w:p w:rsidR="00661586" w:rsidRPr="00D4292E" w:rsidRDefault="00661586" w:rsidP="00EA6F6C">
      <w:pPr>
        <w:spacing w:line="276" w:lineRule="auto"/>
        <w:rPr>
          <w:rFonts w:asciiTheme="minorHAnsi" w:hAnsiTheme="minorHAnsi"/>
        </w:rPr>
      </w:pPr>
    </w:p>
    <w:p w:rsidR="00661586" w:rsidRDefault="00177002" w:rsidP="00EA6F6C">
      <w:pPr>
        <w:spacing w:line="276" w:lineRule="auto"/>
        <w:rPr>
          <w:rFonts w:asciiTheme="minorHAnsi" w:hAnsiTheme="minorHAnsi"/>
        </w:rPr>
      </w:pPr>
      <w:r>
        <w:rPr>
          <w:rFonts w:asciiTheme="minorHAnsi" w:hAnsiTheme="minorHAnsi"/>
        </w:rPr>
        <w:t xml:space="preserve">The fieldwork component of </w:t>
      </w:r>
      <w:r w:rsidR="00661586" w:rsidRPr="00D4292E">
        <w:rPr>
          <w:rFonts w:asciiTheme="minorHAnsi" w:hAnsiTheme="minorHAnsi"/>
        </w:rPr>
        <w:t>these surveys is now complete.  Subdivision applications are b</w:t>
      </w:r>
      <w:r>
        <w:rPr>
          <w:rFonts w:asciiTheme="minorHAnsi" w:hAnsiTheme="minorHAnsi"/>
        </w:rPr>
        <w:t>eing prepared and s</w:t>
      </w:r>
      <w:r w:rsidR="00661586" w:rsidRPr="00D4292E">
        <w:rPr>
          <w:rFonts w:asciiTheme="minorHAnsi" w:hAnsiTheme="minorHAnsi"/>
        </w:rPr>
        <w:t xml:space="preserve">urvey plans are being approved by the Surveyor General.  </w:t>
      </w:r>
      <w:r>
        <w:rPr>
          <w:rFonts w:asciiTheme="minorHAnsi" w:hAnsiTheme="minorHAnsi"/>
        </w:rPr>
        <w:t>With</w:t>
      </w:r>
      <w:r w:rsidR="00661586" w:rsidRPr="00B82D98">
        <w:rPr>
          <w:rFonts w:asciiTheme="minorHAnsi" w:hAnsiTheme="minorHAnsi"/>
        </w:rPr>
        <w:t xml:space="preserve"> cadastral b</w:t>
      </w:r>
      <w:r>
        <w:rPr>
          <w:rFonts w:asciiTheme="minorHAnsi" w:hAnsiTheme="minorHAnsi"/>
        </w:rPr>
        <w:t>oundaries of individual lots</w:t>
      </w:r>
      <w:r w:rsidR="00661586" w:rsidRPr="00B82D98">
        <w:rPr>
          <w:rFonts w:asciiTheme="minorHAnsi" w:hAnsiTheme="minorHAnsi"/>
        </w:rPr>
        <w:t xml:space="preserve"> adequ</w:t>
      </w:r>
      <w:r w:rsidR="00661586">
        <w:rPr>
          <w:rFonts w:asciiTheme="minorHAnsi" w:hAnsiTheme="minorHAnsi"/>
        </w:rPr>
        <w:t xml:space="preserve">ately defined, the </w:t>
      </w:r>
      <w:r w:rsidR="00661586" w:rsidRPr="00B82D98">
        <w:rPr>
          <w:rFonts w:asciiTheme="minorHAnsi" w:hAnsiTheme="minorHAnsi"/>
        </w:rPr>
        <w:t>Norther</w:t>
      </w:r>
      <w:r>
        <w:rPr>
          <w:rFonts w:asciiTheme="minorHAnsi" w:hAnsiTheme="minorHAnsi"/>
        </w:rPr>
        <w:t xml:space="preserve">n Territory Land Title system can ensure </w:t>
      </w:r>
      <w:r w:rsidR="00661586" w:rsidRPr="00B82D98">
        <w:rPr>
          <w:rFonts w:asciiTheme="minorHAnsi" w:hAnsiTheme="minorHAnsi"/>
        </w:rPr>
        <w:t>proper visibility of the registered interests granted over discrete lots (administrative lots) within communities</w:t>
      </w:r>
      <w:r w:rsidR="00661586" w:rsidRPr="00D4292E">
        <w:rPr>
          <w:rFonts w:asciiTheme="minorHAnsi" w:hAnsiTheme="minorHAnsi"/>
        </w:rPr>
        <w:t>. Existing NT Government leases will be registered first, and processes for ensuring registration of</w:t>
      </w:r>
      <w:r w:rsidR="00661586">
        <w:rPr>
          <w:rFonts w:asciiTheme="minorHAnsi" w:hAnsiTheme="minorHAnsi"/>
        </w:rPr>
        <w:t xml:space="preserve"> leases held by land councils will follow.  </w:t>
      </w:r>
    </w:p>
    <w:p w:rsidR="00661586" w:rsidRDefault="00661586" w:rsidP="00EA6F6C">
      <w:pPr>
        <w:spacing w:line="276" w:lineRule="auto"/>
        <w:rPr>
          <w:rFonts w:asciiTheme="minorHAnsi" w:hAnsiTheme="minorHAnsi"/>
          <w:highlight w:val="yellow"/>
        </w:rPr>
      </w:pPr>
    </w:p>
    <w:p w:rsidR="00661586" w:rsidRPr="00D4292E" w:rsidRDefault="00661586" w:rsidP="00EA6F6C">
      <w:pPr>
        <w:spacing w:line="276" w:lineRule="auto"/>
        <w:rPr>
          <w:rFonts w:asciiTheme="minorHAnsi" w:hAnsiTheme="minorHAnsi"/>
        </w:rPr>
      </w:pPr>
      <w:r w:rsidRPr="00D4292E">
        <w:rPr>
          <w:rFonts w:asciiTheme="minorHAnsi" w:hAnsiTheme="minorHAnsi"/>
        </w:rPr>
        <w:t>This is a very signif</w:t>
      </w:r>
      <w:r w:rsidR="00177002">
        <w:rPr>
          <w:rFonts w:asciiTheme="minorHAnsi" w:hAnsiTheme="minorHAnsi"/>
        </w:rPr>
        <w:t>icant step towards an improved</w:t>
      </w:r>
      <w:r w:rsidRPr="00D4292E">
        <w:rPr>
          <w:rFonts w:asciiTheme="minorHAnsi" w:hAnsiTheme="minorHAnsi"/>
        </w:rPr>
        <w:t xml:space="preserve"> land administration system for Aboriginal land.  There is still work to be done, and this should be recognised and resourced.  Importantly, these surveys only deal with existing serviced lots, meaning that any new development will require the developer to fund a survey to enable registration.  </w:t>
      </w:r>
      <w:r w:rsidRPr="00D4292E">
        <w:rPr>
          <w:rFonts w:asciiTheme="minorHAnsi" w:hAnsiTheme="minorHAnsi"/>
        </w:rPr>
        <w:lastRenderedPageBreak/>
        <w:t>The NT Government should now work with land councils to discuss arrangements for identifying the future development needs of major communities and ensure that survey work, and essential services infrastructure is rol</w:t>
      </w:r>
      <w:r w:rsidR="00993CBF">
        <w:rPr>
          <w:rFonts w:asciiTheme="minorHAnsi" w:hAnsiTheme="minorHAnsi"/>
        </w:rPr>
        <w:t>led-out to facilitate</w:t>
      </w:r>
      <w:r w:rsidRPr="00D4292E">
        <w:rPr>
          <w:rFonts w:asciiTheme="minorHAnsi" w:hAnsiTheme="minorHAnsi"/>
        </w:rPr>
        <w:t xml:space="preserve"> future development.</w:t>
      </w:r>
    </w:p>
    <w:p w:rsidR="00661586" w:rsidRPr="00D4292E" w:rsidRDefault="00661586" w:rsidP="00EA6F6C">
      <w:pPr>
        <w:spacing w:line="276" w:lineRule="auto"/>
        <w:rPr>
          <w:rFonts w:asciiTheme="minorHAnsi" w:hAnsiTheme="minorHAnsi"/>
        </w:rPr>
      </w:pPr>
    </w:p>
    <w:p w:rsidR="002F2C0A" w:rsidRPr="002F2C0A" w:rsidRDefault="007650B2" w:rsidP="00EA6F6C">
      <w:pPr>
        <w:spacing w:line="276" w:lineRule="auto"/>
        <w:rPr>
          <w:rFonts w:asciiTheme="minorHAnsi" w:hAnsiTheme="minorHAnsi"/>
          <w:b/>
        </w:rPr>
      </w:pPr>
      <w:r>
        <w:rPr>
          <w:rFonts w:asciiTheme="minorHAnsi" w:hAnsiTheme="minorHAnsi"/>
          <w:b/>
        </w:rPr>
        <w:t>Recommendation 6</w:t>
      </w:r>
      <w:r w:rsidR="002F2C0A" w:rsidRPr="002F2C0A">
        <w:rPr>
          <w:rFonts w:asciiTheme="minorHAnsi" w:hAnsiTheme="minorHAnsi"/>
          <w:b/>
        </w:rPr>
        <w:t>.  That resources continue to be invested in land administration institutional infrastructure as a precursor to development.  In the NT, surveys should now be undertaken on potential areas of new development in large communities.</w:t>
      </w:r>
    </w:p>
    <w:p w:rsidR="002F2C0A" w:rsidRDefault="002F2C0A" w:rsidP="00EA6F6C">
      <w:pPr>
        <w:spacing w:line="276" w:lineRule="auto"/>
        <w:rPr>
          <w:rFonts w:asciiTheme="minorHAnsi" w:hAnsiTheme="minorHAnsi"/>
          <w:b/>
        </w:rPr>
      </w:pPr>
    </w:p>
    <w:p w:rsidR="00D328B9" w:rsidRPr="002F2C0A" w:rsidRDefault="00661586" w:rsidP="00EA6F6C">
      <w:pPr>
        <w:pStyle w:val="Heading1"/>
        <w:rPr>
          <w:rStyle w:val="SubtleEmphasis"/>
        </w:rPr>
      </w:pPr>
      <w:bookmarkStart w:id="43" w:name="_Toc421623445"/>
      <w:r w:rsidRPr="002F2C0A">
        <w:rPr>
          <w:rStyle w:val="SubtleEmphasis"/>
        </w:rPr>
        <w:t>Regularising and Expanding the Delivery of Infrastructure</w:t>
      </w:r>
      <w:bookmarkEnd w:id="43"/>
      <w:r w:rsidRPr="002F2C0A">
        <w:rPr>
          <w:rStyle w:val="SubtleEmphasis"/>
        </w:rPr>
        <w:t xml:space="preserve"> </w:t>
      </w:r>
    </w:p>
    <w:p w:rsidR="00D328B9" w:rsidRPr="00B976F2" w:rsidRDefault="00B16D29" w:rsidP="00EA6F6C">
      <w:pPr>
        <w:spacing w:line="276" w:lineRule="auto"/>
        <w:rPr>
          <w:rFonts w:asciiTheme="minorHAnsi" w:hAnsiTheme="minorHAnsi"/>
        </w:rPr>
      </w:pPr>
      <w:r>
        <w:rPr>
          <w:rFonts w:asciiTheme="minorHAnsi" w:hAnsiTheme="minorHAnsi"/>
        </w:rPr>
        <w:t xml:space="preserve">There are </w:t>
      </w:r>
      <w:r w:rsidR="00D328B9" w:rsidRPr="00B976F2">
        <w:rPr>
          <w:rFonts w:asciiTheme="minorHAnsi" w:hAnsiTheme="minorHAnsi"/>
        </w:rPr>
        <w:t>major essential serv</w:t>
      </w:r>
      <w:r>
        <w:rPr>
          <w:rFonts w:asciiTheme="minorHAnsi" w:hAnsiTheme="minorHAnsi"/>
        </w:rPr>
        <w:t>ices infrastructure constraints in most of the remote communities in the CLC region.  A systematic upgrade of p</w:t>
      </w:r>
      <w:r w:rsidR="00067EED" w:rsidRPr="00B976F2">
        <w:rPr>
          <w:rFonts w:asciiTheme="minorHAnsi" w:hAnsiTheme="minorHAnsi"/>
        </w:rPr>
        <w:t>ower</w:t>
      </w:r>
      <w:r w:rsidR="00D328B9" w:rsidRPr="00B976F2">
        <w:rPr>
          <w:rFonts w:asciiTheme="minorHAnsi" w:hAnsiTheme="minorHAnsi"/>
        </w:rPr>
        <w:t xml:space="preserve"> and </w:t>
      </w:r>
      <w:r w:rsidR="00483F25" w:rsidRPr="00B976F2">
        <w:rPr>
          <w:rFonts w:asciiTheme="minorHAnsi" w:hAnsiTheme="minorHAnsi"/>
        </w:rPr>
        <w:t>sewerage infrastructure</w:t>
      </w:r>
      <w:r w:rsidR="00993CBF">
        <w:rPr>
          <w:rFonts w:asciiTheme="minorHAnsi" w:hAnsiTheme="minorHAnsi"/>
        </w:rPr>
        <w:t>,</w:t>
      </w:r>
      <w:r w:rsidR="00483F25" w:rsidRPr="00B976F2">
        <w:rPr>
          <w:rFonts w:asciiTheme="minorHAnsi" w:hAnsiTheme="minorHAnsi"/>
        </w:rPr>
        <w:t xml:space="preserve"> </w:t>
      </w:r>
      <w:r w:rsidR="00207CCA" w:rsidRPr="00B976F2">
        <w:rPr>
          <w:rFonts w:asciiTheme="minorHAnsi" w:hAnsiTheme="minorHAnsi"/>
        </w:rPr>
        <w:t>as well as sustainable potable water sources</w:t>
      </w:r>
      <w:r w:rsidR="00993CBF">
        <w:rPr>
          <w:rFonts w:asciiTheme="minorHAnsi" w:hAnsiTheme="minorHAnsi"/>
        </w:rPr>
        <w:t>,</w:t>
      </w:r>
      <w:r w:rsidR="00207CCA" w:rsidRPr="00B976F2">
        <w:rPr>
          <w:rFonts w:asciiTheme="minorHAnsi" w:hAnsiTheme="minorHAnsi"/>
        </w:rPr>
        <w:t xml:space="preserve"> </w:t>
      </w:r>
      <w:r>
        <w:rPr>
          <w:rFonts w:asciiTheme="minorHAnsi" w:hAnsiTheme="minorHAnsi"/>
        </w:rPr>
        <w:t xml:space="preserve">is required if future development opportunities are to be realized.  In many communities there are no serviced lots available to enable the development of home ownership or business initiatives.  </w:t>
      </w:r>
      <w:r w:rsidR="00D328B9" w:rsidRPr="00B976F2">
        <w:rPr>
          <w:rFonts w:asciiTheme="minorHAnsi" w:hAnsiTheme="minorHAnsi"/>
        </w:rPr>
        <w:t xml:space="preserve">This is recognised in an independent review of the </w:t>
      </w:r>
      <w:r w:rsidR="00D7479D" w:rsidRPr="00B976F2">
        <w:rPr>
          <w:rFonts w:asciiTheme="minorHAnsi" w:hAnsiTheme="minorHAnsi"/>
        </w:rPr>
        <w:t xml:space="preserve">National Partnership </w:t>
      </w:r>
      <w:r w:rsidR="00B976F2">
        <w:rPr>
          <w:rFonts w:asciiTheme="minorHAnsi" w:hAnsiTheme="minorHAnsi"/>
        </w:rPr>
        <w:t xml:space="preserve">Agreement </w:t>
      </w:r>
      <w:r w:rsidR="00D7479D" w:rsidRPr="00B976F2">
        <w:rPr>
          <w:rFonts w:asciiTheme="minorHAnsi" w:hAnsiTheme="minorHAnsi"/>
        </w:rPr>
        <w:t>on Remote Indigenous Housing (</w:t>
      </w:r>
      <w:r w:rsidR="00D328B9" w:rsidRPr="00B976F2">
        <w:rPr>
          <w:rFonts w:asciiTheme="minorHAnsi" w:hAnsiTheme="minorHAnsi"/>
        </w:rPr>
        <w:t>NPARIH</w:t>
      </w:r>
      <w:r w:rsidR="00D7479D" w:rsidRPr="00B976F2">
        <w:rPr>
          <w:rFonts w:asciiTheme="minorHAnsi" w:hAnsiTheme="minorHAnsi"/>
        </w:rPr>
        <w:t>)</w:t>
      </w:r>
      <w:r w:rsidR="00D328B9" w:rsidRPr="00B976F2">
        <w:rPr>
          <w:rFonts w:asciiTheme="minorHAnsi" w:hAnsiTheme="minorHAnsi"/>
        </w:rPr>
        <w:t xml:space="preserve"> program</w:t>
      </w:r>
      <w:r w:rsidR="00D7479D" w:rsidRPr="00B976F2">
        <w:rPr>
          <w:rFonts w:asciiTheme="minorHAnsi" w:hAnsiTheme="minorHAnsi"/>
        </w:rPr>
        <w:t>,</w:t>
      </w:r>
      <w:r w:rsidR="00D328B9" w:rsidRPr="00B976F2">
        <w:rPr>
          <w:rFonts w:asciiTheme="minorHAnsi" w:hAnsiTheme="minorHAnsi"/>
        </w:rPr>
        <w:t xml:space="preserve"> which notes that:</w:t>
      </w:r>
      <w:r w:rsidR="00A61972" w:rsidRPr="00B976F2">
        <w:rPr>
          <w:rStyle w:val="FootnoteReference"/>
          <w:rFonts w:asciiTheme="minorHAnsi" w:hAnsiTheme="minorHAnsi"/>
        </w:rPr>
        <w:footnoteReference w:id="39"/>
      </w:r>
    </w:p>
    <w:p w:rsidR="00D328B9" w:rsidRPr="002D4D01" w:rsidRDefault="00D328B9" w:rsidP="00EA6F6C">
      <w:pPr>
        <w:spacing w:line="276" w:lineRule="auto"/>
        <w:rPr>
          <w:rFonts w:asciiTheme="minorHAnsi" w:hAnsiTheme="minorHAnsi"/>
          <w:sz w:val="16"/>
        </w:rPr>
      </w:pPr>
    </w:p>
    <w:p w:rsidR="00D328B9" w:rsidRPr="008220A7" w:rsidRDefault="00D328B9" w:rsidP="00EA6F6C">
      <w:pPr>
        <w:spacing w:line="276" w:lineRule="auto"/>
        <w:ind w:left="720"/>
        <w:rPr>
          <w:rFonts w:asciiTheme="minorHAnsi" w:hAnsiTheme="minorHAnsi"/>
          <w:sz w:val="22"/>
          <w:szCs w:val="22"/>
        </w:rPr>
      </w:pPr>
      <w:r w:rsidRPr="008220A7">
        <w:rPr>
          <w:rFonts w:asciiTheme="minorHAnsi" w:hAnsiTheme="minorHAnsi"/>
          <w:sz w:val="22"/>
          <w:szCs w:val="22"/>
        </w:rPr>
        <w:t xml:space="preserve">significant need remains for reliable infrastructure and essential services in many </w:t>
      </w:r>
      <w:r w:rsidR="00AD6267" w:rsidRPr="008220A7">
        <w:rPr>
          <w:rFonts w:asciiTheme="minorHAnsi" w:hAnsiTheme="minorHAnsi"/>
          <w:sz w:val="22"/>
          <w:szCs w:val="22"/>
        </w:rPr>
        <w:t xml:space="preserve">communities. </w:t>
      </w:r>
      <w:r w:rsidRPr="008220A7">
        <w:rPr>
          <w:rFonts w:asciiTheme="minorHAnsi" w:hAnsiTheme="minorHAnsi"/>
          <w:sz w:val="22"/>
          <w:szCs w:val="22"/>
        </w:rPr>
        <w:t>The infrastructure gap will grow without further investment in capital works for asset replacement and upgrades...Already, in some locations, infrastructure in remote Indigenous</w:t>
      </w:r>
      <w:r w:rsidR="00096A40" w:rsidRPr="008220A7">
        <w:rPr>
          <w:rFonts w:asciiTheme="minorHAnsi" w:hAnsiTheme="minorHAnsi"/>
          <w:sz w:val="22"/>
          <w:szCs w:val="22"/>
        </w:rPr>
        <w:t xml:space="preserve"> </w:t>
      </w:r>
      <w:r w:rsidRPr="008220A7">
        <w:rPr>
          <w:rFonts w:asciiTheme="minorHAnsi" w:hAnsiTheme="minorHAnsi"/>
          <w:sz w:val="22"/>
          <w:szCs w:val="22"/>
        </w:rPr>
        <w:t>communities is at capacity.</w:t>
      </w:r>
      <w:r w:rsidR="007F6FFE" w:rsidRPr="008220A7">
        <w:rPr>
          <w:rStyle w:val="CommentReference"/>
          <w:rFonts w:asciiTheme="minorHAnsi" w:hAnsiTheme="minorHAnsi"/>
          <w:sz w:val="22"/>
          <w:szCs w:val="22"/>
        </w:rPr>
        <w:t xml:space="preserve"> </w:t>
      </w:r>
      <w:r w:rsidR="007F6FFE" w:rsidRPr="008220A7">
        <w:rPr>
          <w:rStyle w:val="FootnoteReference"/>
          <w:rFonts w:asciiTheme="minorHAnsi" w:hAnsiTheme="minorHAnsi"/>
          <w:sz w:val="22"/>
          <w:szCs w:val="22"/>
        </w:rPr>
        <w:footnoteReference w:id="40"/>
      </w:r>
    </w:p>
    <w:p w:rsidR="00D328B9" w:rsidRPr="00B976F2" w:rsidRDefault="00D328B9" w:rsidP="00EA6F6C">
      <w:pPr>
        <w:spacing w:line="276" w:lineRule="auto"/>
        <w:ind w:left="720" w:firstLine="60"/>
        <w:rPr>
          <w:rFonts w:asciiTheme="minorHAnsi" w:hAnsiTheme="minorHAnsi"/>
        </w:rPr>
      </w:pPr>
    </w:p>
    <w:p w:rsidR="00B16D29" w:rsidRDefault="00B16D29" w:rsidP="00EA6F6C">
      <w:pPr>
        <w:autoSpaceDE w:val="0"/>
        <w:autoSpaceDN w:val="0"/>
        <w:adjustRightInd w:val="0"/>
        <w:spacing w:before="80" w:after="80" w:line="276" w:lineRule="auto"/>
        <w:ind w:left="850" w:hanging="850"/>
        <w:rPr>
          <w:rFonts w:asciiTheme="minorHAnsi" w:hAnsiTheme="minorHAnsi"/>
        </w:rPr>
      </w:pPr>
      <w:r>
        <w:rPr>
          <w:rFonts w:asciiTheme="minorHAnsi" w:hAnsiTheme="minorHAnsi"/>
        </w:rPr>
        <w:t xml:space="preserve">Infrastructure provision beyond essential services is also a major barrier to development.  </w:t>
      </w:r>
    </w:p>
    <w:p w:rsidR="009F5225" w:rsidRDefault="00B16D29" w:rsidP="00B16D29">
      <w:pPr>
        <w:autoSpaceDE w:val="0"/>
        <w:autoSpaceDN w:val="0"/>
        <w:adjustRightInd w:val="0"/>
        <w:spacing w:before="80" w:after="80" w:line="276" w:lineRule="auto"/>
        <w:jc w:val="both"/>
        <w:rPr>
          <w:rFonts w:asciiTheme="minorHAnsi" w:hAnsiTheme="minorHAnsi"/>
        </w:rPr>
      </w:pPr>
      <w:r>
        <w:rPr>
          <w:rFonts w:asciiTheme="minorHAnsi" w:hAnsiTheme="minorHAnsi"/>
        </w:rPr>
        <w:t>Investment in road and transport systems, and telecommunications infrastructure is urgently required. Recently, t</w:t>
      </w:r>
      <w:r w:rsidR="009F5225">
        <w:rPr>
          <w:rFonts w:asciiTheme="minorHAnsi" w:hAnsiTheme="minorHAnsi"/>
        </w:rPr>
        <w:t>he parliamentary committee undertaking the inquiry into the development of Northern Australia noted that,</w:t>
      </w:r>
    </w:p>
    <w:p w:rsidR="009F5225" w:rsidRPr="009F5225" w:rsidRDefault="009F5225" w:rsidP="00EA6F6C">
      <w:pPr>
        <w:autoSpaceDE w:val="0"/>
        <w:autoSpaceDN w:val="0"/>
        <w:adjustRightInd w:val="0"/>
        <w:spacing w:before="80" w:after="80" w:line="276" w:lineRule="auto"/>
        <w:ind w:left="850" w:hanging="130"/>
        <w:rPr>
          <w:rFonts w:asciiTheme="minorHAnsi" w:hAnsiTheme="minorHAnsi" w:cs="Book Antiqua"/>
          <w:color w:val="000000"/>
          <w:sz w:val="22"/>
          <w:szCs w:val="22"/>
        </w:rPr>
      </w:pPr>
      <w:r w:rsidRPr="009F5225">
        <w:rPr>
          <w:rFonts w:asciiTheme="minorHAnsi" w:hAnsiTheme="minorHAnsi"/>
          <w:sz w:val="22"/>
          <w:szCs w:val="22"/>
        </w:rPr>
        <w:t xml:space="preserve"> </w:t>
      </w:r>
      <w:r w:rsidRPr="009F5225">
        <w:rPr>
          <w:rFonts w:asciiTheme="minorHAnsi" w:hAnsiTheme="minorHAnsi" w:cs="Book Antiqua"/>
          <w:color w:val="000000"/>
          <w:sz w:val="22"/>
          <w:szCs w:val="22"/>
        </w:rPr>
        <w:t xml:space="preserve">the development of physical infrastructure is critical to the overall development of Northern Australia. The absence of economic infrastructure, particularly water, power and transport, impedes opportunities for economic development and liveability, as does poor access to telecommunications </w:t>
      </w:r>
      <w:r>
        <w:rPr>
          <w:rFonts w:asciiTheme="minorHAnsi" w:hAnsiTheme="minorHAnsi" w:cs="Book Antiqua"/>
          <w:color w:val="000000"/>
          <w:sz w:val="22"/>
          <w:szCs w:val="22"/>
        </w:rPr>
        <w:t>and global digital technologies.</w:t>
      </w:r>
      <w:r>
        <w:rPr>
          <w:rStyle w:val="FootnoteReference"/>
          <w:rFonts w:asciiTheme="minorHAnsi" w:hAnsiTheme="minorHAnsi" w:cs="Book Antiqua"/>
          <w:color w:val="000000"/>
          <w:sz w:val="22"/>
          <w:szCs w:val="22"/>
        </w:rPr>
        <w:footnoteReference w:id="41"/>
      </w:r>
    </w:p>
    <w:p w:rsidR="00AD67AD" w:rsidRDefault="00AD67AD" w:rsidP="00EA6F6C">
      <w:pPr>
        <w:pStyle w:val="Subtitle"/>
        <w:spacing w:line="276" w:lineRule="auto"/>
        <w:jc w:val="left"/>
        <w:rPr>
          <w:rFonts w:asciiTheme="minorHAnsi" w:hAnsiTheme="minorHAnsi"/>
        </w:rPr>
      </w:pPr>
    </w:p>
    <w:p w:rsidR="00426EFB" w:rsidRDefault="00EE0D2F" w:rsidP="00EA6F6C">
      <w:pPr>
        <w:spacing w:line="276" w:lineRule="auto"/>
        <w:rPr>
          <w:rFonts w:asciiTheme="minorHAnsi" w:hAnsiTheme="minorHAnsi"/>
        </w:rPr>
      </w:pPr>
      <w:r w:rsidRPr="00EE0D2F">
        <w:rPr>
          <w:rFonts w:asciiTheme="minorHAnsi" w:hAnsiTheme="minorHAnsi"/>
        </w:rPr>
        <w:t xml:space="preserve">The recent </w:t>
      </w:r>
      <w:r w:rsidR="00177002">
        <w:rPr>
          <w:rFonts w:asciiTheme="minorHAnsi" w:hAnsiTheme="minorHAnsi"/>
        </w:rPr>
        <w:t xml:space="preserve">2015-2016 budget papers </w:t>
      </w:r>
      <w:r w:rsidRPr="00EE0D2F">
        <w:rPr>
          <w:rFonts w:asciiTheme="minorHAnsi" w:hAnsiTheme="minorHAnsi"/>
        </w:rPr>
        <w:t>stated that the government would ‘establish a concessional loan facility of up to $5 billion</w:t>
      </w:r>
      <w:r>
        <w:rPr>
          <w:rFonts w:asciiTheme="minorHAnsi" w:hAnsiTheme="minorHAnsi"/>
        </w:rPr>
        <w:t xml:space="preserve">, with the objective of increasing private sector </w:t>
      </w:r>
      <w:r>
        <w:rPr>
          <w:rFonts w:asciiTheme="minorHAnsi" w:hAnsiTheme="minorHAnsi"/>
        </w:rPr>
        <w:lastRenderedPageBreak/>
        <w:t>investment in infrastructure in northern Australia.</w:t>
      </w:r>
      <w:r>
        <w:rPr>
          <w:rStyle w:val="FootnoteReference"/>
          <w:rFonts w:asciiTheme="minorHAnsi" w:hAnsiTheme="minorHAnsi"/>
        </w:rPr>
        <w:footnoteReference w:id="42"/>
      </w:r>
      <w:r>
        <w:rPr>
          <w:rFonts w:asciiTheme="minorHAnsi" w:hAnsiTheme="minorHAnsi"/>
        </w:rPr>
        <w:t xml:space="preserve">  Applications will be accepted from 1 July 2015.  There is no detail about the criteria, assessment or governance arrangements for the loan facility.</w:t>
      </w:r>
      <w:r w:rsidR="00D46CEA">
        <w:rPr>
          <w:rFonts w:asciiTheme="minorHAnsi" w:hAnsiTheme="minorHAnsi"/>
        </w:rPr>
        <w:t xml:space="preserve">  Consistent with submissions from</w:t>
      </w:r>
      <w:r>
        <w:rPr>
          <w:rFonts w:asciiTheme="minorHAnsi" w:hAnsiTheme="minorHAnsi"/>
        </w:rPr>
        <w:t xml:space="preserve"> Aboriginal organisations to the northern Australia development inquiry, there must be explicit and specific provision for Aboriginal development aspirations to be supported, developed and funded.</w:t>
      </w:r>
    </w:p>
    <w:p w:rsidR="00EE0D2F" w:rsidRPr="002F2C0A" w:rsidRDefault="00EE0D2F" w:rsidP="00EA6F6C">
      <w:pPr>
        <w:spacing w:line="276" w:lineRule="auto"/>
        <w:rPr>
          <w:rFonts w:asciiTheme="minorHAnsi" w:hAnsiTheme="minorHAnsi"/>
          <w:b/>
        </w:rPr>
      </w:pPr>
    </w:p>
    <w:p w:rsidR="002F2C0A" w:rsidRPr="002F2C0A" w:rsidRDefault="002F2C0A" w:rsidP="00EA6F6C">
      <w:pPr>
        <w:spacing w:line="276" w:lineRule="auto"/>
        <w:rPr>
          <w:rFonts w:asciiTheme="minorHAnsi" w:hAnsiTheme="minorHAnsi"/>
          <w:b/>
        </w:rPr>
      </w:pPr>
      <w:r w:rsidRPr="002F2C0A">
        <w:rPr>
          <w:rFonts w:asciiTheme="minorHAnsi" w:hAnsiTheme="minorHAnsi"/>
          <w:b/>
        </w:rPr>
        <w:t xml:space="preserve">Recommendation </w:t>
      </w:r>
      <w:r w:rsidR="007650B2">
        <w:rPr>
          <w:rFonts w:asciiTheme="minorHAnsi" w:hAnsiTheme="minorHAnsi"/>
          <w:b/>
        </w:rPr>
        <w:t>7</w:t>
      </w:r>
      <w:r w:rsidRPr="002F2C0A">
        <w:rPr>
          <w:rFonts w:asciiTheme="minorHAnsi" w:hAnsiTheme="minorHAnsi"/>
          <w:b/>
        </w:rPr>
        <w:t>. That the Australian Government respond to the investment recommendations made in the Infrastructure Australia Audit of North Australia (2015) and the report of the joint Select Committee on Northern Australia (2014).</w:t>
      </w:r>
    </w:p>
    <w:p w:rsidR="002F2C0A" w:rsidRDefault="002F2C0A" w:rsidP="00EA6F6C">
      <w:pPr>
        <w:spacing w:line="276" w:lineRule="auto"/>
        <w:rPr>
          <w:rFonts w:asciiTheme="minorHAnsi" w:hAnsiTheme="minorHAnsi"/>
        </w:rPr>
      </w:pPr>
    </w:p>
    <w:p w:rsidR="002F2C0A" w:rsidRPr="00EE0D2F" w:rsidRDefault="002F2C0A" w:rsidP="00EA6F6C">
      <w:pPr>
        <w:spacing w:line="276" w:lineRule="auto"/>
        <w:rPr>
          <w:rFonts w:asciiTheme="minorHAnsi" w:hAnsiTheme="minorHAnsi"/>
        </w:rPr>
      </w:pPr>
      <w:r w:rsidRPr="00EE0D2F">
        <w:rPr>
          <w:rFonts w:asciiTheme="minorHAnsi" w:hAnsiTheme="minorHAnsi"/>
          <w:b/>
        </w:rPr>
        <w:t>Recommendation</w:t>
      </w:r>
      <w:r>
        <w:rPr>
          <w:rFonts w:asciiTheme="minorHAnsi" w:hAnsiTheme="minorHAnsi"/>
          <w:b/>
        </w:rPr>
        <w:t xml:space="preserve"> </w:t>
      </w:r>
      <w:r w:rsidR="007650B2">
        <w:rPr>
          <w:rFonts w:asciiTheme="minorHAnsi" w:hAnsiTheme="minorHAnsi"/>
          <w:b/>
        </w:rPr>
        <w:t>8</w:t>
      </w:r>
      <w:r w:rsidRPr="002F2C0A">
        <w:rPr>
          <w:rFonts w:asciiTheme="minorHAnsi" w:hAnsiTheme="minorHAnsi"/>
          <w:b/>
        </w:rPr>
        <w:t>. That the Australian Government ensure that Aboriginal development proposals are considered a high priority for access to the recently announced North Australian loan facility, and that all development loan applications are required to detail how the infrastructure proposal will benefit Aboriginal landowners and communities.</w:t>
      </w:r>
      <w:r>
        <w:rPr>
          <w:rFonts w:asciiTheme="minorHAnsi" w:hAnsiTheme="minorHAnsi"/>
        </w:rPr>
        <w:t xml:space="preserve">   </w:t>
      </w:r>
    </w:p>
    <w:p w:rsidR="00EE0D2F" w:rsidRDefault="00EE0D2F" w:rsidP="00EA6F6C">
      <w:pPr>
        <w:pStyle w:val="Subtitle"/>
        <w:spacing w:line="276" w:lineRule="auto"/>
        <w:jc w:val="left"/>
        <w:rPr>
          <w:rStyle w:val="SubtleEmphasis"/>
          <w:rFonts w:asciiTheme="minorHAnsi" w:hAnsiTheme="minorHAnsi"/>
        </w:rPr>
      </w:pPr>
    </w:p>
    <w:p w:rsidR="00CC179B" w:rsidRPr="002F2C0A" w:rsidRDefault="00661586" w:rsidP="00EA6F6C">
      <w:pPr>
        <w:pStyle w:val="Heading1"/>
        <w:rPr>
          <w:rStyle w:val="SubtleEmphasis"/>
        </w:rPr>
      </w:pPr>
      <w:bookmarkStart w:id="44" w:name="_Toc421623446"/>
      <w:r w:rsidRPr="002F2C0A">
        <w:rPr>
          <w:rStyle w:val="SubtleEmphasis"/>
        </w:rPr>
        <w:t>Access to Finance for Economic Development</w:t>
      </w:r>
      <w:bookmarkEnd w:id="44"/>
    </w:p>
    <w:p w:rsidR="003F1397" w:rsidRPr="00C472FF" w:rsidRDefault="00CC179B" w:rsidP="00EA6F6C">
      <w:pPr>
        <w:spacing w:line="276" w:lineRule="auto"/>
        <w:rPr>
          <w:rFonts w:asciiTheme="minorHAnsi" w:hAnsiTheme="minorHAnsi"/>
        </w:rPr>
      </w:pPr>
      <w:r w:rsidRPr="00C472FF">
        <w:rPr>
          <w:rFonts w:asciiTheme="minorHAnsi" w:hAnsiTheme="minorHAnsi"/>
        </w:rPr>
        <w:t xml:space="preserve">In late 2011 </w:t>
      </w:r>
      <w:r w:rsidR="008F4D5F" w:rsidRPr="00C472FF">
        <w:rPr>
          <w:rFonts w:asciiTheme="minorHAnsi" w:hAnsiTheme="minorHAnsi"/>
        </w:rPr>
        <w:t xml:space="preserve">the Northern Territory Government convened </w:t>
      </w:r>
      <w:r w:rsidRPr="00C472FF">
        <w:rPr>
          <w:rFonts w:asciiTheme="minorHAnsi" w:hAnsiTheme="minorHAnsi"/>
        </w:rPr>
        <w:t xml:space="preserve">a forum </w:t>
      </w:r>
      <w:r w:rsidR="008F4D5F" w:rsidRPr="00C472FF">
        <w:rPr>
          <w:rFonts w:asciiTheme="minorHAnsi" w:hAnsiTheme="minorHAnsi"/>
        </w:rPr>
        <w:t xml:space="preserve">in Darwin </w:t>
      </w:r>
      <w:r w:rsidR="002F7EE2" w:rsidRPr="00C472FF">
        <w:rPr>
          <w:rFonts w:asciiTheme="minorHAnsi" w:hAnsiTheme="minorHAnsi"/>
        </w:rPr>
        <w:t>considering</w:t>
      </w:r>
      <w:r w:rsidRPr="00C472FF">
        <w:rPr>
          <w:rFonts w:asciiTheme="minorHAnsi" w:hAnsiTheme="minorHAnsi"/>
        </w:rPr>
        <w:t xml:space="preserve"> ‘</w:t>
      </w:r>
      <w:r w:rsidR="00F6712F" w:rsidRPr="00C472FF">
        <w:rPr>
          <w:rFonts w:asciiTheme="minorHAnsi" w:hAnsiTheme="minorHAnsi"/>
        </w:rPr>
        <w:t>A</w:t>
      </w:r>
      <w:r w:rsidRPr="00C472FF">
        <w:rPr>
          <w:rFonts w:asciiTheme="minorHAnsi" w:hAnsiTheme="minorHAnsi"/>
        </w:rPr>
        <w:t xml:space="preserve">ccess to </w:t>
      </w:r>
      <w:r w:rsidR="00F6712F" w:rsidRPr="00C472FF">
        <w:rPr>
          <w:rFonts w:asciiTheme="minorHAnsi" w:hAnsiTheme="minorHAnsi"/>
        </w:rPr>
        <w:t>F</w:t>
      </w:r>
      <w:r w:rsidRPr="00C472FF">
        <w:rPr>
          <w:rFonts w:asciiTheme="minorHAnsi" w:hAnsiTheme="minorHAnsi"/>
        </w:rPr>
        <w:t xml:space="preserve">inance on Aboriginal land’. It looked specifically at ALRA title and involved participants from </w:t>
      </w:r>
      <w:r w:rsidR="000930C1" w:rsidRPr="00C472FF">
        <w:rPr>
          <w:rFonts w:asciiTheme="minorHAnsi" w:hAnsiTheme="minorHAnsi"/>
        </w:rPr>
        <w:t xml:space="preserve">all the </w:t>
      </w:r>
      <w:r w:rsidRPr="00C472FF">
        <w:rPr>
          <w:rFonts w:asciiTheme="minorHAnsi" w:hAnsiTheme="minorHAnsi"/>
        </w:rPr>
        <w:t xml:space="preserve">major banks, </w:t>
      </w:r>
      <w:r w:rsidR="000930C1" w:rsidRPr="00C472FF">
        <w:rPr>
          <w:rFonts w:asciiTheme="minorHAnsi" w:hAnsiTheme="minorHAnsi"/>
        </w:rPr>
        <w:t xml:space="preserve">from </w:t>
      </w:r>
      <w:r w:rsidR="00A46505" w:rsidRPr="00C472FF">
        <w:rPr>
          <w:rFonts w:asciiTheme="minorHAnsi" w:hAnsiTheme="minorHAnsi"/>
        </w:rPr>
        <w:t>L</w:t>
      </w:r>
      <w:r w:rsidR="008F4D5F" w:rsidRPr="00C472FF">
        <w:rPr>
          <w:rFonts w:asciiTheme="minorHAnsi" w:hAnsiTheme="minorHAnsi"/>
        </w:rPr>
        <w:t xml:space="preserve">and </w:t>
      </w:r>
      <w:r w:rsidR="00A46505" w:rsidRPr="00C472FF">
        <w:rPr>
          <w:rFonts w:asciiTheme="minorHAnsi" w:hAnsiTheme="minorHAnsi"/>
        </w:rPr>
        <w:t>C</w:t>
      </w:r>
      <w:r w:rsidR="008F4D5F" w:rsidRPr="00C472FF">
        <w:rPr>
          <w:rFonts w:asciiTheme="minorHAnsi" w:hAnsiTheme="minorHAnsi"/>
        </w:rPr>
        <w:t>ouncils</w:t>
      </w:r>
      <w:r w:rsidR="002F7EE2" w:rsidRPr="00C472FF">
        <w:rPr>
          <w:rFonts w:asciiTheme="minorHAnsi" w:hAnsiTheme="minorHAnsi"/>
        </w:rPr>
        <w:t>,</w:t>
      </w:r>
      <w:r w:rsidRPr="00C472FF">
        <w:rPr>
          <w:rFonts w:asciiTheme="minorHAnsi" w:hAnsiTheme="minorHAnsi"/>
        </w:rPr>
        <w:t xml:space="preserve"> </w:t>
      </w:r>
      <w:r w:rsidR="000930C1" w:rsidRPr="00C472FF">
        <w:rPr>
          <w:rFonts w:asciiTheme="minorHAnsi" w:hAnsiTheme="minorHAnsi"/>
        </w:rPr>
        <w:t xml:space="preserve">the </w:t>
      </w:r>
      <w:r w:rsidRPr="00C472FF">
        <w:rPr>
          <w:rFonts w:asciiTheme="minorHAnsi" w:hAnsiTheme="minorHAnsi"/>
        </w:rPr>
        <w:t xml:space="preserve">Northern Territory and Australian </w:t>
      </w:r>
      <w:r w:rsidR="00BB75BF" w:rsidRPr="00C472FF">
        <w:rPr>
          <w:rFonts w:asciiTheme="minorHAnsi" w:hAnsiTheme="minorHAnsi"/>
        </w:rPr>
        <w:t xml:space="preserve">governments </w:t>
      </w:r>
      <w:r w:rsidR="002F7EE2" w:rsidRPr="00C472FF">
        <w:rPr>
          <w:rFonts w:asciiTheme="minorHAnsi" w:hAnsiTheme="minorHAnsi"/>
        </w:rPr>
        <w:t>and Indigenous Business Australia</w:t>
      </w:r>
      <w:r w:rsidR="008F161F" w:rsidRPr="00C472FF">
        <w:rPr>
          <w:rFonts w:asciiTheme="minorHAnsi" w:hAnsiTheme="minorHAnsi"/>
        </w:rPr>
        <w:t xml:space="preserve"> (IBA)</w:t>
      </w:r>
      <w:r w:rsidRPr="00C472FF">
        <w:rPr>
          <w:rFonts w:asciiTheme="minorHAnsi" w:hAnsiTheme="minorHAnsi"/>
        </w:rPr>
        <w:t xml:space="preserve">. At </w:t>
      </w:r>
      <w:r w:rsidR="000930C1" w:rsidRPr="00C472FF">
        <w:rPr>
          <w:rFonts w:asciiTheme="minorHAnsi" w:hAnsiTheme="minorHAnsi"/>
        </w:rPr>
        <w:t>th</w:t>
      </w:r>
      <w:r w:rsidR="002F7EE2" w:rsidRPr="00C472FF">
        <w:rPr>
          <w:rFonts w:asciiTheme="minorHAnsi" w:hAnsiTheme="minorHAnsi"/>
        </w:rPr>
        <w:t>e</w:t>
      </w:r>
      <w:r w:rsidR="000930C1" w:rsidRPr="00C472FF">
        <w:rPr>
          <w:rFonts w:asciiTheme="minorHAnsi" w:hAnsiTheme="minorHAnsi"/>
        </w:rPr>
        <w:t xml:space="preserve"> forum</w:t>
      </w:r>
      <w:r w:rsidRPr="00C472FF">
        <w:rPr>
          <w:rFonts w:asciiTheme="minorHAnsi" w:hAnsiTheme="minorHAnsi"/>
        </w:rPr>
        <w:t xml:space="preserve">, representatives of the major banks </w:t>
      </w:r>
      <w:r w:rsidR="00F6712F" w:rsidRPr="00C472FF">
        <w:rPr>
          <w:rFonts w:asciiTheme="minorHAnsi" w:hAnsiTheme="minorHAnsi"/>
        </w:rPr>
        <w:t xml:space="preserve">generally </w:t>
      </w:r>
      <w:r w:rsidRPr="00C472FF">
        <w:rPr>
          <w:rFonts w:asciiTheme="minorHAnsi" w:hAnsiTheme="minorHAnsi"/>
        </w:rPr>
        <w:t xml:space="preserve">expressed the view that there were no major legislative impediments to providing finance on Aboriginal land through </w:t>
      </w:r>
      <w:r w:rsidR="008F161F" w:rsidRPr="00C472FF">
        <w:rPr>
          <w:rFonts w:asciiTheme="minorHAnsi" w:hAnsiTheme="minorHAnsi"/>
        </w:rPr>
        <w:t xml:space="preserve">the </w:t>
      </w:r>
      <w:r w:rsidR="001C4D9E" w:rsidRPr="00C472FF">
        <w:rPr>
          <w:rFonts w:asciiTheme="minorHAnsi" w:hAnsiTheme="minorHAnsi"/>
        </w:rPr>
        <w:t xml:space="preserve">leasing </w:t>
      </w:r>
      <w:r w:rsidR="008F161F" w:rsidRPr="00C472FF">
        <w:rPr>
          <w:rFonts w:asciiTheme="minorHAnsi" w:hAnsiTheme="minorHAnsi"/>
        </w:rPr>
        <w:t>provisions of</w:t>
      </w:r>
      <w:r w:rsidRPr="00C472FF">
        <w:rPr>
          <w:rFonts w:asciiTheme="minorHAnsi" w:hAnsiTheme="minorHAnsi"/>
        </w:rPr>
        <w:t xml:space="preserve"> section 19. Bankers </w:t>
      </w:r>
      <w:r w:rsidR="00D04E36" w:rsidRPr="00C472FF">
        <w:rPr>
          <w:rFonts w:asciiTheme="minorHAnsi" w:hAnsiTheme="minorHAnsi"/>
        </w:rPr>
        <w:t xml:space="preserve">stated that they are </w:t>
      </w:r>
      <w:r w:rsidRPr="00C472FF">
        <w:rPr>
          <w:rFonts w:asciiTheme="minorHAnsi" w:hAnsiTheme="minorHAnsi"/>
        </w:rPr>
        <w:t xml:space="preserve">used to dealing with diverse legislative and planning regimes with </w:t>
      </w:r>
      <w:r w:rsidR="00F3682C" w:rsidRPr="00C472FF">
        <w:rPr>
          <w:rFonts w:asciiTheme="minorHAnsi" w:hAnsiTheme="minorHAnsi"/>
        </w:rPr>
        <w:t xml:space="preserve">complex </w:t>
      </w:r>
      <w:r w:rsidRPr="00C472FF">
        <w:rPr>
          <w:rFonts w:asciiTheme="minorHAnsi" w:hAnsiTheme="minorHAnsi"/>
        </w:rPr>
        <w:t>consent and approval processes</w:t>
      </w:r>
      <w:r w:rsidR="002F7EE2" w:rsidRPr="00C472FF">
        <w:rPr>
          <w:rFonts w:asciiTheme="minorHAnsi" w:hAnsiTheme="minorHAnsi"/>
        </w:rPr>
        <w:t xml:space="preserve"> (</w:t>
      </w:r>
      <w:r w:rsidRPr="00C472FF">
        <w:rPr>
          <w:rFonts w:asciiTheme="minorHAnsi" w:hAnsiTheme="minorHAnsi"/>
        </w:rPr>
        <w:t xml:space="preserve">some far more complex than </w:t>
      </w:r>
      <w:r w:rsidR="00F3682C" w:rsidRPr="00C472FF">
        <w:rPr>
          <w:rFonts w:asciiTheme="minorHAnsi" w:hAnsiTheme="minorHAnsi"/>
        </w:rPr>
        <w:t>those</w:t>
      </w:r>
      <w:r w:rsidRPr="00C472FF">
        <w:rPr>
          <w:rFonts w:asciiTheme="minorHAnsi" w:hAnsiTheme="minorHAnsi"/>
        </w:rPr>
        <w:t xml:space="preserve"> under the ALRA</w:t>
      </w:r>
      <w:r w:rsidR="002F7EE2" w:rsidRPr="00C472FF">
        <w:rPr>
          <w:rFonts w:asciiTheme="minorHAnsi" w:hAnsiTheme="minorHAnsi"/>
        </w:rPr>
        <w:t>)</w:t>
      </w:r>
      <w:r w:rsidRPr="00C472FF">
        <w:rPr>
          <w:rFonts w:asciiTheme="minorHAnsi" w:hAnsiTheme="minorHAnsi"/>
        </w:rPr>
        <w:t xml:space="preserve">. </w:t>
      </w:r>
    </w:p>
    <w:p w:rsidR="003F1397" w:rsidRPr="00C472FF" w:rsidRDefault="003F1397" w:rsidP="00EA6F6C">
      <w:pPr>
        <w:spacing w:line="276" w:lineRule="auto"/>
        <w:rPr>
          <w:rFonts w:asciiTheme="minorHAnsi" w:hAnsiTheme="minorHAnsi"/>
        </w:rPr>
      </w:pPr>
    </w:p>
    <w:p w:rsidR="0050761B" w:rsidRPr="00C472FF" w:rsidRDefault="0050761B" w:rsidP="00EA6F6C">
      <w:pPr>
        <w:spacing w:line="276" w:lineRule="auto"/>
        <w:rPr>
          <w:rFonts w:asciiTheme="minorHAnsi" w:hAnsiTheme="minorHAnsi"/>
        </w:rPr>
      </w:pPr>
      <w:r w:rsidRPr="00C472FF">
        <w:rPr>
          <w:rFonts w:asciiTheme="minorHAnsi" w:hAnsiTheme="minorHAnsi"/>
        </w:rPr>
        <w:t xml:space="preserve">According to </w:t>
      </w:r>
      <w:r w:rsidR="008F161F" w:rsidRPr="00C472FF">
        <w:rPr>
          <w:rFonts w:asciiTheme="minorHAnsi" w:hAnsiTheme="minorHAnsi"/>
        </w:rPr>
        <w:t>a</w:t>
      </w:r>
      <w:r w:rsidRPr="00C472FF">
        <w:rPr>
          <w:rFonts w:asciiTheme="minorHAnsi" w:hAnsiTheme="minorHAnsi"/>
        </w:rPr>
        <w:t xml:space="preserve"> Northern Territory Government account of the forum:</w:t>
      </w:r>
    </w:p>
    <w:p w:rsidR="0050761B" w:rsidRPr="00AA277D" w:rsidRDefault="0050761B" w:rsidP="00EA6F6C">
      <w:pPr>
        <w:spacing w:line="276" w:lineRule="auto"/>
        <w:ind w:left="720"/>
        <w:rPr>
          <w:rFonts w:asciiTheme="minorHAnsi" w:hAnsiTheme="minorHAnsi"/>
          <w:sz w:val="22"/>
          <w:szCs w:val="22"/>
        </w:rPr>
      </w:pPr>
      <w:r w:rsidRPr="00AA277D">
        <w:rPr>
          <w:rFonts w:asciiTheme="minorHAnsi" w:hAnsiTheme="minorHAnsi"/>
          <w:sz w:val="22"/>
          <w:szCs w:val="22"/>
        </w:rPr>
        <w:t>A consensus emerged that appropriate land tenure arrangements, though important, are not a ‘golden ticket’ to resolving the barriers to private home and commercial property ownership on Aboriginal land.</w:t>
      </w:r>
    </w:p>
    <w:p w:rsidR="0050761B" w:rsidRPr="00C472FF" w:rsidRDefault="0050761B" w:rsidP="00EA6F6C">
      <w:pPr>
        <w:spacing w:line="276" w:lineRule="auto"/>
        <w:rPr>
          <w:rFonts w:asciiTheme="minorHAnsi" w:hAnsiTheme="minorHAnsi"/>
        </w:rPr>
      </w:pPr>
    </w:p>
    <w:p w:rsidR="00CC179B" w:rsidRPr="00C472FF" w:rsidRDefault="008F161F" w:rsidP="00EA6F6C">
      <w:pPr>
        <w:spacing w:line="276" w:lineRule="auto"/>
        <w:rPr>
          <w:rFonts w:asciiTheme="minorHAnsi" w:hAnsiTheme="minorHAnsi"/>
        </w:rPr>
      </w:pPr>
      <w:r w:rsidRPr="00C472FF">
        <w:rPr>
          <w:rFonts w:asciiTheme="minorHAnsi" w:hAnsiTheme="minorHAnsi"/>
        </w:rPr>
        <w:t xml:space="preserve">Bankers </w:t>
      </w:r>
      <w:r w:rsidR="00CC179B" w:rsidRPr="00C472FF">
        <w:rPr>
          <w:rFonts w:asciiTheme="minorHAnsi" w:hAnsiTheme="minorHAnsi"/>
        </w:rPr>
        <w:t>noted</w:t>
      </w:r>
      <w:r w:rsidR="0050761B" w:rsidRPr="00C472FF">
        <w:rPr>
          <w:rFonts w:asciiTheme="minorHAnsi" w:hAnsiTheme="minorHAnsi"/>
        </w:rPr>
        <w:t xml:space="preserve"> t</w:t>
      </w:r>
      <w:r w:rsidR="00CC179B" w:rsidRPr="00C472FF">
        <w:rPr>
          <w:rFonts w:asciiTheme="minorHAnsi" w:hAnsiTheme="minorHAnsi"/>
        </w:rPr>
        <w:t>hat issues such as remoteness, low demand,</w:t>
      </w:r>
      <w:r w:rsidR="00A46505" w:rsidRPr="00C472FF">
        <w:rPr>
          <w:rFonts w:asciiTheme="minorHAnsi" w:hAnsiTheme="minorHAnsi"/>
        </w:rPr>
        <w:t xml:space="preserve"> the</w:t>
      </w:r>
      <w:r w:rsidR="00CC179B" w:rsidRPr="00C472FF">
        <w:rPr>
          <w:rFonts w:asciiTheme="minorHAnsi" w:hAnsiTheme="minorHAnsi"/>
        </w:rPr>
        <w:t xml:space="preserve"> high cost of construction and risk profile are significant. </w:t>
      </w:r>
      <w:r w:rsidR="004B48F3">
        <w:rPr>
          <w:rFonts w:asciiTheme="minorHAnsi" w:hAnsiTheme="minorHAnsi"/>
        </w:rPr>
        <w:t xml:space="preserve">They </w:t>
      </w:r>
      <w:r w:rsidR="00CC179B" w:rsidRPr="00C472FF">
        <w:rPr>
          <w:rFonts w:asciiTheme="minorHAnsi" w:hAnsiTheme="minorHAnsi"/>
        </w:rPr>
        <w:t xml:space="preserve">highlighted that there is a gap between the cost of building and what people can afford to repay (and therefore </w:t>
      </w:r>
      <w:r w:rsidR="00F6712F" w:rsidRPr="00C472FF">
        <w:rPr>
          <w:rFonts w:asciiTheme="minorHAnsi" w:hAnsiTheme="minorHAnsi"/>
        </w:rPr>
        <w:t xml:space="preserve">realistically </w:t>
      </w:r>
      <w:r w:rsidR="00CC179B" w:rsidRPr="00C472FF">
        <w:rPr>
          <w:rFonts w:asciiTheme="minorHAnsi" w:hAnsiTheme="minorHAnsi"/>
        </w:rPr>
        <w:t>borrow)</w:t>
      </w:r>
      <w:r w:rsidR="008F4D5F" w:rsidRPr="00C472FF">
        <w:rPr>
          <w:rFonts w:asciiTheme="minorHAnsi" w:hAnsiTheme="minorHAnsi"/>
        </w:rPr>
        <w:t>,</w:t>
      </w:r>
      <w:r w:rsidR="002F7EE2" w:rsidRPr="00C472FF">
        <w:rPr>
          <w:rFonts w:asciiTheme="minorHAnsi" w:hAnsiTheme="minorHAnsi"/>
        </w:rPr>
        <w:t xml:space="preserve"> whether for private home ownership or </w:t>
      </w:r>
      <w:r w:rsidRPr="00C472FF">
        <w:rPr>
          <w:rFonts w:asciiTheme="minorHAnsi" w:hAnsiTheme="minorHAnsi"/>
        </w:rPr>
        <w:t>enterprise development</w:t>
      </w:r>
      <w:r w:rsidR="00CC179B" w:rsidRPr="00C472FF">
        <w:rPr>
          <w:rFonts w:asciiTheme="minorHAnsi" w:hAnsiTheme="minorHAnsi"/>
        </w:rPr>
        <w:t>.</w:t>
      </w:r>
      <w:r w:rsidR="00096A40" w:rsidRPr="00C472FF">
        <w:rPr>
          <w:rFonts w:asciiTheme="minorHAnsi" w:hAnsiTheme="minorHAnsi"/>
        </w:rPr>
        <w:t xml:space="preserve"> </w:t>
      </w:r>
      <w:r w:rsidR="00A46505" w:rsidRPr="00C472FF">
        <w:rPr>
          <w:rFonts w:asciiTheme="minorHAnsi" w:hAnsiTheme="minorHAnsi"/>
        </w:rPr>
        <w:t>Financiers</w:t>
      </w:r>
      <w:r w:rsidR="000930C1" w:rsidRPr="00C472FF">
        <w:rPr>
          <w:rFonts w:asciiTheme="minorHAnsi" w:hAnsiTheme="minorHAnsi"/>
        </w:rPr>
        <w:t xml:space="preserve"> emphasised that it is not the</w:t>
      </w:r>
      <w:r w:rsidR="00A46505" w:rsidRPr="00C472FF">
        <w:rPr>
          <w:rFonts w:asciiTheme="minorHAnsi" w:hAnsiTheme="minorHAnsi"/>
        </w:rPr>
        <w:t>ir</w:t>
      </w:r>
      <w:r w:rsidR="000930C1" w:rsidRPr="00C472FF">
        <w:rPr>
          <w:rFonts w:asciiTheme="minorHAnsi" w:hAnsiTheme="minorHAnsi"/>
        </w:rPr>
        <w:t xml:space="preserve"> role to bridge this gap</w:t>
      </w:r>
      <w:r w:rsidR="00B57302" w:rsidRPr="00C472FF">
        <w:rPr>
          <w:rFonts w:asciiTheme="minorHAnsi" w:hAnsiTheme="minorHAnsi"/>
        </w:rPr>
        <w:t xml:space="preserve"> and also</w:t>
      </w:r>
      <w:r w:rsidR="008F4D5F" w:rsidRPr="00C472FF">
        <w:rPr>
          <w:rFonts w:asciiTheme="minorHAnsi" w:hAnsiTheme="minorHAnsi"/>
        </w:rPr>
        <w:t xml:space="preserve"> expressed </w:t>
      </w:r>
      <w:r w:rsidR="00CC179B" w:rsidRPr="00C472FF">
        <w:rPr>
          <w:rFonts w:asciiTheme="minorHAnsi" w:hAnsiTheme="minorHAnsi"/>
        </w:rPr>
        <w:t xml:space="preserve">concern about </w:t>
      </w:r>
      <w:r w:rsidR="008F4D5F" w:rsidRPr="00C472FF">
        <w:rPr>
          <w:rFonts w:asciiTheme="minorHAnsi" w:hAnsiTheme="minorHAnsi"/>
        </w:rPr>
        <w:t xml:space="preserve">the </w:t>
      </w:r>
      <w:r w:rsidR="00CC179B" w:rsidRPr="00C472FF">
        <w:rPr>
          <w:rFonts w:asciiTheme="minorHAnsi" w:hAnsiTheme="minorHAnsi"/>
        </w:rPr>
        <w:t>retention of value in built infrastructure</w:t>
      </w:r>
      <w:r w:rsidR="000930C1" w:rsidRPr="00C472FF">
        <w:rPr>
          <w:rFonts w:asciiTheme="minorHAnsi" w:hAnsiTheme="minorHAnsi"/>
        </w:rPr>
        <w:t xml:space="preserve"> in remote communities</w:t>
      </w:r>
      <w:r w:rsidR="00CC179B" w:rsidRPr="00C472FF">
        <w:rPr>
          <w:rFonts w:asciiTheme="minorHAnsi" w:hAnsiTheme="minorHAnsi"/>
        </w:rPr>
        <w:t xml:space="preserve">. </w:t>
      </w:r>
      <w:r w:rsidR="00F6712F" w:rsidRPr="00C472FF">
        <w:rPr>
          <w:rFonts w:asciiTheme="minorHAnsi" w:hAnsiTheme="minorHAnsi"/>
        </w:rPr>
        <w:t xml:space="preserve">Such matters </w:t>
      </w:r>
      <w:r w:rsidR="00CC179B" w:rsidRPr="00C472FF">
        <w:rPr>
          <w:rFonts w:asciiTheme="minorHAnsi" w:hAnsiTheme="minorHAnsi"/>
        </w:rPr>
        <w:t xml:space="preserve">are </w:t>
      </w:r>
      <w:r w:rsidR="0050761B" w:rsidRPr="00C472FF">
        <w:rPr>
          <w:rFonts w:asciiTheme="minorHAnsi" w:hAnsiTheme="minorHAnsi"/>
        </w:rPr>
        <w:t>major</w:t>
      </w:r>
      <w:r w:rsidR="00CC179B" w:rsidRPr="00C472FF">
        <w:rPr>
          <w:rFonts w:asciiTheme="minorHAnsi" w:hAnsiTheme="minorHAnsi"/>
        </w:rPr>
        <w:t xml:space="preserve"> barriers to commercial lending </w:t>
      </w:r>
      <w:r w:rsidR="008F4D5F" w:rsidRPr="00C472FF">
        <w:rPr>
          <w:rFonts w:asciiTheme="minorHAnsi" w:hAnsiTheme="minorHAnsi"/>
        </w:rPr>
        <w:t xml:space="preserve">and </w:t>
      </w:r>
      <w:r w:rsidR="00CC179B" w:rsidRPr="00C472FF">
        <w:rPr>
          <w:rFonts w:asciiTheme="minorHAnsi" w:hAnsiTheme="minorHAnsi"/>
        </w:rPr>
        <w:t>combine</w:t>
      </w:r>
      <w:r w:rsidR="00A81375">
        <w:rPr>
          <w:rFonts w:asciiTheme="minorHAnsi" w:hAnsiTheme="minorHAnsi"/>
        </w:rPr>
        <w:t>d</w:t>
      </w:r>
      <w:r w:rsidR="00CC179B" w:rsidRPr="00C472FF">
        <w:rPr>
          <w:rFonts w:asciiTheme="minorHAnsi" w:hAnsiTheme="minorHAnsi"/>
        </w:rPr>
        <w:t xml:space="preserve"> with infrastructure constraints make </w:t>
      </w:r>
      <w:r w:rsidR="0050761B" w:rsidRPr="00C472FF">
        <w:rPr>
          <w:rFonts w:asciiTheme="minorHAnsi" w:hAnsiTheme="minorHAnsi"/>
        </w:rPr>
        <w:t xml:space="preserve">finance for </w:t>
      </w:r>
      <w:r w:rsidR="00CC179B" w:rsidRPr="00C472FF">
        <w:rPr>
          <w:rFonts w:asciiTheme="minorHAnsi" w:hAnsiTheme="minorHAnsi"/>
        </w:rPr>
        <w:t xml:space="preserve">home ownership </w:t>
      </w:r>
      <w:r w:rsidR="0050761B" w:rsidRPr="00C472FF">
        <w:rPr>
          <w:rFonts w:asciiTheme="minorHAnsi" w:hAnsiTheme="minorHAnsi"/>
        </w:rPr>
        <w:lastRenderedPageBreak/>
        <w:t xml:space="preserve">under standard commercial arrangements </w:t>
      </w:r>
      <w:r w:rsidR="000930C1" w:rsidRPr="00C472FF">
        <w:rPr>
          <w:rFonts w:asciiTheme="minorHAnsi" w:hAnsiTheme="minorHAnsi"/>
        </w:rPr>
        <w:t>problematic</w:t>
      </w:r>
      <w:r w:rsidR="00CC179B" w:rsidRPr="00C472FF">
        <w:rPr>
          <w:rFonts w:asciiTheme="minorHAnsi" w:hAnsiTheme="minorHAnsi"/>
        </w:rPr>
        <w:t xml:space="preserve">. </w:t>
      </w:r>
      <w:r w:rsidR="00300681" w:rsidRPr="00C472FF">
        <w:rPr>
          <w:rFonts w:asciiTheme="minorHAnsi" w:hAnsiTheme="minorHAnsi"/>
        </w:rPr>
        <w:t xml:space="preserve">In turn, these matters indicate that the scope for borrowing against a home in order to access finance to start a business </w:t>
      </w:r>
      <w:r w:rsidR="0050761B" w:rsidRPr="00C472FF">
        <w:rPr>
          <w:rFonts w:asciiTheme="minorHAnsi" w:hAnsiTheme="minorHAnsi"/>
        </w:rPr>
        <w:t xml:space="preserve">may be </w:t>
      </w:r>
      <w:r w:rsidR="00300681" w:rsidRPr="00C472FF">
        <w:rPr>
          <w:rFonts w:asciiTheme="minorHAnsi" w:hAnsiTheme="minorHAnsi"/>
        </w:rPr>
        <w:t>limited.</w:t>
      </w:r>
      <w:r w:rsidR="00096A40" w:rsidRPr="00C472FF">
        <w:rPr>
          <w:rFonts w:asciiTheme="minorHAnsi" w:hAnsiTheme="minorHAnsi"/>
        </w:rPr>
        <w:t xml:space="preserve"> </w:t>
      </w:r>
    </w:p>
    <w:p w:rsidR="00CC179B" w:rsidRPr="00C472FF" w:rsidRDefault="00CC179B" w:rsidP="00EA6F6C">
      <w:pPr>
        <w:spacing w:line="276" w:lineRule="auto"/>
        <w:rPr>
          <w:rFonts w:asciiTheme="minorHAnsi" w:hAnsiTheme="minorHAnsi"/>
        </w:rPr>
      </w:pPr>
    </w:p>
    <w:p w:rsidR="0050761B" w:rsidRPr="00C472FF" w:rsidRDefault="000930C1" w:rsidP="00EA6F6C">
      <w:pPr>
        <w:spacing w:line="276" w:lineRule="auto"/>
        <w:rPr>
          <w:rFonts w:asciiTheme="minorHAnsi" w:hAnsiTheme="minorHAnsi"/>
        </w:rPr>
      </w:pPr>
      <w:r w:rsidRPr="00C472FF">
        <w:rPr>
          <w:rFonts w:asciiTheme="minorHAnsi" w:hAnsiTheme="minorHAnsi"/>
        </w:rPr>
        <w:t>B</w:t>
      </w:r>
      <w:r w:rsidR="00CC179B" w:rsidRPr="00C472FF">
        <w:rPr>
          <w:rFonts w:asciiTheme="minorHAnsi" w:hAnsiTheme="minorHAnsi"/>
        </w:rPr>
        <w:t>ank</w:t>
      </w:r>
      <w:r w:rsidRPr="00C472FF">
        <w:rPr>
          <w:rFonts w:asciiTheme="minorHAnsi" w:hAnsiTheme="minorHAnsi"/>
        </w:rPr>
        <w:t>er</w:t>
      </w:r>
      <w:r w:rsidR="00CC179B" w:rsidRPr="00C472FF">
        <w:rPr>
          <w:rFonts w:asciiTheme="minorHAnsi" w:hAnsiTheme="minorHAnsi"/>
        </w:rPr>
        <w:t xml:space="preserve">s </w:t>
      </w:r>
      <w:r w:rsidRPr="00C472FF">
        <w:rPr>
          <w:rFonts w:asciiTheme="minorHAnsi" w:hAnsiTheme="minorHAnsi"/>
        </w:rPr>
        <w:t xml:space="preserve">expressed </w:t>
      </w:r>
      <w:r w:rsidR="00CC179B" w:rsidRPr="00C472FF">
        <w:rPr>
          <w:rFonts w:asciiTheme="minorHAnsi" w:hAnsiTheme="minorHAnsi"/>
        </w:rPr>
        <w:t xml:space="preserve">a further concern about public relations should they ever need to enforce their rights </w:t>
      </w:r>
      <w:r w:rsidRPr="00C472FF">
        <w:rPr>
          <w:rFonts w:asciiTheme="minorHAnsi" w:hAnsiTheme="minorHAnsi"/>
        </w:rPr>
        <w:t xml:space="preserve">of foreclosure </w:t>
      </w:r>
      <w:r w:rsidR="00CC179B" w:rsidRPr="00C472FF">
        <w:rPr>
          <w:rFonts w:asciiTheme="minorHAnsi" w:hAnsiTheme="minorHAnsi"/>
        </w:rPr>
        <w:t>under a mortgage</w:t>
      </w:r>
      <w:r w:rsidR="00DF69FA" w:rsidRPr="00C472FF">
        <w:rPr>
          <w:rFonts w:asciiTheme="minorHAnsi" w:hAnsiTheme="minorHAnsi"/>
        </w:rPr>
        <w:t xml:space="preserve">. </w:t>
      </w:r>
      <w:r w:rsidR="008F161F" w:rsidRPr="00C472FF">
        <w:rPr>
          <w:rFonts w:asciiTheme="minorHAnsi" w:hAnsiTheme="minorHAnsi"/>
        </w:rPr>
        <w:t xml:space="preserve">It was </w:t>
      </w:r>
      <w:r w:rsidR="00D04E36" w:rsidRPr="00C472FF">
        <w:rPr>
          <w:rFonts w:asciiTheme="minorHAnsi" w:hAnsiTheme="minorHAnsi"/>
        </w:rPr>
        <w:t>stated</w:t>
      </w:r>
      <w:r w:rsidR="0050761B" w:rsidRPr="00C472FF">
        <w:rPr>
          <w:rFonts w:asciiTheme="minorHAnsi" w:hAnsiTheme="minorHAnsi"/>
        </w:rPr>
        <w:t>,</w:t>
      </w:r>
      <w:r w:rsidR="00D04E36" w:rsidRPr="00C472FF">
        <w:rPr>
          <w:rFonts w:asciiTheme="minorHAnsi" w:hAnsiTheme="minorHAnsi"/>
        </w:rPr>
        <w:t xml:space="preserve"> frankly</w:t>
      </w:r>
      <w:r w:rsidR="0050761B" w:rsidRPr="00C472FF">
        <w:rPr>
          <w:rFonts w:asciiTheme="minorHAnsi" w:hAnsiTheme="minorHAnsi"/>
        </w:rPr>
        <w:t>,</w:t>
      </w:r>
      <w:r w:rsidR="00D04E36" w:rsidRPr="00C472FF">
        <w:rPr>
          <w:rFonts w:asciiTheme="minorHAnsi" w:hAnsiTheme="minorHAnsi"/>
        </w:rPr>
        <w:t xml:space="preserve"> that it would be </w:t>
      </w:r>
      <w:r w:rsidR="00CC179B" w:rsidRPr="00C472FF">
        <w:rPr>
          <w:rFonts w:asciiTheme="minorHAnsi" w:hAnsiTheme="minorHAnsi"/>
        </w:rPr>
        <w:t xml:space="preserve">a </w:t>
      </w:r>
      <w:r w:rsidR="008F161F" w:rsidRPr="00C472FF">
        <w:rPr>
          <w:rFonts w:asciiTheme="minorHAnsi" w:hAnsiTheme="minorHAnsi"/>
        </w:rPr>
        <w:t>public relations</w:t>
      </w:r>
      <w:r w:rsidR="00CC179B" w:rsidRPr="00C472FF">
        <w:rPr>
          <w:rFonts w:asciiTheme="minorHAnsi" w:hAnsiTheme="minorHAnsi"/>
        </w:rPr>
        <w:t xml:space="preserve"> nightmare </w:t>
      </w:r>
      <w:r w:rsidR="00DF69FA" w:rsidRPr="00C472FF">
        <w:rPr>
          <w:rFonts w:asciiTheme="minorHAnsi" w:hAnsiTheme="minorHAnsi"/>
        </w:rPr>
        <w:t xml:space="preserve">for a bank </w:t>
      </w:r>
      <w:r w:rsidR="00CC179B" w:rsidRPr="00C472FF">
        <w:rPr>
          <w:rFonts w:asciiTheme="minorHAnsi" w:hAnsiTheme="minorHAnsi"/>
        </w:rPr>
        <w:t xml:space="preserve">to be </w:t>
      </w:r>
      <w:r w:rsidR="008F161F" w:rsidRPr="00C472FF">
        <w:rPr>
          <w:rFonts w:asciiTheme="minorHAnsi" w:hAnsiTheme="minorHAnsi"/>
        </w:rPr>
        <w:t>o</w:t>
      </w:r>
      <w:r w:rsidR="00CC179B" w:rsidRPr="00C472FF">
        <w:rPr>
          <w:rFonts w:asciiTheme="minorHAnsi" w:hAnsiTheme="minorHAnsi"/>
        </w:rPr>
        <w:t xml:space="preserve">n the news for evicting an elderly remote Aboriginal person from their </w:t>
      </w:r>
      <w:r w:rsidR="00DF69FA" w:rsidRPr="00C472FF">
        <w:rPr>
          <w:rFonts w:asciiTheme="minorHAnsi" w:hAnsiTheme="minorHAnsi"/>
        </w:rPr>
        <w:t>first</w:t>
      </w:r>
      <w:r w:rsidR="00CC179B" w:rsidRPr="00C472FF">
        <w:rPr>
          <w:rFonts w:asciiTheme="minorHAnsi" w:hAnsiTheme="minorHAnsi"/>
        </w:rPr>
        <w:t xml:space="preserve"> home</w:t>
      </w:r>
      <w:r w:rsidR="00DF69FA" w:rsidRPr="00C472FF">
        <w:rPr>
          <w:rFonts w:asciiTheme="minorHAnsi" w:hAnsiTheme="minorHAnsi"/>
        </w:rPr>
        <w:t xml:space="preserve"> due to default on</w:t>
      </w:r>
      <w:r w:rsidR="00E063D4" w:rsidRPr="00C472FF">
        <w:rPr>
          <w:rFonts w:asciiTheme="minorHAnsi" w:hAnsiTheme="minorHAnsi"/>
        </w:rPr>
        <w:t xml:space="preserve"> a bank loan</w:t>
      </w:r>
      <w:r w:rsidR="00DF69FA" w:rsidRPr="00C472FF">
        <w:rPr>
          <w:rFonts w:asciiTheme="minorHAnsi" w:hAnsiTheme="minorHAnsi"/>
        </w:rPr>
        <w:t xml:space="preserve">. These concerns </w:t>
      </w:r>
      <w:r w:rsidR="00CC179B" w:rsidRPr="00C472FF">
        <w:rPr>
          <w:rFonts w:asciiTheme="minorHAnsi" w:hAnsiTheme="minorHAnsi"/>
        </w:rPr>
        <w:t>mean that banks may be reluctant to lend on a traditional 'one on one' basis and would be more comfortable if there was, for example</w:t>
      </w:r>
      <w:r w:rsidR="008F4D5F" w:rsidRPr="00C472FF">
        <w:rPr>
          <w:rFonts w:asciiTheme="minorHAnsi" w:hAnsiTheme="minorHAnsi"/>
        </w:rPr>
        <w:t>,</w:t>
      </w:r>
      <w:r w:rsidR="00CC179B" w:rsidRPr="00C472FF">
        <w:rPr>
          <w:rFonts w:asciiTheme="minorHAnsi" w:hAnsiTheme="minorHAnsi"/>
        </w:rPr>
        <w:t xml:space="preserve"> government guarantees or other assurances</w:t>
      </w:r>
      <w:r w:rsidR="00DF69FA" w:rsidRPr="00C472FF">
        <w:rPr>
          <w:rFonts w:asciiTheme="minorHAnsi" w:hAnsiTheme="minorHAnsi"/>
        </w:rPr>
        <w:t xml:space="preserve"> provided</w:t>
      </w:r>
      <w:r w:rsidR="0050761B" w:rsidRPr="00C472FF">
        <w:rPr>
          <w:rFonts w:asciiTheme="minorHAnsi" w:hAnsiTheme="minorHAnsi"/>
        </w:rPr>
        <w:t xml:space="preserve">. The CLC is not aware of any response by the </w:t>
      </w:r>
      <w:r w:rsidR="005212E9" w:rsidRPr="00C472FF">
        <w:rPr>
          <w:rFonts w:asciiTheme="minorHAnsi" w:hAnsiTheme="minorHAnsi"/>
        </w:rPr>
        <w:t>Australian</w:t>
      </w:r>
      <w:r w:rsidR="0050761B" w:rsidRPr="00C472FF">
        <w:rPr>
          <w:rFonts w:asciiTheme="minorHAnsi" w:hAnsiTheme="minorHAnsi"/>
        </w:rPr>
        <w:t xml:space="preserve"> or Northern Territory Government to these suggestions. </w:t>
      </w:r>
    </w:p>
    <w:p w:rsidR="00CC179B" w:rsidRPr="00C472FF" w:rsidRDefault="00CC179B" w:rsidP="00EA6F6C">
      <w:pPr>
        <w:spacing w:line="276" w:lineRule="auto"/>
        <w:rPr>
          <w:rFonts w:asciiTheme="minorHAnsi" w:hAnsiTheme="minorHAnsi"/>
        </w:rPr>
      </w:pPr>
    </w:p>
    <w:p w:rsidR="000930C1" w:rsidRPr="00C472FF" w:rsidRDefault="006A1B7E" w:rsidP="00EA6F6C">
      <w:pPr>
        <w:spacing w:line="276" w:lineRule="auto"/>
        <w:rPr>
          <w:rFonts w:asciiTheme="minorHAnsi" w:hAnsiTheme="minorHAnsi"/>
        </w:rPr>
      </w:pPr>
      <w:r w:rsidRPr="00C472FF">
        <w:rPr>
          <w:rFonts w:asciiTheme="minorHAnsi" w:hAnsiTheme="minorHAnsi"/>
          <w:noProof/>
        </w:rPr>
        <mc:AlternateContent>
          <mc:Choice Requires="wps">
            <w:drawing>
              <wp:anchor distT="0" distB="0" distL="114300" distR="114300" simplePos="0" relativeHeight="251681792" behindDoc="1" locked="0" layoutInCell="1" allowOverlap="1" wp14:anchorId="22B85577" wp14:editId="14B38210">
                <wp:simplePos x="0" y="0"/>
                <wp:positionH relativeFrom="column">
                  <wp:posOffset>5344160</wp:posOffset>
                </wp:positionH>
                <wp:positionV relativeFrom="paragraph">
                  <wp:posOffset>1892300</wp:posOffset>
                </wp:positionV>
                <wp:extent cx="45085" cy="318135"/>
                <wp:effectExtent l="0" t="0" r="0" b="5715"/>
                <wp:wrapThrough wrapText="bothSides">
                  <wp:wrapPolygon edited="0">
                    <wp:start x="0" y="0"/>
                    <wp:lineTo x="0" y="20695"/>
                    <wp:lineTo x="9127" y="20695"/>
                    <wp:lineTo x="9127" y="0"/>
                    <wp:lineTo x="0" y="0"/>
                  </wp:wrapPolygon>
                </wp:wrapThrough>
                <wp:docPr id="17" name="Text Box 17"/>
                <wp:cNvGraphicFramePr/>
                <a:graphic xmlns:a="http://schemas.openxmlformats.org/drawingml/2006/main">
                  <a:graphicData uri="http://schemas.microsoft.com/office/word/2010/wordprocessingShape">
                    <wps:wsp>
                      <wps:cNvSpPr txBox="1"/>
                      <wps:spPr>
                        <a:xfrm flipH="1">
                          <a:off x="0" y="0"/>
                          <a:ext cx="45085" cy="318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33" w:rsidRPr="00215567" w:rsidRDefault="00D57C33">
                            <w:pPr>
                              <w:rPr>
                                <w:color w:val="0066C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420.8pt;margin-top:149pt;width:3.55pt;height:25.05pt;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" fillcolor="white [3201]" stroked="f" strokeweight=".5pt">
                <v:textbox>
                  <w:txbxContent>
                    <w:p w:rsidR="00D57C33" w:rsidRPr="00215567" w:rsidRDefault="00D57C33">
                      <w:pPr>
                        <w:rPr>
                          <w:color w:val="0066CC"/>
                        </w:rPr>
                      </w:pPr>
                    </w:p>
                  </w:txbxContent>
                </v:textbox>
                <w10:wrap type="through"/>
              </v:shape>
            </w:pict>
          </mc:Fallback>
        </mc:AlternateContent>
      </w:r>
      <w:r w:rsidR="0050761B" w:rsidRPr="00C472FF">
        <w:rPr>
          <w:rFonts w:asciiTheme="minorHAnsi" w:hAnsiTheme="minorHAnsi"/>
        </w:rPr>
        <w:t xml:space="preserve">The CLC is concerned that, on initial evidence, resale prices are likely to be lower than the amount a remote Aboriginal person or family would need to lend from a bank. This factor is seriously problematic for prospective home owners, for the creation of a market for private home ownership in remote </w:t>
      </w:r>
      <w:r w:rsidR="001D7238" w:rsidRPr="00C472FF">
        <w:rPr>
          <w:rFonts w:asciiTheme="minorHAnsi" w:hAnsiTheme="minorHAnsi"/>
        </w:rPr>
        <w:t>areas</w:t>
      </w:r>
      <w:r w:rsidR="004B48F3">
        <w:rPr>
          <w:rFonts w:asciiTheme="minorHAnsi" w:hAnsiTheme="minorHAnsi"/>
        </w:rPr>
        <w:t xml:space="preserve">. </w:t>
      </w:r>
      <w:r w:rsidR="00E063D4" w:rsidRPr="00C472FF">
        <w:rPr>
          <w:rFonts w:asciiTheme="minorHAnsi" w:hAnsiTheme="minorHAnsi"/>
        </w:rPr>
        <w:t>For land assets to be leveraged as capi</w:t>
      </w:r>
      <w:r w:rsidR="00F255F7">
        <w:rPr>
          <w:rFonts w:asciiTheme="minorHAnsi" w:hAnsiTheme="minorHAnsi"/>
        </w:rPr>
        <w:t xml:space="preserve">tal </w:t>
      </w:r>
      <w:r w:rsidR="008F4D5F" w:rsidRPr="00C472FF">
        <w:rPr>
          <w:rFonts w:asciiTheme="minorHAnsi" w:hAnsiTheme="minorHAnsi"/>
        </w:rPr>
        <w:t xml:space="preserve">they </w:t>
      </w:r>
      <w:r w:rsidR="00E063D4" w:rsidRPr="00C472FF">
        <w:rPr>
          <w:rFonts w:asciiTheme="minorHAnsi" w:hAnsiTheme="minorHAnsi"/>
        </w:rPr>
        <w:t>need to be both subject to a formal land administration system and desirable to the market as property– not only to entice lessees or purchasers, but also to convince financial institutions that the land is valuable as collateral for a loan (i.e</w:t>
      </w:r>
      <w:r w:rsidR="00743169" w:rsidRPr="00C472FF">
        <w:rPr>
          <w:rFonts w:asciiTheme="minorHAnsi" w:hAnsiTheme="minorHAnsi"/>
        </w:rPr>
        <w:t>.</w:t>
      </w:r>
      <w:r w:rsidR="00E063D4" w:rsidRPr="00C472FF">
        <w:rPr>
          <w:rFonts w:asciiTheme="minorHAnsi" w:hAnsiTheme="minorHAnsi"/>
        </w:rPr>
        <w:t xml:space="preserve"> that the interest may be sold for a good price if the loan is defaulted on). </w:t>
      </w:r>
      <w:r w:rsidR="008F161F" w:rsidRPr="00C472FF">
        <w:rPr>
          <w:rFonts w:asciiTheme="minorHAnsi" w:hAnsiTheme="minorHAnsi"/>
        </w:rPr>
        <w:t>Even where a land market emerges, t</w:t>
      </w:r>
      <w:r w:rsidR="00E063D4" w:rsidRPr="00C472FF">
        <w:rPr>
          <w:rFonts w:asciiTheme="minorHAnsi" w:hAnsiTheme="minorHAnsi"/>
        </w:rPr>
        <w:t xml:space="preserve">here are also </w:t>
      </w:r>
      <w:r w:rsidR="00DF69FA" w:rsidRPr="00C472FF">
        <w:rPr>
          <w:rFonts w:asciiTheme="minorHAnsi" w:hAnsiTheme="minorHAnsi"/>
        </w:rPr>
        <w:t xml:space="preserve">potentially significant </w:t>
      </w:r>
      <w:r w:rsidR="00E063D4" w:rsidRPr="00C472FF">
        <w:rPr>
          <w:rFonts w:asciiTheme="minorHAnsi" w:hAnsiTheme="minorHAnsi"/>
        </w:rPr>
        <w:t xml:space="preserve">implications for the make-up of </w:t>
      </w:r>
      <w:r w:rsidR="008F161F" w:rsidRPr="00C472FF">
        <w:rPr>
          <w:rFonts w:asciiTheme="minorHAnsi" w:hAnsiTheme="minorHAnsi"/>
        </w:rPr>
        <w:t xml:space="preserve">a </w:t>
      </w:r>
      <w:r w:rsidR="00E063D4" w:rsidRPr="00C472FF">
        <w:rPr>
          <w:rFonts w:asciiTheme="minorHAnsi" w:hAnsiTheme="minorHAnsi"/>
        </w:rPr>
        <w:t xml:space="preserve">remote </w:t>
      </w:r>
      <w:r w:rsidR="008F161F" w:rsidRPr="00C472FF">
        <w:rPr>
          <w:rFonts w:asciiTheme="minorHAnsi" w:hAnsiTheme="minorHAnsi"/>
        </w:rPr>
        <w:t xml:space="preserve">Aboriginal </w:t>
      </w:r>
      <w:r w:rsidR="00E063D4" w:rsidRPr="00C472FF">
        <w:rPr>
          <w:rFonts w:asciiTheme="minorHAnsi" w:hAnsiTheme="minorHAnsi"/>
        </w:rPr>
        <w:t>communit</w:t>
      </w:r>
      <w:r w:rsidR="008F161F" w:rsidRPr="00C472FF">
        <w:rPr>
          <w:rFonts w:asciiTheme="minorHAnsi" w:hAnsiTheme="minorHAnsi"/>
        </w:rPr>
        <w:t>y</w:t>
      </w:r>
      <w:r w:rsidR="00E063D4" w:rsidRPr="00C472FF">
        <w:rPr>
          <w:rFonts w:asciiTheme="minorHAnsi" w:hAnsiTheme="minorHAnsi"/>
        </w:rPr>
        <w:t xml:space="preserve"> should a bank wish to foreclose on a mortgage and sell their interest in land to an outsider.</w:t>
      </w:r>
      <w:r w:rsidR="00671878" w:rsidRPr="00C472FF">
        <w:rPr>
          <w:rFonts w:asciiTheme="minorHAnsi" w:hAnsiTheme="minorHAnsi"/>
        </w:rPr>
        <w:t xml:space="preserve"> </w:t>
      </w:r>
      <w:r w:rsidR="004B48F3">
        <w:rPr>
          <w:rFonts w:asciiTheme="minorHAnsi" w:hAnsiTheme="minorHAnsi"/>
        </w:rPr>
        <w:t xml:space="preserve"> </w:t>
      </w:r>
    </w:p>
    <w:p w:rsidR="00CC179B" w:rsidRPr="00C472FF" w:rsidRDefault="00CC179B" w:rsidP="00EA6F6C">
      <w:pPr>
        <w:spacing w:line="276" w:lineRule="auto"/>
        <w:rPr>
          <w:rFonts w:asciiTheme="minorHAnsi" w:hAnsiTheme="minorHAnsi"/>
        </w:rPr>
      </w:pPr>
    </w:p>
    <w:p w:rsidR="00F3682C" w:rsidRPr="00C472FF" w:rsidRDefault="00DF69FA" w:rsidP="00EA6F6C">
      <w:pPr>
        <w:spacing w:line="276" w:lineRule="auto"/>
        <w:rPr>
          <w:rFonts w:asciiTheme="minorHAnsi" w:hAnsiTheme="minorHAnsi"/>
        </w:rPr>
      </w:pPr>
      <w:r w:rsidRPr="00C472FF">
        <w:rPr>
          <w:rFonts w:asciiTheme="minorHAnsi" w:hAnsiTheme="minorHAnsi"/>
        </w:rPr>
        <w:t xml:space="preserve">It is evident that </w:t>
      </w:r>
      <w:r w:rsidR="00743169" w:rsidRPr="00C472FF">
        <w:rPr>
          <w:rFonts w:asciiTheme="minorHAnsi" w:hAnsiTheme="minorHAnsi"/>
        </w:rPr>
        <w:t xml:space="preserve">all parties need to undertake </w:t>
      </w:r>
      <w:r w:rsidRPr="00C472FF">
        <w:rPr>
          <w:rFonts w:asciiTheme="minorHAnsi" w:hAnsiTheme="minorHAnsi"/>
        </w:rPr>
        <w:t xml:space="preserve">more detailed work to address the range of barriers to economic development and home ownership that are particularly apparent in remote communities throughout the CLC region. </w:t>
      </w:r>
      <w:r w:rsidR="003F1397" w:rsidRPr="00C472FF">
        <w:rPr>
          <w:rFonts w:asciiTheme="minorHAnsi" w:hAnsiTheme="minorHAnsi"/>
        </w:rPr>
        <w:t xml:space="preserve">The CLC agrees that tenure plays a role and that access to finance will require transferable </w:t>
      </w:r>
      <w:r w:rsidR="006F4E04" w:rsidRPr="00C472FF">
        <w:rPr>
          <w:rFonts w:asciiTheme="minorHAnsi" w:hAnsiTheme="minorHAnsi"/>
        </w:rPr>
        <w:t>and</w:t>
      </w:r>
      <w:r w:rsidR="003F1397" w:rsidRPr="00C472FF">
        <w:rPr>
          <w:rFonts w:asciiTheme="minorHAnsi" w:hAnsiTheme="minorHAnsi"/>
        </w:rPr>
        <w:t xml:space="preserve"> marketable leases to be developed to meet a range of aims. Some templates that permit transfer and assignment have been developed and utilised in the CLC region. </w:t>
      </w:r>
      <w:r w:rsidR="0082775C" w:rsidRPr="00C472FF">
        <w:rPr>
          <w:rFonts w:asciiTheme="minorHAnsi" w:hAnsiTheme="minorHAnsi"/>
        </w:rPr>
        <w:t xml:space="preserve">However, the </w:t>
      </w:r>
      <w:r w:rsidR="003F1397" w:rsidRPr="00C472FF">
        <w:rPr>
          <w:rFonts w:asciiTheme="minorHAnsi" w:hAnsiTheme="minorHAnsi"/>
        </w:rPr>
        <w:t xml:space="preserve">CLC would welcome the opportunity to work with lenders and governments to develop a range of commercial lease </w:t>
      </w:r>
      <w:r w:rsidR="008F161F" w:rsidRPr="00C472FF">
        <w:rPr>
          <w:rFonts w:asciiTheme="minorHAnsi" w:hAnsiTheme="minorHAnsi"/>
        </w:rPr>
        <w:t>templates that all parties agree would</w:t>
      </w:r>
      <w:r w:rsidR="006F4E04" w:rsidRPr="00C472FF">
        <w:rPr>
          <w:rFonts w:asciiTheme="minorHAnsi" w:hAnsiTheme="minorHAnsi"/>
        </w:rPr>
        <w:t xml:space="preserve"> support </w:t>
      </w:r>
      <w:r w:rsidR="003F1397" w:rsidRPr="00C472FF">
        <w:rPr>
          <w:rFonts w:asciiTheme="minorHAnsi" w:hAnsiTheme="minorHAnsi"/>
        </w:rPr>
        <w:t xml:space="preserve">Aboriginal </w:t>
      </w:r>
      <w:r w:rsidR="006F4E04" w:rsidRPr="00C472FF">
        <w:rPr>
          <w:rFonts w:asciiTheme="minorHAnsi" w:hAnsiTheme="minorHAnsi"/>
        </w:rPr>
        <w:t xml:space="preserve">aspirations for economic development on Aboriginal </w:t>
      </w:r>
      <w:r w:rsidR="003F1397" w:rsidRPr="00C472FF">
        <w:rPr>
          <w:rFonts w:asciiTheme="minorHAnsi" w:hAnsiTheme="minorHAnsi"/>
        </w:rPr>
        <w:t xml:space="preserve">land. </w:t>
      </w:r>
    </w:p>
    <w:p w:rsidR="00642438" w:rsidRPr="00C472FF" w:rsidRDefault="00642438" w:rsidP="00EA6F6C">
      <w:pPr>
        <w:spacing w:line="276" w:lineRule="auto"/>
        <w:rPr>
          <w:rFonts w:asciiTheme="minorHAnsi" w:hAnsiTheme="minorHAnsi"/>
        </w:rPr>
      </w:pPr>
    </w:p>
    <w:p w:rsidR="009027D8" w:rsidRDefault="009027D8" w:rsidP="00EA6F6C">
      <w:pPr>
        <w:spacing w:line="276" w:lineRule="auto"/>
        <w:rPr>
          <w:rFonts w:asciiTheme="minorHAnsi" w:hAnsiTheme="minorHAnsi"/>
        </w:rPr>
      </w:pPr>
      <w:r w:rsidRPr="00C472FF">
        <w:rPr>
          <w:rFonts w:asciiTheme="minorHAnsi" w:hAnsiTheme="minorHAnsi"/>
        </w:rPr>
        <w:t xml:space="preserve">Further, while there is some interest in home ownership in central Australia, </w:t>
      </w:r>
      <w:r w:rsidR="00F02F5C" w:rsidRPr="00C472FF">
        <w:rPr>
          <w:rFonts w:asciiTheme="minorHAnsi" w:hAnsiTheme="minorHAnsi"/>
        </w:rPr>
        <w:t xml:space="preserve">under ordinary commercial arrangements </w:t>
      </w:r>
      <w:r w:rsidRPr="00C472FF">
        <w:rPr>
          <w:rFonts w:asciiTheme="minorHAnsi" w:hAnsiTheme="minorHAnsi"/>
        </w:rPr>
        <w:t xml:space="preserve">it is seriously doubtful that it will be a feasible option for the majority of remote Aboriginal people at present, much less a solution to housing shortages. Altman et al, echoing some of the concerns </w:t>
      </w:r>
      <w:r w:rsidR="0082775C" w:rsidRPr="00C472FF">
        <w:rPr>
          <w:rFonts w:asciiTheme="minorHAnsi" w:hAnsiTheme="minorHAnsi"/>
        </w:rPr>
        <w:t xml:space="preserve">the bankers </w:t>
      </w:r>
      <w:r w:rsidRPr="00C472FF">
        <w:rPr>
          <w:rFonts w:asciiTheme="minorHAnsi" w:hAnsiTheme="minorHAnsi"/>
        </w:rPr>
        <w:t>raised</w:t>
      </w:r>
      <w:r w:rsidR="00A87B2C" w:rsidRPr="00C472FF">
        <w:rPr>
          <w:rFonts w:asciiTheme="minorHAnsi" w:hAnsiTheme="minorHAnsi"/>
        </w:rPr>
        <w:t>,</w:t>
      </w:r>
      <w:r w:rsidR="006F4E04" w:rsidRPr="00C472FF">
        <w:rPr>
          <w:rFonts w:asciiTheme="minorHAnsi" w:hAnsiTheme="minorHAnsi"/>
        </w:rPr>
        <w:t xml:space="preserve"> make</w:t>
      </w:r>
      <w:r w:rsidR="00A87B2C" w:rsidRPr="00C472FF">
        <w:rPr>
          <w:rFonts w:asciiTheme="minorHAnsi" w:hAnsiTheme="minorHAnsi"/>
        </w:rPr>
        <w:t>s</w:t>
      </w:r>
      <w:r w:rsidR="006F4E04" w:rsidRPr="00C472FF">
        <w:rPr>
          <w:rFonts w:asciiTheme="minorHAnsi" w:hAnsiTheme="minorHAnsi"/>
        </w:rPr>
        <w:t xml:space="preserve"> the </w:t>
      </w:r>
      <w:r w:rsidRPr="00C472FF">
        <w:rPr>
          <w:rFonts w:asciiTheme="minorHAnsi" w:hAnsiTheme="minorHAnsi"/>
        </w:rPr>
        <w:t>observ</w:t>
      </w:r>
      <w:r w:rsidR="006F4E04" w:rsidRPr="00C472FF">
        <w:rPr>
          <w:rFonts w:asciiTheme="minorHAnsi" w:hAnsiTheme="minorHAnsi"/>
        </w:rPr>
        <w:t xml:space="preserve">ation </w:t>
      </w:r>
      <w:r w:rsidRPr="00C472FF">
        <w:rPr>
          <w:rFonts w:asciiTheme="minorHAnsi" w:hAnsiTheme="minorHAnsi"/>
        </w:rPr>
        <w:t>that</w:t>
      </w:r>
      <w:r w:rsidR="006F4E04" w:rsidRPr="00C472FF">
        <w:rPr>
          <w:rFonts w:asciiTheme="minorHAnsi" w:hAnsiTheme="minorHAnsi"/>
        </w:rPr>
        <w:t xml:space="preserve"> ‘</w:t>
      </w:r>
      <w:r w:rsidRPr="00C472FF">
        <w:rPr>
          <w:rFonts w:asciiTheme="minorHAnsi" w:hAnsiTheme="minorHAnsi"/>
        </w:rPr>
        <w:t xml:space="preserve">unless income levels increase dramatically in remote Indigenous communities, a push to private ownership will not result in private financing of the </w:t>
      </w:r>
      <w:r w:rsidRPr="00C472FF">
        <w:rPr>
          <w:rFonts w:asciiTheme="minorHAnsi" w:hAnsiTheme="minorHAnsi"/>
        </w:rPr>
        <w:lastRenderedPageBreak/>
        <w:t>construction of a significant number of new dwellings</w:t>
      </w:r>
      <w:r w:rsidR="006F4E04" w:rsidRPr="00C472FF">
        <w:rPr>
          <w:rFonts w:asciiTheme="minorHAnsi" w:hAnsiTheme="minorHAnsi"/>
        </w:rPr>
        <w:t>…</w:t>
      </w:r>
      <w:r w:rsidRPr="00C472FF">
        <w:rPr>
          <w:rFonts w:asciiTheme="minorHAnsi" w:hAnsiTheme="minorHAnsi"/>
        </w:rPr>
        <w:t>primarily because the cost of constructing housing is far higher than the likely value of the land</w:t>
      </w:r>
      <w:r w:rsidR="006F4E04" w:rsidRPr="00C472FF">
        <w:rPr>
          <w:rFonts w:asciiTheme="minorHAnsi" w:hAnsiTheme="minorHAnsi"/>
        </w:rPr>
        <w:t>.’</w:t>
      </w:r>
      <w:r w:rsidR="003D2462" w:rsidRPr="00C472FF">
        <w:rPr>
          <w:rStyle w:val="FootnoteReference"/>
          <w:rFonts w:asciiTheme="minorHAnsi" w:hAnsiTheme="minorHAnsi"/>
        </w:rPr>
        <w:footnoteReference w:id="43"/>
      </w:r>
      <w:r w:rsidR="0091080B">
        <w:rPr>
          <w:rFonts w:asciiTheme="minorHAnsi" w:hAnsiTheme="minorHAnsi"/>
        </w:rPr>
        <w:t xml:space="preserve">  This is supported by the fact that the current NT Government home ownership scheme in communities with a township lease applies only to existing public housing stock and will therefore do nothing to decrease overcrowding.</w:t>
      </w:r>
    </w:p>
    <w:p w:rsidR="0098643F" w:rsidRDefault="0098643F" w:rsidP="00EA6F6C">
      <w:pPr>
        <w:spacing w:line="276" w:lineRule="auto"/>
        <w:rPr>
          <w:rFonts w:asciiTheme="minorHAnsi" w:hAnsiTheme="minorHAnsi"/>
        </w:rPr>
      </w:pPr>
    </w:p>
    <w:p w:rsidR="0098643F" w:rsidRPr="0091080B" w:rsidRDefault="007650B2" w:rsidP="00EA6F6C">
      <w:pPr>
        <w:spacing w:line="276" w:lineRule="auto"/>
        <w:rPr>
          <w:rFonts w:asciiTheme="minorHAnsi" w:hAnsiTheme="minorHAnsi"/>
          <w:b/>
        </w:rPr>
      </w:pPr>
      <w:r>
        <w:rPr>
          <w:rFonts w:asciiTheme="minorHAnsi" w:hAnsiTheme="minorHAnsi"/>
          <w:b/>
        </w:rPr>
        <w:t>Recommendation 9</w:t>
      </w:r>
      <w:r w:rsidR="0098643F" w:rsidRPr="0091080B">
        <w:rPr>
          <w:rFonts w:asciiTheme="minorHAnsi" w:hAnsiTheme="minorHAnsi"/>
          <w:b/>
        </w:rPr>
        <w:t xml:space="preserve">. </w:t>
      </w:r>
      <w:r w:rsidR="0091080B" w:rsidRPr="0091080B">
        <w:rPr>
          <w:rFonts w:asciiTheme="minorHAnsi" w:hAnsiTheme="minorHAnsi"/>
          <w:b/>
        </w:rPr>
        <w:t xml:space="preserve"> </w:t>
      </w:r>
      <w:r w:rsidR="0098643F" w:rsidRPr="0091080B">
        <w:rPr>
          <w:rFonts w:asciiTheme="minorHAnsi" w:hAnsiTheme="minorHAnsi"/>
          <w:b/>
        </w:rPr>
        <w:t>That further work be undertaken to investigate options for more innovative and targeted financial products to support development on Aboriginal land, including government gua</w:t>
      </w:r>
      <w:r w:rsidR="0091080B" w:rsidRPr="0091080B">
        <w:rPr>
          <w:rFonts w:asciiTheme="minorHAnsi" w:hAnsiTheme="minorHAnsi"/>
          <w:b/>
        </w:rPr>
        <w:t xml:space="preserve">rantees and </w:t>
      </w:r>
      <w:r w:rsidR="0098643F" w:rsidRPr="0091080B">
        <w:rPr>
          <w:rFonts w:asciiTheme="minorHAnsi" w:hAnsiTheme="minorHAnsi"/>
          <w:b/>
        </w:rPr>
        <w:t>specific loan products</w:t>
      </w:r>
      <w:r w:rsidR="0091080B" w:rsidRPr="0091080B">
        <w:rPr>
          <w:rFonts w:asciiTheme="minorHAnsi" w:hAnsiTheme="minorHAnsi"/>
          <w:b/>
        </w:rPr>
        <w:t>.</w:t>
      </w:r>
    </w:p>
    <w:p w:rsidR="0091080B" w:rsidRDefault="0091080B" w:rsidP="00EA6F6C">
      <w:pPr>
        <w:spacing w:line="276" w:lineRule="auto"/>
        <w:rPr>
          <w:rFonts w:asciiTheme="minorHAnsi" w:hAnsiTheme="minorHAnsi"/>
          <w:b/>
        </w:rPr>
      </w:pPr>
    </w:p>
    <w:p w:rsidR="009027D8" w:rsidRPr="00C472FF" w:rsidRDefault="007650B2" w:rsidP="0091080B">
      <w:pPr>
        <w:spacing w:line="276" w:lineRule="auto"/>
        <w:rPr>
          <w:rFonts w:asciiTheme="minorHAnsi" w:hAnsiTheme="minorHAnsi"/>
        </w:rPr>
      </w:pPr>
      <w:r>
        <w:rPr>
          <w:rFonts w:asciiTheme="minorHAnsi" w:hAnsiTheme="minorHAnsi"/>
          <w:b/>
        </w:rPr>
        <w:t>Recommendation 10</w:t>
      </w:r>
      <w:r w:rsidR="0091080B">
        <w:rPr>
          <w:rFonts w:asciiTheme="minorHAnsi" w:hAnsiTheme="minorHAnsi"/>
          <w:b/>
        </w:rPr>
        <w:t>. That remo</w:t>
      </w:r>
      <w:r>
        <w:rPr>
          <w:rFonts w:asciiTheme="minorHAnsi" w:hAnsiTheme="minorHAnsi"/>
          <w:b/>
        </w:rPr>
        <w:t>te housing policies reflect the</w:t>
      </w:r>
      <w:r w:rsidR="0091080B">
        <w:rPr>
          <w:rFonts w:asciiTheme="minorHAnsi" w:hAnsiTheme="minorHAnsi"/>
          <w:b/>
        </w:rPr>
        <w:t xml:space="preserve"> fact that</w:t>
      </w:r>
      <w:r w:rsidR="00F36597">
        <w:rPr>
          <w:rFonts w:asciiTheme="minorHAnsi" w:hAnsiTheme="minorHAnsi"/>
          <w:b/>
        </w:rPr>
        <w:t xml:space="preserve"> private home ownership </w:t>
      </w:r>
      <w:r w:rsidR="00A5669C">
        <w:rPr>
          <w:rFonts w:asciiTheme="minorHAnsi" w:hAnsiTheme="minorHAnsi"/>
          <w:b/>
        </w:rPr>
        <w:t>will not be a soluti</w:t>
      </w:r>
      <w:r w:rsidR="00A941D8">
        <w:rPr>
          <w:rFonts w:asciiTheme="minorHAnsi" w:hAnsiTheme="minorHAnsi"/>
          <w:b/>
        </w:rPr>
        <w:t>on to remote housing shortages</w:t>
      </w:r>
      <w:r w:rsidR="0033360A">
        <w:rPr>
          <w:rFonts w:asciiTheme="minorHAnsi" w:hAnsiTheme="minorHAnsi"/>
          <w:b/>
        </w:rPr>
        <w:t xml:space="preserve"> and continued investment</w:t>
      </w:r>
      <w:r w:rsidR="0091080B">
        <w:rPr>
          <w:rFonts w:asciiTheme="minorHAnsi" w:hAnsiTheme="minorHAnsi"/>
          <w:b/>
        </w:rPr>
        <w:t xml:space="preserve"> </w:t>
      </w:r>
      <w:r w:rsidR="00A941D8">
        <w:rPr>
          <w:rFonts w:asciiTheme="minorHAnsi" w:hAnsiTheme="minorHAnsi"/>
          <w:b/>
        </w:rPr>
        <w:t>in public housing over the next decade will be required to reduce overcrowding.</w:t>
      </w:r>
    </w:p>
    <w:p w:rsidR="00661586" w:rsidRPr="009248BD" w:rsidRDefault="00661586" w:rsidP="0098643F">
      <w:pPr>
        <w:rPr>
          <w:rStyle w:val="SubtleEmphasis"/>
        </w:rPr>
      </w:pPr>
    </w:p>
    <w:p w:rsidR="00661586" w:rsidRPr="009248BD" w:rsidRDefault="00751692" w:rsidP="00EA6F6C">
      <w:pPr>
        <w:pStyle w:val="Subtitle"/>
        <w:keepNext/>
        <w:spacing w:line="276" w:lineRule="auto"/>
        <w:jc w:val="left"/>
        <w:rPr>
          <w:rStyle w:val="SubtleEmphasis"/>
        </w:rPr>
      </w:pPr>
      <w:bookmarkStart w:id="45" w:name="_Toc421623447"/>
      <w:r>
        <w:rPr>
          <w:rStyle w:val="SubtleEmphasis"/>
        </w:rPr>
        <w:t xml:space="preserve">Governance and capacity building to enable </w:t>
      </w:r>
      <w:r w:rsidR="00661586" w:rsidRPr="009248BD">
        <w:rPr>
          <w:rStyle w:val="SubtleEmphasis"/>
        </w:rPr>
        <w:t>development in the NT</w:t>
      </w:r>
      <w:bookmarkEnd w:id="45"/>
      <w:r w:rsidR="00661586" w:rsidRPr="009248BD">
        <w:rPr>
          <w:rStyle w:val="SubtleEmphasis"/>
        </w:rPr>
        <w:t xml:space="preserve"> </w:t>
      </w:r>
    </w:p>
    <w:p w:rsidR="00661586" w:rsidRDefault="00661586" w:rsidP="00EA6F6C">
      <w:pPr>
        <w:pStyle w:val="Subtitle"/>
        <w:keepNext/>
        <w:spacing w:line="276" w:lineRule="auto"/>
        <w:jc w:val="left"/>
        <w:rPr>
          <w:rStyle w:val="SubtleEmphasis"/>
          <w:rFonts w:asciiTheme="minorHAnsi" w:hAnsiTheme="minorHAnsi"/>
        </w:rPr>
      </w:pPr>
    </w:p>
    <w:p w:rsidR="00604259" w:rsidRPr="00C472FF" w:rsidRDefault="00604259" w:rsidP="00EA6F6C">
      <w:pPr>
        <w:pStyle w:val="Subtitle"/>
        <w:keepNext/>
        <w:numPr>
          <w:ilvl w:val="0"/>
          <w:numId w:val="23"/>
        </w:numPr>
        <w:spacing w:line="276" w:lineRule="auto"/>
        <w:jc w:val="left"/>
        <w:rPr>
          <w:rStyle w:val="SubtleEmphasis"/>
          <w:rFonts w:asciiTheme="minorHAnsi" w:hAnsiTheme="minorHAnsi"/>
        </w:rPr>
      </w:pPr>
      <w:bookmarkStart w:id="46" w:name="_Toc421623448"/>
      <w:r w:rsidRPr="00C472FF">
        <w:rPr>
          <w:rStyle w:val="SubtleEmphasis"/>
          <w:rFonts w:asciiTheme="minorHAnsi" w:hAnsiTheme="minorHAnsi"/>
        </w:rPr>
        <w:t>A</w:t>
      </w:r>
      <w:r w:rsidR="001E0617">
        <w:rPr>
          <w:rStyle w:val="SubtleEmphasis"/>
          <w:rFonts w:asciiTheme="minorHAnsi" w:hAnsiTheme="minorHAnsi"/>
        </w:rPr>
        <w:t xml:space="preserve">n alternative to township leasing to the Executive </w:t>
      </w:r>
      <w:r w:rsidR="001C11E3">
        <w:rPr>
          <w:rStyle w:val="SubtleEmphasis"/>
          <w:rFonts w:asciiTheme="minorHAnsi" w:hAnsiTheme="minorHAnsi"/>
        </w:rPr>
        <w:t>Director</w:t>
      </w:r>
      <w:r w:rsidR="001E0617">
        <w:rPr>
          <w:rStyle w:val="SubtleEmphasis"/>
          <w:rFonts w:asciiTheme="minorHAnsi" w:hAnsiTheme="minorHAnsi"/>
        </w:rPr>
        <w:t xml:space="preserve"> of Township Leasing</w:t>
      </w:r>
      <w:bookmarkEnd w:id="46"/>
    </w:p>
    <w:p w:rsidR="00B764D9" w:rsidRPr="00914F51" w:rsidRDefault="00215567" w:rsidP="00EA6F6C">
      <w:pPr>
        <w:spacing w:line="276" w:lineRule="auto"/>
        <w:rPr>
          <w:rFonts w:asciiTheme="minorHAnsi" w:hAnsiTheme="minorHAnsi"/>
        </w:rPr>
      </w:pPr>
      <w:r w:rsidRPr="00914F51">
        <w:rPr>
          <w:rFonts w:asciiTheme="minorHAnsi" w:hAnsiTheme="minorHAnsi"/>
          <w:noProof/>
        </w:rPr>
        <mc:AlternateContent>
          <mc:Choice Requires="wps">
            <w:drawing>
              <wp:anchor distT="0" distB="0" distL="114300" distR="114300" simplePos="0" relativeHeight="251682816" behindDoc="1" locked="0" layoutInCell="1" allowOverlap="1" wp14:anchorId="45914C65" wp14:editId="722C9B73">
                <wp:simplePos x="0" y="0"/>
                <wp:positionH relativeFrom="column">
                  <wp:posOffset>5627370</wp:posOffset>
                </wp:positionH>
                <wp:positionV relativeFrom="paragraph">
                  <wp:posOffset>713740</wp:posOffset>
                </wp:positionV>
                <wp:extent cx="45085" cy="616585"/>
                <wp:effectExtent l="0" t="0" r="0" b="0"/>
                <wp:wrapThrough wrapText="bothSides">
                  <wp:wrapPolygon edited="0">
                    <wp:start x="0" y="0"/>
                    <wp:lineTo x="0" y="20688"/>
                    <wp:lineTo x="9127" y="20688"/>
                    <wp:lineTo x="9127" y="0"/>
                    <wp:lineTo x="0" y="0"/>
                  </wp:wrapPolygon>
                </wp:wrapThrough>
                <wp:docPr id="18" name="Text Box 18"/>
                <wp:cNvGraphicFramePr/>
                <a:graphic xmlns:a="http://schemas.openxmlformats.org/drawingml/2006/main">
                  <a:graphicData uri="http://schemas.microsoft.com/office/word/2010/wordprocessingShape">
                    <wps:wsp>
                      <wps:cNvSpPr txBox="1"/>
                      <wps:spPr>
                        <a:xfrm flipH="1">
                          <a:off x="0" y="0"/>
                          <a:ext cx="45085" cy="6165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33" w:rsidRPr="00215567" w:rsidRDefault="00D57C33">
                            <w:pPr>
                              <w:rPr>
                                <w:i/>
                                <w:color w:val="0066CC"/>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28" type="#_x0000_t202" style="position:absolute;margin-left:443.1pt;margin-top:56.2pt;width:3.55pt;height:48.55pt;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" fillcolor="white [3201]" stroked="f" strokeweight=".5pt">
                <v:textbox>
                  <w:txbxContent>
                    <w:p w:rsidR="00D57C33" w:rsidRPr="00215567" w:rsidRDefault="00D57C33">
                      <w:pPr>
                        <w:rPr>
                          <w:i/>
                          <w:color w:val="0066CC"/>
                          <w:sz w:val="28"/>
                          <w:szCs w:val="28"/>
                        </w:rPr>
                      </w:pPr>
                    </w:p>
                  </w:txbxContent>
                </v:textbox>
                <w10:wrap type="through"/>
              </v:shape>
            </w:pict>
          </mc:Fallback>
        </mc:AlternateContent>
      </w:r>
      <w:r w:rsidR="00B764D9" w:rsidRPr="00914F51">
        <w:rPr>
          <w:rFonts w:asciiTheme="minorHAnsi" w:hAnsiTheme="minorHAnsi"/>
        </w:rPr>
        <w:t xml:space="preserve">Under the </w:t>
      </w:r>
      <w:r w:rsidR="0098559A" w:rsidRPr="00914F51">
        <w:rPr>
          <w:rFonts w:asciiTheme="minorHAnsi" w:hAnsiTheme="minorHAnsi"/>
        </w:rPr>
        <w:t xml:space="preserve">provisions of the </w:t>
      </w:r>
      <w:r w:rsidR="00B764D9" w:rsidRPr="00914F51">
        <w:rPr>
          <w:rFonts w:asciiTheme="minorHAnsi" w:hAnsiTheme="minorHAnsi"/>
        </w:rPr>
        <w:t>ALRA</w:t>
      </w:r>
      <w:r w:rsidR="00E632FC" w:rsidRPr="00914F51">
        <w:rPr>
          <w:rFonts w:asciiTheme="minorHAnsi" w:hAnsiTheme="minorHAnsi"/>
        </w:rPr>
        <w:t>,</w:t>
      </w:r>
      <w:r w:rsidR="00B764D9" w:rsidRPr="00914F51">
        <w:rPr>
          <w:rFonts w:asciiTheme="minorHAnsi" w:hAnsiTheme="minorHAnsi"/>
        </w:rPr>
        <w:t xml:space="preserve"> affected communities have an opportunity to express their views about proposed dealings in land</w:t>
      </w:r>
      <w:r w:rsidR="0098559A" w:rsidRPr="00914F51">
        <w:rPr>
          <w:rFonts w:asciiTheme="minorHAnsi" w:hAnsiTheme="minorHAnsi"/>
        </w:rPr>
        <w:t>,</w:t>
      </w:r>
      <w:r w:rsidR="00B764D9" w:rsidRPr="00914F51">
        <w:rPr>
          <w:rFonts w:asciiTheme="minorHAnsi" w:hAnsiTheme="minorHAnsi"/>
        </w:rPr>
        <w:t xml:space="preserve"> but it is ultimately traditional owners who are the decision makers.</w:t>
      </w:r>
      <w:r w:rsidR="001E58FE" w:rsidRPr="00914F51">
        <w:rPr>
          <w:rFonts w:asciiTheme="minorHAnsi" w:hAnsiTheme="minorHAnsi"/>
        </w:rPr>
        <w:t xml:space="preserve"> </w:t>
      </w:r>
      <w:r w:rsidR="00B764D9" w:rsidRPr="00914F51">
        <w:rPr>
          <w:rFonts w:asciiTheme="minorHAnsi" w:hAnsiTheme="minorHAnsi"/>
        </w:rPr>
        <w:t>Accordingly</w:t>
      </w:r>
      <w:r w:rsidR="001E58FE" w:rsidRPr="00914F51">
        <w:rPr>
          <w:rFonts w:asciiTheme="minorHAnsi" w:hAnsiTheme="minorHAnsi"/>
        </w:rPr>
        <w:t>, the distinction between those who fall within the definition of traditional owners under the ALRA and those who do not has begun to have more</w:t>
      </w:r>
      <w:r w:rsidR="00D201A3">
        <w:rPr>
          <w:rFonts w:asciiTheme="minorHAnsi" w:hAnsiTheme="minorHAnsi"/>
        </w:rPr>
        <w:t xml:space="preserve"> of an</w:t>
      </w:r>
      <w:r w:rsidR="001E58FE" w:rsidRPr="00914F51">
        <w:rPr>
          <w:rFonts w:asciiTheme="minorHAnsi" w:hAnsiTheme="minorHAnsi"/>
        </w:rPr>
        <w:t xml:space="preserve"> impact on community</w:t>
      </w:r>
      <w:r w:rsidR="0092329B" w:rsidRPr="00914F51">
        <w:rPr>
          <w:rFonts w:asciiTheme="minorHAnsi" w:hAnsiTheme="minorHAnsi"/>
        </w:rPr>
        <w:t>-</w:t>
      </w:r>
      <w:r w:rsidR="001E58FE" w:rsidRPr="00914F51">
        <w:rPr>
          <w:rFonts w:asciiTheme="minorHAnsi" w:hAnsiTheme="minorHAnsi"/>
        </w:rPr>
        <w:t xml:space="preserve">level decision making than was previously the case. </w:t>
      </w:r>
      <w:r w:rsidR="009074C1" w:rsidRPr="00914F51">
        <w:rPr>
          <w:rFonts w:asciiTheme="minorHAnsi" w:hAnsiTheme="minorHAnsi"/>
        </w:rPr>
        <w:t>The fact that traditional owners rather than residen</w:t>
      </w:r>
      <w:r w:rsidR="00B764D9" w:rsidRPr="00914F51">
        <w:rPr>
          <w:rFonts w:asciiTheme="minorHAnsi" w:hAnsiTheme="minorHAnsi"/>
        </w:rPr>
        <w:t>ts</w:t>
      </w:r>
      <w:r w:rsidR="009074C1" w:rsidRPr="00914F51">
        <w:rPr>
          <w:rFonts w:asciiTheme="minorHAnsi" w:hAnsiTheme="minorHAnsi"/>
        </w:rPr>
        <w:t xml:space="preserve"> are entitled to rental payments for community land use has also had an impact. </w:t>
      </w:r>
    </w:p>
    <w:p w:rsidR="00B764D9" w:rsidRPr="00914F51" w:rsidRDefault="00B764D9" w:rsidP="00EA6F6C">
      <w:pPr>
        <w:spacing w:line="276" w:lineRule="auto"/>
        <w:rPr>
          <w:rFonts w:asciiTheme="minorHAnsi" w:hAnsiTheme="minorHAnsi"/>
        </w:rPr>
      </w:pPr>
    </w:p>
    <w:p w:rsidR="00604259" w:rsidRPr="00914F51" w:rsidRDefault="00850116" w:rsidP="00EA6F6C">
      <w:pPr>
        <w:spacing w:line="276" w:lineRule="auto"/>
        <w:rPr>
          <w:rFonts w:asciiTheme="minorHAnsi" w:hAnsiTheme="minorHAnsi"/>
        </w:rPr>
      </w:pPr>
      <w:r w:rsidRPr="00914F51">
        <w:rPr>
          <w:rFonts w:asciiTheme="minorHAnsi" w:hAnsiTheme="minorHAnsi"/>
        </w:rPr>
        <w:t xml:space="preserve">In performing its functions </w:t>
      </w:r>
      <w:r w:rsidR="001E29C1" w:rsidRPr="00914F51">
        <w:rPr>
          <w:rFonts w:asciiTheme="minorHAnsi" w:hAnsiTheme="minorHAnsi"/>
        </w:rPr>
        <w:t>u</w:t>
      </w:r>
      <w:r w:rsidRPr="00914F51">
        <w:rPr>
          <w:rFonts w:asciiTheme="minorHAnsi" w:hAnsiTheme="minorHAnsi"/>
        </w:rPr>
        <w:t xml:space="preserve">nder the ALRA in relation to land use in communities, the CLC strives to ensure an appropriate balance between </w:t>
      </w:r>
      <w:r w:rsidR="001E29C1" w:rsidRPr="00914F51">
        <w:rPr>
          <w:rFonts w:asciiTheme="minorHAnsi" w:hAnsiTheme="minorHAnsi"/>
        </w:rPr>
        <w:t xml:space="preserve">the interests of </w:t>
      </w:r>
      <w:r w:rsidRPr="00914F51">
        <w:rPr>
          <w:rFonts w:asciiTheme="minorHAnsi" w:hAnsiTheme="minorHAnsi"/>
        </w:rPr>
        <w:t xml:space="preserve">non-resident traditional owners and </w:t>
      </w:r>
      <w:r w:rsidR="001E29C1" w:rsidRPr="00914F51">
        <w:rPr>
          <w:rFonts w:asciiTheme="minorHAnsi" w:hAnsiTheme="minorHAnsi"/>
        </w:rPr>
        <w:t xml:space="preserve">all </w:t>
      </w:r>
      <w:r w:rsidRPr="00914F51">
        <w:rPr>
          <w:rFonts w:asciiTheme="minorHAnsi" w:hAnsiTheme="minorHAnsi"/>
        </w:rPr>
        <w:t>community residents</w:t>
      </w:r>
      <w:r w:rsidR="001E29C1" w:rsidRPr="00914F51">
        <w:rPr>
          <w:rFonts w:asciiTheme="minorHAnsi" w:hAnsiTheme="minorHAnsi"/>
        </w:rPr>
        <w:t xml:space="preserve">. Such a balance is important to facilitate good relations and minimise the potential for disputes. </w:t>
      </w:r>
      <w:r w:rsidR="0098559A" w:rsidRPr="00914F51">
        <w:rPr>
          <w:rFonts w:asciiTheme="minorHAnsi" w:hAnsiTheme="minorHAnsi"/>
        </w:rPr>
        <w:t>To an extent, t</w:t>
      </w:r>
      <w:r w:rsidR="007E7A61" w:rsidRPr="00914F51">
        <w:rPr>
          <w:rFonts w:asciiTheme="minorHAnsi" w:hAnsiTheme="minorHAnsi"/>
        </w:rPr>
        <w:t>he CLC’s role in ensuring that this balance is appropriately negotiated without giving rise to ongoing disputes is a role that is prescribed in s</w:t>
      </w:r>
      <w:r w:rsidR="0098559A" w:rsidRPr="00914F51">
        <w:rPr>
          <w:rFonts w:asciiTheme="minorHAnsi" w:hAnsiTheme="minorHAnsi"/>
        </w:rPr>
        <w:t xml:space="preserve">ection </w:t>
      </w:r>
      <w:r w:rsidR="007E7A61" w:rsidRPr="00914F51">
        <w:rPr>
          <w:rFonts w:asciiTheme="minorHAnsi" w:hAnsiTheme="minorHAnsi"/>
        </w:rPr>
        <w:t>19 itself.</w:t>
      </w:r>
      <w:r w:rsidR="007E7A61" w:rsidRPr="00914F51">
        <w:rPr>
          <w:rStyle w:val="FootnoteReference"/>
          <w:rFonts w:asciiTheme="minorHAnsi" w:hAnsiTheme="minorHAnsi"/>
        </w:rPr>
        <w:footnoteReference w:id="44"/>
      </w:r>
      <w:r w:rsidR="007E7A61" w:rsidRPr="00914F51">
        <w:rPr>
          <w:rFonts w:asciiTheme="minorHAnsi" w:hAnsiTheme="minorHAnsi"/>
        </w:rPr>
        <w:t xml:space="preserve"> </w:t>
      </w:r>
      <w:r w:rsidR="001E29C1" w:rsidRPr="00914F51">
        <w:rPr>
          <w:rFonts w:asciiTheme="minorHAnsi" w:hAnsiTheme="minorHAnsi"/>
        </w:rPr>
        <w:t>This work is becoming increasingly complex and has led to the consider</w:t>
      </w:r>
      <w:r w:rsidR="0098559A" w:rsidRPr="00914F51">
        <w:rPr>
          <w:rFonts w:asciiTheme="minorHAnsi" w:hAnsiTheme="minorHAnsi"/>
        </w:rPr>
        <w:t>ation</w:t>
      </w:r>
      <w:r w:rsidR="001E29C1" w:rsidRPr="00914F51">
        <w:rPr>
          <w:rFonts w:asciiTheme="minorHAnsi" w:hAnsiTheme="minorHAnsi"/>
        </w:rPr>
        <w:t xml:space="preserve"> of alternative</w:t>
      </w:r>
      <w:r w:rsidR="0098559A" w:rsidRPr="00914F51">
        <w:rPr>
          <w:rFonts w:asciiTheme="minorHAnsi" w:hAnsiTheme="minorHAnsi"/>
        </w:rPr>
        <w:t xml:space="preserve"> negotiated arrangements for decision making on </w:t>
      </w:r>
      <w:r w:rsidR="001E29C1" w:rsidRPr="00914F51">
        <w:rPr>
          <w:rFonts w:asciiTheme="minorHAnsi" w:hAnsiTheme="minorHAnsi"/>
        </w:rPr>
        <w:t xml:space="preserve">community land. </w:t>
      </w:r>
      <w:r w:rsidR="00357B35" w:rsidRPr="00914F51">
        <w:rPr>
          <w:rFonts w:asciiTheme="minorHAnsi" w:hAnsiTheme="minorHAnsi"/>
        </w:rPr>
        <w:t xml:space="preserve">In </w:t>
      </w:r>
      <w:r w:rsidR="00604259" w:rsidRPr="00914F51">
        <w:rPr>
          <w:rFonts w:asciiTheme="minorHAnsi" w:hAnsiTheme="minorHAnsi"/>
        </w:rPr>
        <w:t>2010</w:t>
      </w:r>
      <w:r w:rsidR="00A81375">
        <w:rPr>
          <w:rFonts w:asciiTheme="minorHAnsi" w:hAnsiTheme="minorHAnsi"/>
        </w:rPr>
        <w:t>,</w:t>
      </w:r>
      <w:r w:rsidR="00604259" w:rsidRPr="00914F51">
        <w:rPr>
          <w:rFonts w:asciiTheme="minorHAnsi" w:hAnsiTheme="minorHAnsi"/>
        </w:rPr>
        <w:t xml:space="preserve"> the CLC </w:t>
      </w:r>
      <w:r w:rsidR="0098559A" w:rsidRPr="00914F51">
        <w:rPr>
          <w:rFonts w:asciiTheme="minorHAnsi" w:hAnsiTheme="minorHAnsi"/>
        </w:rPr>
        <w:t xml:space="preserve">submitted </w:t>
      </w:r>
      <w:r w:rsidR="00604259" w:rsidRPr="00914F51">
        <w:rPr>
          <w:rFonts w:asciiTheme="minorHAnsi" w:hAnsiTheme="minorHAnsi"/>
        </w:rPr>
        <w:t>an alternative proposal for</w:t>
      </w:r>
      <w:r w:rsidR="00357B35" w:rsidRPr="00914F51">
        <w:rPr>
          <w:rFonts w:asciiTheme="minorHAnsi" w:hAnsiTheme="minorHAnsi"/>
        </w:rPr>
        <w:t xml:space="preserve"> voluntary whole of </w:t>
      </w:r>
      <w:r w:rsidR="00604259" w:rsidRPr="00914F51">
        <w:rPr>
          <w:rFonts w:asciiTheme="minorHAnsi" w:hAnsiTheme="minorHAnsi"/>
        </w:rPr>
        <w:t xml:space="preserve">community leasing </w:t>
      </w:r>
      <w:r w:rsidR="0098559A" w:rsidRPr="00914F51">
        <w:rPr>
          <w:rFonts w:asciiTheme="minorHAnsi" w:hAnsiTheme="minorHAnsi"/>
        </w:rPr>
        <w:t xml:space="preserve">to the Australian Government </w:t>
      </w:r>
      <w:r w:rsidR="00357B35" w:rsidRPr="00914F51">
        <w:rPr>
          <w:rFonts w:asciiTheme="minorHAnsi" w:hAnsiTheme="minorHAnsi"/>
        </w:rPr>
        <w:t>which respond</w:t>
      </w:r>
      <w:r w:rsidR="004C2FBA" w:rsidRPr="00914F51">
        <w:rPr>
          <w:rFonts w:asciiTheme="minorHAnsi" w:hAnsiTheme="minorHAnsi"/>
        </w:rPr>
        <w:t>s</w:t>
      </w:r>
      <w:r w:rsidR="00357B35" w:rsidRPr="00914F51">
        <w:rPr>
          <w:rFonts w:asciiTheme="minorHAnsi" w:hAnsiTheme="minorHAnsi"/>
        </w:rPr>
        <w:t xml:space="preserve"> to th</w:t>
      </w:r>
      <w:r w:rsidR="001E58FE" w:rsidRPr="00914F51">
        <w:rPr>
          <w:rFonts w:asciiTheme="minorHAnsi" w:hAnsiTheme="minorHAnsi"/>
        </w:rPr>
        <w:t>e</w:t>
      </w:r>
      <w:r w:rsidR="004C2FBA" w:rsidRPr="00914F51">
        <w:rPr>
          <w:rFonts w:asciiTheme="minorHAnsi" w:hAnsiTheme="minorHAnsi"/>
        </w:rPr>
        <w:t xml:space="preserve"> need </w:t>
      </w:r>
      <w:r w:rsidR="001E58FE" w:rsidRPr="00914F51">
        <w:rPr>
          <w:rFonts w:asciiTheme="minorHAnsi" w:hAnsiTheme="minorHAnsi"/>
        </w:rPr>
        <w:t xml:space="preserve">for clarification </w:t>
      </w:r>
      <w:r w:rsidR="009074C1" w:rsidRPr="00914F51">
        <w:rPr>
          <w:rFonts w:asciiTheme="minorHAnsi" w:hAnsiTheme="minorHAnsi"/>
        </w:rPr>
        <w:t xml:space="preserve">of </w:t>
      </w:r>
      <w:r w:rsidR="0098559A" w:rsidRPr="00914F51">
        <w:rPr>
          <w:rFonts w:asciiTheme="minorHAnsi" w:hAnsiTheme="minorHAnsi"/>
        </w:rPr>
        <w:t xml:space="preserve">the above issues </w:t>
      </w:r>
      <w:r w:rsidR="004C2FBA" w:rsidRPr="00914F51">
        <w:rPr>
          <w:rFonts w:asciiTheme="minorHAnsi" w:hAnsiTheme="minorHAnsi"/>
        </w:rPr>
        <w:t xml:space="preserve">while also </w:t>
      </w:r>
      <w:r w:rsidR="00357B35" w:rsidRPr="00914F51">
        <w:rPr>
          <w:rFonts w:asciiTheme="minorHAnsi" w:hAnsiTheme="minorHAnsi"/>
        </w:rPr>
        <w:t>deliver</w:t>
      </w:r>
      <w:r w:rsidR="004C2FBA" w:rsidRPr="00914F51">
        <w:rPr>
          <w:rFonts w:asciiTheme="minorHAnsi" w:hAnsiTheme="minorHAnsi"/>
        </w:rPr>
        <w:t xml:space="preserve">ing </w:t>
      </w:r>
      <w:r w:rsidR="00357B35" w:rsidRPr="00914F51">
        <w:rPr>
          <w:rFonts w:asciiTheme="minorHAnsi" w:hAnsiTheme="minorHAnsi"/>
        </w:rPr>
        <w:t xml:space="preserve">other </w:t>
      </w:r>
      <w:r w:rsidR="001E58FE" w:rsidRPr="00914F51">
        <w:rPr>
          <w:rFonts w:asciiTheme="minorHAnsi" w:hAnsiTheme="minorHAnsi"/>
        </w:rPr>
        <w:t xml:space="preserve">land use </w:t>
      </w:r>
      <w:r w:rsidR="004C2FBA" w:rsidRPr="00914F51">
        <w:rPr>
          <w:rFonts w:asciiTheme="minorHAnsi" w:hAnsiTheme="minorHAnsi"/>
        </w:rPr>
        <w:lastRenderedPageBreak/>
        <w:t>e</w:t>
      </w:r>
      <w:r w:rsidR="00357B35" w:rsidRPr="00914F51">
        <w:rPr>
          <w:rFonts w:asciiTheme="minorHAnsi" w:hAnsiTheme="minorHAnsi"/>
        </w:rPr>
        <w:t>fficiencies</w:t>
      </w:r>
      <w:r w:rsidR="00604259" w:rsidRPr="00914F51">
        <w:rPr>
          <w:rFonts w:asciiTheme="minorHAnsi" w:hAnsiTheme="minorHAnsi"/>
        </w:rPr>
        <w:t>.</w:t>
      </w:r>
      <w:r w:rsidR="00B764D9" w:rsidRPr="00914F51">
        <w:rPr>
          <w:rStyle w:val="FootnoteReference"/>
          <w:rFonts w:asciiTheme="minorHAnsi" w:hAnsiTheme="minorHAnsi"/>
        </w:rPr>
        <w:footnoteReference w:id="45"/>
      </w:r>
      <w:r w:rsidR="00604259" w:rsidRPr="00914F51">
        <w:rPr>
          <w:rFonts w:asciiTheme="minorHAnsi" w:hAnsiTheme="minorHAnsi"/>
        </w:rPr>
        <w:t xml:space="preserve"> </w:t>
      </w:r>
      <w:r w:rsidR="00BC4DD1" w:rsidRPr="00914F51">
        <w:rPr>
          <w:rFonts w:asciiTheme="minorHAnsi" w:hAnsiTheme="minorHAnsi"/>
        </w:rPr>
        <w:t>It should be noted tha</w:t>
      </w:r>
      <w:r w:rsidR="0092329B" w:rsidRPr="00914F51">
        <w:rPr>
          <w:rFonts w:asciiTheme="minorHAnsi" w:hAnsiTheme="minorHAnsi"/>
        </w:rPr>
        <w:t>t</w:t>
      </w:r>
      <w:r w:rsidR="00BC4DD1" w:rsidRPr="00914F51">
        <w:rPr>
          <w:rFonts w:asciiTheme="minorHAnsi" w:hAnsiTheme="minorHAnsi"/>
        </w:rPr>
        <w:t xml:space="preserve"> the proposal is premised on the strong view that the ALRA scheme works very well in recognising and giving legal effect to traditional Aboriginal ownership and decision making on Aboriginal land generally. It is directed toward the very small proportion of Aboriginal land comprising larger Aboriginal communities. </w:t>
      </w:r>
      <w:r w:rsidR="00604259" w:rsidRPr="00914F51">
        <w:rPr>
          <w:rFonts w:asciiTheme="minorHAnsi" w:hAnsiTheme="minorHAnsi"/>
        </w:rPr>
        <w:t>Key features of the proposal are as follows:</w:t>
      </w:r>
    </w:p>
    <w:p w:rsidR="00604259" w:rsidRPr="00914F51" w:rsidRDefault="001C11E3" w:rsidP="00EA6F6C">
      <w:pPr>
        <w:numPr>
          <w:ilvl w:val="0"/>
          <w:numId w:val="8"/>
        </w:numPr>
        <w:tabs>
          <w:tab w:val="left" w:pos="426"/>
        </w:tabs>
        <w:spacing w:line="276" w:lineRule="auto"/>
        <w:ind w:left="426" w:hanging="426"/>
        <w:rPr>
          <w:rFonts w:asciiTheme="minorHAnsi" w:hAnsiTheme="minorHAnsi"/>
        </w:rPr>
      </w:pPr>
      <w:r>
        <w:rPr>
          <w:rFonts w:asciiTheme="minorHAnsi" w:hAnsiTheme="minorHAnsi"/>
          <w:noProof/>
        </w:rPr>
        <w:t>A</w:t>
      </w:r>
      <w:r w:rsidR="00604259" w:rsidRPr="00914F51">
        <w:rPr>
          <w:rFonts w:asciiTheme="minorHAnsi" w:hAnsiTheme="minorHAnsi"/>
        </w:rPr>
        <w:t xml:space="preserve"> community land corporation</w:t>
      </w:r>
      <w:r>
        <w:rPr>
          <w:rFonts w:asciiTheme="minorHAnsi" w:hAnsiTheme="minorHAnsi"/>
        </w:rPr>
        <w:t xml:space="preserve"> </w:t>
      </w:r>
      <w:r w:rsidR="00A81375">
        <w:rPr>
          <w:rFonts w:asciiTheme="minorHAnsi" w:hAnsiTheme="minorHAnsi"/>
        </w:rPr>
        <w:t>is</w:t>
      </w:r>
      <w:r>
        <w:rPr>
          <w:rFonts w:asciiTheme="minorHAnsi" w:hAnsiTheme="minorHAnsi"/>
        </w:rPr>
        <w:t xml:space="preserve"> established</w:t>
      </w:r>
      <w:r w:rsidR="00604259" w:rsidRPr="00914F51">
        <w:rPr>
          <w:rFonts w:asciiTheme="minorHAnsi" w:hAnsiTheme="minorHAnsi"/>
        </w:rPr>
        <w:t xml:space="preserve"> for the purpose of holding leasehold title to the land w</w:t>
      </w:r>
      <w:r w:rsidR="00FF2A5A" w:rsidRPr="00914F51">
        <w:rPr>
          <w:rFonts w:asciiTheme="minorHAnsi" w:hAnsiTheme="minorHAnsi"/>
        </w:rPr>
        <w:t>ithin the community boundaries.</w:t>
      </w:r>
      <w:r w:rsidR="00FF2A5A" w:rsidRPr="00914F51">
        <w:rPr>
          <w:rStyle w:val="FootnoteReference"/>
          <w:rFonts w:asciiTheme="minorHAnsi" w:hAnsiTheme="minorHAnsi"/>
        </w:rPr>
        <w:footnoteReference w:id="46"/>
      </w:r>
    </w:p>
    <w:p w:rsidR="001C11E3" w:rsidRDefault="00604259" w:rsidP="00EA6F6C">
      <w:pPr>
        <w:numPr>
          <w:ilvl w:val="0"/>
          <w:numId w:val="8"/>
        </w:numPr>
        <w:tabs>
          <w:tab w:val="left" w:pos="426"/>
        </w:tabs>
        <w:spacing w:line="276" w:lineRule="auto"/>
        <w:ind w:left="426" w:hanging="426"/>
        <w:rPr>
          <w:rFonts w:asciiTheme="minorHAnsi" w:hAnsiTheme="minorHAnsi"/>
        </w:rPr>
      </w:pPr>
      <w:r w:rsidRPr="00914F51">
        <w:rPr>
          <w:rFonts w:asciiTheme="minorHAnsi" w:hAnsiTheme="minorHAnsi"/>
        </w:rPr>
        <w:t>The relevant Land Council would provide administrative and legal support in relation to a range of land use matters such as sub</w:t>
      </w:r>
      <w:r w:rsidR="00DA6013" w:rsidRPr="00914F51">
        <w:rPr>
          <w:rFonts w:asciiTheme="minorHAnsi" w:hAnsiTheme="minorHAnsi"/>
        </w:rPr>
        <w:t>-</w:t>
      </w:r>
      <w:r w:rsidRPr="00914F51">
        <w:rPr>
          <w:rFonts w:asciiTheme="minorHAnsi" w:hAnsiTheme="minorHAnsi"/>
        </w:rPr>
        <w:t xml:space="preserve">leasing, licensing </w:t>
      </w:r>
      <w:r w:rsidR="004C2FBA" w:rsidRPr="00914F51">
        <w:rPr>
          <w:rFonts w:asciiTheme="minorHAnsi" w:hAnsiTheme="minorHAnsi"/>
        </w:rPr>
        <w:t xml:space="preserve">and </w:t>
      </w:r>
      <w:r w:rsidRPr="00914F51">
        <w:rPr>
          <w:rFonts w:asciiTheme="minorHAnsi" w:hAnsiTheme="minorHAnsi"/>
        </w:rPr>
        <w:t>the granting of permissions.</w:t>
      </w:r>
    </w:p>
    <w:p w:rsidR="00604259" w:rsidRPr="001C11E3" w:rsidRDefault="00604259" w:rsidP="00EA6F6C">
      <w:pPr>
        <w:numPr>
          <w:ilvl w:val="0"/>
          <w:numId w:val="8"/>
        </w:numPr>
        <w:tabs>
          <w:tab w:val="left" w:pos="426"/>
        </w:tabs>
        <w:spacing w:line="276" w:lineRule="auto"/>
        <w:ind w:left="426" w:hanging="426"/>
        <w:rPr>
          <w:rFonts w:asciiTheme="minorHAnsi" w:hAnsiTheme="minorHAnsi"/>
        </w:rPr>
      </w:pPr>
      <w:r w:rsidRPr="001C11E3">
        <w:rPr>
          <w:rFonts w:asciiTheme="minorHAnsi" w:hAnsiTheme="minorHAnsi"/>
        </w:rPr>
        <w:t xml:space="preserve">The </w:t>
      </w:r>
      <w:r w:rsidR="001C11E3">
        <w:rPr>
          <w:rFonts w:asciiTheme="minorHAnsi" w:hAnsiTheme="minorHAnsi"/>
        </w:rPr>
        <w:t>community land corporation holding the</w:t>
      </w:r>
      <w:r w:rsidRPr="001C11E3">
        <w:rPr>
          <w:rFonts w:asciiTheme="minorHAnsi" w:hAnsiTheme="minorHAnsi"/>
        </w:rPr>
        <w:t xml:space="preserve"> community lease would be a decision-making body comprising Aboriginal </w:t>
      </w:r>
      <w:r w:rsidRPr="00EA4971">
        <w:rPr>
          <w:rFonts w:asciiTheme="minorHAnsi" w:hAnsiTheme="minorHAnsi"/>
        </w:rPr>
        <w:t>residents</w:t>
      </w:r>
      <w:r w:rsidR="00EA4971" w:rsidRPr="00EA4971">
        <w:rPr>
          <w:rFonts w:asciiTheme="minorHAnsi" w:hAnsiTheme="minorHAnsi"/>
        </w:rPr>
        <w:t xml:space="preserve"> and</w:t>
      </w:r>
      <w:r w:rsidR="00EA4971">
        <w:rPr>
          <w:rFonts w:asciiTheme="minorHAnsi" w:hAnsiTheme="minorHAnsi"/>
          <w:i/>
        </w:rPr>
        <w:t xml:space="preserve"> </w:t>
      </w:r>
      <w:r w:rsidR="00EA4971">
        <w:rPr>
          <w:rFonts w:asciiTheme="minorHAnsi" w:hAnsiTheme="minorHAnsi"/>
        </w:rPr>
        <w:t>traditional owners.</w:t>
      </w:r>
    </w:p>
    <w:p w:rsidR="00604259" w:rsidRPr="00914F51" w:rsidRDefault="00604259" w:rsidP="00EA6F6C">
      <w:pPr>
        <w:spacing w:line="276" w:lineRule="auto"/>
        <w:rPr>
          <w:rFonts w:asciiTheme="minorHAnsi" w:hAnsiTheme="minorHAnsi"/>
        </w:rPr>
      </w:pPr>
    </w:p>
    <w:p w:rsidR="00FF2A5A" w:rsidRPr="00914F51" w:rsidRDefault="00604259" w:rsidP="00EA6F6C">
      <w:pPr>
        <w:spacing w:line="276" w:lineRule="auto"/>
        <w:rPr>
          <w:rFonts w:asciiTheme="minorHAnsi" w:hAnsiTheme="minorHAnsi"/>
        </w:rPr>
      </w:pPr>
      <w:r w:rsidRPr="00914F51">
        <w:rPr>
          <w:rFonts w:asciiTheme="minorHAnsi" w:hAnsiTheme="minorHAnsi"/>
        </w:rPr>
        <w:t xml:space="preserve">The ongoing administrative and legal support </w:t>
      </w:r>
      <w:r w:rsidR="00357B35" w:rsidRPr="00914F51">
        <w:rPr>
          <w:rFonts w:asciiTheme="minorHAnsi" w:hAnsiTheme="minorHAnsi"/>
        </w:rPr>
        <w:t xml:space="preserve">the Land Council </w:t>
      </w:r>
      <w:r w:rsidR="003C0607" w:rsidRPr="00914F51">
        <w:rPr>
          <w:rFonts w:asciiTheme="minorHAnsi" w:hAnsiTheme="minorHAnsi"/>
        </w:rPr>
        <w:t xml:space="preserve">provided </w:t>
      </w:r>
      <w:r w:rsidRPr="00914F51">
        <w:rPr>
          <w:rFonts w:asciiTheme="minorHAnsi" w:hAnsiTheme="minorHAnsi"/>
        </w:rPr>
        <w:t>the corporation</w:t>
      </w:r>
      <w:r w:rsidR="00357B35" w:rsidRPr="00914F51">
        <w:rPr>
          <w:rFonts w:asciiTheme="minorHAnsi" w:hAnsiTheme="minorHAnsi"/>
        </w:rPr>
        <w:t xml:space="preserve"> would </w:t>
      </w:r>
      <w:r w:rsidRPr="00914F51">
        <w:rPr>
          <w:rFonts w:asciiTheme="minorHAnsi" w:hAnsiTheme="minorHAnsi"/>
        </w:rPr>
        <w:t>be entrenched in both the head lease and rules of the community land corporation.</w:t>
      </w:r>
      <w:r w:rsidR="004C2FBA" w:rsidRPr="00914F51">
        <w:rPr>
          <w:rFonts w:asciiTheme="minorHAnsi" w:hAnsiTheme="minorHAnsi"/>
        </w:rPr>
        <w:t xml:space="preserve"> </w:t>
      </w:r>
      <w:r w:rsidRPr="00914F51">
        <w:rPr>
          <w:rFonts w:asciiTheme="minorHAnsi" w:hAnsiTheme="minorHAnsi"/>
        </w:rPr>
        <w:t>Th</w:t>
      </w:r>
      <w:r w:rsidR="004C2FBA" w:rsidRPr="00914F51">
        <w:rPr>
          <w:rFonts w:asciiTheme="minorHAnsi" w:hAnsiTheme="minorHAnsi"/>
        </w:rPr>
        <w:t>e</w:t>
      </w:r>
      <w:r w:rsidRPr="00914F51">
        <w:rPr>
          <w:rFonts w:asciiTheme="minorHAnsi" w:hAnsiTheme="minorHAnsi"/>
        </w:rPr>
        <w:t xml:space="preserve"> model provides a delegated </w:t>
      </w:r>
      <w:r w:rsidR="009074C1" w:rsidRPr="00914F51">
        <w:rPr>
          <w:rFonts w:asciiTheme="minorHAnsi" w:hAnsiTheme="minorHAnsi"/>
        </w:rPr>
        <w:t xml:space="preserve">and </w:t>
      </w:r>
      <w:r w:rsidR="001E58FE" w:rsidRPr="00914F51">
        <w:rPr>
          <w:rFonts w:asciiTheme="minorHAnsi" w:hAnsiTheme="minorHAnsi"/>
        </w:rPr>
        <w:t xml:space="preserve">expedited </w:t>
      </w:r>
      <w:r w:rsidRPr="00914F51">
        <w:rPr>
          <w:rFonts w:asciiTheme="minorHAnsi" w:hAnsiTheme="minorHAnsi"/>
        </w:rPr>
        <w:t>process for the formalisation or creation of individual leasehold interests</w:t>
      </w:r>
      <w:r w:rsidR="001E58FE" w:rsidRPr="00914F51">
        <w:rPr>
          <w:rFonts w:asciiTheme="minorHAnsi" w:hAnsiTheme="minorHAnsi"/>
        </w:rPr>
        <w:t xml:space="preserve"> by shifting decision making from a</w:t>
      </w:r>
      <w:r w:rsidR="009100F3" w:rsidRPr="00914F51">
        <w:rPr>
          <w:rFonts w:asciiTheme="minorHAnsi" w:hAnsiTheme="minorHAnsi"/>
        </w:rPr>
        <w:t>n often</w:t>
      </w:r>
      <w:r w:rsidR="003C0607" w:rsidRPr="00914F51">
        <w:rPr>
          <w:rFonts w:asciiTheme="minorHAnsi" w:hAnsiTheme="minorHAnsi"/>
        </w:rPr>
        <w:t xml:space="preserve"> </w:t>
      </w:r>
      <w:r w:rsidR="001E58FE" w:rsidRPr="00914F51">
        <w:rPr>
          <w:rFonts w:asciiTheme="minorHAnsi" w:hAnsiTheme="minorHAnsi"/>
        </w:rPr>
        <w:t>dispersed group of traditional owners t</w:t>
      </w:r>
      <w:r w:rsidR="00D201A3">
        <w:rPr>
          <w:rFonts w:asciiTheme="minorHAnsi" w:hAnsiTheme="minorHAnsi"/>
        </w:rPr>
        <w:t xml:space="preserve">o an Aboriginal community corporation comprising a specified number of residents and traditional owners. </w:t>
      </w:r>
      <w:r w:rsidRPr="00914F51">
        <w:rPr>
          <w:rFonts w:asciiTheme="minorHAnsi" w:hAnsiTheme="minorHAnsi"/>
        </w:rPr>
        <w:t xml:space="preserve"> </w:t>
      </w:r>
      <w:r w:rsidR="001E58FE" w:rsidRPr="00914F51">
        <w:rPr>
          <w:rFonts w:asciiTheme="minorHAnsi" w:hAnsiTheme="minorHAnsi"/>
        </w:rPr>
        <w:t>Co</w:t>
      </w:r>
      <w:r w:rsidR="00EA4971">
        <w:rPr>
          <w:rFonts w:asciiTheme="minorHAnsi" w:hAnsiTheme="minorHAnsi"/>
        </w:rPr>
        <w:t>ntrary to the section 19A model whereby township le</w:t>
      </w:r>
      <w:r w:rsidR="00D201A3">
        <w:rPr>
          <w:rFonts w:asciiTheme="minorHAnsi" w:hAnsiTheme="minorHAnsi"/>
        </w:rPr>
        <w:t>ases are held by the Executive Director of T</w:t>
      </w:r>
      <w:r w:rsidR="00EA4971">
        <w:rPr>
          <w:rFonts w:asciiTheme="minorHAnsi" w:hAnsiTheme="minorHAnsi"/>
        </w:rPr>
        <w:t>ownship Leasing,</w:t>
      </w:r>
      <w:r w:rsidR="001E58FE" w:rsidRPr="00914F51">
        <w:rPr>
          <w:rFonts w:asciiTheme="minorHAnsi" w:hAnsiTheme="minorHAnsi"/>
        </w:rPr>
        <w:t xml:space="preserve"> it</w:t>
      </w:r>
      <w:r w:rsidR="004C2FBA" w:rsidRPr="00914F51">
        <w:rPr>
          <w:rFonts w:asciiTheme="minorHAnsi" w:hAnsiTheme="minorHAnsi"/>
        </w:rPr>
        <w:t xml:space="preserve"> would a</w:t>
      </w:r>
      <w:r w:rsidRPr="00914F51">
        <w:rPr>
          <w:rFonts w:asciiTheme="minorHAnsi" w:hAnsiTheme="minorHAnsi"/>
        </w:rPr>
        <w:t xml:space="preserve">chieve this while retaining maximum Aboriginal control over the future development of communities, and </w:t>
      </w:r>
      <w:r w:rsidR="009100F3" w:rsidRPr="00914F51">
        <w:rPr>
          <w:rFonts w:asciiTheme="minorHAnsi" w:hAnsiTheme="minorHAnsi"/>
        </w:rPr>
        <w:t xml:space="preserve">would </w:t>
      </w:r>
      <w:r w:rsidRPr="00914F51">
        <w:rPr>
          <w:rFonts w:asciiTheme="minorHAnsi" w:hAnsiTheme="minorHAnsi"/>
        </w:rPr>
        <w:t>ensur</w:t>
      </w:r>
      <w:r w:rsidR="009100F3" w:rsidRPr="00914F51">
        <w:rPr>
          <w:rFonts w:asciiTheme="minorHAnsi" w:hAnsiTheme="minorHAnsi"/>
        </w:rPr>
        <w:t>e</w:t>
      </w:r>
      <w:r w:rsidRPr="00914F51">
        <w:rPr>
          <w:rFonts w:asciiTheme="minorHAnsi" w:hAnsiTheme="minorHAnsi"/>
        </w:rPr>
        <w:t xml:space="preserve"> that </w:t>
      </w:r>
      <w:r w:rsidR="00B764D9" w:rsidRPr="00914F51">
        <w:rPr>
          <w:rFonts w:asciiTheme="minorHAnsi" w:hAnsiTheme="minorHAnsi"/>
        </w:rPr>
        <w:t xml:space="preserve">both </w:t>
      </w:r>
      <w:r w:rsidRPr="00914F51">
        <w:rPr>
          <w:rFonts w:asciiTheme="minorHAnsi" w:hAnsiTheme="minorHAnsi"/>
        </w:rPr>
        <w:t>traditional owners and community residents benefit from land reform.</w:t>
      </w:r>
      <w:r w:rsidR="00357B35" w:rsidRPr="00914F51">
        <w:rPr>
          <w:rFonts w:asciiTheme="minorHAnsi" w:hAnsiTheme="minorHAnsi"/>
        </w:rPr>
        <w:t xml:space="preserve"> </w:t>
      </w:r>
      <w:r w:rsidR="00FF2A5A" w:rsidRPr="00914F51">
        <w:rPr>
          <w:rFonts w:asciiTheme="minorHAnsi" w:hAnsiTheme="minorHAnsi"/>
        </w:rPr>
        <w:t>The ongoing role of the relevant Land Council in supporting the community land corporations would provide land</w:t>
      </w:r>
      <w:r w:rsidR="00DA6013" w:rsidRPr="00914F51">
        <w:rPr>
          <w:rFonts w:asciiTheme="minorHAnsi" w:hAnsiTheme="minorHAnsi"/>
        </w:rPr>
        <w:t xml:space="preserve"> </w:t>
      </w:r>
      <w:r w:rsidR="00FF2A5A" w:rsidRPr="00914F51">
        <w:rPr>
          <w:rFonts w:asciiTheme="minorHAnsi" w:hAnsiTheme="minorHAnsi"/>
        </w:rPr>
        <w:t>users with certainty with respect to the processing of land-use applications.</w:t>
      </w:r>
    </w:p>
    <w:p w:rsidR="00FF2A5A" w:rsidRPr="00914F51" w:rsidRDefault="00FF2A5A" w:rsidP="00EA6F6C">
      <w:pPr>
        <w:spacing w:line="276" w:lineRule="auto"/>
        <w:rPr>
          <w:rFonts w:asciiTheme="minorHAnsi" w:hAnsiTheme="minorHAnsi"/>
        </w:rPr>
      </w:pPr>
    </w:p>
    <w:p w:rsidR="00604259" w:rsidRDefault="00357B35" w:rsidP="00EA6F6C">
      <w:pPr>
        <w:spacing w:line="276" w:lineRule="auto"/>
        <w:rPr>
          <w:rFonts w:asciiTheme="minorHAnsi" w:hAnsiTheme="minorHAnsi"/>
        </w:rPr>
      </w:pPr>
      <w:r w:rsidRPr="00914F51">
        <w:rPr>
          <w:rFonts w:asciiTheme="minorHAnsi" w:hAnsiTheme="minorHAnsi"/>
        </w:rPr>
        <w:t>The implementation of such a model w</w:t>
      </w:r>
      <w:r w:rsidR="004C2FBA" w:rsidRPr="00914F51">
        <w:rPr>
          <w:rFonts w:asciiTheme="minorHAnsi" w:hAnsiTheme="minorHAnsi"/>
        </w:rPr>
        <w:t>ould</w:t>
      </w:r>
      <w:r w:rsidRPr="00914F51">
        <w:rPr>
          <w:rFonts w:asciiTheme="minorHAnsi" w:hAnsiTheme="minorHAnsi"/>
        </w:rPr>
        <w:t xml:space="preserve"> </w:t>
      </w:r>
      <w:r w:rsidR="00604259" w:rsidRPr="00914F51">
        <w:rPr>
          <w:rFonts w:asciiTheme="minorHAnsi" w:hAnsiTheme="minorHAnsi"/>
        </w:rPr>
        <w:t>require a detailed negotiated settlement between traditional owners and community residents and the free prior and informed consent of traditional owners in accordance with the ALRA.</w:t>
      </w:r>
      <w:r w:rsidR="00FF2A5A" w:rsidRPr="00914F51">
        <w:rPr>
          <w:rFonts w:asciiTheme="minorHAnsi" w:hAnsiTheme="minorHAnsi"/>
        </w:rPr>
        <w:t xml:space="preserve"> </w:t>
      </w:r>
      <w:r w:rsidR="00EA4971">
        <w:rPr>
          <w:rFonts w:asciiTheme="minorHAnsi" w:hAnsiTheme="minorHAnsi"/>
        </w:rPr>
        <w:t>Such a model is not</w:t>
      </w:r>
      <w:r w:rsidR="005C42DE" w:rsidRPr="00914F51">
        <w:rPr>
          <w:rFonts w:asciiTheme="minorHAnsi" w:hAnsiTheme="minorHAnsi"/>
        </w:rPr>
        <w:t xml:space="preserve"> necessary or desirable for all communities but </w:t>
      </w:r>
      <w:r w:rsidR="009100F3" w:rsidRPr="00914F51">
        <w:rPr>
          <w:rFonts w:asciiTheme="minorHAnsi" w:hAnsiTheme="minorHAnsi"/>
        </w:rPr>
        <w:t>could</w:t>
      </w:r>
      <w:r w:rsidR="00FF2A5A" w:rsidRPr="00914F51">
        <w:rPr>
          <w:rFonts w:asciiTheme="minorHAnsi" w:hAnsiTheme="minorHAnsi"/>
        </w:rPr>
        <w:t xml:space="preserve"> provide an important opportunity to address </w:t>
      </w:r>
      <w:r w:rsidR="009100F3" w:rsidRPr="00914F51">
        <w:rPr>
          <w:rFonts w:asciiTheme="minorHAnsi" w:hAnsiTheme="minorHAnsi"/>
        </w:rPr>
        <w:t xml:space="preserve">the </w:t>
      </w:r>
      <w:r w:rsidR="00FF2A5A" w:rsidRPr="00914F51">
        <w:rPr>
          <w:rFonts w:asciiTheme="minorHAnsi" w:hAnsiTheme="minorHAnsi"/>
        </w:rPr>
        <w:t xml:space="preserve">issues raised </w:t>
      </w:r>
      <w:r w:rsidR="009100F3" w:rsidRPr="00914F51">
        <w:rPr>
          <w:rFonts w:asciiTheme="minorHAnsi" w:hAnsiTheme="minorHAnsi"/>
        </w:rPr>
        <w:t xml:space="preserve">above while also providing a mechanism for responding to the </w:t>
      </w:r>
      <w:r w:rsidR="002550F0" w:rsidRPr="00914F51">
        <w:rPr>
          <w:rFonts w:asciiTheme="minorHAnsi" w:hAnsiTheme="minorHAnsi"/>
        </w:rPr>
        <w:t>‘</w:t>
      </w:r>
      <w:r w:rsidR="00FF2A5A" w:rsidRPr="00914F51">
        <w:rPr>
          <w:rFonts w:asciiTheme="minorHAnsi" w:hAnsiTheme="minorHAnsi"/>
        </w:rPr>
        <w:t>str</w:t>
      </w:r>
      <w:r w:rsidR="002550F0" w:rsidRPr="00914F51">
        <w:rPr>
          <w:rFonts w:asciiTheme="minorHAnsi" w:hAnsiTheme="minorHAnsi"/>
        </w:rPr>
        <w:t>ess</w:t>
      </w:r>
      <w:r w:rsidR="00FF2A5A" w:rsidRPr="00914F51">
        <w:rPr>
          <w:rFonts w:asciiTheme="minorHAnsi" w:hAnsiTheme="minorHAnsi"/>
        </w:rPr>
        <w:t xml:space="preserve"> on traditional decision making </w:t>
      </w:r>
      <w:r w:rsidR="002550F0" w:rsidRPr="00914F51">
        <w:rPr>
          <w:rFonts w:asciiTheme="minorHAnsi" w:hAnsiTheme="minorHAnsi"/>
        </w:rPr>
        <w:t xml:space="preserve">processes </w:t>
      </w:r>
      <w:r w:rsidR="00FF2A5A" w:rsidRPr="00914F51">
        <w:rPr>
          <w:rFonts w:asciiTheme="minorHAnsi" w:hAnsiTheme="minorHAnsi"/>
        </w:rPr>
        <w:t xml:space="preserve">that community </w:t>
      </w:r>
      <w:r w:rsidR="002550F0" w:rsidRPr="00914F51">
        <w:rPr>
          <w:rFonts w:asciiTheme="minorHAnsi" w:hAnsiTheme="minorHAnsi"/>
        </w:rPr>
        <w:t xml:space="preserve">issues, such as planning, </w:t>
      </w:r>
      <w:r w:rsidR="00FF2A5A" w:rsidRPr="00914F51">
        <w:rPr>
          <w:rFonts w:asciiTheme="minorHAnsi" w:hAnsiTheme="minorHAnsi"/>
        </w:rPr>
        <w:t xml:space="preserve">can </w:t>
      </w:r>
      <w:r w:rsidR="005C42DE" w:rsidRPr="00914F51">
        <w:rPr>
          <w:rFonts w:asciiTheme="minorHAnsi" w:hAnsiTheme="minorHAnsi"/>
        </w:rPr>
        <w:t>cause</w:t>
      </w:r>
      <w:r w:rsidR="002550F0" w:rsidRPr="00914F51">
        <w:rPr>
          <w:rFonts w:asciiTheme="minorHAnsi" w:hAnsiTheme="minorHAnsi"/>
        </w:rPr>
        <w:t>.</w:t>
      </w:r>
      <w:r w:rsidR="009100F3" w:rsidRPr="00914F51">
        <w:rPr>
          <w:rFonts w:asciiTheme="minorHAnsi" w:hAnsiTheme="minorHAnsi"/>
        </w:rPr>
        <w:t>’</w:t>
      </w:r>
      <w:r w:rsidR="002550F0" w:rsidRPr="009A1A69">
        <w:rPr>
          <w:rStyle w:val="FootnoteReference"/>
          <w:rFonts w:asciiTheme="minorHAnsi" w:hAnsiTheme="minorHAnsi"/>
        </w:rPr>
        <w:footnoteReference w:id="47"/>
      </w:r>
      <w:r w:rsidR="00604259" w:rsidRPr="009A1A69">
        <w:rPr>
          <w:rFonts w:asciiTheme="minorHAnsi" w:hAnsiTheme="minorHAnsi"/>
        </w:rPr>
        <w:t xml:space="preserve"> </w:t>
      </w:r>
    </w:p>
    <w:p w:rsidR="00661586" w:rsidRDefault="00661586" w:rsidP="00EA6F6C">
      <w:pPr>
        <w:spacing w:line="276" w:lineRule="auto"/>
        <w:rPr>
          <w:rFonts w:asciiTheme="minorHAnsi" w:hAnsiTheme="minorHAnsi"/>
        </w:rPr>
      </w:pPr>
    </w:p>
    <w:p w:rsidR="00EA4971" w:rsidRDefault="00EA4971" w:rsidP="00EA6F6C">
      <w:pPr>
        <w:spacing w:line="276" w:lineRule="auto"/>
        <w:rPr>
          <w:rFonts w:asciiTheme="minorHAnsi" w:hAnsiTheme="minorHAnsi"/>
        </w:rPr>
      </w:pPr>
      <w:r>
        <w:rPr>
          <w:rFonts w:asciiTheme="minorHAnsi" w:hAnsiTheme="minorHAnsi"/>
        </w:rPr>
        <w:t xml:space="preserve">A variation on this proposed model is being considered for Mutitjulu, a small community situated within Uluru-KataTjuta National Park.  The current Minister for Indigenous Affairs, </w:t>
      </w:r>
      <w:r>
        <w:rPr>
          <w:rFonts w:asciiTheme="minorHAnsi" w:hAnsiTheme="minorHAnsi"/>
        </w:rPr>
        <w:lastRenderedPageBreak/>
        <w:t>and departmental officials, have signalled an interest in pursuing an alternative to township leasing to the EDTL, and this progress is acknowledged and welcome.</w:t>
      </w:r>
    </w:p>
    <w:p w:rsidR="001B2A5C" w:rsidRDefault="001B2A5C" w:rsidP="00EA6F6C">
      <w:pPr>
        <w:spacing w:line="276" w:lineRule="auto"/>
        <w:rPr>
          <w:rFonts w:asciiTheme="minorHAnsi" w:hAnsiTheme="minorHAnsi"/>
        </w:rPr>
      </w:pPr>
    </w:p>
    <w:p w:rsidR="001B2A5C" w:rsidRPr="001B2A5C" w:rsidRDefault="001B2A5C" w:rsidP="00EA6F6C">
      <w:pPr>
        <w:spacing w:line="276" w:lineRule="auto"/>
        <w:rPr>
          <w:rFonts w:asciiTheme="minorHAnsi" w:hAnsiTheme="minorHAnsi"/>
          <w:b/>
        </w:rPr>
      </w:pPr>
      <w:r w:rsidRPr="00BB770E">
        <w:rPr>
          <w:rFonts w:asciiTheme="minorHAnsi" w:hAnsiTheme="minorHAnsi"/>
          <w:b/>
        </w:rPr>
        <w:t>Recommendation</w:t>
      </w:r>
      <w:r w:rsidR="007650B2">
        <w:rPr>
          <w:rFonts w:asciiTheme="minorHAnsi" w:hAnsiTheme="minorHAnsi"/>
          <w:b/>
        </w:rPr>
        <w:t xml:space="preserve"> 11</w:t>
      </w:r>
      <w:r w:rsidRPr="001B2A5C">
        <w:rPr>
          <w:rFonts w:asciiTheme="minorHAnsi" w:hAnsiTheme="minorHAnsi"/>
          <w:b/>
        </w:rPr>
        <w:t>.  That the Australian Government recognise that s.19A township leasing to an arm of government (EDTL) is not the preferred approach to tenure reform in central Australia, and work cooperatively with Aboriginal land owners to progress an alternative model whereby a whole of community lease may be held by an Aboriginal community corporation.</w:t>
      </w:r>
    </w:p>
    <w:p w:rsidR="001B2A5C" w:rsidRPr="001B2A5C" w:rsidRDefault="001B2A5C" w:rsidP="00EA6F6C">
      <w:pPr>
        <w:spacing w:line="276" w:lineRule="auto"/>
        <w:rPr>
          <w:rFonts w:asciiTheme="minorHAnsi" w:hAnsiTheme="minorHAnsi"/>
          <w:b/>
        </w:rPr>
      </w:pPr>
    </w:p>
    <w:p w:rsidR="001B2A5C" w:rsidRPr="001B2A5C" w:rsidRDefault="007650B2" w:rsidP="00EA6F6C">
      <w:pPr>
        <w:spacing w:line="276" w:lineRule="auto"/>
        <w:rPr>
          <w:rFonts w:asciiTheme="minorHAnsi" w:hAnsiTheme="minorHAnsi"/>
          <w:b/>
        </w:rPr>
      </w:pPr>
      <w:r>
        <w:rPr>
          <w:rFonts w:asciiTheme="minorHAnsi" w:hAnsiTheme="minorHAnsi"/>
          <w:b/>
        </w:rPr>
        <w:t>Recommendation 12</w:t>
      </w:r>
      <w:r w:rsidR="001B2A5C" w:rsidRPr="001B2A5C">
        <w:rPr>
          <w:rFonts w:asciiTheme="minorHAnsi" w:hAnsiTheme="minorHAnsi"/>
          <w:b/>
        </w:rPr>
        <w:t>. That the Australian Government review the incentives currently offered to communities and traditional owners encouraging consent to a township lease to the EDTL, and ensure these are applied equitably to an alternative community corporation model.  This should include legislative exemptions an</w:t>
      </w:r>
      <w:r w:rsidR="004B48F3">
        <w:rPr>
          <w:rFonts w:asciiTheme="minorHAnsi" w:hAnsiTheme="minorHAnsi"/>
          <w:b/>
        </w:rPr>
        <w:t>d</w:t>
      </w:r>
      <w:r w:rsidR="001B2A5C" w:rsidRPr="001B2A5C">
        <w:rPr>
          <w:rFonts w:asciiTheme="minorHAnsi" w:hAnsiTheme="minorHAnsi"/>
          <w:b/>
        </w:rPr>
        <w:t xml:space="preserve"> financial incentives.</w:t>
      </w:r>
    </w:p>
    <w:p w:rsidR="003D6796" w:rsidRDefault="003D6796" w:rsidP="00EA6F6C">
      <w:pPr>
        <w:spacing w:line="276" w:lineRule="auto"/>
        <w:rPr>
          <w:rFonts w:asciiTheme="minorHAnsi" w:hAnsiTheme="minorHAnsi"/>
        </w:rPr>
      </w:pPr>
    </w:p>
    <w:p w:rsidR="00661586" w:rsidRPr="009248BD" w:rsidRDefault="00751692" w:rsidP="00EA6F6C">
      <w:pPr>
        <w:pStyle w:val="Heading1"/>
        <w:numPr>
          <w:ilvl w:val="0"/>
          <w:numId w:val="23"/>
        </w:numPr>
        <w:rPr>
          <w:rStyle w:val="SubtleEmphasis"/>
        </w:rPr>
      </w:pPr>
      <w:bookmarkStart w:id="47" w:name="_Toc421623449"/>
      <w:r>
        <w:rPr>
          <w:rStyle w:val="SubtleEmphasis"/>
        </w:rPr>
        <w:t>Investment in g</w:t>
      </w:r>
      <w:r w:rsidR="007F57EC">
        <w:rPr>
          <w:rStyle w:val="SubtleEmphasis"/>
        </w:rPr>
        <w:t>overnan</w:t>
      </w:r>
      <w:r w:rsidR="00120B5E">
        <w:rPr>
          <w:rStyle w:val="SubtleEmphasis"/>
        </w:rPr>
        <w:t>ce and capacity buildin</w:t>
      </w:r>
      <w:r>
        <w:rPr>
          <w:rStyle w:val="SubtleEmphasis"/>
        </w:rPr>
        <w:t>g programs</w:t>
      </w:r>
      <w:bookmarkEnd w:id="47"/>
    </w:p>
    <w:p w:rsidR="007F57EC" w:rsidRPr="007F57EC" w:rsidRDefault="007F57EC" w:rsidP="00EA6F6C">
      <w:pPr>
        <w:autoSpaceDE w:val="0"/>
        <w:autoSpaceDN w:val="0"/>
        <w:adjustRightInd w:val="0"/>
        <w:spacing w:before="120" w:line="276" w:lineRule="auto"/>
        <w:rPr>
          <w:rFonts w:asciiTheme="minorHAnsi" w:hAnsiTheme="minorHAnsi"/>
        </w:rPr>
      </w:pPr>
      <w:r w:rsidRPr="007F57EC">
        <w:rPr>
          <w:rFonts w:asciiTheme="minorHAnsi" w:hAnsiTheme="minorHAnsi"/>
        </w:rPr>
        <w:t xml:space="preserve">The rights and interests of Aboriginal people include the equitable sharing of any benefits </w:t>
      </w:r>
      <w:r w:rsidR="00F31E7A">
        <w:rPr>
          <w:rFonts w:asciiTheme="minorHAnsi" w:hAnsiTheme="minorHAnsi"/>
        </w:rPr>
        <w:t>arising from development and</w:t>
      </w:r>
      <w:r w:rsidRPr="007F57EC">
        <w:rPr>
          <w:rFonts w:asciiTheme="minorHAnsi" w:hAnsiTheme="minorHAnsi"/>
        </w:rPr>
        <w:t xml:space="preserve"> equitable access to development opportunities. This entails taking note of the development aspirations of Aboriginal people and investing in developing local capacities. To realise these development aspirations it is essential that significant investments are made in the areas of human and social capital; particularly health, education and governance.</w:t>
      </w:r>
      <w:r w:rsidRPr="007F57EC">
        <w:rPr>
          <w:rStyle w:val="FootnoteReference"/>
          <w:rFonts w:asciiTheme="minorHAnsi" w:hAnsiTheme="minorHAnsi"/>
        </w:rPr>
        <w:footnoteReference w:id="48"/>
      </w:r>
      <w:r w:rsidRPr="007F57EC">
        <w:rPr>
          <w:rFonts w:asciiTheme="minorHAnsi" w:hAnsiTheme="minorHAnsi"/>
        </w:rPr>
        <w:t xml:space="preserve"> It is also important that any investment in these areas is done in collaboration with Aboriginal people or their representative organisations to maximise the relevance and positive impact of any policy changes. For example, the maintenance of Indigenous languages and culture, Aboriginal customary institutions, and the transfer of Indigenous knowledge across generations are essential building blocks that play important roles in enterprise development such as the art and cultural tourism sectors.</w:t>
      </w:r>
    </w:p>
    <w:p w:rsidR="007F57EC" w:rsidRDefault="007F57EC" w:rsidP="00EA6F6C">
      <w:pPr>
        <w:spacing w:line="276" w:lineRule="auto"/>
        <w:rPr>
          <w:rFonts w:asciiTheme="minorHAnsi" w:hAnsiTheme="minorHAnsi"/>
        </w:rPr>
      </w:pPr>
    </w:p>
    <w:p w:rsidR="004B48F3" w:rsidRDefault="00661586" w:rsidP="004B48F3">
      <w:pPr>
        <w:spacing w:line="276" w:lineRule="auto"/>
        <w:rPr>
          <w:rFonts w:asciiTheme="minorHAnsi" w:hAnsiTheme="minorHAnsi"/>
        </w:rPr>
      </w:pPr>
      <w:r w:rsidRPr="00661586">
        <w:rPr>
          <w:rFonts w:asciiTheme="minorHAnsi" w:hAnsiTheme="minorHAnsi"/>
        </w:rPr>
        <w:t xml:space="preserve">In the CLC region there is an urgent need to </w:t>
      </w:r>
      <w:r>
        <w:rPr>
          <w:rFonts w:asciiTheme="minorHAnsi" w:hAnsiTheme="minorHAnsi"/>
        </w:rPr>
        <w:t xml:space="preserve">support corporations, family groups and individuals to achieve their aspirations for economic and enterprise development. The scale </w:t>
      </w:r>
      <w:r w:rsidR="00C84974">
        <w:rPr>
          <w:rFonts w:asciiTheme="minorHAnsi" w:hAnsiTheme="minorHAnsi"/>
        </w:rPr>
        <w:t xml:space="preserve">and intensity </w:t>
      </w:r>
      <w:r>
        <w:rPr>
          <w:rFonts w:asciiTheme="minorHAnsi" w:hAnsiTheme="minorHAnsi"/>
        </w:rPr>
        <w:t xml:space="preserve">of this need is well beyond the capacity of the CLC to deliver.  </w:t>
      </w:r>
      <w:r w:rsidR="004B48F3">
        <w:rPr>
          <w:rFonts w:asciiTheme="minorHAnsi" w:hAnsiTheme="minorHAnsi"/>
        </w:rPr>
        <w:t xml:space="preserve">Low educational attainment and limited work experience means that even modest enterprise proposals generally require intensive support.  There are no programs available to provide ongoing comprehensive mentoring and assistance in both small business and enterprise support. </w:t>
      </w:r>
    </w:p>
    <w:p w:rsidR="004B48F3" w:rsidRDefault="004B48F3" w:rsidP="00EA6F6C">
      <w:pPr>
        <w:spacing w:line="276" w:lineRule="auto"/>
        <w:rPr>
          <w:rFonts w:asciiTheme="minorHAnsi" w:hAnsiTheme="minorHAnsi"/>
        </w:rPr>
      </w:pPr>
    </w:p>
    <w:p w:rsidR="00F31E7A" w:rsidRDefault="00F31E7A" w:rsidP="00F31E7A">
      <w:pPr>
        <w:spacing w:line="276" w:lineRule="auto"/>
        <w:rPr>
          <w:rFonts w:asciiTheme="minorHAnsi" w:hAnsiTheme="minorHAnsi"/>
        </w:rPr>
      </w:pPr>
      <w:r>
        <w:rPr>
          <w:rFonts w:asciiTheme="minorHAnsi" w:hAnsiTheme="minorHAnsi"/>
        </w:rPr>
        <w:lastRenderedPageBreak/>
        <w:t>The CLC has an effective Community Development approach</w:t>
      </w:r>
      <w:r>
        <w:rPr>
          <w:rStyle w:val="FootnoteReference"/>
          <w:rFonts w:asciiTheme="minorHAnsi" w:hAnsiTheme="minorHAnsi"/>
        </w:rPr>
        <w:footnoteReference w:id="49"/>
      </w:r>
      <w:r>
        <w:rPr>
          <w:rFonts w:asciiTheme="minorHAnsi" w:hAnsiTheme="minorHAnsi"/>
        </w:rPr>
        <w:t xml:space="preserve"> which supports traditional owners and communities to ensure long-term and sustainable benefits from income from land use agreements and royalty streams.  The CLC has been very effective at building the governance capacity of Aboriginal groups to set development objectives, prioritise and plan community projects and programs, and set up partnerships with qualified organisations to deliver them. However, the CLC is not resourced to provide the intensive support required to establish and successfully operate individual initiatives, including enterprise projects.   The Aboriginal Peak Organisations NT</w:t>
      </w:r>
      <w:r>
        <w:rPr>
          <w:rStyle w:val="FootnoteReference"/>
          <w:rFonts w:asciiTheme="minorHAnsi" w:hAnsiTheme="minorHAnsi"/>
        </w:rPr>
        <w:footnoteReference w:id="50"/>
      </w:r>
      <w:r>
        <w:rPr>
          <w:rFonts w:asciiTheme="minorHAnsi" w:hAnsiTheme="minorHAnsi"/>
        </w:rPr>
        <w:t xml:space="preserve"> has also recognised this gap in relation to governance support and has implemented an Aboriginal Governance and Management Program which aims to provide support to existing Aboriginal organisations to build their governance capacity and strength.  These programs require ongoing support and investment if they are to continue and expand to meet demand.  More investment is urgently required in this area, and in the CLC’s view this governance and capacity building support remains a central barrier to the generation of new small enterprises in remote communities.</w:t>
      </w:r>
    </w:p>
    <w:p w:rsidR="00120B5E" w:rsidRDefault="00120B5E" w:rsidP="00EA6F6C">
      <w:pPr>
        <w:spacing w:line="276" w:lineRule="auto"/>
        <w:rPr>
          <w:rFonts w:asciiTheme="minorHAnsi" w:hAnsiTheme="minorHAnsi"/>
        </w:rPr>
      </w:pPr>
    </w:p>
    <w:p w:rsidR="009248BD" w:rsidRDefault="009248BD" w:rsidP="00EA6F6C">
      <w:pPr>
        <w:spacing w:line="276" w:lineRule="auto"/>
        <w:rPr>
          <w:rFonts w:asciiTheme="minorHAnsi" w:hAnsiTheme="minorHAnsi"/>
          <w:b/>
        </w:rPr>
      </w:pPr>
      <w:r w:rsidRPr="00225688">
        <w:rPr>
          <w:rFonts w:asciiTheme="minorHAnsi" w:hAnsiTheme="minorHAnsi"/>
          <w:b/>
        </w:rPr>
        <w:t>Recommendation</w:t>
      </w:r>
      <w:r>
        <w:rPr>
          <w:rFonts w:asciiTheme="minorHAnsi" w:hAnsiTheme="minorHAnsi"/>
          <w:b/>
        </w:rPr>
        <w:t xml:space="preserve"> </w:t>
      </w:r>
      <w:r w:rsidR="007650B2">
        <w:rPr>
          <w:rFonts w:asciiTheme="minorHAnsi" w:hAnsiTheme="minorHAnsi"/>
          <w:b/>
        </w:rPr>
        <w:t>13</w:t>
      </w:r>
      <w:r w:rsidRPr="00D721D1">
        <w:rPr>
          <w:rFonts w:asciiTheme="minorHAnsi" w:hAnsiTheme="minorHAnsi"/>
          <w:b/>
        </w:rPr>
        <w:t>. That the Australian Government recognise that programs supporting Aboriginal governance</w:t>
      </w:r>
      <w:r w:rsidR="009F2C5E" w:rsidRPr="00D721D1">
        <w:rPr>
          <w:rFonts w:asciiTheme="minorHAnsi" w:hAnsiTheme="minorHAnsi"/>
          <w:b/>
        </w:rPr>
        <w:t xml:space="preserve"> and capacity building</w:t>
      </w:r>
      <w:r w:rsidRPr="00D721D1">
        <w:rPr>
          <w:rFonts w:asciiTheme="minorHAnsi" w:hAnsiTheme="minorHAnsi"/>
          <w:b/>
        </w:rPr>
        <w:t xml:space="preserve"> are critical to ensuring future social, cultural and economic development and governance development should be added to the five priority funding areas under the IAS.</w:t>
      </w:r>
    </w:p>
    <w:p w:rsidR="0033360A" w:rsidRDefault="0033360A" w:rsidP="00EA6F6C">
      <w:pPr>
        <w:spacing w:line="276" w:lineRule="auto"/>
        <w:rPr>
          <w:rFonts w:asciiTheme="minorHAnsi" w:hAnsiTheme="minorHAnsi"/>
        </w:rPr>
      </w:pPr>
    </w:p>
    <w:p w:rsidR="008F79A5" w:rsidRPr="009A1A69" w:rsidRDefault="00E76F27" w:rsidP="0033360A">
      <w:pPr>
        <w:pStyle w:val="Title"/>
        <w:spacing w:line="276" w:lineRule="auto"/>
      </w:pPr>
      <w:bookmarkStart w:id="48" w:name="_Toc421623450"/>
      <w:r w:rsidRPr="009A1A69">
        <w:t>Conclu</w:t>
      </w:r>
      <w:r w:rsidR="00AD67AD" w:rsidRPr="009A1A69">
        <w:t>sion</w:t>
      </w:r>
      <w:bookmarkEnd w:id="48"/>
    </w:p>
    <w:p w:rsidR="00B764D9" w:rsidRPr="009A1A69" w:rsidRDefault="0033360A" w:rsidP="00EA6F6C">
      <w:pPr>
        <w:spacing w:line="276" w:lineRule="auto"/>
        <w:rPr>
          <w:rFonts w:asciiTheme="minorHAnsi" w:hAnsiTheme="minorHAnsi"/>
        </w:rPr>
      </w:pPr>
      <w:r>
        <w:rPr>
          <w:rFonts w:asciiTheme="minorHAnsi" w:hAnsiTheme="minorHAnsi"/>
        </w:rPr>
        <w:t xml:space="preserve">The ALRA provides a model for preserving underlying communal title and allowing for the granting of leasehold interests.  </w:t>
      </w:r>
      <w:r w:rsidR="00E063D4" w:rsidRPr="009A1A69">
        <w:rPr>
          <w:rFonts w:asciiTheme="minorHAnsi" w:hAnsiTheme="minorHAnsi"/>
        </w:rPr>
        <w:t xml:space="preserve">Voluntary </w:t>
      </w:r>
      <w:r w:rsidR="00070734">
        <w:rPr>
          <w:rFonts w:asciiTheme="minorHAnsi" w:hAnsiTheme="minorHAnsi"/>
        </w:rPr>
        <w:t xml:space="preserve">negotiated leases </w:t>
      </w:r>
      <w:r w:rsidR="007650B2">
        <w:rPr>
          <w:rFonts w:asciiTheme="minorHAnsi" w:hAnsiTheme="minorHAnsi"/>
        </w:rPr>
        <w:t xml:space="preserve">under s.19 of the Act </w:t>
      </w:r>
      <w:bookmarkStart w:id="49" w:name="_GoBack"/>
      <w:bookmarkEnd w:id="49"/>
      <w:r w:rsidR="00070734">
        <w:rPr>
          <w:rFonts w:asciiTheme="minorHAnsi" w:hAnsiTheme="minorHAnsi"/>
        </w:rPr>
        <w:t>have been progressed</w:t>
      </w:r>
      <w:r w:rsidR="00E063D4" w:rsidRPr="009A1A69">
        <w:rPr>
          <w:rFonts w:asciiTheme="minorHAnsi" w:hAnsiTheme="minorHAnsi"/>
        </w:rPr>
        <w:t xml:space="preserve"> throughout the CLC region at a rapid rate. </w:t>
      </w:r>
      <w:r w:rsidR="00B764D9" w:rsidRPr="009A1A69">
        <w:rPr>
          <w:rFonts w:asciiTheme="minorHAnsi" w:hAnsiTheme="minorHAnsi"/>
        </w:rPr>
        <w:t xml:space="preserve">Voluntary leasing </w:t>
      </w:r>
      <w:r w:rsidR="00E063D4" w:rsidRPr="009A1A69">
        <w:rPr>
          <w:rFonts w:asciiTheme="minorHAnsi" w:hAnsiTheme="minorHAnsi"/>
        </w:rPr>
        <w:t xml:space="preserve">is a welcome development for </w:t>
      </w:r>
      <w:r w:rsidR="009100F3" w:rsidRPr="009A1A69">
        <w:rPr>
          <w:rFonts w:asciiTheme="minorHAnsi" w:hAnsiTheme="minorHAnsi"/>
        </w:rPr>
        <w:t xml:space="preserve">Aboriginal land </w:t>
      </w:r>
      <w:r w:rsidR="00E063D4" w:rsidRPr="009A1A69">
        <w:rPr>
          <w:rFonts w:asciiTheme="minorHAnsi" w:hAnsiTheme="minorHAnsi"/>
        </w:rPr>
        <w:t xml:space="preserve">owners, particularly after the </w:t>
      </w:r>
      <w:r w:rsidR="009100F3" w:rsidRPr="009A1A69">
        <w:rPr>
          <w:rFonts w:asciiTheme="minorHAnsi" w:hAnsiTheme="minorHAnsi"/>
        </w:rPr>
        <w:t xml:space="preserve">recent </w:t>
      </w:r>
      <w:r w:rsidR="00E063D4" w:rsidRPr="009A1A69">
        <w:rPr>
          <w:rFonts w:asciiTheme="minorHAnsi" w:hAnsiTheme="minorHAnsi"/>
        </w:rPr>
        <w:t xml:space="preserve">experience of compulsory </w:t>
      </w:r>
      <w:r w:rsidR="009100F3" w:rsidRPr="009A1A69">
        <w:rPr>
          <w:rFonts w:asciiTheme="minorHAnsi" w:hAnsiTheme="minorHAnsi"/>
        </w:rPr>
        <w:t xml:space="preserve">acquisition of community land </w:t>
      </w:r>
      <w:r w:rsidR="00E063D4" w:rsidRPr="009A1A69">
        <w:rPr>
          <w:rFonts w:asciiTheme="minorHAnsi" w:hAnsiTheme="minorHAnsi"/>
        </w:rPr>
        <w:t xml:space="preserve">and </w:t>
      </w:r>
      <w:r w:rsidR="003C0607" w:rsidRPr="009A1A69">
        <w:rPr>
          <w:rFonts w:asciiTheme="minorHAnsi" w:hAnsiTheme="minorHAnsi"/>
        </w:rPr>
        <w:t xml:space="preserve">the </w:t>
      </w:r>
      <w:r w:rsidR="009100F3" w:rsidRPr="009A1A69">
        <w:rPr>
          <w:rFonts w:asciiTheme="minorHAnsi" w:hAnsiTheme="minorHAnsi"/>
        </w:rPr>
        <w:t xml:space="preserve">historic </w:t>
      </w:r>
      <w:r w:rsidR="00E063D4" w:rsidRPr="009A1A69">
        <w:rPr>
          <w:rFonts w:asciiTheme="minorHAnsi" w:hAnsiTheme="minorHAnsi"/>
        </w:rPr>
        <w:t>lack of negotiation</w:t>
      </w:r>
      <w:r w:rsidR="009100F3" w:rsidRPr="009A1A69">
        <w:rPr>
          <w:rFonts w:asciiTheme="minorHAnsi" w:hAnsiTheme="minorHAnsi"/>
        </w:rPr>
        <w:t xml:space="preserve"> about terms of occupancy</w:t>
      </w:r>
      <w:r w:rsidR="00E063D4" w:rsidRPr="009A1A69">
        <w:rPr>
          <w:rFonts w:asciiTheme="minorHAnsi" w:hAnsiTheme="minorHAnsi"/>
        </w:rPr>
        <w:t xml:space="preserve">. </w:t>
      </w:r>
      <w:r w:rsidR="009A1A69">
        <w:rPr>
          <w:rFonts w:asciiTheme="minorHAnsi" w:hAnsiTheme="minorHAnsi"/>
        </w:rPr>
        <w:t xml:space="preserve">While these leases formalise land tenure arrangements resulting in greater clarity about ownership and responsibility for assets and infrastructure in </w:t>
      </w:r>
      <w:r w:rsidR="009A1A69" w:rsidRPr="009A1A69">
        <w:rPr>
          <w:rFonts w:asciiTheme="minorHAnsi" w:hAnsiTheme="minorHAnsi"/>
        </w:rPr>
        <w:t>remote Aboriginal communities in the N</w:t>
      </w:r>
      <w:r w:rsidR="00E21F4E">
        <w:rPr>
          <w:rFonts w:asciiTheme="minorHAnsi" w:hAnsiTheme="minorHAnsi"/>
        </w:rPr>
        <w:t>T</w:t>
      </w:r>
      <w:r>
        <w:rPr>
          <w:rFonts w:asciiTheme="minorHAnsi" w:hAnsiTheme="minorHAnsi"/>
        </w:rPr>
        <w:t>, they do not necessarily</w:t>
      </w:r>
      <w:r w:rsidR="009A1A69">
        <w:rPr>
          <w:rFonts w:asciiTheme="minorHAnsi" w:hAnsiTheme="minorHAnsi"/>
        </w:rPr>
        <w:t xml:space="preserve"> </w:t>
      </w:r>
      <w:r w:rsidR="00BB75BF" w:rsidRPr="009A1A69">
        <w:rPr>
          <w:rFonts w:asciiTheme="minorHAnsi" w:hAnsiTheme="minorHAnsi"/>
        </w:rPr>
        <w:t>lead to greater economic development or private</w:t>
      </w:r>
      <w:r w:rsidR="009A1A69">
        <w:rPr>
          <w:rFonts w:asciiTheme="minorHAnsi" w:hAnsiTheme="minorHAnsi"/>
        </w:rPr>
        <w:t xml:space="preserve"> home </w:t>
      </w:r>
      <w:r w:rsidR="00BB75BF" w:rsidRPr="009A1A69">
        <w:rPr>
          <w:rFonts w:asciiTheme="minorHAnsi" w:hAnsiTheme="minorHAnsi"/>
        </w:rPr>
        <w:t>ownership</w:t>
      </w:r>
      <w:r w:rsidR="009A1A69">
        <w:rPr>
          <w:rFonts w:asciiTheme="minorHAnsi" w:hAnsiTheme="minorHAnsi"/>
        </w:rPr>
        <w:t>.</w:t>
      </w:r>
      <w:r w:rsidR="00DB67D6">
        <w:rPr>
          <w:rFonts w:asciiTheme="minorHAnsi" w:hAnsiTheme="minorHAnsi"/>
        </w:rPr>
        <w:t xml:space="preserve"> </w:t>
      </w:r>
      <w:r w:rsidR="008C6601">
        <w:rPr>
          <w:rFonts w:asciiTheme="minorHAnsi" w:hAnsiTheme="minorHAnsi"/>
        </w:rPr>
        <w:t>They were never going to.</w:t>
      </w:r>
      <w:r w:rsidR="00070734">
        <w:rPr>
          <w:rFonts w:asciiTheme="minorHAnsi" w:hAnsiTheme="minorHAnsi"/>
        </w:rPr>
        <w:t xml:space="preserve"> </w:t>
      </w:r>
    </w:p>
    <w:p w:rsidR="00B764D9" w:rsidRPr="009A1A69" w:rsidRDefault="00B764D9" w:rsidP="00EA6F6C">
      <w:pPr>
        <w:spacing w:line="276" w:lineRule="auto"/>
        <w:rPr>
          <w:rFonts w:asciiTheme="minorHAnsi" w:hAnsiTheme="minorHAnsi"/>
        </w:rPr>
      </w:pPr>
    </w:p>
    <w:p w:rsidR="003B53B8" w:rsidRDefault="00681154" w:rsidP="00EA6F6C">
      <w:pPr>
        <w:spacing w:line="276" w:lineRule="auto"/>
        <w:rPr>
          <w:rFonts w:asciiTheme="minorHAnsi" w:hAnsiTheme="minorHAnsi"/>
        </w:rPr>
      </w:pPr>
      <w:r w:rsidRPr="009A1A69">
        <w:rPr>
          <w:rFonts w:asciiTheme="minorHAnsi" w:hAnsiTheme="minorHAnsi"/>
        </w:rPr>
        <w:t xml:space="preserve">Significant </w:t>
      </w:r>
      <w:r w:rsidR="0033360A">
        <w:rPr>
          <w:rFonts w:asciiTheme="minorHAnsi" w:hAnsiTheme="minorHAnsi"/>
        </w:rPr>
        <w:t xml:space="preserve">non-tenure </w:t>
      </w:r>
      <w:r w:rsidR="00E063D4" w:rsidRPr="009A1A69">
        <w:rPr>
          <w:rFonts w:asciiTheme="minorHAnsi" w:hAnsiTheme="minorHAnsi"/>
        </w:rPr>
        <w:t>barriers to economic development and home ownership on ALRA land</w:t>
      </w:r>
      <w:r w:rsidRPr="009A1A69">
        <w:rPr>
          <w:rFonts w:asciiTheme="minorHAnsi" w:hAnsiTheme="minorHAnsi"/>
        </w:rPr>
        <w:t xml:space="preserve"> remain</w:t>
      </w:r>
      <w:r w:rsidR="00E063D4" w:rsidRPr="009A1A69">
        <w:rPr>
          <w:rFonts w:asciiTheme="minorHAnsi" w:hAnsiTheme="minorHAnsi"/>
        </w:rPr>
        <w:t xml:space="preserve">. </w:t>
      </w:r>
      <w:r w:rsidR="0033360A">
        <w:rPr>
          <w:rFonts w:asciiTheme="minorHAnsi" w:hAnsiTheme="minorHAnsi"/>
        </w:rPr>
        <w:t xml:space="preserve"> </w:t>
      </w:r>
      <w:r w:rsidR="00E063D4" w:rsidRPr="009A1A69">
        <w:rPr>
          <w:rFonts w:asciiTheme="minorHAnsi" w:hAnsiTheme="minorHAnsi"/>
        </w:rPr>
        <w:t xml:space="preserve">A genuine effort to break down such barriers will require the </w:t>
      </w:r>
      <w:r w:rsidR="005212E9" w:rsidRPr="009A1A69">
        <w:rPr>
          <w:rFonts w:asciiTheme="minorHAnsi" w:hAnsiTheme="minorHAnsi"/>
        </w:rPr>
        <w:t>Australian</w:t>
      </w:r>
      <w:r w:rsidR="00E063D4" w:rsidRPr="009A1A69">
        <w:rPr>
          <w:rFonts w:asciiTheme="minorHAnsi" w:hAnsiTheme="minorHAnsi"/>
        </w:rPr>
        <w:t xml:space="preserve"> and Northern Territory </w:t>
      </w:r>
      <w:r w:rsidR="00BB75BF" w:rsidRPr="009A1A69">
        <w:rPr>
          <w:rFonts w:asciiTheme="minorHAnsi" w:hAnsiTheme="minorHAnsi"/>
        </w:rPr>
        <w:t xml:space="preserve">governments </w:t>
      </w:r>
      <w:r w:rsidR="003C0607" w:rsidRPr="009A1A69">
        <w:rPr>
          <w:rFonts w:asciiTheme="minorHAnsi" w:hAnsiTheme="minorHAnsi"/>
        </w:rPr>
        <w:t xml:space="preserve">to </w:t>
      </w:r>
      <w:r w:rsidR="009100F3" w:rsidRPr="009A1A69">
        <w:rPr>
          <w:rFonts w:asciiTheme="minorHAnsi" w:hAnsiTheme="minorHAnsi"/>
        </w:rPr>
        <w:t xml:space="preserve">fund </w:t>
      </w:r>
      <w:r w:rsidR="003C0607" w:rsidRPr="009A1A69">
        <w:rPr>
          <w:rFonts w:asciiTheme="minorHAnsi" w:hAnsiTheme="minorHAnsi"/>
        </w:rPr>
        <w:t xml:space="preserve">major infrastructure adequately to </w:t>
      </w:r>
      <w:r w:rsidR="00E063D4" w:rsidRPr="009A1A69">
        <w:rPr>
          <w:rFonts w:asciiTheme="minorHAnsi" w:hAnsiTheme="minorHAnsi"/>
        </w:rPr>
        <w:t xml:space="preserve">address </w:t>
      </w:r>
      <w:r w:rsidR="00E063D4" w:rsidRPr="009A1A69">
        <w:rPr>
          <w:rFonts w:asciiTheme="minorHAnsi" w:hAnsiTheme="minorHAnsi"/>
        </w:rPr>
        <w:lastRenderedPageBreak/>
        <w:t>infrastructure constraints</w:t>
      </w:r>
      <w:r w:rsidR="009074C1" w:rsidRPr="009A1A69">
        <w:rPr>
          <w:rFonts w:asciiTheme="minorHAnsi" w:hAnsiTheme="minorHAnsi"/>
        </w:rPr>
        <w:t xml:space="preserve"> and the lack of vacant serviced l</w:t>
      </w:r>
      <w:r w:rsidR="00B764D9" w:rsidRPr="009A1A69">
        <w:rPr>
          <w:rFonts w:asciiTheme="minorHAnsi" w:hAnsiTheme="minorHAnsi"/>
        </w:rPr>
        <w:t>ots in remote communities</w:t>
      </w:r>
      <w:r w:rsidR="00E063D4" w:rsidRPr="009A1A69">
        <w:rPr>
          <w:rFonts w:asciiTheme="minorHAnsi" w:hAnsiTheme="minorHAnsi"/>
        </w:rPr>
        <w:t xml:space="preserve">. It will also require all </w:t>
      </w:r>
      <w:r w:rsidR="003C0607" w:rsidRPr="009A1A69">
        <w:rPr>
          <w:rFonts w:asciiTheme="minorHAnsi" w:hAnsiTheme="minorHAnsi"/>
        </w:rPr>
        <w:t xml:space="preserve">parties to </w:t>
      </w:r>
      <w:r w:rsidR="00E063D4" w:rsidRPr="009A1A69">
        <w:rPr>
          <w:rFonts w:asciiTheme="minorHAnsi" w:hAnsiTheme="minorHAnsi"/>
        </w:rPr>
        <w:t xml:space="preserve">work together </w:t>
      </w:r>
      <w:r w:rsidR="009100F3" w:rsidRPr="009A1A69">
        <w:rPr>
          <w:rFonts w:asciiTheme="minorHAnsi" w:hAnsiTheme="minorHAnsi"/>
        </w:rPr>
        <w:t xml:space="preserve">with Aboriginal land owners </w:t>
      </w:r>
      <w:r w:rsidR="00E063D4" w:rsidRPr="009A1A69">
        <w:rPr>
          <w:rFonts w:asciiTheme="minorHAnsi" w:hAnsiTheme="minorHAnsi"/>
        </w:rPr>
        <w:t>to develop innovative ways to improve access to finance</w:t>
      </w:r>
      <w:r w:rsidR="003C0607" w:rsidRPr="009A1A69">
        <w:rPr>
          <w:rFonts w:asciiTheme="minorHAnsi" w:hAnsiTheme="minorHAnsi"/>
        </w:rPr>
        <w:t xml:space="preserve">, as well as </w:t>
      </w:r>
      <w:r w:rsidR="00600240" w:rsidRPr="009A1A69">
        <w:rPr>
          <w:rFonts w:asciiTheme="minorHAnsi" w:hAnsiTheme="minorHAnsi"/>
        </w:rPr>
        <w:t xml:space="preserve">considered </w:t>
      </w:r>
      <w:r w:rsidR="00B90F4C" w:rsidRPr="009A1A69">
        <w:rPr>
          <w:rFonts w:asciiTheme="minorHAnsi" w:hAnsiTheme="minorHAnsi"/>
        </w:rPr>
        <w:t xml:space="preserve">models for </w:t>
      </w:r>
      <w:r w:rsidR="0033360A">
        <w:rPr>
          <w:rFonts w:asciiTheme="minorHAnsi" w:hAnsiTheme="minorHAnsi"/>
        </w:rPr>
        <w:t xml:space="preserve">community leasing, </w:t>
      </w:r>
      <w:r w:rsidR="00B90F4C" w:rsidRPr="009A1A69">
        <w:rPr>
          <w:rFonts w:asciiTheme="minorHAnsi" w:hAnsiTheme="minorHAnsi"/>
        </w:rPr>
        <w:t xml:space="preserve">home ownership and </w:t>
      </w:r>
      <w:r w:rsidR="00F31E7A">
        <w:rPr>
          <w:rFonts w:asciiTheme="minorHAnsi" w:hAnsiTheme="minorHAnsi"/>
        </w:rPr>
        <w:t>governance and capacity development</w:t>
      </w:r>
      <w:r w:rsidR="0033360A">
        <w:rPr>
          <w:rFonts w:asciiTheme="minorHAnsi" w:hAnsiTheme="minorHAnsi"/>
        </w:rPr>
        <w:t xml:space="preserve"> </w:t>
      </w:r>
      <w:r w:rsidR="00B90F4C" w:rsidRPr="009A1A69">
        <w:rPr>
          <w:rFonts w:asciiTheme="minorHAnsi" w:hAnsiTheme="minorHAnsi"/>
        </w:rPr>
        <w:t>support for nascent Aboriginal enterprise initiatives. Such a collaborative effort will require a commitment to evidence not ideology, acknowledging the extent of the barriers and the hard work and enduring commitment that will be required to address them</w:t>
      </w:r>
      <w:r w:rsidR="00B90F4C" w:rsidRPr="00DF1268">
        <w:rPr>
          <w:rFonts w:asciiTheme="minorHAnsi" w:hAnsiTheme="minorHAnsi"/>
        </w:rPr>
        <w:t>.</w:t>
      </w:r>
      <w:r w:rsidR="00E063D4" w:rsidRPr="00DF1268">
        <w:rPr>
          <w:rFonts w:asciiTheme="minorHAnsi" w:hAnsiTheme="minorHAnsi"/>
        </w:rPr>
        <w:t xml:space="preserve"> </w:t>
      </w:r>
    </w:p>
    <w:p w:rsidR="00C04A23" w:rsidRPr="008C6601" w:rsidRDefault="00C04A23" w:rsidP="00EA6F6C">
      <w:pPr>
        <w:spacing w:line="276" w:lineRule="auto"/>
        <w:rPr>
          <w:rFonts w:asciiTheme="minorHAnsi" w:hAnsiTheme="minorHAnsi"/>
        </w:rPr>
      </w:pPr>
    </w:p>
    <w:sectPr w:rsidR="00C04A23" w:rsidRPr="008C6601" w:rsidSect="000834DD">
      <w:footerReference w:type="default" r:id="rId10"/>
      <w:pgSz w:w="11906" w:h="16838" w:code="9"/>
      <w:pgMar w:top="1440" w:right="1558" w:bottom="1440"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C33" w:rsidRDefault="00D57C33">
      <w:r>
        <w:separator/>
      </w:r>
    </w:p>
  </w:endnote>
  <w:endnote w:type="continuationSeparator" w:id="0">
    <w:p w:rsidR="00D57C33" w:rsidRDefault="00D5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ailec-Regular">
    <w:altName w:val="Times New Roman"/>
    <w:charset w:val="00"/>
    <w:family w:val="auto"/>
    <w:pitch w:val="default"/>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Black">
    <w:altName w:val="Arial Black"/>
    <w:panose1 w:val="020B0A040201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C33" w:rsidRDefault="00D57C33">
    <w:pPr>
      <w:pStyle w:val="Footer"/>
      <w:jc w:val="right"/>
    </w:pPr>
    <w:r>
      <w:fldChar w:fldCharType="begin"/>
    </w:r>
    <w:r>
      <w:instrText xml:space="preserve"> PAGE   \* MERGEFORMAT </w:instrText>
    </w:r>
    <w:r>
      <w:fldChar w:fldCharType="separate"/>
    </w:r>
    <w:r w:rsidR="00AA401F">
      <w:rPr>
        <w:noProof/>
      </w:rPr>
      <w:t>10</w:t>
    </w:r>
    <w:r>
      <w:rPr>
        <w:noProof/>
      </w:rPr>
      <w:fldChar w:fldCharType="end"/>
    </w:r>
  </w:p>
  <w:p w:rsidR="00D57C33" w:rsidRDefault="00D57C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C33" w:rsidRDefault="00D57C33">
      <w:r>
        <w:separator/>
      </w:r>
    </w:p>
  </w:footnote>
  <w:footnote w:type="continuationSeparator" w:id="0">
    <w:p w:rsidR="00D57C33" w:rsidRDefault="00D57C33">
      <w:r>
        <w:continuationSeparator/>
      </w:r>
    </w:p>
  </w:footnote>
  <w:footnote w:id="1">
    <w:p w:rsidR="00D57C33" w:rsidRPr="00B00678" w:rsidRDefault="00D57C33" w:rsidP="00D57C33">
      <w:pPr>
        <w:pStyle w:val="FootnoteText"/>
        <w:rPr>
          <w:rFonts w:asciiTheme="minorHAnsi" w:hAnsiTheme="minorHAnsi"/>
          <w:sz w:val="18"/>
          <w:szCs w:val="18"/>
        </w:rPr>
      </w:pPr>
      <w:r w:rsidRPr="00B00678">
        <w:rPr>
          <w:rStyle w:val="FootnoteReference"/>
          <w:rFonts w:asciiTheme="minorHAnsi" w:hAnsiTheme="minorHAnsi"/>
          <w:sz w:val="18"/>
          <w:szCs w:val="18"/>
        </w:rPr>
        <w:footnoteRef/>
      </w:r>
      <w:r w:rsidRPr="00B00678">
        <w:rPr>
          <w:rFonts w:asciiTheme="minorHAnsi" w:hAnsiTheme="minorHAnsi"/>
          <w:sz w:val="18"/>
          <w:szCs w:val="18"/>
        </w:rPr>
        <w:t xml:space="preserve"> These figures include leases progressed to consent on ALRA and CLA land between June 2007 and June 2015</w:t>
      </w:r>
      <w:r>
        <w:rPr>
          <w:rFonts w:asciiTheme="minorHAnsi" w:hAnsiTheme="minorHAnsi"/>
          <w:sz w:val="18"/>
          <w:szCs w:val="18"/>
        </w:rPr>
        <w:t xml:space="preserve"> (on a lot by lot basis)</w:t>
      </w:r>
      <w:r w:rsidRPr="00B00678">
        <w:rPr>
          <w:rFonts w:asciiTheme="minorHAnsi" w:hAnsiTheme="minorHAnsi"/>
          <w:sz w:val="18"/>
          <w:szCs w:val="18"/>
        </w:rPr>
        <w:t>.  It does</w:t>
      </w:r>
      <w:r>
        <w:rPr>
          <w:rFonts w:asciiTheme="minorHAnsi" w:hAnsiTheme="minorHAnsi"/>
          <w:sz w:val="18"/>
          <w:szCs w:val="18"/>
        </w:rPr>
        <w:t xml:space="preserve"> not </w:t>
      </w:r>
      <w:r w:rsidRPr="00B00678">
        <w:rPr>
          <w:rFonts w:asciiTheme="minorHAnsi" w:hAnsiTheme="minorHAnsi"/>
          <w:sz w:val="18"/>
          <w:szCs w:val="18"/>
        </w:rPr>
        <w:t>include leases that have been applied for but have not yet been processed, or leases refused or withdrawn.</w:t>
      </w:r>
    </w:p>
  </w:footnote>
  <w:footnote w:id="2">
    <w:p w:rsidR="00D57C33" w:rsidRPr="00926570" w:rsidRDefault="00D57C33" w:rsidP="00D57C33">
      <w:pPr>
        <w:pStyle w:val="FootnoteText"/>
        <w:rPr>
          <w:rFonts w:asciiTheme="minorHAnsi" w:hAnsiTheme="minorHAnsi"/>
          <w:sz w:val="18"/>
          <w:szCs w:val="18"/>
        </w:rPr>
      </w:pPr>
      <w:r w:rsidRPr="00926570">
        <w:rPr>
          <w:rStyle w:val="FootnoteReference"/>
          <w:rFonts w:asciiTheme="minorHAnsi" w:hAnsiTheme="minorHAnsi"/>
          <w:sz w:val="18"/>
          <w:szCs w:val="18"/>
        </w:rPr>
        <w:footnoteRef/>
      </w:r>
      <w:r w:rsidRPr="00926570">
        <w:rPr>
          <w:rFonts w:asciiTheme="minorHAnsi" w:hAnsiTheme="minorHAnsi"/>
          <w:sz w:val="18"/>
          <w:szCs w:val="18"/>
        </w:rPr>
        <w:t xml:space="preserve"> Central Land Council, 2013, Land reform in the Northern T</w:t>
      </w:r>
      <w:r>
        <w:rPr>
          <w:rFonts w:asciiTheme="minorHAnsi" w:hAnsiTheme="minorHAnsi"/>
          <w:sz w:val="18"/>
          <w:szCs w:val="18"/>
        </w:rPr>
        <w:t>erritory; e</w:t>
      </w:r>
      <w:r w:rsidRPr="00926570">
        <w:rPr>
          <w:rFonts w:asciiTheme="minorHAnsi" w:hAnsiTheme="minorHAnsi"/>
          <w:sz w:val="18"/>
          <w:szCs w:val="18"/>
        </w:rPr>
        <w:t xml:space="preserve">vidence not Ideology, accessed at </w:t>
      </w:r>
      <w:hyperlink r:id="rId1" w:history="1">
        <w:r w:rsidRPr="00926570">
          <w:rPr>
            <w:rStyle w:val="Hyperlink"/>
            <w:rFonts w:asciiTheme="minorHAnsi" w:hAnsiTheme="minorHAnsi"/>
            <w:sz w:val="18"/>
            <w:szCs w:val="18"/>
          </w:rPr>
          <w:t>http://www.clc.org.au/publications/content/land-reform-in-the-northern-territory-paper/</w:t>
        </w:r>
      </w:hyperlink>
      <w:r w:rsidRPr="00926570">
        <w:rPr>
          <w:rFonts w:asciiTheme="minorHAnsi" w:hAnsiTheme="minorHAnsi"/>
          <w:sz w:val="18"/>
          <w:szCs w:val="18"/>
        </w:rPr>
        <w:t xml:space="preserve"> </w:t>
      </w:r>
    </w:p>
  </w:footnote>
  <w:footnote w:id="3">
    <w:p w:rsidR="00D57C33" w:rsidRPr="008F0B42" w:rsidRDefault="00D57C33" w:rsidP="008059D5">
      <w:pPr>
        <w:shd w:val="clear" w:color="auto" w:fill="FFFFFF"/>
        <w:rPr>
          <w:rFonts w:asciiTheme="minorHAnsi" w:hAnsiTheme="minorHAnsi" w:cs="Arial"/>
          <w:color w:val="282828"/>
          <w:sz w:val="18"/>
          <w:szCs w:val="18"/>
        </w:rPr>
      </w:pPr>
      <w:r w:rsidRPr="008059D5">
        <w:rPr>
          <w:rStyle w:val="FootnoteReference"/>
          <w:sz w:val="18"/>
          <w:szCs w:val="18"/>
        </w:rPr>
        <w:footnoteRef/>
      </w:r>
      <w:r w:rsidRPr="008059D5">
        <w:rPr>
          <w:sz w:val="18"/>
          <w:szCs w:val="18"/>
        </w:rPr>
        <w:t xml:space="preserve"> </w:t>
      </w:r>
      <w:r w:rsidRPr="008059D5">
        <w:rPr>
          <w:rFonts w:asciiTheme="minorHAnsi" w:hAnsiTheme="minorHAnsi" w:cs="Arial"/>
          <w:color w:val="282828"/>
          <w:sz w:val="18"/>
          <w:szCs w:val="18"/>
        </w:rPr>
        <w:t>Adam Giles</w:t>
      </w:r>
      <w:r w:rsidRPr="008059D5">
        <w:rPr>
          <w:rStyle w:val="apple-converted-space"/>
          <w:rFonts w:asciiTheme="minorHAnsi" w:hAnsiTheme="minorHAnsi" w:cs="Arial"/>
          <w:color w:val="282828"/>
          <w:sz w:val="18"/>
          <w:szCs w:val="18"/>
        </w:rPr>
        <w:t> </w:t>
      </w:r>
      <w:r w:rsidRPr="008059D5">
        <w:rPr>
          <w:rFonts w:asciiTheme="minorHAnsi" w:hAnsiTheme="minorHAnsi" w:cs="Arial"/>
          <w:color w:val="282828"/>
          <w:sz w:val="18"/>
          <w:szCs w:val="18"/>
        </w:rPr>
        <w:t xml:space="preserve">, Chief Minister of the Northern Territory, 10 October 2014, Media release </w:t>
      </w:r>
      <w:r w:rsidRPr="008F0B42">
        <w:rPr>
          <w:rFonts w:asciiTheme="minorHAnsi" w:hAnsiTheme="minorHAnsi" w:cs="Arial"/>
          <w:color w:val="282828"/>
          <w:sz w:val="18"/>
          <w:szCs w:val="18"/>
        </w:rPr>
        <w:t>‘</w:t>
      </w:r>
      <w:r w:rsidRPr="008F0B42">
        <w:rPr>
          <w:rFonts w:asciiTheme="minorHAnsi" w:hAnsiTheme="minorHAnsi" w:cs="Arial"/>
          <w:bCs/>
          <w:color w:val="282828"/>
          <w:sz w:val="18"/>
          <w:szCs w:val="18"/>
        </w:rPr>
        <w:t>Australian leaders back NT gas pipeline and Indigenous economic reform’.</w:t>
      </w:r>
    </w:p>
  </w:footnote>
  <w:footnote w:id="4">
    <w:p w:rsidR="00D57C33" w:rsidRPr="00D04067" w:rsidRDefault="00D57C33">
      <w:pPr>
        <w:pStyle w:val="FootnoteText"/>
        <w:rPr>
          <w:rFonts w:ascii="Calibri" w:hAnsi="Calibri"/>
          <w:sz w:val="18"/>
          <w:szCs w:val="18"/>
        </w:rPr>
      </w:pPr>
      <w:r w:rsidRPr="00D04067">
        <w:rPr>
          <w:rStyle w:val="FootnoteReference"/>
          <w:rFonts w:ascii="Calibri" w:hAnsi="Calibri"/>
          <w:sz w:val="18"/>
          <w:szCs w:val="18"/>
        </w:rPr>
        <w:footnoteRef/>
      </w:r>
      <w:r w:rsidRPr="00D04067">
        <w:rPr>
          <w:rFonts w:ascii="Calibri" w:hAnsi="Calibri"/>
          <w:sz w:val="18"/>
          <w:szCs w:val="18"/>
        </w:rPr>
        <w:t xml:space="preserve"> The debate was probably at its height between 2004 and 2007. There was considerably less public debate from 2008 to 2012 but there has been a recent upsurge in disappointing commentary on this issue. See e.g</w:t>
      </w:r>
      <w:r>
        <w:rPr>
          <w:rFonts w:ascii="Calibri" w:hAnsi="Calibri"/>
          <w:sz w:val="18"/>
          <w:szCs w:val="18"/>
        </w:rPr>
        <w:t>.</w:t>
      </w:r>
      <w:r w:rsidRPr="00D04067">
        <w:rPr>
          <w:rFonts w:ascii="Calibri" w:hAnsi="Calibri"/>
          <w:sz w:val="18"/>
          <w:szCs w:val="18"/>
        </w:rPr>
        <w:t xml:space="preserve"> A Anderson, ‘New measure brings us home’ </w:t>
      </w:r>
      <w:r w:rsidRPr="00D04067">
        <w:rPr>
          <w:rFonts w:ascii="Calibri" w:hAnsi="Calibri"/>
          <w:i/>
          <w:sz w:val="18"/>
          <w:szCs w:val="18"/>
        </w:rPr>
        <w:t>Northern Territory News</w:t>
      </w:r>
      <w:r w:rsidRPr="00D04067">
        <w:rPr>
          <w:rFonts w:ascii="Calibri" w:hAnsi="Calibri"/>
          <w:sz w:val="18"/>
          <w:szCs w:val="18"/>
        </w:rPr>
        <w:t xml:space="preserve"> (26 January 2013)</w:t>
      </w:r>
      <w:r>
        <w:rPr>
          <w:rFonts w:ascii="Calibri" w:hAnsi="Calibri"/>
          <w:sz w:val="18"/>
          <w:szCs w:val="18"/>
        </w:rPr>
        <w:t>;</w:t>
      </w:r>
      <w:r w:rsidRPr="00D04067">
        <w:rPr>
          <w:rFonts w:ascii="Calibri" w:hAnsi="Calibri"/>
          <w:sz w:val="18"/>
          <w:szCs w:val="18"/>
        </w:rPr>
        <w:t xml:space="preserve"> N Rothwell, ‘The great unmentionables of remote life’</w:t>
      </w:r>
      <w:r>
        <w:rPr>
          <w:rFonts w:ascii="Calibri" w:hAnsi="Calibri"/>
          <w:sz w:val="18"/>
          <w:szCs w:val="18"/>
        </w:rPr>
        <w:t>,</w:t>
      </w:r>
      <w:r w:rsidRPr="00D04067">
        <w:rPr>
          <w:rFonts w:ascii="Calibri" w:hAnsi="Calibri"/>
          <w:i/>
          <w:sz w:val="18"/>
          <w:szCs w:val="18"/>
        </w:rPr>
        <w:t xml:space="preserve"> The Australian </w:t>
      </w:r>
      <w:r w:rsidRPr="00D04067">
        <w:rPr>
          <w:rFonts w:ascii="Calibri" w:hAnsi="Calibri"/>
          <w:sz w:val="18"/>
          <w:szCs w:val="18"/>
        </w:rPr>
        <w:t>(6</w:t>
      </w:r>
      <w:r>
        <w:rPr>
          <w:rFonts w:ascii="Calibri" w:hAnsi="Calibri"/>
          <w:sz w:val="18"/>
          <w:szCs w:val="18"/>
        </w:rPr>
        <w:t xml:space="preserve"> </w:t>
      </w:r>
      <w:r w:rsidRPr="00D04067">
        <w:rPr>
          <w:rFonts w:ascii="Calibri" w:hAnsi="Calibri"/>
          <w:sz w:val="18"/>
          <w:szCs w:val="18"/>
        </w:rPr>
        <w:t>February 2013)</w:t>
      </w:r>
      <w:r>
        <w:rPr>
          <w:rFonts w:ascii="Calibri" w:hAnsi="Calibri"/>
          <w:sz w:val="18"/>
          <w:szCs w:val="18"/>
        </w:rPr>
        <w:t>;</w:t>
      </w:r>
      <w:r w:rsidRPr="00D04067">
        <w:rPr>
          <w:rFonts w:ascii="Calibri" w:hAnsi="Calibri"/>
          <w:sz w:val="18"/>
          <w:szCs w:val="18"/>
        </w:rPr>
        <w:t xml:space="preserve"> H and M Hughes, ‘With apologies, PM, home ownership is the key’</w:t>
      </w:r>
      <w:r>
        <w:rPr>
          <w:rFonts w:ascii="Calibri" w:hAnsi="Calibri"/>
          <w:sz w:val="18"/>
          <w:szCs w:val="18"/>
        </w:rPr>
        <w:t>,</w:t>
      </w:r>
      <w:r w:rsidRPr="00D04067">
        <w:rPr>
          <w:rFonts w:ascii="Calibri" w:hAnsi="Calibri"/>
          <w:sz w:val="18"/>
          <w:szCs w:val="18"/>
        </w:rPr>
        <w:t xml:space="preserve"> </w:t>
      </w:r>
      <w:r w:rsidRPr="00D04067">
        <w:rPr>
          <w:rFonts w:ascii="Calibri" w:hAnsi="Calibri"/>
          <w:i/>
          <w:sz w:val="18"/>
          <w:szCs w:val="18"/>
        </w:rPr>
        <w:t xml:space="preserve">The Australian </w:t>
      </w:r>
      <w:r w:rsidRPr="00D04067">
        <w:rPr>
          <w:rFonts w:ascii="Calibri" w:hAnsi="Calibri"/>
          <w:sz w:val="18"/>
          <w:szCs w:val="18"/>
        </w:rPr>
        <w:t>(15 February 2013).</w:t>
      </w:r>
    </w:p>
  </w:footnote>
  <w:footnote w:id="5">
    <w:p w:rsidR="00D57C33" w:rsidRPr="00D04067" w:rsidRDefault="00D57C33" w:rsidP="00A86536">
      <w:pPr>
        <w:pStyle w:val="FootnoteText"/>
        <w:rPr>
          <w:rFonts w:ascii="Calibri" w:hAnsi="Calibri"/>
          <w:sz w:val="18"/>
          <w:szCs w:val="18"/>
        </w:rPr>
      </w:pPr>
      <w:r w:rsidRPr="00D04067">
        <w:rPr>
          <w:rStyle w:val="FootnoteReference"/>
          <w:rFonts w:ascii="Calibri" w:hAnsi="Calibri"/>
          <w:sz w:val="18"/>
          <w:szCs w:val="18"/>
        </w:rPr>
        <w:footnoteRef/>
      </w:r>
      <w:r w:rsidRPr="00D04067">
        <w:rPr>
          <w:rFonts w:ascii="Calibri" w:hAnsi="Calibri"/>
          <w:sz w:val="18"/>
          <w:szCs w:val="18"/>
        </w:rPr>
        <w:t xml:space="preserve"> Including through its Indigenous advisory body</w:t>
      </w:r>
      <w:r>
        <w:rPr>
          <w:rFonts w:ascii="Calibri" w:hAnsi="Calibri"/>
          <w:sz w:val="18"/>
          <w:szCs w:val="18"/>
        </w:rPr>
        <w:t>,</w:t>
      </w:r>
      <w:r w:rsidRPr="00D04067">
        <w:rPr>
          <w:rFonts w:ascii="Calibri" w:hAnsi="Calibri"/>
          <w:sz w:val="18"/>
          <w:szCs w:val="18"/>
        </w:rPr>
        <w:t xml:space="preserve"> the National Indigenous Council, appointed after the abolition of ATSIC. See in particular the early contributions of Warren Mundine, e.g</w:t>
      </w:r>
      <w:r>
        <w:rPr>
          <w:rFonts w:ascii="Calibri" w:hAnsi="Calibri"/>
          <w:sz w:val="18"/>
          <w:szCs w:val="18"/>
        </w:rPr>
        <w:t>.</w:t>
      </w:r>
      <w:r w:rsidRPr="00D04067">
        <w:rPr>
          <w:rFonts w:ascii="Calibri" w:hAnsi="Calibri"/>
          <w:sz w:val="18"/>
          <w:szCs w:val="18"/>
        </w:rPr>
        <w:t xml:space="preserve"> ‘Indigenous groups debate role of land ownership’ (6 December 2004) </w:t>
      </w:r>
      <w:hyperlink r:id="rId2" w:history="1">
        <w:r w:rsidRPr="00D04067">
          <w:rPr>
            <w:rStyle w:val="Hyperlink"/>
            <w:rFonts w:ascii="Calibri" w:hAnsi="Calibri"/>
            <w:sz w:val="18"/>
            <w:szCs w:val="18"/>
          </w:rPr>
          <w:t>http://www.abc.net.au/pm/content/2004/s1259072.htm</w:t>
        </w:r>
      </w:hyperlink>
      <w:r w:rsidRPr="00D04067">
        <w:rPr>
          <w:rFonts w:ascii="Calibri" w:hAnsi="Calibri"/>
          <w:sz w:val="18"/>
          <w:szCs w:val="18"/>
        </w:rPr>
        <w:t xml:space="preserve"> accessed 11 June 2013.</w:t>
      </w:r>
    </w:p>
  </w:footnote>
  <w:footnote w:id="6">
    <w:p w:rsidR="00D57C33" w:rsidRPr="00D04067" w:rsidRDefault="00D57C33" w:rsidP="00A86536">
      <w:pPr>
        <w:pStyle w:val="FootnoteText"/>
        <w:rPr>
          <w:rFonts w:ascii="Calibri" w:hAnsi="Calibri"/>
          <w:sz w:val="18"/>
          <w:szCs w:val="18"/>
        </w:rPr>
      </w:pPr>
      <w:r w:rsidRPr="00D04067">
        <w:rPr>
          <w:rStyle w:val="FootnoteReference"/>
          <w:rFonts w:ascii="Calibri" w:hAnsi="Calibri"/>
          <w:sz w:val="18"/>
          <w:szCs w:val="18"/>
        </w:rPr>
        <w:footnoteRef/>
      </w:r>
      <w:r w:rsidRPr="00D04067">
        <w:rPr>
          <w:rFonts w:ascii="Calibri" w:hAnsi="Calibri"/>
          <w:sz w:val="18"/>
          <w:szCs w:val="18"/>
        </w:rPr>
        <w:t xml:space="preserve"> It should be noted</w:t>
      </w:r>
      <w:r>
        <w:rPr>
          <w:rFonts w:ascii="Calibri" w:hAnsi="Calibri"/>
          <w:sz w:val="18"/>
          <w:szCs w:val="18"/>
        </w:rPr>
        <w:t>,</w:t>
      </w:r>
      <w:r w:rsidRPr="00D04067">
        <w:rPr>
          <w:rFonts w:ascii="Calibri" w:hAnsi="Calibri"/>
          <w:sz w:val="18"/>
          <w:szCs w:val="18"/>
        </w:rPr>
        <w:t xml:space="preserve"> however, that though framed in response to the communal title debate, many of the 2006 amendments go back to earlier discussions emerging out of the John Reeves QC report, </w:t>
      </w:r>
      <w:r w:rsidRPr="00D04067">
        <w:rPr>
          <w:rFonts w:ascii="Calibri" w:hAnsi="Calibri"/>
          <w:i/>
          <w:sz w:val="18"/>
          <w:szCs w:val="18"/>
        </w:rPr>
        <w:t>Building on Land Rights for the Next Generation. Report of the Review of the Aboriginal Land Rights (Northern Territory) Act 1976</w:t>
      </w:r>
      <w:r w:rsidRPr="00D04067">
        <w:rPr>
          <w:rFonts w:ascii="Calibri" w:hAnsi="Calibri"/>
          <w:sz w:val="18"/>
          <w:szCs w:val="18"/>
        </w:rPr>
        <w:t xml:space="preserve"> (1998); House of Representatives Standing Committee on Aboriginal and Torres Strait Islander Affairs </w:t>
      </w:r>
      <w:hyperlink r:id="rId3" w:history="1">
        <w:r w:rsidRPr="00D04067">
          <w:rPr>
            <w:rStyle w:val="Hyperlink"/>
            <w:rFonts w:ascii="Calibri" w:hAnsi="Calibri"/>
            <w:sz w:val="18"/>
            <w:szCs w:val="18"/>
          </w:rPr>
          <w:t>response to Reeves’ report</w:t>
        </w:r>
      </w:hyperlink>
      <w:r>
        <w:rPr>
          <w:rFonts w:ascii="Calibri" w:hAnsi="Calibri"/>
          <w:sz w:val="18"/>
          <w:szCs w:val="18"/>
        </w:rPr>
        <w:t>;</w:t>
      </w:r>
      <w:r w:rsidRPr="00D04067">
        <w:rPr>
          <w:rFonts w:ascii="Calibri" w:hAnsi="Calibri"/>
          <w:sz w:val="18"/>
          <w:szCs w:val="18"/>
        </w:rPr>
        <w:t xml:space="preserve"> and an earlier Options Paper by Phillip Ruddock as </w:t>
      </w:r>
      <w:r>
        <w:rPr>
          <w:rFonts w:ascii="Calibri" w:hAnsi="Calibri"/>
          <w:sz w:val="18"/>
          <w:szCs w:val="18"/>
        </w:rPr>
        <w:t>m</w:t>
      </w:r>
      <w:r w:rsidRPr="00D04067">
        <w:rPr>
          <w:rFonts w:ascii="Calibri" w:hAnsi="Calibri"/>
          <w:sz w:val="18"/>
          <w:szCs w:val="18"/>
        </w:rPr>
        <w:t>inister for Indigenous Affairs,</w:t>
      </w:r>
      <w:r>
        <w:rPr>
          <w:rFonts w:ascii="Calibri" w:hAnsi="Calibri"/>
          <w:sz w:val="18"/>
          <w:szCs w:val="18"/>
        </w:rPr>
        <w:t xml:space="preserve"> </w:t>
      </w:r>
      <w:r w:rsidRPr="00D04067">
        <w:rPr>
          <w:rFonts w:ascii="Calibri" w:hAnsi="Calibri"/>
          <w:i/>
          <w:sz w:val="18"/>
          <w:szCs w:val="18"/>
        </w:rPr>
        <w:t xml:space="preserve">Reform of the Aboriginal Land Rights (Northern Territory) Act 1976 </w:t>
      </w:r>
      <w:r w:rsidRPr="00D04067">
        <w:rPr>
          <w:rFonts w:ascii="Calibri" w:hAnsi="Calibri"/>
          <w:sz w:val="18"/>
          <w:szCs w:val="18"/>
        </w:rPr>
        <w:t xml:space="preserve">that was critical of the role of the </w:t>
      </w:r>
      <w:r>
        <w:rPr>
          <w:rFonts w:ascii="Calibri" w:hAnsi="Calibri"/>
          <w:sz w:val="18"/>
          <w:szCs w:val="18"/>
        </w:rPr>
        <w:t>Land Council</w:t>
      </w:r>
      <w:r w:rsidRPr="00D04067">
        <w:rPr>
          <w:rFonts w:ascii="Calibri" w:hAnsi="Calibri"/>
          <w:sz w:val="18"/>
          <w:szCs w:val="18"/>
        </w:rPr>
        <w:t>s and points to the failure of the ALRA to deliver economic development and, in particular</w:t>
      </w:r>
      <w:r>
        <w:rPr>
          <w:rFonts w:ascii="Calibri" w:hAnsi="Calibri"/>
          <w:sz w:val="18"/>
          <w:szCs w:val="18"/>
        </w:rPr>
        <w:t>,</w:t>
      </w:r>
      <w:r w:rsidRPr="00D04067">
        <w:rPr>
          <w:rFonts w:ascii="Calibri" w:hAnsi="Calibri"/>
          <w:sz w:val="18"/>
          <w:szCs w:val="18"/>
        </w:rPr>
        <w:t xml:space="preserve"> better facilitate mining. However, leasing and recommendations for tenure reform did not feature prominently in Reeves’ recommendations. Reeves appeared to be more focused on addressing the development interests of non-Aboriginal people on Aboriginal land.</w:t>
      </w:r>
    </w:p>
  </w:footnote>
  <w:footnote w:id="7">
    <w:p w:rsidR="00D57C33" w:rsidRPr="00D04067" w:rsidRDefault="00D57C33" w:rsidP="00A86536">
      <w:pPr>
        <w:pStyle w:val="FootnoteText"/>
        <w:rPr>
          <w:rFonts w:ascii="Calibri" w:hAnsi="Calibri"/>
          <w:sz w:val="18"/>
          <w:szCs w:val="18"/>
        </w:rPr>
      </w:pPr>
      <w:r w:rsidRPr="00D04067">
        <w:rPr>
          <w:rStyle w:val="FootnoteReference"/>
          <w:rFonts w:ascii="Calibri" w:hAnsi="Calibri"/>
          <w:sz w:val="18"/>
          <w:szCs w:val="18"/>
        </w:rPr>
        <w:footnoteRef/>
      </w:r>
      <w:r w:rsidRPr="00D04067">
        <w:rPr>
          <w:rFonts w:ascii="Calibri" w:hAnsi="Calibri"/>
          <w:sz w:val="18"/>
          <w:szCs w:val="18"/>
        </w:rPr>
        <w:t xml:space="preserve"> The terms township and community are used interchangeably in this paper. Community is the term Aboriginal residents most commonly use, whereas township is the term used in the 2006 amendments and the debates surrounding them.</w:t>
      </w:r>
    </w:p>
  </w:footnote>
  <w:footnote w:id="8">
    <w:p w:rsidR="00D57C33" w:rsidRPr="00D04067" w:rsidRDefault="00D57C33" w:rsidP="00A86536">
      <w:pPr>
        <w:pStyle w:val="FootnoteText"/>
        <w:rPr>
          <w:rFonts w:ascii="Calibri" w:hAnsi="Calibri"/>
          <w:sz w:val="18"/>
          <w:szCs w:val="18"/>
        </w:rPr>
      </w:pPr>
      <w:r w:rsidRPr="00D04067">
        <w:rPr>
          <w:rStyle w:val="FootnoteReference"/>
          <w:rFonts w:ascii="Calibri" w:hAnsi="Calibri"/>
          <w:sz w:val="18"/>
          <w:szCs w:val="18"/>
        </w:rPr>
        <w:footnoteRef/>
      </w:r>
      <w:r w:rsidRPr="00D04067">
        <w:rPr>
          <w:rFonts w:ascii="Calibri" w:hAnsi="Calibri"/>
          <w:sz w:val="18"/>
          <w:szCs w:val="18"/>
        </w:rPr>
        <w:t xml:space="preserve"> Second Reading Speech, Aboriginal Land Rights (Northern Territory)</w:t>
      </w:r>
      <w:r>
        <w:rPr>
          <w:rFonts w:ascii="Calibri" w:hAnsi="Calibri"/>
          <w:sz w:val="18"/>
          <w:szCs w:val="18"/>
        </w:rPr>
        <w:t xml:space="preserve"> </w:t>
      </w:r>
      <w:r w:rsidRPr="00D04067">
        <w:rPr>
          <w:rFonts w:ascii="Calibri" w:hAnsi="Calibri"/>
          <w:sz w:val="18"/>
          <w:szCs w:val="18"/>
        </w:rPr>
        <w:t>Amendment Bill 2006 (Cth), House of Representatives, 31 May 2006, 4 (Brough)</w:t>
      </w:r>
      <w:r>
        <w:rPr>
          <w:rFonts w:ascii="Calibri" w:hAnsi="Calibri"/>
          <w:sz w:val="18"/>
          <w:szCs w:val="18"/>
        </w:rPr>
        <w:t>.</w:t>
      </w:r>
    </w:p>
  </w:footnote>
  <w:footnote w:id="9">
    <w:p w:rsidR="00D57C33" w:rsidRPr="00D04067" w:rsidRDefault="00D57C33" w:rsidP="00BB73E9">
      <w:pPr>
        <w:pStyle w:val="FootnoteText"/>
        <w:rPr>
          <w:rFonts w:ascii="Calibri" w:hAnsi="Calibri"/>
          <w:sz w:val="18"/>
          <w:szCs w:val="18"/>
        </w:rPr>
      </w:pPr>
      <w:r w:rsidRPr="00D04067">
        <w:rPr>
          <w:rStyle w:val="FootnoteReference"/>
          <w:rFonts w:ascii="Calibri" w:hAnsi="Calibri"/>
          <w:sz w:val="18"/>
          <w:szCs w:val="18"/>
        </w:rPr>
        <w:footnoteRef/>
      </w:r>
      <w:r w:rsidRPr="00D04067">
        <w:rPr>
          <w:rFonts w:ascii="Calibri" w:hAnsi="Calibri"/>
          <w:sz w:val="18"/>
          <w:szCs w:val="18"/>
        </w:rPr>
        <w:t xml:space="preserve"> Second Reading Speech, </w:t>
      </w:r>
      <w:r w:rsidRPr="00D33BE6">
        <w:rPr>
          <w:rFonts w:ascii="Calibri" w:hAnsi="Calibri"/>
          <w:sz w:val="18"/>
          <w:szCs w:val="18"/>
        </w:rPr>
        <w:t>Aboriginal Land Rights (Northern Territory)</w:t>
      </w:r>
      <w:r>
        <w:rPr>
          <w:rFonts w:ascii="Calibri" w:hAnsi="Calibri"/>
          <w:sz w:val="18"/>
          <w:szCs w:val="18"/>
        </w:rPr>
        <w:t xml:space="preserve"> </w:t>
      </w:r>
      <w:r w:rsidRPr="00D33BE6">
        <w:rPr>
          <w:rFonts w:ascii="Calibri" w:hAnsi="Calibri"/>
          <w:sz w:val="18"/>
          <w:szCs w:val="18"/>
        </w:rPr>
        <w:t>Amendment Bill 2006 (Cth)</w:t>
      </w:r>
      <w:r w:rsidRPr="00890491">
        <w:rPr>
          <w:rFonts w:ascii="Calibri" w:hAnsi="Calibri"/>
          <w:sz w:val="18"/>
          <w:szCs w:val="18"/>
        </w:rPr>
        <w:t>,</w:t>
      </w:r>
      <w:r w:rsidRPr="00D04067">
        <w:rPr>
          <w:rFonts w:ascii="Calibri" w:hAnsi="Calibri"/>
          <w:sz w:val="18"/>
          <w:szCs w:val="18"/>
        </w:rPr>
        <w:t xml:space="preserve"> House of Representatives, 31 May 2006 (Brough), 3</w:t>
      </w:r>
      <w:r>
        <w:rPr>
          <w:rFonts w:ascii="Calibri" w:hAnsi="Calibri"/>
          <w:sz w:val="18"/>
          <w:szCs w:val="18"/>
        </w:rPr>
        <w:t>–</w:t>
      </w:r>
      <w:r w:rsidRPr="00D04067">
        <w:rPr>
          <w:rFonts w:ascii="Calibri" w:hAnsi="Calibri"/>
          <w:sz w:val="18"/>
          <w:szCs w:val="18"/>
        </w:rPr>
        <w:t>4.</w:t>
      </w:r>
    </w:p>
  </w:footnote>
  <w:footnote w:id="10">
    <w:p w:rsidR="00D57C33" w:rsidRPr="00D04067" w:rsidRDefault="00D57C33" w:rsidP="00BB73E9">
      <w:pPr>
        <w:pStyle w:val="FootnoteText"/>
        <w:rPr>
          <w:rFonts w:ascii="Calibri" w:hAnsi="Calibri"/>
          <w:sz w:val="18"/>
          <w:szCs w:val="18"/>
        </w:rPr>
      </w:pPr>
      <w:r w:rsidRPr="00D04067">
        <w:rPr>
          <w:rStyle w:val="FootnoteReference"/>
          <w:rFonts w:ascii="Calibri" w:hAnsi="Calibri"/>
          <w:sz w:val="18"/>
          <w:szCs w:val="18"/>
        </w:rPr>
        <w:footnoteRef/>
      </w:r>
      <w:r w:rsidRPr="00D04067">
        <w:rPr>
          <w:rFonts w:ascii="Calibri" w:hAnsi="Calibri"/>
          <w:sz w:val="18"/>
          <w:szCs w:val="18"/>
        </w:rPr>
        <w:t xml:space="preserve"> Ibid, 4.</w:t>
      </w:r>
    </w:p>
  </w:footnote>
  <w:footnote w:id="11">
    <w:p w:rsidR="00D57C33" w:rsidRPr="00D04067" w:rsidRDefault="00D57C33" w:rsidP="00BB73E9">
      <w:pPr>
        <w:pStyle w:val="FootnoteText"/>
        <w:rPr>
          <w:rFonts w:ascii="Calibri" w:hAnsi="Calibri"/>
          <w:sz w:val="18"/>
          <w:szCs w:val="18"/>
        </w:rPr>
      </w:pPr>
      <w:r w:rsidRPr="00D04067">
        <w:rPr>
          <w:rStyle w:val="FootnoteReference"/>
          <w:rFonts w:ascii="Calibri" w:hAnsi="Calibri"/>
          <w:sz w:val="18"/>
          <w:szCs w:val="18"/>
        </w:rPr>
        <w:footnoteRef/>
      </w:r>
      <w:r w:rsidRPr="00D04067">
        <w:rPr>
          <w:rFonts w:ascii="Calibri" w:hAnsi="Calibri"/>
          <w:sz w:val="18"/>
          <w:szCs w:val="18"/>
        </w:rPr>
        <w:t xml:space="preserve"> See NTG, ALC, NLC, CLC, TLC, </w:t>
      </w:r>
      <w:r w:rsidRPr="00D04067">
        <w:rPr>
          <w:rFonts w:ascii="Calibri" w:hAnsi="Calibri"/>
          <w:i/>
          <w:sz w:val="18"/>
          <w:szCs w:val="18"/>
        </w:rPr>
        <w:t>Detailed Joint Submission to the Commonwealth</w:t>
      </w:r>
      <w:r>
        <w:rPr>
          <w:rFonts w:ascii="Calibri" w:hAnsi="Calibri"/>
          <w:i/>
          <w:sz w:val="18"/>
          <w:szCs w:val="18"/>
        </w:rPr>
        <w:t xml:space="preserve"> –</w:t>
      </w:r>
      <w:r w:rsidRPr="00D04067">
        <w:rPr>
          <w:rFonts w:ascii="Calibri" w:hAnsi="Calibri"/>
          <w:i/>
          <w:sz w:val="18"/>
          <w:szCs w:val="18"/>
        </w:rPr>
        <w:t xml:space="preserve"> Workability Reforms of the Aboriginal Land Rights (Northern Territory) Act 1976 (ALRA)</w:t>
      </w:r>
      <w:r w:rsidRPr="00D33BE6">
        <w:rPr>
          <w:rFonts w:ascii="Calibri" w:hAnsi="Calibri"/>
          <w:sz w:val="18"/>
          <w:szCs w:val="18"/>
        </w:rPr>
        <w:t>,</w:t>
      </w:r>
      <w:r w:rsidRPr="00D04067">
        <w:rPr>
          <w:rFonts w:ascii="Calibri" w:hAnsi="Calibri"/>
          <w:sz w:val="18"/>
          <w:szCs w:val="18"/>
        </w:rPr>
        <w:t xml:space="preserve"> 2003.</w:t>
      </w:r>
    </w:p>
  </w:footnote>
  <w:footnote w:id="12">
    <w:p w:rsidR="00D57C33" w:rsidRPr="00D04067" w:rsidRDefault="00D57C33" w:rsidP="00BB73E9">
      <w:pPr>
        <w:pStyle w:val="FootnoteText"/>
        <w:rPr>
          <w:rFonts w:ascii="Calibri" w:hAnsi="Calibri"/>
          <w:sz w:val="18"/>
          <w:szCs w:val="18"/>
        </w:rPr>
      </w:pPr>
      <w:r w:rsidRPr="00D04067">
        <w:rPr>
          <w:rStyle w:val="FootnoteReference"/>
          <w:rFonts w:ascii="Calibri" w:hAnsi="Calibri"/>
          <w:sz w:val="18"/>
          <w:szCs w:val="18"/>
        </w:rPr>
        <w:footnoteRef/>
      </w:r>
      <w:r w:rsidRPr="00D04067">
        <w:rPr>
          <w:rFonts w:ascii="Calibri" w:hAnsi="Calibri"/>
          <w:sz w:val="18"/>
          <w:szCs w:val="18"/>
        </w:rPr>
        <w:t xml:space="preserve"> That is, transfer would be possible ‘subject to the terms and conditions on which the initial grant of the estate or interest was made.’ Commentators includ</w:t>
      </w:r>
      <w:r>
        <w:rPr>
          <w:rFonts w:ascii="Calibri" w:hAnsi="Calibri"/>
          <w:sz w:val="18"/>
          <w:szCs w:val="18"/>
        </w:rPr>
        <w:t>ed</w:t>
      </w:r>
      <w:r w:rsidRPr="00D04067">
        <w:rPr>
          <w:rFonts w:ascii="Calibri" w:hAnsi="Calibri"/>
          <w:sz w:val="18"/>
          <w:szCs w:val="18"/>
        </w:rPr>
        <w:t xml:space="preserve"> Neville Jones, then </w:t>
      </w:r>
      <w:r>
        <w:rPr>
          <w:rFonts w:ascii="Calibri" w:hAnsi="Calibri"/>
          <w:sz w:val="18"/>
          <w:szCs w:val="18"/>
        </w:rPr>
        <w:t>d</w:t>
      </w:r>
      <w:r w:rsidRPr="00D04067">
        <w:rPr>
          <w:rFonts w:ascii="Calibri" w:hAnsi="Calibri"/>
          <w:sz w:val="18"/>
          <w:szCs w:val="18"/>
        </w:rPr>
        <w:t xml:space="preserve">irector of the NT Government’s Office of Aboriginal Development, </w:t>
      </w:r>
      <w:r>
        <w:rPr>
          <w:rFonts w:ascii="Calibri" w:hAnsi="Calibri"/>
          <w:sz w:val="18"/>
          <w:szCs w:val="18"/>
        </w:rPr>
        <w:t xml:space="preserve">who </w:t>
      </w:r>
      <w:r w:rsidRPr="00D04067">
        <w:rPr>
          <w:rFonts w:ascii="Calibri" w:hAnsi="Calibri"/>
          <w:sz w:val="18"/>
          <w:szCs w:val="18"/>
        </w:rPr>
        <w:t>highlighted what he considered a problem with s 19(8) for prospective financiers</w:t>
      </w:r>
      <w:r>
        <w:rPr>
          <w:rFonts w:ascii="Calibri" w:hAnsi="Calibri"/>
          <w:sz w:val="18"/>
          <w:szCs w:val="18"/>
        </w:rPr>
        <w:t xml:space="preserve"> in his paper</w:t>
      </w:r>
      <w:r w:rsidRPr="00D04067">
        <w:rPr>
          <w:rFonts w:ascii="Calibri" w:hAnsi="Calibri"/>
          <w:sz w:val="18"/>
          <w:szCs w:val="18"/>
        </w:rPr>
        <w:t xml:space="preserve"> </w:t>
      </w:r>
      <w:r w:rsidRPr="00D33BE6">
        <w:rPr>
          <w:rFonts w:ascii="Calibri" w:hAnsi="Calibri"/>
          <w:sz w:val="18"/>
          <w:szCs w:val="18"/>
        </w:rPr>
        <w:t>Commercial Use of Aboriginal Land in the Territory</w:t>
      </w:r>
      <w:r w:rsidRPr="00D04067">
        <w:rPr>
          <w:rFonts w:ascii="Calibri" w:hAnsi="Calibri"/>
          <w:i/>
          <w:sz w:val="18"/>
          <w:szCs w:val="18"/>
        </w:rPr>
        <w:t xml:space="preserve"> </w:t>
      </w:r>
      <w:r w:rsidRPr="00D04067">
        <w:rPr>
          <w:rFonts w:ascii="Calibri" w:hAnsi="Calibri"/>
          <w:sz w:val="18"/>
          <w:szCs w:val="18"/>
        </w:rPr>
        <w:t>(1998)</w:t>
      </w:r>
      <w:r>
        <w:rPr>
          <w:rFonts w:ascii="Calibri" w:hAnsi="Calibri"/>
          <w:sz w:val="18"/>
          <w:szCs w:val="18"/>
        </w:rPr>
        <w:t>,</w:t>
      </w:r>
      <w:r w:rsidRPr="00D04067">
        <w:rPr>
          <w:rFonts w:ascii="Calibri" w:hAnsi="Calibri"/>
          <w:sz w:val="18"/>
          <w:szCs w:val="18"/>
        </w:rPr>
        <w:t xml:space="preserve"> Office of Aboriginal Development (Unpublished). The paper incorporate</w:t>
      </w:r>
      <w:r>
        <w:rPr>
          <w:rFonts w:ascii="Calibri" w:hAnsi="Calibri"/>
          <w:sz w:val="18"/>
          <w:szCs w:val="18"/>
        </w:rPr>
        <w:t>d</w:t>
      </w:r>
      <w:r w:rsidRPr="00D04067">
        <w:rPr>
          <w:rFonts w:ascii="Calibri" w:hAnsi="Calibri"/>
          <w:sz w:val="18"/>
          <w:szCs w:val="18"/>
        </w:rPr>
        <w:t xml:space="preserve"> concerns expressed by the Australian Bankers Association. A version of this paper formed the basis of chapters 17 and 18 of the Northern Territory Government </w:t>
      </w:r>
      <w:r w:rsidRPr="00D33BE6">
        <w:rPr>
          <w:rFonts w:ascii="Calibri" w:hAnsi="Calibri"/>
          <w:sz w:val="18"/>
          <w:szCs w:val="18"/>
        </w:rPr>
        <w:t>submission</w:t>
      </w:r>
      <w:r>
        <w:rPr>
          <w:rFonts w:ascii="Calibri" w:hAnsi="Calibri"/>
          <w:color w:val="FF0000"/>
          <w:sz w:val="18"/>
          <w:szCs w:val="18"/>
        </w:rPr>
        <w:t xml:space="preserve"> </w:t>
      </w:r>
      <w:r w:rsidRPr="00D04067">
        <w:rPr>
          <w:rFonts w:ascii="Calibri" w:hAnsi="Calibri"/>
          <w:sz w:val="18"/>
          <w:szCs w:val="18"/>
        </w:rPr>
        <w:t>to the Reeves review.</w:t>
      </w:r>
    </w:p>
  </w:footnote>
  <w:footnote w:id="13">
    <w:p w:rsidR="00D57C33" w:rsidRPr="00D33BE6" w:rsidRDefault="00D57C33" w:rsidP="00BB73E9">
      <w:pPr>
        <w:pStyle w:val="FootnoteText"/>
        <w:rPr>
          <w:rFonts w:ascii="Calibri" w:hAnsi="Calibri"/>
          <w:sz w:val="18"/>
          <w:szCs w:val="18"/>
        </w:rPr>
      </w:pPr>
      <w:r>
        <w:rPr>
          <w:rStyle w:val="FootnoteReference"/>
        </w:rPr>
        <w:footnoteRef/>
      </w:r>
      <w:r>
        <w:t xml:space="preserve"> </w:t>
      </w:r>
      <w:r w:rsidRPr="00D33BE6">
        <w:rPr>
          <w:rFonts w:ascii="Calibri" w:hAnsi="Calibri"/>
          <w:sz w:val="18"/>
          <w:szCs w:val="18"/>
        </w:rPr>
        <w:t>M Tehan in Godden and Tehan (Eds), above n 15, 367.</w:t>
      </w:r>
    </w:p>
  </w:footnote>
  <w:footnote w:id="14">
    <w:p w:rsidR="00D57C33" w:rsidRPr="00D04067" w:rsidRDefault="00D57C33" w:rsidP="00BB73E9">
      <w:pPr>
        <w:pStyle w:val="FootnoteText"/>
        <w:rPr>
          <w:rFonts w:ascii="Calibri" w:hAnsi="Calibri"/>
          <w:sz w:val="18"/>
          <w:szCs w:val="18"/>
        </w:rPr>
      </w:pPr>
      <w:r w:rsidRPr="00D04067">
        <w:rPr>
          <w:rStyle w:val="FootnoteReference"/>
          <w:rFonts w:ascii="Calibri" w:hAnsi="Calibri"/>
          <w:sz w:val="18"/>
          <w:szCs w:val="18"/>
        </w:rPr>
        <w:footnoteRef/>
      </w:r>
      <w:r w:rsidRPr="00D04067">
        <w:rPr>
          <w:rFonts w:ascii="Calibri" w:hAnsi="Calibri"/>
          <w:sz w:val="18"/>
          <w:szCs w:val="18"/>
        </w:rPr>
        <w:t xml:space="preserve"> See CLC evidence to Senate Standing Committee on Community Affairs, </w:t>
      </w:r>
      <w:r w:rsidRPr="00D04067">
        <w:rPr>
          <w:rFonts w:ascii="Calibri" w:hAnsi="Calibri"/>
          <w:i/>
          <w:sz w:val="18"/>
          <w:szCs w:val="18"/>
        </w:rPr>
        <w:t>Inquiry into Aboriginal Land Rights (Northern Territory) Amendment Bill 2006</w:t>
      </w:r>
      <w:r w:rsidRPr="00D04067">
        <w:rPr>
          <w:rFonts w:ascii="Calibri" w:hAnsi="Calibri"/>
          <w:sz w:val="18"/>
          <w:szCs w:val="18"/>
        </w:rPr>
        <w:t xml:space="preserve"> (21 July 2006) </w:t>
      </w:r>
      <w:hyperlink r:id="rId4" w:history="1">
        <w:r w:rsidRPr="00D04067">
          <w:rPr>
            <w:rStyle w:val="Hyperlink"/>
            <w:rFonts w:ascii="Calibri" w:hAnsi="Calibri"/>
            <w:sz w:val="18"/>
            <w:szCs w:val="18"/>
          </w:rPr>
          <w:t>transcript of evidence</w:t>
        </w:r>
      </w:hyperlink>
      <w:r w:rsidRPr="00D04067">
        <w:rPr>
          <w:rFonts w:ascii="Calibri" w:hAnsi="Calibri"/>
          <w:sz w:val="18"/>
          <w:szCs w:val="18"/>
        </w:rPr>
        <w:t>, 24</w:t>
      </w:r>
      <w:r>
        <w:rPr>
          <w:rFonts w:ascii="Calibri" w:hAnsi="Calibri"/>
          <w:sz w:val="18"/>
          <w:szCs w:val="18"/>
        </w:rPr>
        <w:t>.</w:t>
      </w:r>
    </w:p>
  </w:footnote>
  <w:footnote w:id="15">
    <w:p w:rsidR="00D57C33" w:rsidRPr="00D04067" w:rsidRDefault="00D57C33" w:rsidP="006B443C">
      <w:pPr>
        <w:pStyle w:val="FootnoteText"/>
        <w:rPr>
          <w:rFonts w:ascii="Calibri" w:hAnsi="Calibri"/>
          <w:sz w:val="18"/>
          <w:szCs w:val="18"/>
        </w:rPr>
      </w:pPr>
      <w:r w:rsidRPr="00D04067">
        <w:rPr>
          <w:rStyle w:val="FootnoteReference"/>
          <w:rFonts w:ascii="Calibri" w:hAnsi="Calibri"/>
          <w:sz w:val="18"/>
          <w:szCs w:val="18"/>
        </w:rPr>
        <w:footnoteRef/>
      </w:r>
      <w:r w:rsidRPr="00D04067">
        <w:rPr>
          <w:rFonts w:ascii="Calibri" w:hAnsi="Calibri"/>
          <w:sz w:val="18"/>
          <w:szCs w:val="18"/>
        </w:rPr>
        <w:t xml:space="preserve"> ABC News Online. Brough ‘bullying’ Wadeye into signing 99-year lease. Available at: </w:t>
      </w:r>
      <w:hyperlink r:id="rId5" w:history="1">
        <w:r w:rsidRPr="00D04067">
          <w:rPr>
            <w:rStyle w:val="Hyperlink"/>
            <w:rFonts w:ascii="Calibri" w:hAnsi="Calibri"/>
            <w:sz w:val="18"/>
            <w:szCs w:val="18"/>
          </w:rPr>
          <w:t>http://www.abc.net.au/news/2006-11-17/brough-bullying-wadeye-into-signing-99-year-lease/1312246</w:t>
        </w:r>
      </w:hyperlink>
      <w:r w:rsidRPr="00D04067">
        <w:rPr>
          <w:rFonts w:ascii="Calibri" w:hAnsi="Calibri"/>
          <w:sz w:val="18"/>
          <w:szCs w:val="18"/>
        </w:rPr>
        <w:t xml:space="preserve"> accessed 11 June 2013; </w:t>
      </w:r>
      <w:r>
        <w:rPr>
          <w:rFonts w:ascii="Calibri" w:hAnsi="Calibri"/>
          <w:sz w:val="18"/>
          <w:szCs w:val="18"/>
        </w:rPr>
        <w:t>e</w:t>
      </w:r>
      <w:r w:rsidRPr="00D04067">
        <w:rPr>
          <w:rFonts w:ascii="Calibri" w:hAnsi="Calibri"/>
          <w:sz w:val="18"/>
          <w:szCs w:val="18"/>
        </w:rPr>
        <w:t>vidence of the NLC to Senate Committee re Elcho Island, transcript p 17.</w:t>
      </w:r>
    </w:p>
  </w:footnote>
  <w:footnote w:id="16">
    <w:p w:rsidR="00D57C33" w:rsidRPr="00D04067" w:rsidRDefault="00D57C33" w:rsidP="00C1541B">
      <w:pPr>
        <w:pStyle w:val="FootnoteText"/>
        <w:rPr>
          <w:rFonts w:ascii="Calibri" w:hAnsi="Calibri"/>
          <w:sz w:val="18"/>
          <w:szCs w:val="18"/>
        </w:rPr>
      </w:pPr>
      <w:r w:rsidRPr="00D04067">
        <w:rPr>
          <w:rStyle w:val="FootnoteReference"/>
          <w:rFonts w:ascii="Calibri" w:hAnsi="Calibri"/>
          <w:sz w:val="18"/>
          <w:szCs w:val="18"/>
        </w:rPr>
        <w:footnoteRef/>
      </w:r>
      <w:r w:rsidRPr="00D04067">
        <w:rPr>
          <w:rFonts w:ascii="Calibri" w:hAnsi="Calibri"/>
          <w:sz w:val="18"/>
          <w:szCs w:val="18"/>
        </w:rPr>
        <w:t xml:space="preserve"> M Tehan in Godden and Tehan (Eds), above n 14, 367. </w:t>
      </w:r>
    </w:p>
  </w:footnote>
  <w:footnote w:id="17">
    <w:p w:rsidR="00D57C33" w:rsidRPr="00D04067" w:rsidRDefault="00D57C33">
      <w:pPr>
        <w:pStyle w:val="FootnoteText"/>
        <w:rPr>
          <w:rFonts w:ascii="Calibri" w:hAnsi="Calibri"/>
          <w:sz w:val="18"/>
          <w:szCs w:val="18"/>
        </w:rPr>
      </w:pPr>
      <w:r w:rsidRPr="00D04067">
        <w:rPr>
          <w:rStyle w:val="FootnoteReference"/>
          <w:rFonts w:ascii="Calibri" w:hAnsi="Calibri"/>
          <w:sz w:val="18"/>
          <w:szCs w:val="18"/>
        </w:rPr>
        <w:footnoteRef/>
      </w:r>
      <w:r w:rsidRPr="00D04067">
        <w:rPr>
          <w:rFonts w:ascii="Calibri" w:hAnsi="Calibri"/>
          <w:sz w:val="18"/>
          <w:szCs w:val="18"/>
        </w:rPr>
        <w:t xml:space="preserve"> Senate Standing Committee on Community Affairs, </w:t>
      </w:r>
      <w:r w:rsidRPr="00D04067">
        <w:rPr>
          <w:rFonts w:ascii="Calibri" w:hAnsi="Calibri"/>
          <w:i/>
          <w:sz w:val="18"/>
          <w:szCs w:val="18"/>
        </w:rPr>
        <w:t>Inquiry into Aboriginal Land Rights (Northern Territory) Amendment Bill 2006</w:t>
      </w:r>
      <w:r w:rsidRPr="00D04067">
        <w:rPr>
          <w:rFonts w:ascii="Calibri" w:hAnsi="Calibri"/>
          <w:sz w:val="18"/>
          <w:szCs w:val="18"/>
        </w:rPr>
        <w:t xml:space="preserve">, respective </w:t>
      </w:r>
      <w:hyperlink r:id="rId6" w:history="1">
        <w:r w:rsidRPr="00D04067">
          <w:rPr>
            <w:rStyle w:val="Hyperlink"/>
            <w:rFonts w:ascii="Calibri" w:hAnsi="Calibri"/>
            <w:sz w:val="18"/>
            <w:szCs w:val="18"/>
          </w:rPr>
          <w:t>CLC</w:t>
        </w:r>
      </w:hyperlink>
      <w:r w:rsidRPr="00D04067">
        <w:rPr>
          <w:rFonts w:ascii="Calibri" w:hAnsi="Calibri"/>
          <w:sz w:val="18"/>
          <w:szCs w:val="18"/>
        </w:rPr>
        <w:t xml:space="preserve"> and </w:t>
      </w:r>
      <w:hyperlink r:id="rId7" w:history="1">
        <w:r w:rsidRPr="00D04067">
          <w:rPr>
            <w:rStyle w:val="Hyperlink"/>
            <w:rFonts w:ascii="Calibri" w:hAnsi="Calibri"/>
            <w:sz w:val="18"/>
            <w:szCs w:val="18"/>
          </w:rPr>
          <w:t>NLC</w:t>
        </w:r>
      </w:hyperlink>
      <w:r w:rsidRPr="00D04067">
        <w:rPr>
          <w:rFonts w:ascii="Calibri" w:hAnsi="Calibri"/>
          <w:sz w:val="18"/>
          <w:szCs w:val="18"/>
        </w:rPr>
        <w:t xml:space="preserve"> submissions. </w:t>
      </w:r>
    </w:p>
  </w:footnote>
  <w:footnote w:id="18">
    <w:p w:rsidR="00D57C33" w:rsidRPr="00D04067" w:rsidRDefault="00D57C33" w:rsidP="00B126DC">
      <w:pPr>
        <w:pStyle w:val="FootnoteText"/>
        <w:rPr>
          <w:rFonts w:ascii="Calibri" w:hAnsi="Calibri"/>
          <w:sz w:val="18"/>
          <w:szCs w:val="18"/>
        </w:rPr>
      </w:pPr>
      <w:r w:rsidRPr="00D04067">
        <w:rPr>
          <w:rStyle w:val="FootnoteReference"/>
          <w:rFonts w:ascii="Calibri" w:hAnsi="Calibri"/>
          <w:sz w:val="18"/>
          <w:szCs w:val="18"/>
        </w:rPr>
        <w:footnoteRef/>
      </w:r>
      <w:r w:rsidRPr="00D04067">
        <w:rPr>
          <w:rFonts w:ascii="Calibri" w:hAnsi="Calibri"/>
          <w:sz w:val="18"/>
          <w:szCs w:val="18"/>
        </w:rPr>
        <w:t xml:space="preserve"> As Brennan notes in </w:t>
      </w:r>
      <w:hyperlink r:id="rId8" w:history="1">
        <w:r w:rsidRPr="00D04067">
          <w:rPr>
            <w:rStyle w:val="Hyperlink"/>
            <w:rFonts w:ascii="Calibri" w:hAnsi="Calibri"/>
            <w:sz w:val="18"/>
            <w:szCs w:val="18"/>
          </w:rPr>
          <w:t>his submission</w:t>
        </w:r>
      </w:hyperlink>
      <w:r w:rsidRPr="00D04067">
        <w:rPr>
          <w:rFonts w:ascii="Calibri" w:hAnsi="Calibri"/>
          <w:sz w:val="18"/>
          <w:szCs w:val="18"/>
        </w:rPr>
        <w:t xml:space="preserve"> to the Senate Standing Committee on Community Affairs , </w:t>
      </w:r>
      <w:r w:rsidRPr="00D04067">
        <w:rPr>
          <w:rFonts w:ascii="Calibri" w:hAnsi="Calibri"/>
          <w:i/>
          <w:sz w:val="18"/>
          <w:szCs w:val="18"/>
        </w:rPr>
        <w:t>Inquiry into Aboriginal Land Rights (Northern Territory) Amendment Bill 2006</w:t>
      </w:r>
      <w:r>
        <w:rPr>
          <w:rFonts w:ascii="Calibri" w:hAnsi="Calibri"/>
          <w:sz w:val="18"/>
          <w:szCs w:val="18"/>
        </w:rPr>
        <w:t>,</w:t>
      </w:r>
      <w:r w:rsidRPr="00D04067">
        <w:rPr>
          <w:rFonts w:ascii="Calibri" w:hAnsi="Calibri"/>
          <w:i/>
          <w:sz w:val="18"/>
          <w:szCs w:val="18"/>
        </w:rPr>
        <w:t xml:space="preserve"> </w:t>
      </w:r>
      <w:r w:rsidRPr="00D04067">
        <w:rPr>
          <w:rFonts w:ascii="Calibri" w:hAnsi="Calibri"/>
          <w:sz w:val="18"/>
          <w:szCs w:val="18"/>
        </w:rPr>
        <w:t>this constrains traditional owners</w:t>
      </w:r>
      <w:r>
        <w:rPr>
          <w:rFonts w:ascii="Calibri" w:hAnsi="Calibri"/>
          <w:sz w:val="18"/>
          <w:szCs w:val="18"/>
        </w:rPr>
        <w:t>’</w:t>
      </w:r>
      <w:r w:rsidRPr="00D04067">
        <w:rPr>
          <w:rFonts w:ascii="Calibri" w:hAnsi="Calibri"/>
          <w:sz w:val="18"/>
          <w:szCs w:val="18"/>
        </w:rPr>
        <w:t xml:space="preserve"> ordinary bargaining position under the ALRA.</w:t>
      </w:r>
    </w:p>
  </w:footnote>
  <w:footnote w:id="19">
    <w:p w:rsidR="00D57C33" w:rsidRPr="00D04067" w:rsidRDefault="00D57C33" w:rsidP="00604259">
      <w:pPr>
        <w:pStyle w:val="FootnoteText"/>
        <w:rPr>
          <w:rFonts w:ascii="Calibri" w:hAnsi="Calibri"/>
          <w:sz w:val="18"/>
          <w:szCs w:val="18"/>
        </w:rPr>
      </w:pPr>
      <w:r w:rsidRPr="00D04067">
        <w:rPr>
          <w:rStyle w:val="FootnoteReference"/>
          <w:rFonts w:ascii="Calibri" w:hAnsi="Calibri"/>
          <w:sz w:val="18"/>
          <w:szCs w:val="18"/>
        </w:rPr>
        <w:footnoteRef/>
      </w:r>
      <w:r w:rsidRPr="00D04067">
        <w:rPr>
          <w:rFonts w:ascii="Calibri" w:hAnsi="Calibri"/>
          <w:sz w:val="18"/>
          <w:szCs w:val="18"/>
        </w:rPr>
        <w:t xml:space="preserve"> Though the township leasing scheme appeared, on the face of the legislation, to marginalise traditional owners</w:t>
      </w:r>
      <w:r>
        <w:rPr>
          <w:rFonts w:ascii="Calibri" w:hAnsi="Calibri"/>
          <w:sz w:val="18"/>
          <w:szCs w:val="18"/>
        </w:rPr>
        <w:t>,</w:t>
      </w:r>
      <w:r w:rsidRPr="00D04067">
        <w:rPr>
          <w:rFonts w:ascii="Calibri" w:hAnsi="Calibri"/>
          <w:sz w:val="18"/>
          <w:szCs w:val="18"/>
        </w:rPr>
        <w:t xml:space="preserve"> Terrill notes that in practice the Wurrumiyanga/Nguiu township lease ‘has been promoted, and apparently also </w:t>
      </w:r>
      <w:r>
        <w:rPr>
          <w:rFonts w:ascii="Calibri" w:hAnsi="Calibri"/>
          <w:sz w:val="18"/>
          <w:szCs w:val="18"/>
        </w:rPr>
        <w:t xml:space="preserve">been </w:t>
      </w:r>
      <w:r w:rsidRPr="00D04067">
        <w:rPr>
          <w:rFonts w:ascii="Calibri" w:hAnsi="Calibri"/>
          <w:sz w:val="18"/>
          <w:szCs w:val="18"/>
        </w:rPr>
        <w:t xml:space="preserve">received, as a vehicle for giving traditional owners greater input into land-use decisions. This is because, previously, [informal] decision-making about land use tended to occur at the community level, and at times traditional owners have been excluded from that process. </w:t>
      </w:r>
      <w:r>
        <w:rPr>
          <w:rFonts w:ascii="Calibri" w:hAnsi="Calibri"/>
          <w:sz w:val="18"/>
          <w:szCs w:val="18"/>
        </w:rPr>
        <w:t>T</w:t>
      </w:r>
      <w:r w:rsidRPr="00D04067">
        <w:rPr>
          <w:rFonts w:ascii="Calibri" w:hAnsi="Calibri"/>
          <w:sz w:val="18"/>
          <w:szCs w:val="18"/>
        </w:rPr>
        <w:t xml:space="preserve">he Wurrumiyanga township lease has increased the authority of traditional owners. This sits awkwardly with earlier arguments by the Australian Government that township leasing would allow non-traditional owner residents to escape the “feudal” control of traditional owners.’ L Terrill, </w:t>
      </w:r>
      <w:r>
        <w:rPr>
          <w:rFonts w:ascii="Calibri" w:hAnsi="Calibri"/>
          <w:sz w:val="18"/>
          <w:szCs w:val="18"/>
        </w:rPr>
        <w:t>‘</w:t>
      </w:r>
      <w:r w:rsidRPr="00C83D2D">
        <w:rPr>
          <w:rFonts w:ascii="Calibri" w:hAnsi="Calibri"/>
          <w:sz w:val="18"/>
          <w:szCs w:val="18"/>
        </w:rPr>
        <w:t>5 years on: Confusion, illusion and township leasing on Aboriginal Land</w:t>
      </w:r>
      <w:r>
        <w:rPr>
          <w:rFonts w:ascii="Calibri" w:hAnsi="Calibri"/>
          <w:sz w:val="18"/>
          <w:szCs w:val="18"/>
        </w:rPr>
        <w:t xml:space="preserve">’(2011) </w:t>
      </w:r>
      <w:r w:rsidRPr="00D04067">
        <w:rPr>
          <w:rFonts w:ascii="Calibri" w:hAnsi="Calibri"/>
          <w:sz w:val="18"/>
          <w:szCs w:val="18"/>
        </w:rPr>
        <w:t xml:space="preserve">1 </w:t>
      </w:r>
      <w:r w:rsidRPr="00D46028">
        <w:rPr>
          <w:rFonts w:ascii="Calibri" w:hAnsi="Calibri"/>
          <w:i/>
          <w:sz w:val="18"/>
          <w:szCs w:val="18"/>
        </w:rPr>
        <w:t>Property Law Review</w:t>
      </w:r>
      <w:r w:rsidRPr="00D04067">
        <w:rPr>
          <w:rFonts w:ascii="Calibri" w:hAnsi="Calibri"/>
          <w:sz w:val="18"/>
          <w:szCs w:val="18"/>
        </w:rPr>
        <w:t xml:space="preserve"> 160, 173. </w:t>
      </w:r>
    </w:p>
  </w:footnote>
  <w:footnote w:id="20">
    <w:p w:rsidR="00D57C33" w:rsidRPr="00D04067" w:rsidRDefault="00D57C33">
      <w:pPr>
        <w:pStyle w:val="FootnoteText"/>
        <w:rPr>
          <w:rFonts w:ascii="Calibri" w:hAnsi="Calibri"/>
          <w:sz w:val="18"/>
          <w:szCs w:val="18"/>
        </w:rPr>
      </w:pPr>
      <w:r w:rsidRPr="00D04067">
        <w:rPr>
          <w:rStyle w:val="FootnoteReference"/>
          <w:rFonts w:ascii="Calibri" w:hAnsi="Calibri"/>
          <w:sz w:val="18"/>
          <w:szCs w:val="18"/>
        </w:rPr>
        <w:footnoteRef/>
      </w:r>
      <w:r w:rsidRPr="00D04067">
        <w:rPr>
          <w:rFonts w:ascii="Calibri" w:hAnsi="Calibri"/>
          <w:sz w:val="18"/>
          <w:szCs w:val="18"/>
        </w:rPr>
        <w:t xml:space="preserve"> M Tehan in Godden and Tehan (Eds), </w:t>
      </w:r>
      <w:r w:rsidRPr="00D04067">
        <w:rPr>
          <w:rFonts w:ascii="Calibri" w:hAnsi="Calibri"/>
          <w:i/>
          <w:sz w:val="18"/>
          <w:szCs w:val="18"/>
        </w:rPr>
        <w:t xml:space="preserve">Comparative perspectives on communal lands and individual ownership: sustainable futures, </w:t>
      </w:r>
      <w:r w:rsidRPr="00D04067">
        <w:rPr>
          <w:rFonts w:ascii="Calibri" w:hAnsi="Calibri"/>
          <w:sz w:val="18"/>
          <w:szCs w:val="18"/>
        </w:rPr>
        <w:t>355.</w:t>
      </w:r>
    </w:p>
  </w:footnote>
  <w:footnote w:id="21">
    <w:p w:rsidR="00D57C33" w:rsidRPr="00D04067" w:rsidRDefault="00D57C33">
      <w:pPr>
        <w:pStyle w:val="FootnoteText"/>
        <w:rPr>
          <w:rFonts w:ascii="Calibri" w:hAnsi="Calibri"/>
          <w:sz w:val="18"/>
          <w:szCs w:val="18"/>
        </w:rPr>
      </w:pPr>
      <w:r w:rsidRPr="00D04067">
        <w:rPr>
          <w:rStyle w:val="FootnoteReference"/>
          <w:rFonts w:ascii="Calibri" w:hAnsi="Calibri"/>
          <w:sz w:val="18"/>
          <w:szCs w:val="18"/>
        </w:rPr>
        <w:footnoteRef/>
      </w:r>
      <w:r w:rsidRPr="00D04067">
        <w:rPr>
          <w:rFonts w:ascii="Calibri" w:hAnsi="Calibri"/>
          <w:sz w:val="18"/>
          <w:szCs w:val="18"/>
        </w:rPr>
        <w:t xml:space="preserve"> L Terrill, </w:t>
      </w:r>
      <w:r>
        <w:rPr>
          <w:rFonts w:ascii="Calibri" w:hAnsi="Calibri"/>
          <w:sz w:val="18"/>
          <w:szCs w:val="18"/>
        </w:rPr>
        <w:t>‘</w:t>
      </w:r>
      <w:r w:rsidRPr="00D46028">
        <w:rPr>
          <w:rFonts w:ascii="Calibri" w:hAnsi="Calibri"/>
          <w:sz w:val="18"/>
          <w:szCs w:val="18"/>
        </w:rPr>
        <w:t>Days of the Failed Collective: Communal Ownership, Individual Ownership and Township Leasing in Aboriginal Communities in the Northern Territory</w:t>
      </w:r>
      <w:r>
        <w:rPr>
          <w:rFonts w:ascii="Calibri" w:hAnsi="Calibri"/>
          <w:sz w:val="18"/>
          <w:szCs w:val="18"/>
        </w:rPr>
        <w:t>’</w:t>
      </w:r>
      <w:r w:rsidRPr="00DF1C8E">
        <w:rPr>
          <w:rFonts w:ascii="Calibri" w:hAnsi="Calibri"/>
          <w:sz w:val="18"/>
          <w:szCs w:val="18"/>
        </w:rPr>
        <w:t>,</w:t>
      </w:r>
      <w:r w:rsidRPr="00D04067">
        <w:rPr>
          <w:rFonts w:ascii="Calibri" w:hAnsi="Calibri"/>
          <w:sz w:val="18"/>
          <w:szCs w:val="18"/>
        </w:rPr>
        <w:t xml:space="preserve"> (2009) 32(3) </w:t>
      </w:r>
      <w:r w:rsidRPr="00D46028">
        <w:rPr>
          <w:rFonts w:ascii="Calibri" w:hAnsi="Calibri"/>
          <w:i/>
          <w:sz w:val="18"/>
          <w:szCs w:val="18"/>
        </w:rPr>
        <w:t>UNSW Law Journal</w:t>
      </w:r>
      <w:r w:rsidRPr="00D04067">
        <w:rPr>
          <w:rFonts w:ascii="Calibri" w:hAnsi="Calibri"/>
          <w:sz w:val="18"/>
          <w:szCs w:val="18"/>
        </w:rPr>
        <w:t>, 814, 816.</w:t>
      </w:r>
      <w:r>
        <w:rPr>
          <w:rFonts w:ascii="Calibri" w:hAnsi="Calibri"/>
          <w:sz w:val="18"/>
          <w:szCs w:val="18"/>
        </w:rPr>
        <w:t xml:space="preserve"> </w:t>
      </w:r>
    </w:p>
  </w:footnote>
  <w:footnote w:id="22">
    <w:p w:rsidR="00D57C33" w:rsidRPr="00D04067" w:rsidRDefault="00D57C33">
      <w:pPr>
        <w:pStyle w:val="FootnoteText"/>
        <w:rPr>
          <w:rFonts w:ascii="Calibri" w:hAnsi="Calibri"/>
          <w:sz w:val="18"/>
          <w:szCs w:val="18"/>
        </w:rPr>
      </w:pPr>
      <w:r w:rsidRPr="00D04067">
        <w:rPr>
          <w:rStyle w:val="FootnoteReference"/>
          <w:rFonts w:ascii="Calibri" w:hAnsi="Calibri"/>
          <w:sz w:val="18"/>
          <w:szCs w:val="18"/>
        </w:rPr>
        <w:footnoteRef/>
      </w:r>
      <w:r w:rsidRPr="00D04067">
        <w:rPr>
          <w:rFonts w:ascii="Calibri" w:hAnsi="Calibri"/>
          <w:sz w:val="18"/>
          <w:szCs w:val="18"/>
        </w:rPr>
        <w:t xml:space="preserve"> L Terrill, </w:t>
      </w:r>
      <w:r w:rsidRPr="00D46028">
        <w:rPr>
          <w:rFonts w:ascii="Calibri" w:hAnsi="Calibri"/>
          <w:sz w:val="18"/>
          <w:szCs w:val="18"/>
        </w:rPr>
        <w:t>Indigenous land reform: what is the real aim of reforms?</w:t>
      </w:r>
      <w:r w:rsidRPr="00D04067">
        <w:rPr>
          <w:rFonts w:ascii="Calibri" w:hAnsi="Calibri"/>
          <w:i/>
          <w:sz w:val="18"/>
          <w:szCs w:val="18"/>
        </w:rPr>
        <w:t xml:space="preserve"> </w:t>
      </w:r>
      <w:r w:rsidRPr="00D04067">
        <w:rPr>
          <w:rFonts w:ascii="Calibri" w:hAnsi="Calibri"/>
          <w:sz w:val="18"/>
          <w:szCs w:val="18"/>
        </w:rPr>
        <w:t>Presentation by the author at the 2010 National Native Title Conference (Unpublished), 9.</w:t>
      </w:r>
    </w:p>
  </w:footnote>
  <w:footnote w:id="23">
    <w:p w:rsidR="00D57C33" w:rsidRPr="00D04067" w:rsidRDefault="00D57C33" w:rsidP="00016937">
      <w:pPr>
        <w:pStyle w:val="FootnoteText"/>
        <w:rPr>
          <w:rFonts w:ascii="Calibri" w:hAnsi="Calibri"/>
          <w:sz w:val="18"/>
          <w:szCs w:val="18"/>
        </w:rPr>
      </w:pPr>
      <w:r w:rsidRPr="00D04067">
        <w:rPr>
          <w:rStyle w:val="FootnoteReference"/>
          <w:rFonts w:ascii="Calibri" w:hAnsi="Calibri"/>
          <w:sz w:val="18"/>
          <w:szCs w:val="18"/>
        </w:rPr>
        <w:footnoteRef/>
      </w:r>
      <w:r w:rsidRPr="00D04067">
        <w:rPr>
          <w:rFonts w:ascii="Calibri" w:hAnsi="Calibri"/>
          <w:sz w:val="18"/>
          <w:szCs w:val="18"/>
        </w:rPr>
        <w:t xml:space="preserve"> Ibid, 9. </w:t>
      </w:r>
    </w:p>
  </w:footnote>
  <w:footnote w:id="24">
    <w:p w:rsidR="00D57C33" w:rsidRPr="00D04067" w:rsidRDefault="00D57C33">
      <w:pPr>
        <w:pStyle w:val="FootnoteText"/>
        <w:rPr>
          <w:rFonts w:ascii="Calibri" w:hAnsi="Calibri"/>
          <w:sz w:val="18"/>
          <w:szCs w:val="18"/>
        </w:rPr>
      </w:pPr>
      <w:r w:rsidRPr="00D04067">
        <w:rPr>
          <w:rStyle w:val="FootnoteReference"/>
          <w:rFonts w:ascii="Calibri" w:hAnsi="Calibri"/>
          <w:sz w:val="18"/>
          <w:szCs w:val="18"/>
        </w:rPr>
        <w:footnoteRef/>
      </w:r>
      <w:r w:rsidRPr="00D04067">
        <w:rPr>
          <w:rFonts w:ascii="Calibri" w:hAnsi="Calibri"/>
          <w:sz w:val="18"/>
          <w:szCs w:val="18"/>
        </w:rPr>
        <w:t xml:space="preserve"> </w:t>
      </w:r>
      <w:r w:rsidRPr="007570B6">
        <w:rPr>
          <w:rFonts w:ascii="Calibri" w:hAnsi="Calibri"/>
          <w:sz w:val="18"/>
          <w:szCs w:val="18"/>
        </w:rPr>
        <w:t>Of the remaining eleven</w:t>
      </w:r>
      <w:r w:rsidRPr="007570B6">
        <w:rPr>
          <w:rFonts w:ascii="Calibri" w:hAnsi="Calibri"/>
          <w:color w:val="FF0000"/>
          <w:sz w:val="18"/>
          <w:szCs w:val="18"/>
        </w:rPr>
        <w:t>,</w:t>
      </w:r>
      <w:r>
        <w:rPr>
          <w:rFonts w:ascii="Calibri" w:hAnsi="Calibri"/>
          <w:sz w:val="18"/>
          <w:szCs w:val="18"/>
        </w:rPr>
        <w:t xml:space="preserve"> o</w:t>
      </w:r>
      <w:r w:rsidRPr="00D04067">
        <w:rPr>
          <w:rFonts w:ascii="Calibri" w:hAnsi="Calibri"/>
          <w:sz w:val="18"/>
          <w:szCs w:val="18"/>
        </w:rPr>
        <w:t xml:space="preserve">ne is on ‘vacant crown land’ under a land </w:t>
      </w:r>
      <w:r w:rsidRPr="007570B6">
        <w:rPr>
          <w:rFonts w:ascii="Calibri" w:hAnsi="Calibri"/>
          <w:sz w:val="18"/>
          <w:szCs w:val="18"/>
        </w:rPr>
        <w:t xml:space="preserve">claim and the </w:t>
      </w:r>
      <w:r w:rsidRPr="00D04067">
        <w:rPr>
          <w:rFonts w:ascii="Calibri" w:hAnsi="Calibri"/>
          <w:sz w:val="18"/>
          <w:szCs w:val="18"/>
        </w:rPr>
        <w:t xml:space="preserve">other </w:t>
      </w:r>
      <w:r>
        <w:rPr>
          <w:rFonts w:ascii="Calibri" w:hAnsi="Calibri"/>
          <w:sz w:val="18"/>
          <w:szCs w:val="18"/>
        </w:rPr>
        <w:t>ten</w:t>
      </w:r>
      <w:r w:rsidRPr="00D04067">
        <w:rPr>
          <w:rFonts w:ascii="Calibri" w:hAnsi="Calibri"/>
          <w:sz w:val="18"/>
          <w:szCs w:val="18"/>
        </w:rPr>
        <w:t xml:space="preserve"> are on Community Living Area (CLA) title, a form of NT Freehold excised from pastoral leases and held by an Aboriginal association or corporation. </w:t>
      </w:r>
    </w:p>
  </w:footnote>
  <w:footnote w:id="25">
    <w:p w:rsidR="00D57C33" w:rsidRPr="00D04067" w:rsidRDefault="00D57C33">
      <w:pPr>
        <w:pStyle w:val="FootnoteText"/>
        <w:rPr>
          <w:rFonts w:ascii="Calibri" w:hAnsi="Calibri"/>
          <w:sz w:val="18"/>
          <w:szCs w:val="18"/>
        </w:rPr>
      </w:pPr>
      <w:r w:rsidRPr="00D04067">
        <w:rPr>
          <w:rStyle w:val="FootnoteReference"/>
          <w:rFonts w:ascii="Calibri" w:hAnsi="Calibri"/>
          <w:sz w:val="18"/>
          <w:szCs w:val="18"/>
        </w:rPr>
        <w:footnoteRef/>
      </w:r>
      <w:r w:rsidRPr="00D04067">
        <w:rPr>
          <w:rFonts w:ascii="Calibri" w:hAnsi="Calibri"/>
          <w:sz w:val="18"/>
          <w:szCs w:val="18"/>
        </w:rPr>
        <w:t xml:space="preserve"> Commonwealth of Australia, House of Representatives, Parliamentary Debates, 7 August 2007 (Second Reading Speech, 13 (Brough)</w:t>
      </w:r>
      <w:r>
        <w:rPr>
          <w:rFonts w:ascii="Calibri" w:hAnsi="Calibri"/>
          <w:sz w:val="18"/>
          <w:szCs w:val="18"/>
        </w:rPr>
        <w:t>.</w:t>
      </w:r>
    </w:p>
  </w:footnote>
  <w:footnote w:id="26">
    <w:p w:rsidR="00D57C33" w:rsidRPr="00D04067" w:rsidRDefault="00D57C33">
      <w:pPr>
        <w:pStyle w:val="FootnoteText"/>
        <w:rPr>
          <w:rFonts w:ascii="Calibri" w:hAnsi="Calibri"/>
          <w:sz w:val="18"/>
          <w:szCs w:val="18"/>
        </w:rPr>
      </w:pPr>
      <w:r w:rsidRPr="00D04067">
        <w:rPr>
          <w:rStyle w:val="FootnoteReference"/>
          <w:rFonts w:ascii="Calibri" w:hAnsi="Calibri"/>
          <w:sz w:val="18"/>
          <w:szCs w:val="18"/>
        </w:rPr>
        <w:footnoteRef/>
      </w:r>
      <w:r w:rsidRPr="00D04067">
        <w:rPr>
          <w:rFonts w:ascii="Calibri" w:hAnsi="Calibri"/>
          <w:sz w:val="18"/>
          <w:szCs w:val="18"/>
        </w:rPr>
        <w:t xml:space="preserve"> Commonwealth of Australia, House of Representatives Parliamentary Debates, 7 August 2007 (Second Reading Speech), 8 (Brough).</w:t>
      </w:r>
    </w:p>
  </w:footnote>
  <w:footnote w:id="27">
    <w:p w:rsidR="00D57C33" w:rsidRPr="00D04067" w:rsidRDefault="00D57C33">
      <w:pPr>
        <w:pStyle w:val="FootnoteText"/>
        <w:rPr>
          <w:rFonts w:ascii="Calibri" w:hAnsi="Calibri"/>
          <w:sz w:val="18"/>
          <w:szCs w:val="18"/>
        </w:rPr>
      </w:pPr>
      <w:r w:rsidRPr="00D04067">
        <w:rPr>
          <w:rStyle w:val="FootnoteReference"/>
          <w:rFonts w:ascii="Calibri" w:hAnsi="Calibri"/>
          <w:sz w:val="18"/>
          <w:szCs w:val="18"/>
        </w:rPr>
        <w:footnoteRef/>
      </w:r>
      <w:r w:rsidRPr="00D04067">
        <w:rPr>
          <w:rFonts w:ascii="Calibri" w:hAnsi="Calibri"/>
          <w:sz w:val="18"/>
          <w:szCs w:val="18"/>
        </w:rPr>
        <w:t xml:space="preserve"> Despite this welcome commitment, the Australian Government’s preferred model for securing voluntary leases remained </w:t>
      </w:r>
      <w:r>
        <w:rPr>
          <w:rFonts w:ascii="Calibri" w:hAnsi="Calibri"/>
          <w:sz w:val="18"/>
          <w:szCs w:val="18"/>
        </w:rPr>
        <w:t>that of</w:t>
      </w:r>
      <w:r w:rsidRPr="00D04067">
        <w:rPr>
          <w:rFonts w:ascii="Calibri" w:hAnsi="Calibri"/>
          <w:sz w:val="18"/>
          <w:szCs w:val="18"/>
        </w:rPr>
        <w:t xml:space="preserve"> whole of township leases (see below).</w:t>
      </w:r>
    </w:p>
  </w:footnote>
  <w:footnote w:id="28">
    <w:p w:rsidR="00D57C33" w:rsidRPr="008F0B42" w:rsidRDefault="00D57C33" w:rsidP="008F0B42">
      <w:pPr>
        <w:pStyle w:val="FootnoteText"/>
        <w:keepLines/>
        <w:rPr>
          <w:rFonts w:ascii="Calibri" w:hAnsi="Calibri"/>
          <w:sz w:val="18"/>
          <w:szCs w:val="18"/>
        </w:rPr>
      </w:pPr>
      <w:r w:rsidRPr="00D04067">
        <w:rPr>
          <w:rStyle w:val="FootnoteReference"/>
          <w:rFonts w:ascii="Calibri" w:hAnsi="Calibri"/>
          <w:sz w:val="18"/>
          <w:szCs w:val="18"/>
        </w:rPr>
        <w:footnoteRef/>
      </w:r>
      <w:r w:rsidRPr="00D04067">
        <w:rPr>
          <w:rFonts w:ascii="Calibri" w:hAnsi="Calibri"/>
          <w:sz w:val="18"/>
          <w:szCs w:val="18"/>
        </w:rPr>
        <w:t xml:space="preserve"> The </w:t>
      </w:r>
      <w:hyperlink r:id="rId9" w:history="1">
        <w:r w:rsidRPr="00D04067">
          <w:rPr>
            <w:rStyle w:val="Hyperlink"/>
            <w:rFonts w:ascii="Calibri" w:hAnsi="Calibri"/>
            <w:sz w:val="18"/>
            <w:szCs w:val="18"/>
          </w:rPr>
          <w:t>Australian Government’s own evaluation of the NT Emergency Response</w:t>
        </w:r>
      </w:hyperlink>
      <w:r w:rsidRPr="00D04067">
        <w:rPr>
          <w:rFonts w:ascii="Calibri" w:hAnsi="Calibri"/>
          <w:sz w:val="18"/>
          <w:szCs w:val="18"/>
        </w:rPr>
        <w:t xml:space="preserve"> (at page 11) recognised the problems caused by the compulsory a</w:t>
      </w:r>
      <w:r w:rsidR="008F0B42">
        <w:rPr>
          <w:rFonts w:ascii="Calibri" w:hAnsi="Calibri"/>
          <w:sz w:val="18"/>
          <w:szCs w:val="18"/>
        </w:rPr>
        <w:t>cquisition of five year leases.</w:t>
      </w:r>
    </w:p>
  </w:footnote>
  <w:footnote w:id="29">
    <w:p w:rsidR="00D57C33" w:rsidRPr="00D04067" w:rsidRDefault="00D57C33" w:rsidP="001C4D9E">
      <w:pPr>
        <w:pStyle w:val="FootnoteText"/>
        <w:rPr>
          <w:rFonts w:ascii="Calibri" w:hAnsi="Calibri"/>
          <w:sz w:val="18"/>
          <w:szCs w:val="18"/>
        </w:rPr>
      </w:pPr>
      <w:r w:rsidRPr="00D04067">
        <w:rPr>
          <w:rStyle w:val="FootnoteReference"/>
          <w:rFonts w:ascii="Calibri" w:hAnsi="Calibri"/>
          <w:sz w:val="18"/>
          <w:szCs w:val="18"/>
        </w:rPr>
        <w:footnoteRef/>
      </w:r>
      <w:r w:rsidRPr="00D04067">
        <w:rPr>
          <w:rFonts w:ascii="Calibri" w:hAnsi="Calibri"/>
          <w:sz w:val="18"/>
          <w:szCs w:val="18"/>
        </w:rPr>
        <w:t xml:space="preserve"> L Terrill, </w:t>
      </w:r>
      <w:r>
        <w:rPr>
          <w:rFonts w:ascii="Calibri" w:hAnsi="Calibri"/>
          <w:sz w:val="18"/>
          <w:szCs w:val="18"/>
        </w:rPr>
        <w:t>‘</w:t>
      </w:r>
      <w:r w:rsidRPr="0008374A">
        <w:rPr>
          <w:rFonts w:ascii="Calibri" w:hAnsi="Calibri"/>
          <w:sz w:val="18"/>
          <w:szCs w:val="18"/>
        </w:rPr>
        <w:t>Indigenous Land Reform: An economic or bureaucratic reform?</w:t>
      </w:r>
      <w:r>
        <w:rPr>
          <w:rFonts w:ascii="Calibri" w:hAnsi="Calibri"/>
          <w:sz w:val="18"/>
          <w:szCs w:val="18"/>
        </w:rPr>
        <w:t>’</w:t>
      </w:r>
      <w:r w:rsidRPr="00D04067">
        <w:rPr>
          <w:rFonts w:ascii="Calibri" w:hAnsi="Calibri"/>
          <w:i/>
          <w:sz w:val="18"/>
          <w:szCs w:val="18"/>
        </w:rPr>
        <w:t xml:space="preserve"> </w:t>
      </w:r>
      <w:r w:rsidRPr="00D04067">
        <w:rPr>
          <w:rFonts w:ascii="Calibri" w:hAnsi="Calibri"/>
          <w:sz w:val="18"/>
          <w:szCs w:val="18"/>
        </w:rPr>
        <w:t xml:space="preserve">(2010) 7(17) </w:t>
      </w:r>
      <w:r w:rsidRPr="0008374A">
        <w:rPr>
          <w:rFonts w:ascii="Calibri" w:hAnsi="Calibri"/>
          <w:i/>
          <w:sz w:val="18"/>
          <w:szCs w:val="18"/>
        </w:rPr>
        <w:t>Indigenous Law Bulletin</w:t>
      </w:r>
      <w:r w:rsidRPr="00D04067">
        <w:rPr>
          <w:rFonts w:ascii="Calibri" w:hAnsi="Calibri"/>
          <w:sz w:val="18"/>
          <w:szCs w:val="18"/>
        </w:rPr>
        <w:t>, 5.</w:t>
      </w:r>
    </w:p>
  </w:footnote>
  <w:footnote w:id="30">
    <w:p w:rsidR="00D57C33" w:rsidRPr="00D04067" w:rsidRDefault="00D57C33" w:rsidP="0008374A">
      <w:pPr>
        <w:pStyle w:val="FootnoteText"/>
        <w:keepLines/>
        <w:rPr>
          <w:rFonts w:ascii="Calibri" w:hAnsi="Calibri"/>
          <w:sz w:val="18"/>
          <w:szCs w:val="18"/>
        </w:rPr>
      </w:pPr>
      <w:r w:rsidRPr="00D04067">
        <w:rPr>
          <w:rStyle w:val="FootnoteReference"/>
          <w:rFonts w:ascii="Calibri" w:hAnsi="Calibri"/>
          <w:sz w:val="18"/>
          <w:szCs w:val="18"/>
        </w:rPr>
        <w:footnoteRef/>
      </w:r>
      <w:r w:rsidRPr="00D04067">
        <w:rPr>
          <w:rFonts w:ascii="Calibri" w:hAnsi="Calibri"/>
          <w:sz w:val="18"/>
          <w:szCs w:val="18"/>
        </w:rPr>
        <w:t xml:space="preserve"> In the context of housing precinct leases</w:t>
      </w:r>
      <w:r>
        <w:rPr>
          <w:rFonts w:ascii="Calibri" w:hAnsi="Calibri"/>
          <w:sz w:val="18"/>
          <w:szCs w:val="18"/>
        </w:rPr>
        <w:t>,</w:t>
      </w:r>
      <w:r w:rsidRPr="00D04067">
        <w:rPr>
          <w:rFonts w:ascii="Calibri" w:hAnsi="Calibri"/>
          <w:sz w:val="18"/>
          <w:szCs w:val="18"/>
        </w:rPr>
        <w:t xml:space="preserve"> the CLC has been concerned by the transfer of housing from community housing organisations to Territory Housing that occurred under compulsory five year leases. In negotiating subsequent voluntary leases the CLC negotiated to prevent complete institutionalisation of government ownership and responsibility for housing through leases to the Executive Director of Township Leasing (EDTL</w:t>
      </w:r>
      <w:r>
        <w:rPr>
          <w:rFonts w:ascii="Calibri" w:hAnsi="Calibri"/>
          <w:sz w:val="18"/>
          <w:szCs w:val="18"/>
        </w:rPr>
        <w:t xml:space="preserve"> –</w:t>
      </w:r>
      <w:r w:rsidRPr="00D04067">
        <w:rPr>
          <w:rFonts w:ascii="Calibri" w:hAnsi="Calibri"/>
          <w:sz w:val="18"/>
          <w:szCs w:val="18"/>
        </w:rPr>
        <w:t xml:space="preserve"> a Commonwealth statutory entity) rather than directly to Territory Housing. In all cases Territory Housing has been granted a shorter</w:t>
      </w:r>
      <w:r>
        <w:rPr>
          <w:rFonts w:ascii="Calibri" w:hAnsi="Calibri"/>
          <w:sz w:val="18"/>
          <w:szCs w:val="18"/>
        </w:rPr>
        <w:t>-</w:t>
      </w:r>
      <w:r w:rsidRPr="00D04067">
        <w:rPr>
          <w:rFonts w:ascii="Calibri" w:hAnsi="Calibri"/>
          <w:sz w:val="18"/>
          <w:szCs w:val="18"/>
        </w:rPr>
        <w:t xml:space="preserve">term sub-lease and the EDTL </w:t>
      </w:r>
      <w:r>
        <w:rPr>
          <w:rFonts w:ascii="Calibri" w:hAnsi="Calibri"/>
          <w:sz w:val="18"/>
          <w:szCs w:val="18"/>
        </w:rPr>
        <w:t xml:space="preserve">can grant </w:t>
      </w:r>
      <w:r w:rsidRPr="00D04067">
        <w:rPr>
          <w:rFonts w:ascii="Calibri" w:hAnsi="Calibri"/>
          <w:sz w:val="18"/>
          <w:szCs w:val="18"/>
        </w:rPr>
        <w:t>subsequent sub</w:t>
      </w:r>
      <w:r>
        <w:rPr>
          <w:rFonts w:ascii="Calibri" w:hAnsi="Calibri"/>
          <w:sz w:val="18"/>
          <w:szCs w:val="18"/>
        </w:rPr>
        <w:t>-</w:t>
      </w:r>
      <w:r w:rsidRPr="00D04067">
        <w:rPr>
          <w:rFonts w:ascii="Calibri" w:hAnsi="Calibri"/>
          <w:sz w:val="18"/>
          <w:szCs w:val="18"/>
        </w:rPr>
        <w:t>leases to ‘any appropriate body.’ The agreed lease provides oversight through performance reviews of any sub</w:t>
      </w:r>
      <w:r>
        <w:rPr>
          <w:rFonts w:ascii="Calibri" w:hAnsi="Calibri"/>
          <w:sz w:val="18"/>
          <w:szCs w:val="18"/>
        </w:rPr>
        <w:t>-</w:t>
      </w:r>
      <w:r w:rsidRPr="00D04067">
        <w:rPr>
          <w:rFonts w:ascii="Calibri" w:hAnsi="Calibri"/>
          <w:sz w:val="18"/>
          <w:szCs w:val="18"/>
        </w:rPr>
        <w:t>lessee (including Territory Housing). It is hoped that, following the dissolution of Indigenous Community Housing Organisations, this will provide Indigenous organisations with the time and opportunity to develop sustainable models in order to re-enter the housing sphere as housing managers following the first sub-lease to Territory Housing.</w:t>
      </w:r>
    </w:p>
  </w:footnote>
  <w:footnote w:id="31">
    <w:p w:rsidR="00D57C33" w:rsidRPr="00B00678" w:rsidRDefault="00D57C33" w:rsidP="00F80D39">
      <w:pPr>
        <w:pStyle w:val="FootnoteText"/>
        <w:rPr>
          <w:rFonts w:asciiTheme="minorHAnsi" w:hAnsiTheme="minorHAnsi"/>
          <w:sz w:val="18"/>
          <w:szCs w:val="18"/>
        </w:rPr>
      </w:pPr>
      <w:r w:rsidRPr="00B00678">
        <w:rPr>
          <w:rStyle w:val="FootnoteReference"/>
          <w:rFonts w:asciiTheme="minorHAnsi" w:hAnsiTheme="minorHAnsi"/>
          <w:sz w:val="18"/>
          <w:szCs w:val="18"/>
        </w:rPr>
        <w:footnoteRef/>
      </w:r>
      <w:r w:rsidRPr="00B00678">
        <w:rPr>
          <w:rFonts w:asciiTheme="minorHAnsi" w:hAnsiTheme="minorHAnsi"/>
          <w:sz w:val="18"/>
          <w:szCs w:val="18"/>
        </w:rPr>
        <w:t xml:space="preserve"> These figures include leases progressed to consent on ALRA and CLA land between June 2007 and June 2015</w:t>
      </w:r>
      <w:r>
        <w:rPr>
          <w:rFonts w:asciiTheme="minorHAnsi" w:hAnsiTheme="minorHAnsi"/>
          <w:sz w:val="18"/>
          <w:szCs w:val="18"/>
        </w:rPr>
        <w:t xml:space="preserve"> (on a lot by lot basis)</w:t>
      </w:r>
      <w:r w:rsidRPr="00B00678">
        <w:rPr>
          <w:rFonts w:asciiTheme="minorHAnsi" w:hAnsiTheme="minorHAnsi"/>
          <w:sz w:val="18"/>
          <w:szCs w:val="18"/>
        </w:rPr>
        <w:t>.  It does</w:t>
      </w:r>
      <w:r>
        <w:rPr>
          <w:rFonts w:asciiTheme="minorHAnsi" w:hAnsiTheme="minorHAnsi"/>
          <w:sz w:val="18"/>
          <w:szCs w:val="18"/>
        </w:rPr>
        <w:t xml:space="preserve"> not </w:t>
      </w:r>
      <w:r w:rsidRPr="00B00678">
        <w:rPr>
          <w:rFonts w:asciiTheme="minorHAnsi" w:hAnsiTheme="minorHAnsi"/>
          <w:sz w:val="18"/>
          <w:szCs w:val="18"/>
        </w:rPr>
        <w:t>include leases that have been applied for but have not yet been processed, or leases refused or withdrawn.</w:t>
      </w:r>
    </w:p>
  </w:footnote>
  <w:footnote w:id="32">
    <w:p w:rsidR="00D57C33" w:rsidRPr="002B5067" w:rsidRDefault="00D57C33">
      <w:pPr>
        <w:pStyle w:val="FootnoteText"/>
        <w:rPr>
          <w:rFonts w:asciiTheme="minorHAnsi" w:hAnsiTheme="minorHAnsi"/>
          <w:sz w:val="18"/>
          <w:szCs w:val="18"/>
        </w:rPr>
      </w:pPr>
      <w:r w:rsidRPr="002B5067">
        <w:rPr>
          <w:rStyle w:val="FootnoteReference"/>
          <w:rFonts w:asciiTheme="minorHAnsi" w:hAnsiTheme="minorHAnsi"/>
          <w:sz w:val="18"/>
          <w:szCs w:val="18"/>
        </w:rPr>
        <w:footnoteRef/>
      </w:r>
      <w:r w:rsidRPr="002B5067">
        <w:rPr>
          <w:rFonts w:asciiTheme="minorHAnsi" w:hAnsiTheme="minorHAnsi"/>
          <w:sz w:val="18"/>
          <w:szCs w:val="18"/>
        </w:rPr>
        <w:t xml:space="preserve"> It is worth noting that only three communities in the CLC region – Lajamanu, Yuendumu and Hermannsburg – were offered new houses.  Other communities received housing upgrades and a rebuild of existing houses classified as ‘beyond economic repair’.</w:t>
      </w:r>
    </w:p>
  </w:footnote>
  <w:footnote w:id="33">
    <w:p w:rsidR="00D57C33" w:rsidRPr="00DC2266" w:rsidRDefault="00D57C33">
      <w:pPr>
        <w:pStyle w:val="FootnoteText"/>
        <w:rPr>
          <w:rFonts w:asciiTheme="minorHAnsi" w:hAnsiTheme="minorHAnsi"/>
          <w:sz w:val="18"/>
          <w:szCs w:val="18"/>
        </w:rPr>
      </w:pPr>
      <w:r w:rsidRPr="00DC2266">
        <w:rPr>
          <w:rStyle w:val="FootnoteReference"/>
          <w:rFonts w:asciiTheme="minorHAnsi" w:hAnsiTheme="minorHAnsi"/>
          <w:sz w:val="18"/>
          <w:szCs w:val="18"/>
        </w:rPr>
        <w:footnoteRef/>
      </w:r>
      <w:r w:rsidRPr="00DC2266">
        <w:rPr>
          <w:rFonts w:asciiTheme="minorHAnsi" w:hAnsiTheme="minorHAnsi"/>
          <w:sz w:val="18"/>
          <w:szCs w:val="18"/>
        </w:rPr>
        <w:t xml:space="preserve"> Minister for Indigenous Affairs quoted in the Koori Mail, 26 March 2014 at http://minister.indigenous.gov.au/media/2014-03-26/land-reform-future-published-koori-mail</w:t>
      </w:r>
    </w:p>
  </w:footnote>
  <w:footnote w:id="34">
    <w:p w:rsidR="00D57C33" w:rsidRPr="00BE5AEF" w:rsidRDefault="00D57C33">
      <w:pPr>
        <w:pStyle w:val="FootnoteText"/>
        <w:rPr>
          <w:rFonts w:asciiTheme="minorHAnsi" w:hAnsiTheme="minorHAnsi"/>
          <w:sz w:val="18"/>
          <w:szCs w:val="18"/>
        </w:rPr>
      </w:pPr>
      <w:r w:rsidRPr="00BE5AEF">
        <w:rPr>
          <w:rStyle w:val="FootnoteReference"/>
          <w:rFonts w:asciiTheme="minorHAnsi" w:hAnsiTheme="minorHAnsi"/>
          <w:sz w:val="18"/>
          <w:szCs w:val="18"/>
        </w:rPr>
        <w:footnoteRef/>
      </w:r>
      <w:r w:rsidRPr="00BE5AEF">
        <w:rPr>
          <w:rFonts w:asciiTheme="minorHAnsi" w:hAnsiTheme="minorHAnsi"/>
          <w:sz w:val="18"/>
          <w:szCs w:val="18"/>
        </w:rPr>
        <w:t xml:space="preserve"> Letter from the Department of Prime Minister and Cabinet</w:t>
      </w:r>
      <w:r>
        <w:rPr>
          <w:rFonts w:asciiTheme="minorHAnsi" w:hAnsiTheme="minorHAnsi"/>
          <w:sz w:val="18"/>
          <w:szCs w:val="18"/>
        </w:rPr>
        <w:t xml:space="preserve"> to a community in the CLC region</w:t>
      </w:r>
      <w:r w:rsidRPr="00BE5AEF">
        <w:rPr>
          <w:rFonts w:asciiTheme="minorHAnsi" w:hAnsiTheme="minorHAnsi"/>
          <w:sz w:val="18"/>
          <w:szCs w:val="18"/>
        </w:rPr>
        <w:t>, dated November 2014</w:t>
      </w:r>
    </w:p>
  </w:footnote>
  <w:footnote w:id="35">
    <w:p w:rsidR="00D57C33" w:rsidRPr="009F5225" w:rsidRDefault="00D57C33" w:rsidP="00877E69">
      <w:pPr>
        <w:autoSpaceDE w:val="0"/>
        <w:autoSpaceDN w:val="0"/>
        <w:adjustRightInd w:val="0"/>
        <w:spacing w:line="276" w:lineRule="auto"/>
        <w:rPr>
          <w:rFonts w:asciiTheme="minorHAnsi" w:hAnsiTheme="minorHAnsi" w:cs="Arial Black"/>
          <w:color w:val="000000"/>
          <w:sz w:val="18"/>
          <w:szCs w:val="18"/>
        </w:rPr>
      </w:pPr>
      <w:r>
        <w:rPr>
          <w:rStyle w:val="FootnoteReference"/>
        </w:rPr>
        <w:footnoteRef/>
      </w:r>
      <w:r>
        <w:t xml:space="preserve"> </w:t>
      </w:r>
      <w:r w:rsidRPr="009F5225">
        <w:rPr>
          <w:rFonts w:asciiTheme="minorHAnsi" w:hAnsiTheme="minorHAnsi" w:cs="Arial Black"/>
          <w:color w:val="000000"/>
          <w:sz w:val="18"/>
          <w:szCs w:val="18"/>
        </w:rPr>
        <w:t>The Parliament of the Commonwealth of Australia,</w:t>
      </w:r>
    </w:p>
    <w:p w:rsidR="00D57C33" w:rsidRPr="009F5225" w:rsidRDefault="00D57C33" w:rsidP="00877E69">
      <w:pPr>
        <w:autoSpaceDE w:val="0"/>
        <w:autoSpaceDN w:val="0"/>
        <w:adjustRightInd w:val="0"/>
        <w:spacing w:line="276" w:lineRule="auto"/>
        <w:rPr>
          <w:rFonts w:asciiTheme="minorHAnsi" w:hAnsiTheme="minorHAnsi" w:cs="Arial Black"/>
          <w:color w:val="000000"/>
          <w:sz w:val="18"/>
          <w:szCs w:val="18"/>
        </w:rPr>
      </w:pPr>
      <w:r w:rsidRPr="009F5225">
        <w:rPr>
          <w:rFonts w:ascii="Arial Black" w:hAnsi="Arial Black" w:cs="Arial Black"/>
          <w:color w:val="000000"/>
          <w:sz w:val="18"/>
          <w:szCs w:val="18"/>
        </w:rPr>
        <w:t xml:space="preserve"> </w:t>
      </w:r>
      <w:r w:rsidRPr="009F5225">
        <w:rPr>
          <w:rFonts w:asciiTheme="minorHAnsi" w:hAnsiTheme="minorHAnsi" w:cs="Arial Black"/>
          <w:bCs/>
          <w:color w:val="000000"/>
          <w:sz w:val="18"/>
          <w:szCs w:val="18"/>
        </w:rPr>
        <w:t xml:space="preserve">PIVOT NORTH Inquiry into the Development of Northern Australia: Final Report </w:t>
      </w:r>
    </w:p>
    <w:p w:rsidR="00D57C33" w:rsidRPr="009F5225" w:rsidRDefault="00D57C33" w:rsidP="00877E69">
      <w:pPr>
        <w:spacing w:line="276" w:lineRule="auto"/>
        <w:rPr>
          <w:rFonts w:asciiTheme="minorHAnsi" w:hAnsiTheme="minorHAnsi"/>
          <w:sz w:val="18"/>
          <w:szCs w:val="18"/>
        </w:rPr>
      </w:pPr>
      <w:r w:rsidRPr="009F5225">
        <w:rPr>
          <w:rFonts w:asciiTheme="minorHAnsi" w:hAnsiTheme="minorHAnsi" w:cs="Arial Narrow"/>
          <w:bCs/>
          <w:color w:val="000000"/>
          <w:sz w:val="18"/>
          <w:szCs w:val="18"/>
        </w:rPr>
        <w:t>Joint Select Committee on Northern Australia</w:t>
      </w:r>
      <w:r>
        <w:rPr>
          <w:rFonts w:asciiTheme="minorHAnsi" w:hAnsiTheme="minorHAnsi" w:cs="Arial Narrow"/>
          <w:bCs/>
          <w:color w:val="000000"/>
          <w:sz w:val="18"/>
          <w:szCs w:val="18"/>
        </w:rPr>
        <w:t>, p.194</w:t>
      </w:r>
    </w:p>
    <w:p w:rsidR="00D57C33" w:rsidRDefault="00AA401F" w:rsidP="00877E69">
      <w:pPr>
        <w:pStyle w:val="FootnoteText"/>
      </w:pPr>
      <w:hyperlink r:id="rId10" w:history="1">
        <w:r w:rsidR="00D57C33" w:rsidRPr="009F5225">
          <w:rPr>
            <w:rStyle w:val="Hyperlink"/>
            <w:rFonts w:asciiTheme="minorHAnsi" w:hAnsiTheme="minorHAnsi"/>
            <w:sz w:val="18"/>
            <w:szCs w:val="18"/>
          </w:rPr>
          <w:t>http://www.aph.gov.au/Parliamentary_Business/Committees/Joint/Northern_Australia/Inquiry_into_the_Development_of_Northern_Australia/Tabled_Reports</w:t>
        </w:r>
      </w:hyperlink>
    </w:p>
  </w:footnote>
  <w:footnote w:id="36">
    <w:p w:rsidR="00D57C33" w:rsidRPr="009848CD" w:rsidRDefault="00D57C33" w:rsidP="005D0DE3">
      <w:pPr>
        <w:pStyle w:val="FootnoteText"/>
        <w:rPr>
          <w:rFonts w:asciiTheme="minorHAnsi" w:hAnsiTheme="minorHAnsi"/>
          <w:sz w:val="18"/>
          <w:szCs w:val="18"/>
        </w:rPr>
      </w:pPr>
      <w:r w:rsidRPr="009848CD">
        <w:rPr>
          <w:rStyle w:val="FootnoteReference"/>
          <w:rFonts w:asciiTheme="minorHAnsi" w:hAnsiTheme="minorHAnsi"/>
          <w:sz w:val="18"/>
          <w:szCs w:val="18"/>
        </w:rPr>
        <w:footnoteRef/>
      </w:r>
      <w:r w:rsidRPr="009848CD">
        <w:rPr>
          <w:rFonts w:asciiTheme="minorHAnsi" w:hAnsiTheme="minorHAnsi"/>
          <w:sz w:val="18"/>
          <w:szCs w:val="18"/>
        </w:rPr>
        <w:t xml:space="preserve"> Terrill, L 2014-5, ‘The Language we use to debate Aboriginal Land Reform in Australia’, </w:t>
      </w:r>
      <w:r w:rsidRPr="009848CD">
        <w:rPr>
          <w:rFonts w:asciiTheme="minorHAnsi" w:hAnsiTheme="minorHAnsi"/>
          <w:i/>
          <w:sz w:val="18"/>
          <w:szCs w:val="18"/>
        </w:rPr>
        <w:t>Australian Indigenous Law Review</w:t>
      </w:r>
      <w:r w:rsidRPr="009848CD">
        <w:rPr>
          <w:rFonts w:asciiTheme="minorHAnsi" w:hAnsiTheme="minorHAnsi"/>
          <w:sz w:val="18"/>
          <w:szCs w:val="18"/>
        </w:rPr>
        <w:t>, vol. 18, no.1, University of New South Wales</w:t>
      </w:r>
    </w:p>
  </w:footnote>
  <w:footnote w:id="37">
    <w:p w:rsidR="00D57C33" w:rsidRPr="00D04067" w:rsidRDefault="00D57C33" w:rsidP="005D0DE3">
      <w:pPr>
        <w:pStyle w:val="FootnoteText"/>
        <w:rPr>
          <w:rFonts w:ascii="Calibri" w:hAnsi="Calibri"/>
          <w:sz w:val="18"/>
          <w:szCs w:val="18"/>
        </w:rPr>
      </w:pPr>
      <w:r w:rsidRPr="00D04067">
        <w:rPr>
          <w:rStyle w:val="FootnoteReference"/>
          <w:rFonts w:ascii="Calibri" w:hAnsi="Calibri"/>
          <w:sz w:val="18"/>
          <w:szCs w:val="18"/>
        </w:rPr>
        <w:footnoteRef/>
      </w:r>
      <w:r w:rsidRPr="00D04067">
        <w:rPr>
          <w:rFonts w:ascii="Calibri" w:hAnsi="Calibri"/>
          <w:sz w:val="18"/>
          <w:szCs w:val="18"/>
        </w:rPr>
        <w:t xml:space="preserve"> In a</w:t>
      </w:r>
      <w:hyperlink r:id="rId11" w:history="1">
        <w:r w:rsidRPr="00D04067">
          <w:rPr>
            <w:rStyle w:val="Hyperlink"/>
            <w:rFonts w:ascii="Calibri" w:hAnsi="Calibri"/>
            <w:sz w:val="18"/>
            <w:szCs w:val="18"/>
          </w:rPr>
          <w:t xml:space="preserve"> submission</w:t>
        </w:r>
      </w:hyperlink>
      <w:r w:rsidRPr="00D04067">
        <w:rPr>
          <w:rFonts w:ascii="Calibri" w:hAnsi="Calibri"/>
          <w:sz w:val="18"/>
          <w:szCs w:val="18"/>
        </w:rPr>
        <w:t xml:space="preserve"> to the </w:t>
      </w:r>
      <w:r w:rsidRPr="007F3415">
        <w:rPr>
          <w:rFonts w:ascii="Calibri" w:hAnsi="Calibri"/>
          <w:sz w:val="18"/>
          <w:szCs w:val="18"/>
        </w:rPr>
        <w:t>Senate Standing Committee</w:t>
      </w:r>
      <w:r>
        <w:rPr>
          <w:rFonts w:ascii="Calibri" w:hAnsi="Calibri"/>
          <w:sz w:val="18"/>
          <w:szCs w:val="18"/>
        </w:rPr>
        <w:t>,</w:t>
      </w:r>
      <w:r w:rsidRPr="007F3415">
        <w:rPr>
          <w:rFonts w:ascii="Calibri" w:hAnsi="Calibri"/>
          <w:sz w:val="18"/>
          <w:szCs w:val="18"/>
        </w:rPr>
        <w:t xml:space="preserve"> </w:t>
      </w:r>
      <w:r w:rsidRPr="00DF1C8E">
        <w:rPr>
          <w:rFonts w:ascii="Calibri" w:hAnsi="Calibri"/>
          <w:i/>
          <w:sz w:val="18"/>
          <w:szCs w:val="18"/>
        </w:rPr>
        <w:t>Inquiry into the Stronger Futures in the Northern Territory Bill 2011 and Two related Bills</w:t>
      </w:r>
      <w:r w:rsidRPr="00D04067">
        <w:rPr>
          <w:rFonts w:ascii="Calibri" w:hAnsi="Calibri"/>
          <w:sz w:val="18"/>
          <w:szCs w:val="18"/>
        </w:rPr>
        <w:t xml:space="preserve">, Leon Terrill notes that ‘In 2008, the Australian Government released a two volume report called </w:t>
      </w:r>
      <w:r w:rsidRPr="007F3415">
        <w:rPr>
          <w:rFonts w:ascii="Calibri" w:hAnsi="Calibri"/>
          <w:i/>
          <w:sz w:val="18"/>
          <w:szCs w:val="18"/>
        </w:rPr>
        <w:t>Making Land Work</w:t>
      </w:r>
      <w:r w:rsidRPr="00D04067">
        <w:rPr>
          <w:rFonts w:ascii="Calibri" w:hAnsi="Calibri"/>
          <w:sz w:val="18"/>
          <w:szCs w:val="18"/>
        </w:rPr>
        <w:t>, in an attempt to better understand the complex issues affecting customary land reform in the Pacific. The report drew on the input of around 80 experts and practitioners in land reform and development… During the same period</w:t>
      </w:r>
      <w:r>
        <w:rPr>
          <w:rFonts w:ascii="Calibri" w:hAnsi="Calibri"/>
          <w:sz w:val="18"/>
          <w:szCs w:val="18"/>
        </w:rPr>
        <w:t xml:space="preserve"> </w:t>
      </w:r>
      <w:r w:rsidRPr="00D04067">
        <w:rPr>
          <w:rFonts w:ascii="Calibri" w:hAnsi="Calibri"/>
          <w:sz w:val="18"/>
          <w:szCs w:val="18"/>
        </w:rPr>
        <w:t>the Australian Government began its involvement in Aboriginal land reform in the Northern Territory. It did not commission a detailed report, nor call on the advice of experts. It did not establish a steering group, it did not even prepare or publish a land reform policy. It simply implemented a series of reforms as if the task were self-evident…</w:t>
      </w:r>
      <w:r>
        <w:rPr>
          <w:rFonts w:ascii="Calibri" w:hAnsi="Calibri"/>
          <w:sz w:val="18"/>
          <w:szCs w:val="18"/>
        </w:rPr>
        <w:t xml:space="preserve"> </w:t>
      </w:r>
      <w:r w:rsidRPr="00D04067">
        <w:rPr>
          <w:rFonts w:ascii="Calibri" w:hAnsi="Calibri"/>
          <w:sz w:val="18"/>
          <w:szCs w:val="18"/>
        </w:rPr>
        <w:t>The result has been an ad hoc, confused, expensive and at times contradictory approach to the implementation of land reform. On the whole, the outcome of these reforms has been very poor.’ It is beyond the scope of this paper to fully consider the policy rationale for recent reforms but this comparison is demonstrative.</w:t>
      </w:r>
    </w:p>
  </w:footnote>
  <w:footnote w:id="38">
    <w:p w:rsidR="00D57C33" w:rsidRPr="00D04067" w:rsidRDefault="00D57C33" w:rsidP="00661586">
      <w:pPr>
        <w:pStyle w:val="FootnoteText"/>
        <w:rPr>
          <w:rFonts w:ascii="Calibri" w:hAnsi="Calibri"/>
          <w:i/>
          <w:sz w:val="18"/>
          <w:szCs w:val="18"/>
        </w:rPr>
      </w:pPr>
      <w:r w:rsidRPr="00D04067">
        <w:rPr>
          <w:rStyle w:val="FootnoteReference"/>
          <w:rFonts w:ascii="Calibri" w:hAnsi="Calibri"/>
          <w:sz w:val="18"/>
          <w:szCs w:val="18"/>
        </w:rPr>
        <w:footnoteRef/>
      </w:r>
      <w:r w:rsidRPr="00D04067">
        <w:rPr>
          <w:rFonts w:ascii="Calibri" w:hAnsi="Calibri"/>
          <w:sz w:val="18"/>
          <w:szCs w:val="18"/>
        </w:rPr>
        <w:t xml:space="preserve"> K De</w:t>
      </w:r>
      <w:r>
        <w:rPr>
          <w:rFonts w:ascii="Calibri" w:hAnsi="Calibri"/>
          <w:sz w:val="18"/>
          <w:szCs w:val="18"/>
        </w:rPr>
        <w:t>i</w:t>
      </w:r>
      <w:r w:rsidRPr="00D04067">
        <w:rPr>
          <w:rFonts w:ascii="Calibri" w:hAnsi="Calibri"/>
          <w:sz w:val="18"/>
          <w:szCs w:val="18"/>
        </w:rPr>
        <w:t xml:space="preserve">ninger, </w:t>
      </w:r>
      <w:r w:rsidRPr="00C22652">
        <w:rPr>
          <w:rFonts w:ascii="Calibri" w:hAnsi="Calibri"/>
          <w:i/>
          <w:sz w:val="18"/>
          <w:szCs w:val="18"/>
        </w:rPr>
        <w:t>Land Policies for Growth and Poverty Reduction</w:t>
      </w:r>
      <w:r>
        <w:rPr>
          <w:rFonts w:ascii="Calibri" w:hAnsi="Calibri"/>
          <w:sz w:val="18"/>
          <w:szCs w:val="18"/>
        </w:rPr>
        <w:t xml:space="preserve">, </w:t>
      </w:r>
      <w:r w:rsidRPr="00C22652">
        <w:rPr>
          <w:rFonts w:ascii="Calibri" w:hAnsi="Calibri"/>
          <w:sz w:val="18"/>
          <w:szCs w:val="18"/>
        </w:rPr>
        <w:t xml:space="preserve">World Bank Research Report </w:t>
      </w:r>
      <w:r>
        <w:rPr>
          <w:rFonts w:ascii="Calibri" w:hAnsi="Calibri"/>
          <w:sz w:val="18"/>
          <w:szCs w:val="18"/>
        </w:rPr>
        <w:t>(</w:t>
      </w:r>
      <w:r w:rsidRPr="00D04067">
        <w:rPr>
          <w:rFonts w:ascii="Calibri" w:hAnsi="Calibri"/>
          <w:sz w:val="18"/>
          <w:szCs w:val="18"/>
        </w:rPr>
        <w:t>Oxford University Press</w:t>
      </w:r>
      <w:r>
        <w:rPr>
          <w:rFonts w:ascii="Calibri" w:hAnsi="Calibri"/>
          <w:sz w:val="18"/>
          <w:szCs w:val="18"/>
        </w:rPr>
        <w:t xml:space="preserve">, </w:t>
      </w:r>
      <w:r w:rsidRPr="00D04067">
        <w:rPr>
          <w:rFonts w:ascii="Calibri" w:hAnsi="Calibri"/>
          <w:sz w:val="18"/>
          <w:szCs w:val="18"/>
        </w:rPr>
        <w:t>2003</w:t>
      </w:r>
      <w:r>
        <w:rPr>
          <w:rFonts w:ascii="Calibri" w:hAnsi="Calibri"/>
          <w:sz w:val="18"/>
          <w:szCs w:val="18"/>
        </w:rPr>
        <w:t>)</w:t>
      </w:r>
      <w:r w:rsidRPr="00D04067">
        <w:rPr>
          <w:rFonts w:ascii="Calibri" w:hAnsi="Calibri"/>
          <w:sz w:val="18"/>
          <w:szCs w:val="18"/>
        </w:rPr>
        <w:t>, 25.</w:t>
      </w:r>
    </w:p>
  </w:footnote>
  <w:footnote w:id="39">
    <w:p w:rsidR="00D57C33" w:rsidRPr="00D04067" w:rsidRDefault="00D57C33">
      <w:pPr>
        <w:pStyle w:val="FootnoteText"/>
        <w:rPr>
          <w:rFonts w:ascii="Calibri" w:hAnsi="Calibri"/>
          <w:sz w:val="18"/>
          <w:szCs w:val="18"/>
        </w:rPr>
      </w:pPr>
      <w:r w:rsidRPr="00D04067">
        <w:rPr>
          <w:rStyle w:val="FootnoteReference"/>
          <w:rFonts w:ascii="Calibri" w:hAnsi="Calibri"/>
          <w:sz w:val="18"/>
          <w:szCs w:val="18"/>
        </w:rPr>
        <w:footnoteRef/>
      </w:r>
      <w:r w:rsidRPr="00D04067">
        <w:rPr>
          <w:rFonts w:ascii="Calibri" w:hAnsi="Calibri"/>
          <w:sz w:val="18"/>
          <w:szCs w:val="18"/>
        </w:rPr>
        <w:t xml:space="preserve"> </w:t>
      </w:r>
      <w:hyperlink r:id="rId12" w:history="1">
        <w:r w:rsidRPr="00D04067">
          <w:rPr>
            <w:rStyle w:val="Hyperlink"/>
            <w:rFonts w:ascii="Calibri" w:hAnsi="Calibri"/>
            <w:sz w:val="18"/>
            <w:szCs w:val="18"/>
          </w:rPr>
          <w:t>National Partnership on Remote Indigenous Housing – Progress Review</w:t>
        </w:r>
      </w:hyperlink>
      <w:r w:rsidRPr="00D04067">
        <w:rPr>
          <w:rFonts w:ascii="Calibri" w:hAnsi="Calibri"/>
          <w:sz w:val="18"/>
          <w:szCs w:val="18"/>
        </w:rPr>
        <w:t xml:space="preserve"> (2008</w:t>
      </w:r>
      <w:r>
        <w:rPr>
          <w:rFonts w:ascii="Calibri" w:hAnsi="Calibri"/>
          <w:sz w:val="18"/>
          <w:szCs w:val="18"/>
        </w:rPr>
        <w:t>–</w:t>
      </w:r>
      <w:r w:rsidRPr="00D04067">
        <w:rPr>
          <w:rFonts w:ascii="Calibri" w:hAnsi="Calibri"/>
          <w:sz w:val="18"/>
          <w:szCs w:val="18"/>
        </w:rPr>
        <w:t>2013), 10.</w:t>
      </w:r>
    </w:p>
  </w:footnote>
  <w:footnote w:id="40">
    <w:p w:rsidR="00D57C33" w:rsidRPr="00D04067" w:rsidRDefault="00D57C33" w:rsidP="007F6FFE">
      <w:pPr>
        <w:pStyle w:val="FootnoteText"/>
        <w:rPr>
          <w:rFonts w:ascii="Calibri" w:hAnsi="Calibri"/>
          <w:sz w:val="18"/>
          <w:szCs w:val="18"/>
        </w:rPr>
      </w:pPr>
      <w:r w:rsidRPr="00D04067">
        <w:rPr>
          <w:rStyle w:val="FootnoteReference"/>
          <w:rFonts w:ascii="Calibri" w:hAnsi="Calibri"/>
          <w:sz w:val="18"/>
          <w:szCs w:val="18"/>
        </w:rPr>
        <w:footnoteRef/>
      </w:r>
      <w:r w:rsidRPr="00D04067">
        <w:rPr>
          <w:rFonts w:ascii="Calibri" w:hAnsi="Calibri"/>
          <w:sz w:val="18"/>
          <w:szCs w:val="18"/>
        </w:rPr>
        <w:t xml:space="preserve"> </w:t>
      </w:r>
      <w:hyperlink r:id="rId13" w:history="1">
        <w:r w:rsidRPr="00D04067">
          <w:rPr>
            <w:rStyle w:val="Hyperlink"/>
            <w:rFonts w:ascii="Calibri" w:hAnsi="Calibri"/>
            <w:sz w:val="18"/>
            <w:szCs w:val="18"/>
          </w:rPr>
          <w:t>National Partnership on Remote Indigenous Housing – Progress Review</w:t>
        </w:r>
      </w:hyperlink>
      <w:r w:rsidRPr="00D04067">
        <w:rPr>
          <w:rFonts w:ascii="Calibri" w:hAnsi="Calibri"/>
          <w:sz w:val="18"/>
          <w:szCs w:val="18"/>
        </w:rPr>
        <w:t xml:space="preserve"> (2008</w:t>
      </w:r>
      <w:r>
        <w:rPr>
          <w:rFonts w:ascii="Calibri" w:hAnsi="Calibri"/>
          <w:sz w:val="18"/>
          <w:szCs w:val="18"/>
        </w:rPr>
        <w:t>–</w:t>
      </w:r>
      <w:r w:rsidRPr="00D04067">
        <w:rPr>
          <w:rFonts w:ascii="Calibri" w:hAnsi="Calibri"/>
          <w:sz w:val="18"/>
          <w:szCs w:val="18"/>
        </w:rPr>
        <w:t>2013), 10.</w:t>
      </w:r>
    </w:p>
  </w:footnote>
  <w:footnote w:id="41">
    <w:p w:rsidR="00D57C33" w:rsidRPr="009F5225" w:rsidRDefault="00D57C33" w:rsidP="009F5225">
      <w:pPr>
        <w:autoSpaceDE w:val="0"/>
        <w:autoSpaceDN w:val="0"/>
        <w:adjustRightInd w:val="0"/>
        <w:spacing w:line="276" w:lineRule="auto"/>
        <w:rPr>
          <w:rFonts w:asciiTheme="minorHAnsi" w:hAnsiTheme="minorHAnsi" w:cs="Arial Black"/>
          <w:color w:val="000000"/>
          <w:sz w:val="18"/>
          <w:szCs w:val="18"/>
        </w:rPr>
      </w:pPr>
      <w:r>
        <w:rPr>
          <w:rStyle w:val="FootnoteReference"/>
        </w:rPr>
        <w:footnoteRef/>
      </w:r>
      <w:r>
        <w:t xml:space="preserve"> </w:t>
      </w:r>
      <w:r w:rsidRPr="009F5225">
        <w:rPr>
          <w:rFonts w:asciiTheme="minorHAnsi" w:hAnsiTheme="minorHAnsi" w:cs="Arial Black"/>
          <w:color w:val="000000"/>
          <w:sz w:val="18"/>
          <w:szCs w:val="18"/>
        </w:rPr>
        <w:t>The Parliament of the Commonwealth of Australia,</w:t>
      </w:r>
    </w:p>
    <w:p w:rsidR="00D57C33" w:rsidRPr="009F5225" w:rsidRDefault="00D57C33" w:rsidP="009F5225">
      <w:pPr>
        <w:autoSpaceDE w:val="0"/>
        <w:autoSpaceDN w:val="0"/>
        <w:adjustRightInd w:val="0"/>
        <w:spacing w:line="276" w:lineRule="auto"/>
        <w:rPr>
          <w:rFonts w:asciiTheme="minorHAnsi" w:hAnsiTheme="minorHAnsi" w:cs="Arial Black"/>
          <w:color w:val="000000"/>
          <w:sz w:val="18"/>
          <w:szCs w:val="18"/>
        </w:rPr>
      </w:pPr>
      <w:r w:rsidRPr="009F5225">
        <w:rPr>
          <w:rFonts w:ascii="Arial Black" w:hAnsi="Arial Black" w:cs="Arial Black"/>
          <w:color w:val="000000"/>
          <w:sz w:val="18"/>
          <w:szCs w:val="18"/>
        </w:rPr>
        <w:t xml:space="preserve"> </w:t>
      </w:r>
      <w:r w:rsidRPr="009F5225">
        <w:rPr>
          <w:rFonts w:asciiTheme="minorHAnsi" w:hAnsiTheme="minorHAnsi" w:cs="Arial Black"/>
          <w:bCs/>
          <w:color w:val="000000"/>
          <w:sz w:val="18"/>
          <w:szCs w:val="18"/>
        </w:rPr>
        <w:t xml:space="preserve">PIVOT NORTH Inquiry into the Development of Northern Australia: Final Report </w:t>
      </w:r>
    </w:p>
    <w:p w:rsidR="00D57C33" w:rsidRPr="009F5225" w:rsidRDefault="00D57C33" w:rsidP="009F5225">
      <w:pPr>
        <w:spacing w:line="276" w:lineRule="auto"/>
        <w:rPr>
          <w:rFonts w:asciiTheme="minorHAnsi" w:hAnsiTheme="minorHAnsi"/>
          <w:sz w:val="18"/>
          <w:szCs w:val="18"/>
        </w:rPr>
      </w:pPr>
      <w:r w:rsidRPr="009F5225">
        <w:rPr>
          <w:rFonts w:asciiTheme="minorHAnsi" w:hAnsiTheme="minorHAnsi" w:cs="Arial Narrow"/>
          <w:bCs/>
          <w:color w:val="000000"/>
          <w:sz w:val="18"/>
          <w:szCs w:val="18"/>
        </w:rPr>
        <w:t>Joint Select Committee on Northern Australia</w:t>
      </w:r>
      <w:r>
        <w:rPr>
          <w:rFonts w:asciiTheme="minorHAnsi" w:hAnsiTheme="minorHAnsi" w:cs="Arial Narrow"/>
          <w:bCs/>
          <w:color w:val="000000"/>
          <w:sz w:val="18"/>
          <w:szCs w:val="18"/>
        </w:rPr>
        <w:t>, p.187</w:t>
      </w:r>
    </w:p>
    <w:p w:rsidR="00D57C33" w:rsidRPr="009F5225" w:rsidRDefault="00AA401F" w:rsidP="009F5225">
      <w:pPr>
        <w:spacing w:line="276" w:lineRule="auto"/>
        <w:rPr>
          <w:rFonts w:asciiTheme="minorHAnsi" w:hAnsiTheme="minorHAnsi"/>
          <w:sz w:val="18"/>
          <w:szCs w:val="18"/>
        </w:rPr>
      </w:pPr>
      <w:hyperlink r:id="rId14" w:history="1">
        <w:r w:rsidR="00D57C33" w:rsidRPr="009F5225">
          <w:rPr>
            <w:rStyle w:val="Hyperlink"/>
            <w:rFonts w:asciiTheme="minorHAnsi" w:hAnsiTheme="minorHAnsi"/>
            <w:sz w:val="18"/>
            <w:szCs w:val="18"/>
          </w:rPr>
          <w:t>http://www.aph.gov.au/Parliamentary_Business/Committees/Joint/Northern_Australia/Inquiry_into_the_Development_of_Northern_Australia/Tabled_Reports</w:t>
        </w:r>
      </w:hyperlink>
    </w:p>
  </w:footnote>
  <w:footnote w:id="42">
    <w:p w:rsidR="00D57C33" w:rsidRPr="008273CD" w:rsidRDefault="00D57C33">
      <w:pPr>
        <w:pStyle w:val="FootnoteText"/>
        <w:rPr>
          <w:rFonts w:asciiTheme="minorHAnsi" w:hAnsiTheme="minorHAnsi"/>
          <w:sz w:val="18"/>
          <w:szCs w:val="18"/>
        </w:rPr>
      </w:pPr>
      <w:r w:rsidRPr="008273CD">
        <w:rPr>
          <w:rStyle w:val="FootnoteReference"/>
          <w:rFonts w:asciiTheme="minorHAnsi" w:hAnsiTheme="minorHAnsi"/>
          <w:sz w:val="18"/>
          <w:szCs w:val="18"/>
        </w:rPr>
        <w:footnoteRef/>
      </w:r>
      <w:r w:rsidRPr="008273CD">
        <w:rPr>
          <w:rFonts w:asciiTheme="minorHAnsi" w:hAnsiTheme="minorHAnsi"/>
          <w:sz w:val="18"/>
          <w:szCs w:val="18"/>
        </w:rPr>
        <w:t xml:space="preserve"> Commonwealth of Australia 2015, Budget 2015-2016, Budget Measures, Budget Paper No.2, p.174</w:t>
      </w:r>
    </w:p>
  </w:footnote>
  <w:footnote w:id="43">
    <w:p w:rsidR="00D57C33" w:rsidRPr="00DF1C8E" w:rsidRDefault="00D57C33">
      <w:pPr>
        <w:pStyle w:val="FootnoteText"/>
        <w:rPr>
          <w:rFonts w:ascii="Calibri" w:hAnsi="Calibri"/>
          <w:sz w:val="18"/>
          <w:szCs w:val="18"/>
        </w:rPr>
      </w:pPr>
      <w:r w:rsidRPr="00D04067">
        <w:rPr>
          <w:rStyle w:val="FootnoteReference"/>
          <w:rFonts w:ascii="Calibri" w:hAnsi="Calibri"/>
          <w:sz w:val="18"/>
          <w:szCs w:val="18"/>
        </w:rPr>
        <w:footnoteRef/>
      </w:r>
      <w:r w:rsidRPr="00D04067">
        <w:rPr>
          <w:rFonts w:ascii="Calibri" w:hAnsi="Calibri"/>
          <w:sz w:val="18"/>
          <w:szCs w:val="18"/>
        </w:rPr>
        <w:t xml:space="preserve"> J Altman et al,</w:t>
      </w:r>
      <w:r w:rsidRPr="00C472FF">
        <w:rPr>
          <w:rFonts w:ascii="Calibri" w:hAnsi="Calibri"/>
          <w:i/>
          <w:sz w:val="18"/>
          <w:szCs w:val="18"/>
        </w:rPr>
        <w:t xml:space="preserve"> </w:t>
      </w:r>
      <w:hyperlink r:id="rId15" w:history="1">
        <w:r w:rsidRPr="00C472FF">
          <w:rPr>
            <w:rStyle w:val="Hyperlink"/>
            <w:rFonts w:ascii="Calibri" w:hAnsi="Calibri"/>
            <w:i/>
            <w:sz w:val="18"/>
            <w:szCs w:val="18"/>
          </w:rPr>
          <w:t>Land Rights and Development Reform in Remote Australia</w:t>
        </w:r>
      </w:hyperlink>
      <w:r>
        <w:rPr>
          <w:rFonts w:ascii="Calibri" w:hAnsi="Calibri"/>
          <w:sz w:val="18"/>
          <w:szCs w:val="18"/>
        </w:rPr>
        <w:t>,</w:t>
      </w:r>
      <w:r w:rsidRPr="00D04067">
        <w:rPr>
          <w:rFonts w:ascii="Calibri" w:hAnsi="Calibri"/>
          <w:sz w:val="18"/>
          <w:szCs w:val="18"/>
        </w:rPr>
        <w:t xml:space="preserve"> </w:t>
      </w:r>
      <w:r w:rsidRPr="00C472FF">
        <w:rPr>
          <w:rFonts w:ascii="Calibri" w:hAnsi="Calibri"/>
          <w:sz w:val="18"/>
          <w:szCs w:val="18"/>
        </w:rPr>
        <w:t>Centre for Aboriginal Economic Policy Research Discussion Paper No</w:t>
      </w:r>
      <w:r w:rsidRPr="00DF1C8E">
        <w:rPr>
          <w:rFonts w:ascii="Calibri" w:hAnsi="Calibri"/>
          <w:sz w:val="18"/>
          <w:szCs w:val="18"/>
        </w:rPr>
        <w:t>. 276 (2005), 14</w:t>
      </w:r>
      <w:r>
        <w:rPr>
          <w:rFonts w:ascii="Calibri" w:hAnsi="Calibri"/>
          <w:sz w:val="18"/>
          <w:szCs w:val="18"/>
        </w:rPr>
        <w:t>.</w:t>
      </w:r>
    </w:p>
  </w:footnote>
  <w:footnote w:id="44">
    <w:p w:rsidR="00D57C33" w:rsidRDefault="00D57C33">
      <w:pPr>
        <w:pStyle w:val="FootnoteText"/>
      </w:pPr>
      <w:r w:rsidRPr="002A5F6D">
        <w:rPr>
          <w:rStyle w:val="FootnoteReference"/>
          <w:rFonts w:asciiTheme="minorHAnsi" w:hAnsiTheme="minorHAnsi"/>
          <w:sz w:val="18"/>
          <w:szCs w:val="18"/>
        </w:rPr>
        <w:footnoteRef/>
      </w:r>
      <w:r>
        <w:t xml:space="preserve"> </w:t>
      </w:r>
      <w:r w:rsidRPr="00914F51">
        <w:rPr>
          <w:rFonts w:ascii="Calibri" w:hAnsi="Calibri"/>
          <w:sz w:val="18"/>
          <w:szCs w:val="18"/>
        </w:rPr>
        <w:t xml:space="preserve">Section 25 of the </w:t>
      </w:r>
      <w:r w:rsidRPr="00914F51">
        <w:rPr>
          <w:rFonts w:ascii="Calibri" w:hAnsi="Calibri"/>
          <w:i/>
          <w:sz w:val="18"/>
          <w:szCs w:val="18"/>
        </w:rPr>
        <w:t>Aboriginal Land Rights (Northern Territory) Act 1976</w:t>
      </w:r>
      <w:r w:rsidRPr="00914F51">
        <w:rPr>
          <w:rFonts w:ascii="Calibri" w:hAnsi="Calibri"/>
          <w:sz w:val="18"/>
          <w:szCs w:val="18"/>
        </w:rPr>
        <w:t xml:space="preserve"> (Cth) also confers a duty upon Land Councils to attempt conciliation of disputes relating to land.</w:t>
      </w:r>
    </w:p>
  </w:footnote>
  <w:footnote w:id="45">
    <w:p w:rsidR="00D57C33" w:rsidRPr="00D04067" w:rsidRDefault="00D57C33">
      <w:pPr>
        <w:pStyle w:val="FootnoteText"/>
        <w:rPr>
          <w:rFonts w:ascii="Calibri" w:hAnsi="Calibri"/>
          <w:sz w:val="18"/>
          <w:szCs w:val="18"/>
        </w:rPr>
      </w:pPr>
      <w:r w:rsidRPr="00D04067">
        <w:rPr>
          <w:rStyle w:val="FootnoteReference"/>
          <w:rFonts w:ascii="Calibri" w:hAnsi="Calibri"/>
          <w:sz w:val="18"/>
          <w:szCs w:val="18"/>
        </w:rPr>
        <w:footnoteRef/>
      </w:r>
      <w:r w:rsidRPr="00D04067">
        <w:rPr>
          <w:rFonts w:ascii="Calibri" w:hAnsi="Calibri"/>
          <w:sz w:val="18"/>
          <w:szCs w:val="18"/>
        </w:rPr>
        <w:t xml:space="preserve"> </w:t>
      </w:r>
      <w:hyperlink r:id="rId16" w:history="1">
        <w:r w:rsidRPr="00D04067">
          <w:rPr>
            <w:rStyle w:val="Hyperlink"/>
            <w:rFonts w:ascii="Calibri" w:hAnsi="Calibri"/>
            <w:sz w:val="18"/>
            <w:szCs w:val="18"/>
          </w:rPr>
          <w:t>CLC Paper</w:t>
        </w:r>
        <w:r>
          <w:rPr>
            <w:rStyle w:val="Hyperlink"/>
            <w:rFonts w:ascii="Calibri" w:hAnsi="Calibri"/>
            <w:sz w:val="18"/>
            <w:szCs w:val="18"/>
          </w:rPr>
          <w:t xml:space="preserve"> –</w:t>
        </w:r>
        <w:r w:rsidRPr="00D04067">
          <w:rPr>
            <w:rStyle w:val="Hyperlink"/>
            <w:rFonts w:ascii="Calibri" w:hAnsi="Calibri"/>
            <w:sz w:val="18"/>
            <w:szCs w:val="18"/>
          </w:rPr>
          <w:t xml:space="preserve"> Community Leasing – an Alternative Proposal</w:t>
        </w:r>
        <w:r w:rsidRPr="00D22705">
          <w:rPr>
            <w:rStyle w:val="Hyperlink"/>
            <w:rFonts w:ascii="Calibri" w:hAnsi="Calibri"/>
            <w:sz w:val="18"/>
            <w:szCs w:val="18"/>
            <w:u w:val="none"/>
          </w:rPr>
          <w:t>.</w:t>
        </w:r>
        <w:r w:rsidRPr="00DF1C8E">
          <w:rPr>
            <w:rStyle w:val="Hyperlink"/>
            <w:rFonts w:ascii="Calibri" w:hAnsi="Calibri"/>
            <w:sz w:val="18"/>
            <w:szCs w:val="18"/>
            <w:u w:val="none"/>
          </w:rPr>
          <w:t xml:space="preserve"> </w:t>
        </w:r>
      </w:hyperlink>
      <w:r w:rsidRPr="00D04067">
        <w:rPr>
          <w:rFonts w:ascii="Calibri" w:hAnsi="Calibri"/>
          <w:sz w:val="18"/>
          <w:szCs w:val="18"/>
        </w:rPr>
        <w:t xml:space="preserve">It should be noted that this model was developed to promote discussion and the Council has endorsed </w:t>
      </w:r>
      <w:r>
        <w:rPr>
          <w:rFonts w:ascii="Calibri" w:hAnsi="Calibri"/>
          <w:sz w:val="18"/>
          <w:szCs w:val="18"/>
        </w:rPr>
        <w:t>it</w:t>
      </w:r>
      <w:r w:rsidRPr="00D04067">
        <w:rPr>
          <w:rFonts w:ascii="Calibri" w:hAnsi="Calibri"/>
          <w:sz w:val="18"/>
          <w:szCs w:val="18"/>
        </w:rPr>
        <w:t xml:space="preserve"> for this purpose. It is not a model </w:t>
      </w:r>
      <w:r>
        <w:rPr>
          <w:rFonts w:ascii="Calibri" w:hAnsi="Calibri"/>
          <w:sz w:val="18"/>
          <w:szCs w:val="18"/>
        </w:rPr>
        <w:t xml:space="preserve">on which there has been </w:t>
      </w:r>
      <w:r w:rsidRPr="00D04067">
        <w:rPr>
          <w:rFonts w:ascii="Calibri" w:hAnsi="Calibri"/>
          <w:sz w:val="18"/>
          <w:szCs w:val="18"/>
        </w:rPr>
        <w:t xml:space="preserve">any specific community </w:t>
      </w:r>
      <w:r>
        <w:rPr>
          <w:rFonts w:ascii="Calibri" w:hAnsi="Calibri"/>
          <w:sz w:val="18"/>
          <w:szCs w:val="18"/>
        </w:rPr>
        <w:t>consultations</w:t>
      </w:r>
      <w:r w:rsidRPr="00D04067">
        <w:rPr>
          <w:rFonts w:ascii="Calibri" w:hAnsi="Calibri"/>
          <w:sz w:val="18"/>
          <w:szCs w:val="18"/>
        </w:rPr>
        <w:t xml:space="preserve"> to date</w:t>
      </w:r>
      <w:r>
        <w:rPr>
          <w:rFonts w:ascii="Calibri" w:hAnsi="Calibri"/>
          <w:sz w:val="18"/>
          <w:szCs w:val="18"/>
        </w:rPr>
        <w:t>, although a similar scheme is being considered in relation to Mutitjulu.</w:t>
      </w:r>
    </w:p>
  </w:footnote>
  <w:footnote w:id="46">
    <w:p w:rsidR="00D57C33" w:rsidRDefault="00D57C33">
      <w:pPr>
        <w:pStyle w:val="FootnoteText"/>
      </w:pPr>
      <w:r w:rsidRPr="00D04067">
        <w:rPr>
          <w:rStyle w:val="FootnoteReference"/>
          <w:rFonts w:ascii="Calibri" w:hAnsi="Calibri"/>
          <w:sz w:val="18"/>
          <w:szCs w:val="18"/>
        </w:rPr>
        <w:footnoteRef/>
      </w:r>
      <w:r w:rsidRPr="00D04067">
        <w:rPr>
          <w:rFonts w:ascii="Calibri" w:hAnsi="Calibri"/>
          <w:sz w:val="18"/>
          <w:szCs w:val="18"/>
        </w:rPr>
        <w:t xml:space="preserve"> Existing leases would be recognised and incorporated within the model.</w:t>
      </w:r>
    </w:p>
  </w:footnote>
  <w:footnote w:id="47">
    <w:p w:rsidR="00D57C33" w:rsidRPr="00D04067" w:rsidRDefault="00D57C33" w:rsidP="002550F0">
      <w:pPr>
        <w:pStyle w:val="FootnoteText"/>
        <w:rPr>
          <w:rFonts w:ascii="Calibri" w:hAnsi="Calibri"/>
          <w:sz w:val="18"/>
          <w:szCs w:val="18"/>
        </w:rPr>
      </w:pPr>
      <w:r w:rsidRPr="00D04067">
        <w:rPr>
          <w:rStyle w:val="FootnoteReference"/>
          <w:rFonts w:ascii="Calibri" w:hAnsi="Calibri"/>
          <w:sz w:val="18"/>
          <w:szCs w:val="18"/>
        </w:rPr>
        <w:footnoteRef/>
      </w:r>
      <w:r w:rsidRPr="00D04067">
        <w:rPr>
          <w:rFonts w:ascii="Calibri" w:hAnsi="Calibri"/>
          <w:sz w:val="18"/>
          <w:szCs w:val="18"/>
        </w:rPr>
        <w:t xml:space="preserve"> M Dillon and N Westbury, above n 67, 130</w:t>
      </w:r>
      <w:r>
        <w:rPr>
          <w:rFonts w:ascii="Calibri" w:hAnsi="Calibri"/>
          <w:sz w:val="18"/>
          <w:szCs w:val="18"/>
        </w:rPr>
        <w:t>–6</w:t>
      </w:r>
      <w:r w:rsidRPr="00D04067">
        <w:rPr>
          <w:rFonts w:ascii="Calibri" w:hAnsi="Calibri"/>
          <w:sz w:val="18"/>
          <w:szCs w:val="18"/>
        </w:rPr>
        <w:t xml:space="preserve">. Many of the other concerns Dillon and Westbury </w:t>
      </w:r>
      <w:r>
        <w:rPr>
          <w:rFonts w:ascii="Calibri" w:hAnsi="Calibri"/>
          <w:sz w:val="18"/>
          <w:szCs w:val="18"/>
        </w:rPr>
        <w:t>raised</w:t>
      </w:r>
      <w:r w:rsidRPr="00D04067">
        <w:rPr>
          <w:rFonts w:ascii="Calibri" w:hAnsi="Calibri"/>
          <w:sz w:val="18"/>
          <w:szCs w:val="18"/>
        </w:rPr>
        <w:t xml:space="preserve"> have now been addressed through formalisation of tenure under section 19 of the ALRA.</w:t>
      </w:r>
    </w:p>
  </w:footnote>
  <w:footnote w:id="48">
    <w:p w:rsidR="00D57C33" w:rsidRPr="007F57EC" w:rsidRDefault="00D57C33" w:rsidP="007F57EC">
      <w:pPr>
        <w:pStyle w:val="FootnoteText"/>
        <w:rPr>
          <w:sz w:val="18"/>
          <w:szCs w:val="18"/>
        </w:rPr>
      </w:pPr>
    </w:p>
  </w:footnote>
  <w:footnote w:id="49">
    <w:p w:rsidR="00F31E7A" w:rsidRPr="00120B5E" w:rsidRDefault="00F31E7A" w:rsidP="00F31E7A">
      <w:pPr>
        <w:pStyle w:val="FootnoteText"/>
        <w:rPr>
          <w:rFonts w:asciiTheme="minorHAnsi" w:hAnsiTheme="minorHAnsi"/>
          <w:sz w:val="18"/>
          <w:szCs w:val="18"/>
        </w:rPr>
      </w:pPr>
      <w:r w:rsidRPr="00120B5E">
        <w:rPr>
          <w:rStyle w:val="FootnoteReference"/>
          <w:rFonts w:asciiTheme="minorHAnsi" w:hAnsiTheme="minorHAnsi"/>
          <w:sz w:val="18"/>
          <w:szCs w:val="18"/>
        </w:rPr>
        <w:footnoteRef/>
      </w:r>
      <w:r w:rsidRPr="00120B5E">
        <w:rPr>
          <w:rFonts w:asciiTheme="minorHAnsi" w:hAnsiTheme="minorHAnsi"/>
          <w:sz w:val="18"/>
          <w:szCs w:val="18"/>
        </w:rPr>
        <w:t xml:space="preserve"> CLC 2009, Community Development Framework, acce</w:t>
      </w:r>
      <w:r>
        <w:rPr>
          <w:rFonts w:asciiTheme="minorHAnsi" w:hAnsiTheme="minorHAnsi"/>
          <w:sz w:val="18"/>
          <w:szCs w:val="18"/>
        </w:rPr>
        <w:t>s</w:t>
      </w:r>
      <w:r w:rsidRPr="00120B5E">
        <w:rPr>
          <w:rFonts w:asciiTheme="minorHAnsi" w:hAnsiTheme="minorHAnsi"/>
          <w:sz w:val="18"/>
          <w:szCs w:val="18"/>
        </w:rPr>
        <w:t xml:space="preserve">sed at </w:t>
      </w:r>
      <w:hyperlink r:id="rId17" w:history="1">
        <w:r w:rsidRPr="00120B5E">
          <w:rPr>
            <w:rStyle w:val="Hyperlink"/>
            <w:rFonts w:asciiTheme="minorHAnsi" w:hAnsiTheme="minorHAnsi"/>
            <w:sz w:val="18"/>
            <w:szCs w:val="18"/>
          </w:rPr>
          <w:t>http://www.clc.org.au/articles/info/community-development</w:t>
        </w:r>
      </w:hyperlink>
      <w:r w:rsidRPr="00120B5E">
        <w:rPr>
          <w:rFonts w:asciiTheme="minorHAnsi" w:hAnsiTheme="minorHAnsi"/>
          <w:sz w:val="18"/>
          <w:szCs w:val="18"/>
        </w:rPr>
        <w:t xml:space="preserve"> </w:t>
      </w:r>
    </w:p>
  </w:footnote>
  <w:footnote w:id="50">
    <w:p w:rsidR="00F31E7A" w:rsidRPr="00824B83" w:rsidRDefault="00F31E7A" w:rsidP="00F31E7A">
      <w:pPr>
        <w:pStyle w:val="FootnoteText"/>
        <w:rPr>
          <w:rFonts w:asciiTheme="minorHAnsi" w:hAnsiTheme="minorHAnsi"/>
          <w:sz w:val="18"/>
          <w:szCs w:val="18"/>
        </w:rPr>
      </w:pPr>
      <w:r w:rsidRPr="00824B83">
        <w:rPr>
          <w:rStyle w:val="FootnoteReference"/>
          <w:rFonts w:asciiTheme="minorHAnsi" w:hAnsiTheme="minorHAnsi"/>
          <w:sz w:val="18"/>
          <w:szCs w:val="18"/>
        </w:rPr>
        <w:footnoteRef/>
      </w:r>
      <w:r w:rsidRPr="00824B83">
        <w:rPr>
          <w:rFonts w:asciiTheme="minorHAnsi" w:hAnsiTheme="minorHAnsi"/>
          <w:sz w:val="18"/>
          <w:szCs w:val="18"/>
        </w:rPr>
        <w:t xml:space="preserve"> Aboriginal Peak Organisations NT comprises the Central and Northern Land Councils, the North Australia Aboriginal Justice Agency, the Central Australian Aboriginal Legal Aid Service, and the Aboriginal Medical Services Alliance NT -  the governance program can be found at </w:t>
      </w:r>
      <w:hyperlink r:id="rId18" w:history="1">
        <w:r w:rsidRPr="00824B83">
          <w:rPr>
            <w:rStyle w:val="Hyperlink"/>
            <w:rFonts w:asciiTheme="minorHAnsi" w:hAnsiTheme="minorHAnsi"/>
            <w:sz w:val="18"/>
            <w:szCs w:val="18"/>
          </w:rPr>
          <w:t>http://aboriginalgovernance.org.au/</w:t>
        </w:r>
      </w:hyperlink>
    </w:p>
    <w:p w:rsidR="00F31E7A" w:rsidRDefault="00F31E7A" w:rsidP="00F31E7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812"/>
    <w:multiLevelType w:val="hybridMultilevel"/>
    <w:tmpl w:val="3CEE0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55639B"/>
    <w:multiLevelType w:val="hybridMultilevel"/>
    <w:tmpl w:val="14C2B1C0"/>
    <w:lvl w:ilvl="0" w:tplc="8BA82266">
      <w:start w:val="22"/>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B4D130E"/>
    <w:multiLevelType w:val="hybridMultilevel"/>
    <w:tmpl w:val="47D405C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nsid w:val="1DAC76FB"/>
    <w:multiLevelType w:val="hybridMultilevel"/>
    <w:tmpl w:val="F196B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07D0A71"/>
    <w:multiLevelType w:val="hybridMultilevel"/>
    <w:tmpl w:val="1C123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3FF1D27"/>
    <w:multiLevelType w:val="hybridMultilevel"/>
    <w:tmpl w:val="184A1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A6F2A5B"/>
    <w:multiLevelType w:val="hybridMultilevel"/>
    <w:tmpl w:val="38662B5A"/>
    <w:lvl w:ilvl="0" w:tplc="67164D68">
      <w:numFmt w:val="bullet"/>
      <w:lvlText w:val="•"/>
      <w:lvlJc w:val="left"/>
      <w:pPr>
        <w:ind w:left="114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nsid w:val="2DAB2E85"/>
    <w:multiLevelType w:val="hybridMultilevel"/>
    <w:tmpl w:val="25243EA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1BD6BF3"/>
    <w:multiLevelType w:val="hybridMultilevel"/>
    <w:tmpl w:val="4BD4536C"/>
    <w:lvl w:ilvl="0" w:tplc="0C090017">
      <w:start w:val="1"/>
      <w:numFmt w:val="lowerLetter"/>
      <w:lvlText w:val="%1)"/>
      <w:lvlJc w:val="left"/>
      <w:pPr>
        <w:ind w:left="786" w:hanging="360"/>
      </w:pPr>
    </w:lvl>
    <w:lvl w:ilvl="1" w:tplc="0C090017">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nsid w:val="379E773C"/>
    <w:multiLevelType w:val="multilevel"/>
    <w:tmpl w:val="0F2C5C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A20D05"/>
    <w:multiLevelType w:val="hybridMultilevel"/>
    <w:tmpl w:val="7C22A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66605E"/>
    <w:multiLevelType w:val="hybridMultilevel"/>
    <w:tmpl w:val="679C625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E1C0B5E"/>
    <w:multiLevelType w:val="hybridMultilevel"/>
    <w:tmpl w:val="29981F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35133D3"/>
    <w:multiLevelType w:val="hybridMultilevel"/>
    <w:tmpl w:val="B8566D96"/>
    <w:lvl w:ilvl="0" w:tplc="67164D68">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6F67F89"/>
    <w:multiLevelType w:val="hybridMultilevel"/>
    <w:tmpl w:val="F4C270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795525C"/>
    <w:multiLevelType w:val="hybridMultilevel"/>
    <w:tmpl w:val="1B1076A8"/>
    <w:lvl w:ilvl="0" w:tplc="6C22CE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7D42492"/>
    <w:multiLevelType w:val="hybridMultilevel"/>
    <w:tmpl w:val="09C4F9F2"/>
    <w:lvl w:ilvl="0" w:tplc="D2D033E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8267DAD"/>
    <w:multiLevelType w:val="hybridMultilevel"/>
    <w:tmpl w:val="0C92A9D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nsid w:val="67AE3B65"/>
    <w:multiLevelType w:val="hybridMultilevel"/>
    <w:tmpl w:val="29981F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8597997"/>
    <w:multiLevelType w:val="hybridMultilevel"/>
    <w:tmpl w:val="F7E24D6C"/>
    <w:lvl w:ilvl="0" w:tplc="67164D68">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74DD1F43"/>
    <w:multiLevelType w:val="hybridMultilevel"/>
    <w:tmpl w:val="079C3CE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nsid w:val="75CC754F"/>
    <w:multiLevelType w:val="hybridMultilevel"/>
    <w:tmpl w:val="CB868FB6"/>
    <w:lvl w:ilvl="0" w:tplc="0AAA9990">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2">
    <w:nsid w:val="7E0F516F"/>
    <w:multiLevelType w:val="hybridMultilevel"/>
    <w:tmpl w:val="29981F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FE121A5"/>
    <w:multiLevelType w:val="hybridMultilevel"/>
    <w:tmpl w:val="C74AF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6"/>
  </w:num>
  <w:num w:numId="4">
    <w:abstractNumId w:val="13"/>
  </w:num>
  <w:num w:numId="5">
    <w:abstractNumId w:val="20"/>
  </w:num>
  <w:num w:numId="6">
    <w:abstractNumId w:val="2"/>
  </w:num>
  <w:num w:numId="7">
    <w:abstractNumId w:val="23"/>
  </w:num>
  <w:num w:numId="8">
    <w:abstractNumId w:val="3"/>
  </w:num>
  <w:num w:numId="9">
    <w:abstractNumId w:val="17"/>
  </w:num>
  <w:num w:numId="10">
    <w:abstractNumId w:val="5"/>
  </w:num>
  <w:num w:numId="11">
    <w:abstractNumId w:val="4"/>
  </w:num>
  <w:num w:numId="12">
    <w:abstractNumId w:val="7"/>
  </w:num>
  <w:num w:numId="13">
    <w:abstractNumId w:val="0"/>
  </w:num>
  <w:num w:numId="14">
    <w:abstractNumId w:val="8"/>
  </w:num>
  <w:num w:numId="15">
    <w:abstractNumId w:val="21"/>
  </w:num>
  <w:num w:numId="16">
    <w:abstractNumId w:val="9"/>
  </w:num>
  <w:num w:numId="17">
    <w:abstractNumId w:val="16"/>
  </w:num>
  <w:num w:numId="18">
    <w:abstractNumId w:val="11"/>
  </w:num>
  <w:num w:numId="19">
    <w:abstractNumId w:val="1"/>
  </w:num>
  <w:num w:numId="20">
    <w:abstractNumId w:val="12"/>
  </w:num>
  <w:num w:numId="21">
    <w:abstractNumId w:val="22"/>
  </w:num>
  <w:num w:numId="22">
    <w:abstractNumId w:val="18"/>
  </w:num>
  <w:num w:numId="23">
    <w:abstractNumId w:val="1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736"/>
    <w:rsid w:val="00000FB7"/>
    <w:rsid w:val="000027B9"/>
    <w:rsid w:val="0000296A"/>
    <w:rsid w:val="00002F7A"/>
    <w:rsid w:val="000046B8"/>
    <w:rsid w:val="00005FB4"/>
    <w:rsid w:val="000077EC"/>
    <w:rsid w:val="000117F7"/>
    <w:rsid w:val="000122E2"/>
    <w:rsid w:val="000129D3"/>
    <w:rsid w:val="00013777"/>
    <w:rsid w:val="00016937"/>
    <w:rsid w:val="000204D2"/>
    <w:rsid w:val="00021F2B"/>
    <w:rsid w:val="00024EF6"/>
    <w:rsid w:val="00025755"/>
    <w:rsid w:val="00026CA1"/>
    <w:rsid w:val="000310B7"/>
    <w:rsid w:val="000343E5"/>
    <w:rsid w:val="0003679A"/>
    <w:rsid w:val="00037DC6"/>
    <w:rsid w:val="00052D3B"/>
    <w:rsid w:val="00053488"/>
    <w:rsid w:val="00055189"/>
    <w:rsid w:val="00057D52"/>
    <w:rsid w:val="000602A1"/>
    <w:rsid w:val="00063B6B"/>
    <w:rsid w:val="0006404F"/>
    <w:rsid w:val="000664E5"/>
    <w:rsid w:val="00067EED"/>
    <w:rsid w:val="00067F21"/>
    <w:rsid w:val="00070734"/>
    <w:rsid w:val="0007328F"/>
    <w:rsid w:val="00077C75"/>
    <w:rsid w:val="00080081"/>
    <w:rsid w:val="00080295"/>
    <w:rsid w:val="00080724"/>
    <w:rsid w:val="000834DD"/>
    <w:rsid w:val="0008374A"/>
    <w:rsid w:val="0008671D"/>
    <w:rsid w:val="00092EC3"/>
    <w:rsid w:val="000930C1"/>
    <w:rsid w:val="000969F1"/>
    <w:rsid w:val="00096A40"/>
    <w:rsid w:val="000A17DE"/>
    <w:rsid w:val="000A1EBB"/>
    <w:rsid w:val="000B0A68"/>
    <w:rsid w:val="000B12F7"/>
    <w:rsid w:val="000B3586"/>
    <w:rsid w:val="000B527F"/>
    <w:rsid w:val="000B7266"/>
    <w:rsid w:val="000B7739"/>
    <w:rsid w:val="000C0A36"/>
    <w:rsid w:val="000C22FD"/>
    <w:rsid w:val="000C64FE"/>
    <w:rsid w:val="000C6D18"/>
    <w:rsid w:val="000D04E3"/>
    <w:rsid w:val="000D06EE"/>
    <w:rsid w:val="000D2C5E"/>
    <w:rsid w:val="000D5C94"/>
    <w:rsid w:val="000D6F8F"/>
    <w:rsid w:val="000E3A91"/>
    <w:rsid w:val="000E57E7"/>
    <w:rsid w:val="000E5902"/>
    <w:rsid w:val="000E7C08"/>
    <w:rsid w:val="000F51CA"/>
    <w:rsid w:val="00100DA9"/>
    <w:rsid w:val="00104BC8"/>
    <w:rsid w:val="00106A53"/>
    <w:rsid w:val="001139B7"/>
    <w:rsid w:val="001152FE"/>
    <w:rsid w:val="00115FBA"/>
    <w:rsid w:val="00120B5E"/>
    <w:rsid w:val="00123E7F"/>
    <w:rsid w:val="001243E8"/>
    <w:rsid w:val="00125C9A"/>
    <w:rsid w:val="00127DA8"/>
    <w:rsid w:val="001308D1"/>
    <w:rsid w:val="00130C9F"/>
    <w:rsid w:val="001319E4"/>
    <w:rsid w:val="001327B9"/>
    <w:rsid w:val="0014027E"/>
    <w:rsid w:val="00140DB7"/>
    <w:rsid w:val="00142891"/>
    <w:rsid w:val="00143C00"/>
    <w:rsid w:val="00145096"/>
    <w:rsid w:val="001469FB"/>
    <w:rsid w:val="001470A4"/>
    <w:rsid w:val="00147412"/>
    <w:rsid w:val="00152737"/>
    <w:rsid w:val="00153D4E"/>
    <w:rsid w:val="00156728"/>
    <w:rsid w:val="00156BD2"/>
    <w:rsid w:val="00160D4F"/>
    <w:rsid w:val="00162CFF"/>
    <w:rsid w:val="00170B6E"/>
    <w:rsid w:val="00176323"/>
    <w:rsid w:val="00177002"/>
    <w:rsid w:val="001836FB"/>
    <w:rsid w:val="00183B9A"/>
    <w:rsid w:val="001A1EA0"/>
    <w:rsid w:val="001A357B"/>
    <w:rsid w:val="001A534A"/>
    <w:rsid w:val="001B1829"/>
    <w:rsid w:val="001B2A5C"/>
    <w:rsid w:val="001B52D5"/>
    <w:rsid w:val="001C0899"/>
    <w:rsid w:val="001C11E3"/>
    <w:rsid w:val="001C252A"/>
    <w:rsid w:val="001C3AD3"/>
    <w:rsid w:val="001C4D9E"/>
    <w:rsid w:val="001C6198"/>
    <w:rsid w:val="001C6EA0"/>
    <w:rsid w:val="001D2170"/>
    <w:rsid w:val="001D7238"/>
    <w:rsid w:val="001D7D6A"/>
    <w:rsid w:val="001E0617"/>
    <w:rsid w:val="001E1945"/>
    <w:rsid w:val="001E29C1"/>
    <w:rsid w:val="001E44EB"/>
    <w:rsid w:val="001E4DBC"/>
    <w:rsid w:val="001E4DC4"/>
    <w:rsid w:val="001E58FE"/>
    <w:rsid w:val="001E62C5"/>
    <w:rsid w:val="001F172D"/>
    <w:rsid w:val="001F1EB3"/>
    <w:rsid w:val="001F2E08"/>
    <w:rsid w:val="001F3384"/>
    <w:rsid w:val="001F340C"/>
    <w:rsid w:val="001F594D"/>
    <w:rsid w:val="001F7917"/>
    <w:rsid w:val="00201562"/>
    <w:rsid w:val="00204DE5"/>
    <w:rsid w:val="00205A01"/>
    <w:rsid w:val="00206A3C"/>
    <w:rsid w:val="00206BE6"/>
    <w:rsid w:val="00207CCA"/>
    <w:rsid w:val="00211C72"/>
    <w:rsid w:val="00212BB3"/>
    <w:rsid w:val="00212F30"/>
    <w:rsid w:val="00213896"/>
    <w:rsid w:val="00214BF9"/>
    <w:rsid w:val="00215567"/>
    <w:rsid w:val="0021594A"/>
    <w:rsid w:val="002161C2"/>
    <w:rsid w:val="00216F28"/>
    <w:rsid w:val="00217003"/>
    <w:rsid w:val="00220996"/>
    <w:rsid w:val="0022331A"/>
    <w:rsid w:val="002234C5"/>
    <w:rsid w:val="0022396D"/>
    <w:rsid w:val="002253C6"/>
    <w:rsid w:val="00225688"/>
    <w:rsid w:val="0023252C"/>
    <w:rsid w:val="0023505B"/>
    <w:rsid w:val="002351DC"/>
    <w:rsid w:val="00235407"/>
    <w:rsid w:val="00235756"/>
    <w:rsid w:val="00235C28"/>
    <w:rsid w:val="00236FD6"/>
    <w:rsid w:val="0023716D"/>
    <w:rsid w:val="00237AF4"/>
    <w:rsid w:val="00242549"/>
    <w:rsid w:val="00243C2D"/>
    <w:rsid w:val="00247219"/>
    <w:rsid w:val="0024724B"/>
    <w:rsid w:val="002524C2"/>
    <w:rsid w:val="002550F0"/>
    <w:rsid w:val="00260973"/>
    <w:rsid w:val="00261CBC"/>
    <w:rsid w:val="00261CE1"/>
    <w:rsid w:val="00262835"/>
    <w:rsid w:val="0026399F"/>
    <w:rsid w:val="00264FAE"/>
    <w:rsid w:val="002674C0"/>
    <w:rsid w:val="00273B7E"/>
    <w:rsid w:val="00281F55"/>
    <w:rsid w:val="002838FC"/>
    <w:rsid w:val="00283E7E"/>
    <w:rsid w:val="002858F6"/>
    <w:rsid w:val="00286040"/>
    <w:rsid w:val="0029152E"/>
    <w:rsid w:val="00296221"/>
    <w:rsid w:val="002A0F0B"/>
    <w:rsid w:val="002A2235"/>
    <w:rsid w:val="002A5F6D"/>
    <w:rsid w:val="002A6C33"/>
    <w:rsid w:val="002B06F8"/>
    <w:rsid w:val="002B0F53"/>
    <w:rsid w:val="002B1CE2"/>
    <w:rsid w:val="002B2018"/>
    <w:rsid w:val="002B4934"/>
    <w:rsid w:val="002B5067"/>
    <w:rsid w:val="002B6DED"/>
    <w:rsid w:val="002C0222"/>
    <w:rsid w:val="002C0743"/>
    <w:rsid w:val="002C1501"/>
    <w:rsid w:val="002C4596"/>
    <w:rsid w:val="002C4603"/>
    <w:rsid w:val="002C4B3D"/>
    <w:rsid w:val="002C533B"/>
    <w:rsid w:val="002D3545"/>
    <w:rsid w:val="002D35EC"/>
    <w:rsid w:val="002D4D01"/>
    <w:rsid w:val="002D77A2"/>
    <w:rsid w:val="002E09EF"/>
    <w:rsid w:val="002E0A60"/>
    <w:rsid w:val="002E26BB"/>
    <w:rsid w:val="002E3857"/>
    <w:rsid w:val="002E6F64"/>
    <w:rsid w:val="002E7609"/>
    <w:rsid w:val="002F0449"/>
    <w:rsid w:val="002F1172"/>
    <w:rsid w:val="002F171D"/>
    <w:rsid w:val="002F179D"/>
    <w:rsid w:val="002F2C0A"/>
    <w:rsid w:val="002F403E"/>
    <w:rsid w:val="002F4371"/>
    <w:rsid w:val="002F7EE2"/>
    <w:rsid w:val="0030012C"/>
    <w:rsid w:val="003003C7"/>
    <w:rsid w:val="00300617"/>
    <w:rsid w:val="00300681"/>
    <w:rsid w:val="003009AD"/>
    <w:rsid w:val="003012B4"/>
    <w:rsid w:val="00301E6B"/>
    <w:rsid w:val="00302AA7"/>
    <w:rsid w:val="00304FEA"/>
    <w:rsid w:val="00306BC1"/>
    <w:rsid w:val="00307FC7"/>
    <w:rsid w:val="00311133"/>
    <w:rsid w:val="00314565"/>
    <w:rsid w:val="00314B9D"/>
    <w:rsid w:val="00314D07"/>
    <w:rsid w:val="00322D1D"/>
    <w:rsid w:val="003249F8"/>
    <w:rsid w:val="00330717"/>
    <w:rsid w:val="00330DF5"/>
    <w:rsid w:val="0033360A"/>
    <w:rsid w:val="003339F3"/>
    <w:rsid w:val="00334D9F"/>
    <w:rsid w:val="00335964"/>
    <w:rsid w:val="003372F5"/>
    <w:rsid w:val="00340397"/>
    <w:rsid w:val="003425C2"/>
    <w:rsid w:val="003461A5"/>
    <w:rsid w:val="00347EF2"/>
    <w:rsid w:val="003507AD"/>
    <w:rsid w:val="00354864"/>
    <w:rsid w:val="00357B35"/>
    <w:rsid w:val="00360B89"/>
    <w:rsid w:val="003645B0"/>
    <w:rsid w:val="003658E1"/>
    <w:rsid w:val="00365D0C"/>
    <w:rsid w:val="003662CA"/>
    <w:rsid w:val="0037055F"/>
    <w:rsid w:val="003716D2"/>
    <w:rsid w:val="00371FFA"/>
    <w:rsid w:val="00376E1D"/>
    <w:rsid w:val="00380736"/>
    <w:rsid w:val="00380F79"/>
    <w:rsid w:val="003819E4"/>
    <w:rsid w:val="00382400"/>
    <w:rsid w:val="00382448"/>
    <w:rsid w:val="003B53B8"/>
    <w:rsid w:val="003B65D5"/>
    <w:rsid w:val="003B73A5"/>
    <w:rsid w:val="003B7915"/>
    <w:rsid w:val="003C0607"/>
    <w:rsid w:val="003C0BE7"/>
    <w:rsid w:val="003C571C"/>
    <w:rsid w:val="003D036A"/>
    <w:rsid w:val="003D2462"/>
    <w:rsid w:val="003D4802"/>
    <w:rsid w:val="003D4B3B"/>
    <w:rsid w:val="003D4D44"/>
    <w:rsid w:val="003D6796"/>
    <w:rsid w:val="003E1D81"/>
    <w:rsid w:val="003E238A"/>
    <w:rsid w:val="003E30F2"/>
    <w:rsid w:val="003F01B4"/>
    <w:rsid w:val="003F1397"/>
    <w:rsid w:val="003F5B08"/>
    <w:rsid w:val="00402E4A"/>
    <w:rsid w:val="00403A09"/>
    <w:rsid w:val="004040EB"/>
    <w:rsid w:val="004042A7"/>
    <w:rsid w:val="00405198"/>
    <w:rsid w:val="00407659"/>
    <w:rsid w:val="00410B14"/>
    <w:rsid w:val="004127B8"/>
    <w:rsid w:val="0041536C"/>
    <w:rsid w:val="004177E4"/>
    <w:rsid w:val="00421108"/>
    <w:rsid w:val="00423ADB"/>
    <w:rsid w:val="00426EFB"/>
    <w:rsid w:val="00434DF8"/>
    <w:rsid w:val="0043557B"/>
    <w:rsid w:val="00436E10"/>
    <w:rsid w:val="00442C46"/>
    <w:rsid w:val="00442F97"/>
    <w:rsid w:val="0044396C"/>
    <w:rsid w:val="00447F25"/>
    <w:rsid w:val="0045131E"/>
    <w:rsid w:val="0045175A"/>
    <w:rsid w:val="00452848"/>
    <w:rsid w:val="0045612A"/>
    <w:rsid w:val="00456555"/>
    <w:rsid w:val="0045721B"/>
    <w:rsid w:val="0045783F"/>
    <w:rsid w:val="00460895"/>
    <w:rsid w:val="004611E6"/>
    <w:rsid w:val="00462494"/>
    <w:rsid w:val="004634A2"/>
    <w:rsid w:val="00464916"/>
    <w:rsid w:val="00465FE6"/>
    <w:rsid w:val="00470376"/>
    <w:rsid w:val="00472D5F"/>
    <w:rsid w:val="00474C1B"/>
    <w:rsid w:val="00477537"/>
    <w:rsid w:val="00477688"/>
    <w:rsid w:val="00481C54"/>
    <w:rsid w:val="00483395"/>
    <w:rsid w:val="00483F25"/>
    <w:rsid w:val="00485804"/>
    <w:rsid w:val="00485F6A"/>
    <w:rsid w:val="00487DB1"/>
    <w:rsid w:val="00495D3D"/>
    <w:rsid w:val="004968F6"/>
    <w:rsid w:val="004A0344"/>
    <w:rsid w:val="004A062F"/>
    <w:rsid w:val="004B48F3"/>
    <w:rsid w:val="004B6B1C"/>
    <w:rsid w:val="004C0392"/>
    <w:rsid w:val="004C2FBA"/>
    <w:rsid w:val="004C59F8"/>
    <w:rsid w:val="004C5C12"/>
    <w:rsid w:val="004C6242"/>
    <w:rsid w:val="004C7BAB"/>
    <w:rsid w:val="004D0855"/>
    <w:rsid w:val="004D2385"/>
    <w:rsid w:val="004E0F7E"/>
    <w:rsid w:val="004E5907"/>
    <w:rsid w:val="004E5AF6"/>
    <w:rsid w:val="004E6D78"/>
    <w:rsid w:val="004E77FA"/>
    <w:rsid w:val="004F528E"/>
    <w:rsid w:val="004F5D25"/>
    <w:rsid w:val="004F6BA7"/>
    <w:rsid w:val="00500125"/>
    <w:rsid w:val="0050077A"/>
    <w:rsid w:val="00502457"/>
    <w:rsid w:val="0050439E"/>
    <w:rsid w:val="005045D2"/>
    <w:rsid w:val="00504C34"/>
    <w:rsid w:val="00504F4E"/>
    <w:rsid w:val="00506306"/>
    <w:rsid w:val="0050761B"/>
    <w:rsid w:val="00507C0D"/>
    <w:rsid w:val="005108E6"/>
    <w:rsid w:val="00512080"/>
    <w:rsid w:val="005127D5"/>
    <w:rsid w:val="005206DA"/>
    <w:rsid w:val="005212E9"/>
    <w:rsid w:val="00524D12"/>
    <w:rsid w:val="005265FA"/>
    <w:rsid w:val="005310EC"/>
    <w:rsid w:val="005313CD"/>
    <w:rsid w:val="00532528"/>
    <w:rsid w:val="005329A6"/>
    <w:rsid w:val="005331D6"/>
    <w:rsid w:val="00534C6B"/>
    <w:rsid w:val="00535727"/>
    <w:rsid w:val="005364D8"/>
    <w:rsid w:val="00536A89"/>
    <w:rsid w:val="00536B7C"/>
    <w:rsid w:val="00537DE5"/>
    <w:rsid w:val="005418ED"/>
    <w:rsid w:val="00542279"/>
    <w:rsid w:val="0054279E"/>
    <w:rsid w:val="00547AE0"/>
    <w:rsid w:val="00551F66"/>
    <w:rsid w:val="00552EE2"/>
    <w:rsid w:val="00554F70"/>
    <w:rsid w:val="00555ED8"/>
    <w:rsid w:val="005579DA"/>
    <w:rsid w:val="005622AB"/>
    <w:rsid w:val="005652F0"/>
    <w:rsid w:val="00565562"/>
    <w:rsid w:val="00566B1F"/>
    <w:rsid w:val="00567D60"/>
    <w:rsid w:val="005704E2"/>
    <w:rsid w:val="00572109"/>
    <w:rsid w:val="00572FA2"/>
    <w:rsid w:val="005750F2"/>
    <w:rsid w:val="00584F23"/>
    <w:rsid w:val="005907DC"/>
    <w:rsid w:val="005912F6"/>
    <w:rsid w:val="00593879"/>
    <w:rsid w:val="005A1C72"/>
    <w:rsid w:val="005A2061"/>
    <w:rsid w:val="005A22D7"/>
    <w:rsid w:val="005A47C4"/>
    <w:rsid w:val="005A50FB"/>
    <w:rsid w:val="005A654F"/>
    <w:rsid w:val="005A6A85"/>
    <w:rsid w:val="005A77F3"/>
    <w:rsid w:val="005A7A72"/>
    <w:rsid w:val="005B1098"/>
    <w:rsid w:val="005C0AD7"/>
    <w:rsid w:val="005C1C07"/>
    <w:rsid w:val="005C2C42"/>
    <w:rsid w:val="005C3231"/>
    <w:rsid w:val="005C3BEC"/>
    <w:rsid w:val="005C4036"/>
    <w:rsid w:val="005C42DE"/>
    <w:rsid w:val="005C68AF"/>
    <w:rsid w:val="005C71B4"/>
    <w:rsid w:val="005C79C8"/>
    <w:rsid w:val="005C7F10"/>
    <w:rsid w:val="005D0DE3"/>
    <w:rsid w:val="005D1E21"/>
    <w:rsid w:val="005D30D4"/>
    <w:rsid w:val="005D5946"/>
    <w:rsid w:val="005F2171"/>
    <w:rsid w:val="005F29A0"/>
    <w:rsid w:val="005F327E"/>
    <w:rsid w:val="005F34A0"/>
    <w:rsid w:val="005F4124"/>
    <w:rsid w:val="00600240"/>
    <w:rsid w:val="00602438"/>
    <w:rsid w:val="00603E6E"/>
    <w:rsid w:val="00604259"/>
    <w:rsid w:val="00604797"/>
    <w:rsid w:val="00604AE4"/>
    <w:rsid w:val="00612505"/>
    <w:rsid w:val="00613263"/>
    <w:rsid w:val="006157C4"/>
    <w:rsid w:val="00615E84"/>
    <w:rsid w:val="006160F3"/>
    <w:rsid w:val="00616ED9"/>
    <w:rsid w:val="006171ED"/>
    <w:rsid w:val="00631757"/>
    <w:rsid w:val="00635532"/>
    <w:rsid w:val="00642438"/>
    <w:rsid w:val="0064299F"/>
    <w:rsid w:val="0064308E"/>
    <w:rsid w:val="0064460A"/>
    <w:rsid w:val="00646765"/>
    <w:rsid w:val="006559DB"/>
    <w:rsid w:val="00660859"/>
    <w:rsid w:val="00661586"/>
    <w:rsid w:val="0066272A"/>
    <w:rsid w:val="00666331"/>
    <w:rsid w:val="00666FCB"/>
    <w:rsid w:val="00671878"/>
    <w:rsid w:val="00672164"/>
    <w:rsid w:val="00674545"/>
    <w:rsid w:val="00674569"/>
    <w:rsid w:val="00674D28"/>
    <w:rsid w:val="00675F09"/>
    <w:rsid w:val="006807F1"/>
    <w:rsid w:val="00681154"/>
    <w:rsid w:val="006831CB"/>
    <w:rsid w:val="00685D4C"/>
    <w:rsid w:val="00690104"/>
    <w:rsid w:val="00696ADC"/>
    <w:rsid w:val="006A1B7E"/>
    <w:rsid w:val="006A2EAC"/>
    <w:rsid w:val="006A4E73"/>
    <w:rsid w:val="006A6B82"/>
    <w:rsid w:val="006B047A"/>
    <w:rsid w:val="006B2CA2"/>
    <w:rsid w:val="006B2E39"/>
    <w:rsid w:val="006B3DCF"/>
    <w:rsid w:val="006B443C"/>
    <w:rsid w:val="006C1CA4"/>
    <w:rsid w:val="006C21D8"/>
    <w:rsid w:val="006C53D9"/>
    <w:rsid w:val="006C5856"/>
    <w:rsid w:val="006D6E69"/>
    <w:rsid w:val="006E2268"/>
    <w:rsid w:val="006E2E51"/>
    <w:rsid w:val="006E33E1"/>
    <w:rsid w:val="006E5996"/>
    <w:rsid w:val="006F0DA9"/>
    <w:rsid w:val="006F110C"/>
    <w:rsid w:val="006F3245"/>
    <w:rsid w:val="006F4671"/>
    <w:rsid w:val="006F4AD1"/>
    <w:rsid w:val="006F4E04"/>
    <w:rsid w:val="006F7F02"/>
    <w:rsid w:val="00701677"/>
    <w:rsid w:val="007026CD"/>
    <w:rsid w:val="007050D7"/>
    <w:rsid w:val="00707844"/>
    <w:rsid w:val="00717FF7"/>
    <w:rsid w:val="00723DCA"/>
    <w:rsid w:val="0072518C"/>
    <w:rsid w:val="0072683D"/>
    <w:rsid w:val="00727061"/>
    <w:rsid w:val="007316E0"/>
    <w:rsid w:val="0073420B"/>
    <w:rsid w:val="00737DDD"/>
    <w:rsid w:val="00740051"/>
    <w:rsid w:val="007401E0"/>
    <w:rsid w:val="00741FE5"/>
    <w:rsid w:val="007426C0"/>
    <w:rsid w:val="00743169"/>
    <w:rsid w:val="0074639B"/>
    <w:rsid w:val="00746D40"/>
    <w:rsid w:val="00751692"/>
    <w:rsid w:val="00753EA8"/>
    <w:rsid w:val="007570B6"/>
    <w:rsid w:val="00761BEE"/>
    <w:rsid w:val="00764A91"/>
    <w:rsid w:val="00764C8C"/>
    <w:rsid w:val="007650B2"/>
    <w:rsid w:val="00765733"/>
    <w:rsid w:val="00765C5F"/>
    <w:rsid w:val="00765DE6"/>
    <w:rsid w:val="0076761C"/>
    <w:rsid w:val="007706C5"/>
    <w:rsid w:val="00772F54"/>
    <w:rsid w:val="00773DDF"/>
    <w:rsid w:val="00774B9F"/>
    <w:rsid w:val="00775AC5"/>
    <w:rsid w:val="00775E3D"/>
    <w:rsid w:val="00777244"/>
    <w:rsid w:val="00783AF9"/>
    <w:rsid w:val="00785A7D"/>
    <w:rsid w:val="00785F6B"/>
    <w:rsid w:val="00787340"/>
    <w:rsid w:val="00790011"/>
    <w:rsid w:val="00790A51"/>
    <w:rsid w:val="007910AD"/>
    <w:rsid w:val="00791A55"/>
    <w:rsid w:val="00791C6C"/>
    <w:rsid w:val="00791D87"/>
    <w:rsid w:val="007921BE"/>
    <w:rsid w:val="00792A22"/>
    <w:rsid w:val="00796AEE"/>
    <w:rsid w:val="007A0E7E"/>
    <w:rsid w:val="007A0FBF"/>
    <w:rsid w:val="007A40D3"/>
    <w:rsid w:val="007A4EFB"/>
    <w:rsid w:val="007A62A2"/>
    <w:rsid w:val="007B01BD"/>
    <w:rsid w:val="007B08CC"/>
    <w:rsid w:val="007B1055"/>
    <w:rsid w:val="007B5018"/>
    <w:rsid w:val="007C1B2A"/>
    <w:rsid w:val="007C3C6C"/>
    <w:rsid w:val="007C42F3"/>
    <w:rsid w:val="007C4BE8"/>
    <w:rsid w:val="007D33AB"/>
    <w:rsid w:val="007D51A4"/>
    <w:rsid w:val="007D5CF0"/>
    <w:rsid w:val="007D5EDF"/>
    <w:rsid w:val="007E1784"/>
    <w:rsid w:val="007E18C4"/>
    <w:rsid w:val="007E41C2"/>
    <w:rsid w:val="007E5F89"/>
    <w:rsid w:val="007E69F8"/>
    <w:rsid w:val="007E7A61"/>
    <w:rsid w:val="007F3415"/>
    <w:rsid w:val="007F3B3A"/>
    <w:rsid w:val="007F57EC"/>
    <w:rsid w:val="007F5CF3"/>
    <w:rsid w:val="007F6EF6"/>
    <w:rsid w:val="007F6FFE"/>
    <w:rsid w:val="008033B0"/>
    <w:rsid w:val="008045A7"/>
    <w:rsid w:val="008059D5"/>
    <w:rsid w:val="00806AB3"/>
    <w:rsid w:val="00807947"/>
    <w:rsid w:val="00810268"/>
    <w:rsid w:val="00813175"/>
    <w:rsid w:val="00814E16"/>
    <w:rsid w:val="00815CA4"/>
    <w:rsid w:val="00816251"/>
    <w:rsid w:val="0082150C"/>
    <w:rsid w:val="008220A7"/>
    <w:rsid w:val="00822270"/>
    <w:rsid w:val="00822F1A"/>
    <w:rsid w:val="00823DEF"/>
    <w:rsid w:val="00824B83"/>
    <w:rsid w:val="0082682E"/>
    <w:rsid w:val="00827084"/>
    <w:rsid w:val="008273CD"/>
    <w:rsid w:val="0082775C"/>
    <w:rsid w:val="00827E26"/>
    <w:rsid w:val="00827E65"/>
    <w:rsid w:val="00833893"/>
    <w:rsid w:val="00834927"/>
    <w:rsid w:val="00845042"/>
    <w:rsid w:val="00846523"/>
    <w:rsid w:val="00847459"/>
    <w:rsid w:val="00850116"/>
    <w:rsid w:val="00850E0F"/>
    <w:rsid w:val="0086017A"/>
    <w:rsid w:val="0086187C"/>
    <w:rsid w:val="008628F4"/>
    <w:rsid w:val="008700AC"/>
    <w:rsid w:val="00871822"/>
    <w:rsid w:val="0087293B"/>
    <w:rsid w:val="00877E69"/>
    <w:rsid w:val="008801DD"/>
    <w:rsid w:val="00881E02"/>
    <w:rsid w:val="0088205F"/>
    <w:rsid w:val="008830CF"/>
    <w:rsid w:val="0088432A"/>
    <w:rsid w:val="00890491"/>
    <w:rsid w:val="00890F24"/>
    <w:rsid w:val="008948D2"/>
    <w:rsid w:val="00896FA8"/>
    <w:rsid w:val="008973FD"/>
    <w:rsid w:val="00897D93"/>
    <w:rsid w:val="008A3ED3"/>
    <w:rsid w:val="008A4E13"/>
    <w:rsid w:val="008A4F13"/>
    <w:rsid w:val="008A5790"/>
    <w:rsid w:val="008A638F"/>
    <w:rsid w:val="008B49EF"/>
    <w:rsid w:val="008B7017"/>
    <w:rsid w:val="008C48D7"/>
    <w:rsid w:val="008C5441"/>
    <w:rsid w:val="008C6601"/>
    <w:rsid w:val="008D1A6D"/>
    <w:rsid w:val="008D69E7"/>
    <w:rsid w:val="008E2B9A"/>
    <w:rsid w:val="008E3D7B"/>
    <w:rsid w:val="008F0B42"/>
    <w:rsid w:val="008F161F"/>
    <w:rsid w:val="008F2D29"/>
    <w:rsid w:val="008F4348"/>
    <w:rsid w:val="008F4D5F"/>
    <w:rsid w:val="008F79A5"/>
    <w:rsid w:val="00900CE0"/>
    <w:rsid w:val="009021F8"/>
    <w:rsid w:val="009027D8"/>
    <w:rsid w:val="00903114"/>
    <w:rsid w:val="009031A2"/>
    <w:rsid w:val="00904497"/>
    <w:rsid w:val="00904A85"/>
    <w:rsid w:val="009074C1"/>
    <w:rsid w:val="009100F3"/>
    <w:rsid w:val="0091080B"/>
    <w:rsid w:val="0091084C"/>
    <w:rsid w:val="00912536"/>
    <w:rsid w:val="00913AFD"/>
    <w:rsid w:val="00914F51"/>
    <w:rsid w:val="0092329B"/>
    <w:rsid w:val="009232FC"/>
    <w:rsid w:val="009248BD"/>
    <w:rsid w:val="00926570"/>
    <w:rsid w:val="00931DFF"/>
    <w:rsid w:val="0093297F"/>
    <w:rsid w:val="00932F23"/>
    <w:rsid w:val="00934E8D"/>
    <w:rsid w:val="00944C3E"/>
    <w:rsid w:val="00944D09"/>
    <w:rsid w:val="009453C9"/>
    <w:rsid w:val="00951245"/>
    <w:rsid w:val="009532A9"/>
    <w:rsid w:val="0095390C"/>
    <w:rsid w:val="00953E55"/>
    <w:rsid w:val="00954CFC"/>
    <w:rsid w:val="00955003"/>
    <w:rsid w:val="00957D80"/>
    <w:rsid w:val="00961607"/>
    <w:rsid w:val="00963AC9"/>
    <w:rsid w:val="00964796"/>
    <w:rsid w:val="00967FAF"/>
    <w:rsid w:val="00970AAC"/>
    <w:rsid w:val="009724CF"/>
    <w:rsid w:val="00981512"/>
    <w:rsid w:val="00983396"/>
    <w:rsid w:val="009848CD"/>
    <w:rsid w:val="0098559A"/>
    <w:rsid w:val="0098643F"/>
    <w:rsid w:val="00990EE4"/>
    <w:rsid w:val="00991B16"/>
    <w:rsid w:val="00993CBF"/>
    <w:rsid w:val="009949D6"/>
    <w:rsid w:val="00995A4C"/>
    <w:rsid w:val="00997011"/>
    <w:rsid w:val="009A1A69"/>
    <w:rsid w:val="009A628F"/>
    <w:rsid w:val="009A6F8C"/>
    <w:rsid w:val="009B1DAD"/>
    <w:rsid w:val="009B30CF"/>
    <w:rsid w:val="009B3F85"/>
    <w:rsid w:val="009B6325"/>
    <w:rsid w:val="009C0EAF"/>
    <w:rsid w:val="009C35D0"/>
    <w:rsid w:val="009C3D3E"/>
    <w:rsid w:val="009C5214"/>
    <w:rsid w:val="009C6BDD"/>
    <w:rsid w:val="009D30F3"/>
    <w:rsid w:val="009D4A7B"/>
    <w:rsid w:val="009D58BE"/>
    <w:rsid w:val="009D6314"/>
    <w:rsid w:val="009D6EE9"/>
    <w:rsid w:val="009D7C48"/>
    <w:rsid w:val="009E068A"/>
    <w:rsid w:val="009E1509"/>
    <w:rsid w:val="009E35DD"/>
    <w:rsid w:val="009E737C"/>
    <w:rsid w:val="009E7883"/>
    <w:rsid w:val="009E7E79"/>
    <w:rsid w:val="009F0A75"/>
    <w:rsid w:val="009F16F8"/>
    <w:rsid w:val="009F1FB4"/>
    <w:rsid w:val="009F2C5E"/>
    <w:rsid w:val="009F3601"/>
    <w:rsid w:val="009F44BE"/>
    <w:rsid w:val="009F5225"/>
    <w:rsid w:val="00A01568"/>
    <w:rsid w:val="00A0164F"/>
    <w:rsid w:val="00A067A7"/>
    <w:rsid w:val="00A077C3"/>
    <w:rsid w:val="00A14E37"/>
    <w:rsid w:val="00A17FD3"/>
    <w:rsid w:val="00A23498"/>
    <w:rsid w:val="00A26471"/>
    <w:rsid w:val="00A3160B"/>
    <w:rsid w:val="00A331B4"/>
    <w:rsid w:val="00A42BB3"/>
    <w:rsid w:val="00A43246"/>
    <w:rsid w:val="00A45439"/>
    <w:rsid w:val="00A46505"/>
    <w:rsid w:val="00A4670A"/>
    <w:rsid w:val="00A46775"/>
    <w:rsid w:val="00A550AA"/>
    <w:rsid w:val="00A560CA"/>
    <w:rsid w:val="00A5669C"/>
    <w:rsid w:val="00A57CEA"/>
    <w:rsid w:val="00A605FA"/>
    <w:rsid w:val="00A607F7"/>
    <w:rsid w:val="00A61972"/>
    <w:rsid w:val="00A62E7F"/>
    <w:rsid w:val="00A65734"/>
    <w:rsid w:val="00A6639B"/>
    <w:rsid w:val="00A664CD"/>
    <w:rsid w:val="00A71566"/>
    <w:rsid w:val="00A71C06"/>
    <w:rsid w:val="00A76031"/>
    <w:rsid w:val="00A775B1"/>
    <w:rsid w:val="00A81052"/>
    <w:rsid w:val="00A81375"/>
    <w:rsid w:val="00A849E7"/>
    <w:rsid w:val="00A86536"/>
    <w:rsid w:val="00A87443"/>
    <w:rsid w:val="00A87B2C"/>
    <w:rsid w:val="00A936A3"/>
    <w:rsid w:val="00A941D8"/>
    <w:rsid w:val="00A94AF5"/>
    <w:rsid w:val="00A95933"/>
    <w:rsid w:val="00A968FC"/>
    <w:rsid w:val="00AA0689"/>
    <w:rsid w:val="00AA277D"/>
    <w:rsid w:val="00AA2F66"/>
    <w:rsid w:val="00AA38FB"/>
    <w:rsid w:val="00AA401F"/>
    <w:rsid w:val="00AA55D2"/>
    <w:rsid w:val="00AB17F8"/>
    <w:rsid w:val="00AB2EFA"/>
    <w:rsid w:val="00AC035F"/>
    <w:rsid w:val="00AC092D"/>
    <w:rsid w:val="00AC0DCE"/>
    <w:rsid w:val="00AC3618"/>
    <w:rsid w:val="00AC4025"/>
    <w:rsid w:val="00AC67CA"/>
    <w:rsid w:val="00AC71FA"/>
    <w:rsid w:val="00AC7D5E"/>
    <w:rsid w:val="00AD0D26"/>
    <w:rsid w:val="00AD16D7"/>
    <w:rsid w:val="00AD4680"/>
    <w:rsid w:val="00AD6267"/>
    <w:rsid w:val="00AD67AD"/>
    <w:rsid w:val="00AE1C20"/>
    <w:rsid w:val="00AE3341"/>
    <w:rsid w:val="00AE5E37"/>
    <w:rsid w:val="00AE70EA"/>
    <w:rsid w:val="00AF395E"/>
    <w:rsid w:val="00AF564B"/>
    <w:rsid w:val="00AF5BC2"/>
    <w:rsid w:val="00AF7CBC"/>
    <w:rsid w:val="00B00678"/>
    <w:rsid w:val="00B03A1E"/>
    <w:rsid w:val="00B03D93"/>
    <w:rsid w:val="00B11291"/>
    <w:rsid w:val="00B112EA"/>
    <w:rsid w:val="00B126DC"/>
    <w:rsid w:val="00B15DEA"/>
    <w:rsid w:val="00B16D29"/>
    <w:rsid w:val="00B17F99"/>
    <w:rsid w:val="00B20FAF"/>
    <w:rsid w:val="00B2380F"/>
    <w:rsid w:val="00B23A2C"/>
    <w:rsid w:val="00B2502E"/>
    <w:rsid w:val="00B3768A"/>
    <w:rsid w:val="00B42AB4"/>
    <w:rsid w:val="00B43485"/>
    <w:rsid w:val="00B4504F"/>
    <w:rsid w:val="00B4657B"/>
    <w:rsid w:val="00B474B7"/>
    <w:rsid w:val="00B479F5"/>
    <w:rsid w:val="00B54D3D"/>
    <w:rsid w:val="00B57302"/>
    <w:rsid w:val="00B57CE1"/>
    <w:rsid w:val="00B6058D"/>
    <w:rsid w:val="00B62FE7"/>
    <w:rsid w:val="00B63CB7"/>
    <w:rsid w:val="00B662FB"/>
    <w:rsid w:val="00B67CDE"/>
    <w:rsid w:val="00B732B5"/>
    <w:rsid w:val="00B743F3"/>
    <w:rsid w:val="00B74F76"/>
    <w:rsid w:val="00B75F19"/>
    <w:rsid w:val="00B764D9"/>
    <w:rsid w:val="00B77210"/>
    <w:rsid w:val="00B81B90"/>
    <w:rsid w:val="00B82D98"/>
    <w:rsid w:val="00B85F0D"/>
    <w:rsid w:val="00B86B2C"/>
    <w:rsid w:val="00B90F4C"/>
    <w:rsid w:val="00B92F3B"/>
    <w:rsid w:val="00B940F5"/>
    <w:rsid w:val="00B95F01"/>
    <w:rsid w:val="00B976F2"/>
    <w:rsid w:val="00BA106F"/>
    <w:rsid w:val="00BA5769"/>
    <w:rsid w:val="00BB0195"/>
    <w:rsid w:val="00BB336F"/>
    <w:rsid w:val="00BB4C81"/>
    <w:rsid w:val="00BB73E9"/>
    <w:rsid w:val="00BB75BF"/>
    <w:rsid w:val="00BB770E"/>
    <w:rsid w:val="00BC04C8"/>
    <w:rsid w:val="00BC4C69"/>
    <w:rsid w:val="00BC4CC2"/>
    <w:rsid w:val="00BC4DD1"/>
    <w:rsid w:val="00BC59DE"/>
    <w:rsid w:val="00BC787E"/>
    <w:rsid w:val="00BD0EE1"/>
    <w:rsid w:val="00BD1793"/>
    <w:rsid w:val="00BD4760"/>
    <w:rsid w:val="00BE2469"/>
    <w:rsid w:val="00BE466E"/>
    <w:rsid w:val="00BE4BE4"/>
    <w:rsid w:val="00BE5AEF"/>
    <w:rsid w:val="00BF22D6"/>
    <w:rsid w:val="00BF34DA"/>
    <w:rsid w:val="00BF5C80"/>
    <w:rsid w:val="00BF6D0E"/>
    <w:rsid w:val="00BF7133"/>
    <w:rsid w:val="00C01AAB"/>
    <w:rsid w:val="00C04409"/>
    <w:rsid w:val="00C04A23"/>
    <w:rsid w:val="00C0505D"/>
    <w:rsid w:val="00C0618F"/>
    <w:rsid w:val="00C0732E"/>
    <w:rsid w:val="00C1541B"/>
    <w:rsid w:val="00C15C0E"/>
    <w:rsid w:val="00C179CA"/>
    <w:rsid w:val="00C20ED9"/>
    <w:rsid w:val="00C212AB"/>
    <w:rsid w:val="00C22652"/>
    <w:rsid w:val="00C2283C"/>
    <w:rsid w:val="00C23F19"/>
    <w:rsid w:val="00C24FF7"/>
    <w:rsid w:val="00C27D13"/>
    <w:rsid w:val="00C31B33"/>
    <w:rsid w:val="00C35502"/>
    <w:rsid w:val="00C36426"/>
    <w:rsid w:val="00C371EB"/>
    <w:rsid w:val="00C41C2A"/>
    <w:rsid w:val="00C42FE5"/>
    <w:rsid w:val="00C44216"/>
    <w:rsid w:val="00C4580D"/>
    <w:rsid w:val="00C472FF"/>
    <w:rsid w:val="00C514E9"/>
    <w:rsid w:val="00C52B0C"/>
    <w:rsid w:val="00C5491E"/>
    <w:rsid w:val="00C54D09"/>
    <w:rsid w:val="00C551C4"/>
    <w:rsid w:val="00C5605D"/>
    <w:rsid w:val="00C572D8"/>
    <w:rsid w:val="00C62612"/>
    <w:rsid w:val="00C62754"/>
    <w:rsid w:val="00C632E1"/>
    <w:rsid w:val="00C702D5"/>
    <w:rsid w:val="00C728B2"/>
    <w:rsid w:val="00C749EA"/>
    <w:rsid w:val="00C76684"/>
    <w:rsid w:val="00C76711"/>
    <w:rsid w:val="00C7730C"/>
    <w:rsid w:val="00C838B4"/>
    <w:rsid w:val="00C83D2D"/>
    <w:rsid w:val="00C84974"/>
    <w:rsid w:val="00C9227F"/>
    <w:rsid w:val="00C92CA4"/>
    <w:rsid w:val="00C92D11"/>
    <w:rsid w:val="00C956AA"/>
    <w:rsid w:val="00CA00B3"/>
    <w:rsid w:val="00CA24C6"/>
    <w:rsid w:val="00CA26A1"/>
    <w:rsid w:val="00CA28B4"/>
    <w:rsid w:val="00CA412A"/>
    <w:rsid w:val="00CA66E1"/>
    <w:rsid w:val="00CA6976"/>
    <w:rsid w:val="00CA7881"/>
    <w:rsid w:val="00CB096B"/>
    <w:rsid w:val="00CB4663"/>
    <w:rsid w:val="00CC179B"/>
    <w:rsid w:val="00CD0865"/>
    <w:rsid w:val="00CD1128"/>
    <w:rsid w:val="00CD1FDA"/>
    <w:rsid w:val="00CD2711"/>
    <w:rsid w:val="00CD3134"/>
    <w:rsid w:val="00CD44C3"/>
    <w:rsid w:val="00CD492F"/>
    <w:rsid w:val="00CE01F9"/>
    <w:rsid w:val="00CE0ADC"/>
    <w:rsid w:val="00CE52FC"/>
    <w:rsid w:val="00CE552A"/>
    <w:rsid w:val="00CE6587"/>
    <w:rsid w:val="00CE7D9A"/>
    <w:rsid w:val="00CF0296"/>
    <w:rsid w:val="00CF09E1"/>
    <w:rsid w:val="00CF4C83"/>
    <w:rsid w:val="00D01673"/>
    <w:rsid w:val="00D02644"/>
    <w:rsid w:val="00D03169"/>
    <w:rsid w:val="00D0342A"/>
    <w:rsid w:val="00D03D8E"/>
    <w:rsid w:val="00D04067"/>
    <w:rsid w:val="00D04E36"/>
    <w:rsid w:val="00D06442"/>
    <w:rsid w:val="00D114B8"/>
    <w:rsid w:val="00D12E03"/>
    <w:rsid w:val="00D15418"/>
    <w:rsid w:val="00D17C46"/>
    <w:rsid w:val="00D201A3"/>
    <w:rsid w:val="00D212BF"/>
    <w:rsid w:val="00D22705"/>
    <w:rsid w:val="00D23E97"/>
    <w:rsid w:val="00D25A8A"/>
    <w:rsid w:val="00D328B9"/>
    <w:rsid w:val="00D329F6"/>
    <w:rsid w:val="00D33BE6"/>
    <w:rsid w:val="00D33EA1"/>
    <w:rsid w:val="00D351E2"/>
    <w:rsid w:val="00D365EA"/>
    <w:rsid w:val="00D379B1"/>
    <w:rsid w:val="00D410A0"/>
    <w:rsid w:val="00D4292E"/>
    <w:rsid w:val="00D43B44"/>
    <w:rsid w:val="00D4521D"/>
    <w:rsid w:val="00D46028"/>
    <w:rsid w:val="00D4627C"/>
    <w:rsid w:val="00D46CEA"/>
    <w:rsid w:val="00D46E5E"/>
    <w:rsid w:val="00D548B2"/>
    <w:rsid w:val="00D57C33"/>
    <w:rsid w:val="00D57EA6"/>
    <w:rsid w:val="00D60191"/>
    <w:rsid w:val="00D64C27"/>
    <w:rsid w:val="00D711F8"/>
    <w:rsid w:val="00D71B28"/>
    <w:rsid w:val="00D721D1"/>
    <w:rsid w:val="00D7221F"/>
    <w:rsid w:val="00D7479D"/>
    <w:rsid w:val="00D75201"/>
    <w:rsid w:val="00D764E9"/>
    <w:rsid w:val="00D76AC9"/>
    <w:rsid w:val="00D81958"/>
    <w:rsid w:val="00D838F0"/>
    <w:rsid w:val="00D83F80"/>
    <w:rsid w:val="00D85695"/>
    <w:rsid w:val="00D85792"/>
    <w:rsid w:val="00D865A8"/>
    <w:rsid w:val="00D912F3"/>
    <w:rsid w:val="00D94868"/>
    <w:rsid w:val="00D95530"/>
    <w:rsid w:val="00DA36BE"/>
    <w:rsid w:val="00DA6013"/>
    <w:rsid w:val="00DA66EC"/>
    <w:rsid w:val="00DB13AF"/>
    <w:rsid w:val="00DB1E03"/>
    <w:rsid w:val="00DB2548"/>
    <w:rsid w:val="00DB41B2"/>
    <w:rsid w:val="00DB4F5E"/>
    <w:rsid w:val="00DB6630"/>
    <w:rsid w:val="00DB67D6"/>
    <w:rsid w:val="00DC1542"/>
    <w:rsid w:val="00DC2266"/>
    <w:rsid w:val="00DD1E50"/>
    <w:rsid w:val="00DD1E6A"/>
    <w:rsid w:val="00DD5B47"/>
    <w:rsid w:val="00DD60A0"/>
    <w:rsid w:val="00DE2CCB"/>
    <w:rsid w:val="00DE3867"/>
    <w:rsid w:val="00DF1268"/>
    <w:rsid w:val="00DF1C8E"/>
    <w:rsid w:val="00DF2D1C"/>
    <w:rsid w:val="00DF3115"/>
    <w:rsid w:val="00DF40D0"/>
    <w:rsid w:val="00DF69FA"/>
    <w:rsid w:val="00DF6B81"/>
    <w:rsid w:val="00E00962"/>
    <w:rsid w:val="00E014B6"/>
    <w:rsid w:val="00E01C79"/>
    <w:rsid w:val="00E063D4"/>
    <w:rsid w:val="00E06F8A"/>
    <w:rsid w:val="00E07221"/>
    <w:rsid w:val="00E13177"/>
    <w:rsid w:val="00E137CD"/>
    <w:rsid w:val="00E16413"/>
    <w:rsid w:val="00E17DBE"/>
    <w:rsid w:val="00E17E1F"/>
    <w:rsid w:val="00E20CB5"/>
    <w:rsid w:val="00E21F4E"/>
    <w:rsid w:val="00E2561B"/>
    <w:rsid w:val="00E26364"/>
    <w:rsid w:val="00E26BC8"/>
    <w:rsid w:val="00E33245"/>
    <w:rsid w:val="00E4175E"/>
    <w:rsid w:val="00E455CD"/>
    <w:rsid w:val="00E460BE"/>
    <w:rsid w:val="00E5086E"/>
    <w:rsid w:val="00E520E4"/>
    <w:rsid w:val="00E55782"/>
    <w:rsid w:val="00E57198"/>
    <w:rsid w:val="00E632FC"/>
    <w:rsid w:val="00E63814"/>
    <w:rsid w:val="00E65095"/>
    <w:rsid w:val="00E65E35"/>
    <w:rsid w:val="00E66B97"/>
    <w:rsid w:val="00E725B5"/>
    <w:rsid w:val="00E72C17"/>
    <w:rsid w:val="00E736C9"/>
    <w:rsid w:val="00E7437D"/>
    <w:rsid w:val="00E75E03"/>
    <w:rsid w:val="00E76F27"/>
    <w:rsid w:val="00E77237"/>
    <w:rsid w:val="00E77451"/>
    <w:rsid w:val="00E82236"/>
    <w:rsid w:val="00E825AD"/>
    <w:rsid w:val="00E83911"/>
    <w:rsid w:val="00E83BEC"/>
    <w:rsid w:val="00E84AF0"/>
    <w:rsid w:val="00E85CB2"/>
    <w:rsid w:val="00E86583"/>
    <w:rsid w:val="00E908CD"/>
    <w:rsid w:val="00E91221"/>
    <w:rsid w:val="00E9343E"/>
    <w:rsid w:val="00E94463"/>
    <w:rsid w:val="00EA013E"/>
    <w:rsid w:val="00EA0773"/>
    <w:rsid w:val="00EA4971"/>
    <w:rsid w:val="00EA6F6C"/>
    <w:rsid w:val="00EB1514"/>
    <w:rsid w:val="00EB430E"/>
    <w:rsid w:val="00EB7B37"/>
    <w:rsid w:val="00EC2E4C"/>
    <w:rsid w:val="00EC5863"/>
    <w:rsid w:val="00EC69EA"/>
    <w:rsid w:val="00ED074A"/>
    <w:rsid w:val="00ED141D"/>
    <w:rsid w:val="00ED1D05"/>
    <w:rsid w:val="00ED2AC8"/>
    <w:rsid w:val="00ED32D5"/>
    <w:rsid w:val="00ED36B9"/>
    <w:rsid w:val="00ED4D8D"/>
    <w:rsid w:val="00EE0D2F"/>
    <w:rsid w:val="00EE121D"/>
    <w:rsid w:val="00EE1B97"/>
    <w:rsid w:val="00EE3507"/>
    <w:rsid w:val="00EE6F3F"/>
    <w:rsid w:val="00EE6FD5"/>
    <w:rsid w:val="00EE745D"/>
    <w:rsid w:val="00EE79A4"/>
    <w:rsid w:val="00EF2398"/>
    <w:rsid w:val="00EF2F0B"/>
    <w:rsid w:val="00EF7D98"/>
    <w:rsid w:val="00F00694"/>
    <w:rsid w:val="00F01A6C"/>
    <w:rsid w:val="00F02F5C"/>
    <w:rsid w:val="00F04ACB"/>
    <w:rsid w:val="00F0606B"/>
    <w:rsid w:val="00F11BA9"/>
    <w:rsid w:val="00F173DE"/>
    <w:rsid w:val="00F20CFD"/>
    <w:rsid w:val="00F2265A"/>
    <w:rsid w:val="00F2511E"/>
    <w:rsid w:val="00F255AB"/>
    <w:rsid w:val="00F255F7"/>
    <w:rsid w:val="00F31E7A"/>
    <w:rsid w:val="00F331DA"/>
    <w:rsid w:val="00F34C20"/>
    <w:rsid w:val="00F3648B"/>
    <w:rsid w:val="00F36597"/>
    <w:rsid w:val="00F3682C"/>
    <w:rsid w:val="00F37E4C"/>
    <w:rsid w:val="00F4085C"/>
    <w:rsid w:val="00F42D00"/>
    <w:rsid w:val="00F43B59"/>
    <w:rsid w:val="00F51166"/>
    <w:rsid w:val="00F550BF"/>
    <w:rsid w:val="00F6712F"/>
    <w:rsid w:val="00F74CDA"/>
    <w:rsid w:val="00F761D6"/>
    <w:rsid w:val="00F80D39"/>
    <w:rsid w:val="00F90904"/>
    <w:rsid w:val="00F935B1"/>
    <w:rsid w:val="00F940CC"/>
    <w:rsid w:val="00FA03DD"/>
    <w:rsid w:val="00FA12EC"/>
    <w:rsid w:val="00FA36A9"/>
    <w:rsid w:val="00FA531B"/>
    <w:rsid w:val="00FA6586"/>
    <w:rsid w:val="00FB0096"/>
    <w:rsid w:val="00FB073D"/>
    <w:rsid w:val="00FB40DA"/>
    <w:rsid w:val="00FB62F9"/>
    <w:rsid w:val="00FB6325"/>
    <w:rsid w:val="00FC088A"/>
    <w:rsid w:val="00FD3EE4"/>
    <w:rsid w:val="00FD4F40"/>
    <w:rsid w:val="00FE049D"/>
    <w:rsid w:val="00FE2535"/>
    <w:rsid w:val="00FE29F7"/>
    <w:rsid w:val="00FE5424"/>
    <w:rsid w:val="00FE7EE9"/>
    <w:rsid w:val="00FF1878"/>
    <w:rsid w:val="00FF2A5A"/>
    <w:rsid w:val="00FF6E9E"/>
    <w:rsid w:val="00FF724B"/>
    <w:rsid w:val="00FF76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225"/>
    <w:rPr>
      <w:sz w:val="24"/>
      <w:szCs w:val="24"/>
    </w:rPr>
  </w:style>
  <w:style w:type="paragraph" w:styleId="Heading1">
    <w:name w:val="heading 1"/>
    <w:basedOn w:val="Normal"/>
    <w:next w:val="Normal"/>
    <w:link w:val="Heading1Char"/>
    <w:autoRedefine/>
    <w:uiPriority w:val="9"/>
    <w:qFormat/>
    <w:rsid w:val="002F2C0A"/>
    <w:pPr>
      <w:keepNext/>
      <w:spacing w:before="240" w:after="60" w:line="276" w:lineRule="auto"/>
      <w:outlineLvl w:val="0"/>
    </w:pPr>
    <w:rPr>
      <w:rFonts w:asciiTheme="minorHAnsi" w:hAnsi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380736"/>
    <w:rPr>
      <w:sz w:val="20"/>
      <w:szCs w:val="20"/>
    </w:rPr>
  </w:style>
  <w:style w:type="character" w:styleId="FootnoteReference">
    <w:name w:val="footnote reference"/>
    <w:uiPriority w:val="99"/>
    <w:semiHidden/>
    <w:rsid w:val="00380736"/>
    <w:rPr>
      <w:vertAlign w:val="superscript"/>
    </w:rPr>
  </w:style>
  <w:style w:type="character" w:styleId="CommentReference">
    <w:name w:val="annotation reference"/>
    <w:rsid w:val="00442F97"/>
    <w:rPr>
      <w:sz w:val="16"/>
      <w:szCs w:val="16"/>
    </w:rPr>
  </w:style>
  <w:style w:type="paragraph" w:styleId="CommentText">
    <w:name w:val="annotation text"/>
    <w:basedOn w:val="Normal"/>
    <w:link w:val="CommentTextChar"/>
    <w:rsid w:val="00442F97"/>
    <w:rPr>
      <w:sz w:val="20"/>
      <w:szCs w:val="20"/>
    </w:rPr>
  </w:style>
  <w:style w:type="character" w:customStyle="1" w:styleId="CommentTextChar">
    <w:name w:val="Comment Text Char"/>
    <w:basedOn w:val="DefaultParagraphFont"/>
    <w:link w:val="CommentText"/>
    <w:rsid w:val="00442F97"/>
  </w:style>
  <w:style w:type="paragraph" w:styleId="CommentSubject">
    <w:name w:val="annotation subject"/>
    <w:basedOn w:val="CommentText"/>
    <w:next w:val="CommentText"/>
    <w:link w:val="CommentSubjectChar"/>
    <w:rsid w:val="00442F97"/>
    <w:rPr>
      <w:b/>
      <w:bCs/>
    </w:rPr>
  </w:style>
  <w:style w:type="character" w:customStyle="1" w:styleId="CommentSubjectChar">
    <w:name w:val="Comment Subject Char"/>
    <w:link w:val="CommentSubject"/>
    <w:rsid w:val="00442F97"/>
    <w:rPr>
      <w:b/>
      <w:bCs/>
    </w:rPr>
  </w:style>
  <w:style w:type="paragraph" w:styleId="BalloonText">
    <w:name w:val="Balloon Text"/>
    <w:basedOn w:val="Normal"/>
    <w:link w:val="BalloonTextChar"/>
    <w:rsid w:val="00442F97"/>
    <w:rPr>
      <w:rFonts w:ascii="Tahoma" w:hAnsi="Tahoma" w:cs="Tahoma"/>
      <w:sz w:val="16"/>
      <w:szCs w:val="16"/>
    </w:rPr>
  </w:style>
  <w:style w:type="character" w:customStyle="1" w:styleId="BalloonTextChar">
    <w:name w:val="Balloon Text Char"/>
    <w:link w:val="BalloonText"/>
    <w:rsid w:val="00442F97"/>
    <w:rPr>
      <w:rFonts w:ascii="Tahoma" w:hAnsi="Tahoma" w:cs="Tahoma"/>
      <w:sz w:val="16"/>
      <w:szCs w:val="16"/>
    </w:rPr>
  </w:style>
  <w:style w:type="paragraph" w:customStyle="1" w:styleId="Default">
    <w:name w:val="Default"/>
    <w:rsid w:val="005652F0"/>
    <w:pPr>
      <w:autoSpaceDE w:val="0"/>
      <w:autoSpaceDN w:val="0"/>
      <w:adjustRightInd w:val="0"/>
    </w:pPr>
    <w:rPr>
      <w:color w:val="000000"/>
      <w:sz w:val="24"/>
      <w:szCs w:val="24"/>
    </w:rPr>
  </w:style>
  <w:style w:type="character" w:customStyle="1" w:styleId="Heading1Char">
    <w:name w:val="Heading 1 Char"/>
    <w:link w:val="Heading1"/>
    <w:uiPriority w:val="9"/>
    <w:rsid w:val="002F2C0A"/>
    <w:rPr>
      <w:rFonts w:asciiTheme="minorHAnsi" w:hAnsiTheme="minorHAnsi"/>
      <w:b/>
      <w:sz w:val="24"/>
      <w:szCs w:val="24"/>
    </w:rPr>
  </w:style>
  <w:style w:type="paragraph" w:styleId="TOCHeading">
    <w:name w:val="TOC Heading"/>
    <w:basedOn w:val="Heading1"/>
    <w:next w:val="Normal"/>
    <w:uiPriority w:val="39"/>
    <w:unhideWhenUsed/>
    <w:qFormat/>
    <w:rsid w:val="00584F23"/>
    <w:pPr>
      <w:keepLines/>
      <w:spacing w:before="480" w:after="0"/>
      <w:outlineLvl w:val="9"/>
    </w:pPr>
    <w:rPr>
      <w:color w:val="365F91"/>
      <w:sz w:val="28"/>
      <w:szCs w:val="28"/>
      <w:lang w:val="en-US" w:eastAsia="ja-JP"/>
    </w:rPr>
  </w:style>
  <w:style w:type="paragraph" w:styleId="TOC1">
    <w:name w:val="toc 1"/>
    <w:basedOn w:val="Normal"/>
    <w:next w:val="Normal"/>
    <w:autoRedefine/>
    <w:uiPriority w:val="39"/>
    <w:rsid w:val="00584F23"/>
  </w:style>
  <w:style w:type="character" w:styleId="Hyperlink">
    <w:name w:val="Hyperlink"/>
    <w:uiPriority w:val="99"/>
    <w:unhideWhenUsed/>
    <w:rsid w:val="00584F23"/>
    <w:rPr>
      <w:color w:val="0000FF"/>
      <w:u w:val="single"/>
    </w:rPr>
  </w:style>
  <w:style w:type="paragraph" w:styleId="Subtitle">
    <w:name w:val="Subtitle"/>
    <w:basedOn w:val="Normal"/>
    <w:next w:val="Normal"/>
    <w:link w:val="SubtitleChar"/>
    <w:qFormat/>
    <w:rsid w:val="008F79A5"/>
    <w:pPr>
      <w:spacing w:after="60"/>
      <w:jc w:val="center"/>
      <w:outlineLvl w:val="1"/>
    </w:pPr>
    <w:rPr>
      <w:rFonts w:ascii="Cambria" w:hAnsi="Cambria"/>
    </w:rPr>
  </w:style>
  <w:style w:type="character" w:customStyle="1" w:styleId="SubtitleChar">
    <w:name w:val="Subtitle Char"/>
    <w:link w:val="Subtitle"/>
    <w:rsid w:val="008F79A5"/>
    <w:rPr>
      <w:rFonts w:ascii="Cambria" w:eastAsia="Times New Roman" w:hAnsi="Cambria" w:cs="Times New Roman"/>
      <w:sz w:val="24"/>
      <w:szCs w:val="24"/>
    </w:rPr>
  </w:style>
  <w:style w:type="paragraph" w:styleId="TOC2">
    <w:name w:val="toc 2"/>
    <w:basedOn w:val="Normal"/>
    <w:next w:val="Normal"/>
    <w:autoRedefine/>
    <w:uiPriority w:val="39"/>
    <w:rsid w:val="007E41C2"/>
    <w:pPr>
      <w:ind w:left="240"/>
    </w:pPr>
  </w:style>
  <w:style w:type="paragraph" w:styleId="ListParagraph">
    <w:name w:val="List Paragraph"/>
    <w:basedOn w:val="Normal"/>
    <w:uiPriority w:val="34"/>
    <w:qFormat/>
    <w:rsid w:val="00D548B2"/>
    <w:pPr>
      <w:ind w:left="720"/>
    </w:pPr>
  </w:style>
  <w:style w:type="character" w:customStyle="1" w:styleId="FootnoteTextChar">
    <w:name w:val="Footnote Text Char"/>
    <w:link w:val="FootnoteText"/>
    <w:uiPriority w:val="99"/>
    <w:semiHidden/>
    <w:rsid w:val="00823DEF"/>
  </w:style>
  <w:style w:type="paragraph" w:styleId="Header">
    <w:name w:val="header"/>
    <w:basedOn w:val="Normal"/>
    <w:link w:val="HeaderChar"/>
    <w:rsid w:val="00ED141D"/>
    <w:pPr>
      <w:tabs>
        <w:tab w:val="center" w:pos="4513"/>
        <w:tab w:val="right" w:pos="9026"/>
      </w:tabs>
    </w:pPr>
  </w:style>
  <w:style w:type="character" w:customStyle="1" w:styleId="HeaderChar">
    <w:name w:val="Header Char"/>
    <w:link w:val="Header"/>
    <w:rsid w:val="00ED141D"/>
    <w:rPr>
      <w:sz w:val="24"/>
      <w:szCs w:val="24"/>
    </w:rPr>
  </w:style>
  <w:style w:type="paragraph" w:styleId="Footer">
    <w:name w:val="footer"/>
    <w:basedOn w:val="Normal"/>
    <w:link w:val="FooterChar"/>
    <w:uiPriority w:val="99"/>
    <w:rsid w:val="00ED141D"/>
    <w:pPr>
      <w:tabs>
        <w:tab w:val="center" w:pos="4513"/>
        <w:tab w:val="right" w:pos="9026"/>
      </w:tabs>
    </w:pPr>
  </w:style>
  <w:style w:type="character" w:customStyle="1" w:styleId="FooterChar">
    <w:name w:val="Footer Char"/>
    <w:link w:val="Footer"/>
    <w:uiPriority w:val="99"/>
    <w:rsid w:val="00ED141D"/>
    <w:rPr>
      <w:sz w:val="24"/>
      <w:szCs w:val="24"/>
    </w:rPr>
  </w:style>
  <w:style w:type="paragraph" w:styleId="Title">
    <w:name w:val="Title"/>
    <w:basedOn w:val="Normal"/>
    <w:next w:val="Normal"/>
    <w:link w:val="TitleChar"/>
    <w:qFormat/>
    <w:rsid w:val="00DD5B47"/>
    <w:pPr>
      <w:spacing w:before="240" w:after="60"/>
      <w:jc w:val="center"/>
      <w:outlineLvl w:val="0"/>
    </w:pPr>
    <w:rPr>
      <w:rFonts w:ascii="Cambria" w:hAnsi="Cambria"/>
      <w:b/>
      <w:bCs/>
      <w:kern w:val="28"/>
      <w:sz w:val="32"/>
      <w:szCs w:val="32"/>
    </w:rPr>
  </w:style>
  <w:style w:type="character" w:customStyle="1" w:styleId="TitleChar">
    <w:name w:val="Title Char"/>
    <w:link w:val="Title"/>
    <w:rsid w:val="00DD5B47"/>
    <w:rPr>
      <w:rFonts w:ascii="Cambria" w:eastAsia="Times New Roman" w:hAnsi="Cambria" w:cs="Times New Roman"/>
      <w:b/>
      <w:bCs/>
      <w:kern w:val="28"/>
      <w:sz w:val="32"/>
      <w:szCs w:val="32"/>
    </w:rPr>
  </w:style>
  <w:style w:type="character" w:styleId="FollowedHyperlink">
    <w:name w:val="FollowedHyperlink"/>
    <w:rsid w:val="0044396C"/>
    <w:rPr>
      <w:color w:val="800080"/>
      <w:u w:val="single"/>
    </w:rPr>
  </w:style>
  <w:style w:type="character" w:styleId="SubtleEmphasis">
    <w:name w:val="Subtle Emphasis"/>
    <w:uiPriority w:val="19"/>
    <w:qFormat/>
    <w:rsid w:val="00426EFB"/>
    <w:rPr>
      <w:rFonts w:ascii="Calibri" w:hAnsi="Calibri"/>
      <w:b w:val="0"/>
      <w:i/>
      <w:iCs/>
      <w:color w:val="808080"/>
    </w:rPr>
  </w:style>
  <w:style w:type="character" w:styleId="Strong">
    <w:name w:val="Strong"/>
    <w:qFormat/>
    <w:rsid w:val="00AD67AD"/>
    <w:rPr>
      <w:b/>
      <w:bCs/>
    </w:rPr>
  </w:style>
  <w:style w:type="paragraph" w:styleId="Revision">
    <w:name w:val="Revision"/>
    <w:hidden/>
    <w:uiPriority w:val="99"/>
    <w:semiHidden/>
    <w:rsid w:val="00542279"/>
    <w:rPr>
      <w:sz w:val="24"/>
      <w:szCs w:val="24"/>
    </w:rPr>
  </w:style>
  <w:style w:type="paragraph" w:styleId="Quote">
    <w:name w:val="Quote"/>
    <w:basedOn w:val="Normal"/>
    <w:next w:val="Normal"/>
    <w:link w:val="QuoteChar"/>
    <w:uiPriority w:val="29"/>
    <w:qFormat/>
    <w:rsid w:val="00E91221"/>
    <w:pPr>
      <w:spacing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E91221"/>
    <w:rPr>
      <w:rFonts w:asciiTheme="minorHAnsi" w:eastAsiaTheme="minorEastAsia" w:hAnsiTheme="minorHAnsi" w:cstheme="minorBidi"/>
      <w:i/>
      <w:iCs/>
      <w:color w:val="000000" w:themeColor="text1"/>
      <w:sz w:val="22"/>
      <w:szCs w:val="22"/>
      <w:lang w:val="en-US" w:eastAsia="ja-JP"/>
    </w:rPr>
  </w:style>
  <w:style w:type="paragraph" w:styleId="NormalWeb">
    <w:name w:val="Normal (Web)"/>
    <w:basedOn w:val="Normal"/>
    <w:uiPriority w:val="99"/>
    <w:unhideWhenUsed/>
    <w:rsid w:val="00235C28"/>
    <w:pPr>
      <w:textAlignment w:val="baseline"/>
    </w:pPr>
  </w:style>
  <w:style w:type="character" w:customStyle="1" w:styleId="highlight-text1">
    <w:name w:val="highlight-text1"/>
    <w:basedOn w:val="DefaultParagraphFont"/>
    <w:rsid w:val="00C04A23"/>
    <w:rPr>
      <w:rFonts w:ascii="Sailec-Regular" w:hAnsi="Sailec-Regular" w:hint="default"/>
      <w:color w:val="A30B35"/>
    </w:rPr>
  </w:style>
  <w:style w:type="character" w:customStyle="1" w:styleId="apple-converted-space">
    <w:name w:val="apple-converted-space"/>
    <w:basedOn w:val="DefaultParagraphFont"/>
    <w:rsid w:val="007C4B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225"/>
    <w:rPr>
      <w:sz w:val="24"/>
      <w:szCs w:val="24"/>
    </w:rPr>
  </w:style>
  <w:style w:type="paragraph" w:styleId="Heading1">
    <w:name w:val="heading 1"/>
    <w:basedOn w:val="Normal"/>
    <w:next w:val="Normal"/>
    <w:link w:val="Heading1Char"/>
    <w:autoRedefine/>
    <w:uiPriority w:val="9"/>
    <w:qFormat/>
    <w:rsid w:val="002F2C0A"/>
    <w:pPr>
      <w:keepNext/>
      <w:spacing w:before="240" w:after="60" w:line="276" w:lineRule="auto"/>
      <w:outlineLvl w:val="0"/>
    </w:pPr>
    <w:rPr>
      <w:rFonts w:asciiTheme="minorHAnsi" w:hAnsi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380736"/>
    <w:rPr>
      <w:sz w:val="20"/>
      <w:szCs w:val="20"/>
    </w:rPr>
  </w:style>
  <w:style w:type="character" w:styleId="FootnoteReference">
    <w:name w:val="footnote reference"/>
    <w:uiPriority w:val="99"/>
    <w:semiHidden/>
    <w:rsid w:val="00380736"/>
    <w:rPr>
      <w:vertAlign w:val="superscript"/>
    </w:rPr>
  </w:style>
  <w:style w:type="character" w:styleId="CommentReference">
    <w:name w:val="annotation reference"/>
    <w:rsid w:val="00442F97"/>
    <w:rPr>
      <w:sz w:val="16"/>
      <w:szCs w:val="16"/>
    </w:rPr>
  </w:style>
  <w:style w:type="paragraph" w:styleId="CommentText">
    <w:name w:val="annotation text"/>
    <w:basedOn w:val="Normal"/>
    <w:link w:val="CommentTextChar"/>
    <w:rsid w:val="00442F97"/>
    <w:rPr>
      <w:sz w:val="20"/>
      <w:szCs w:val="20"/>
    </w:rPr>
  </w:style>
  <w:style w:type="character" w:customStyle="1" w:styleId="CommentTextChar">
    <w:name w:val="Comment Text Char"/>
    <w:basedOn w:val="DefaultParagraphFont"/>
    <w:link w:val="CommentText"/>
    <w:rsid w:val="00442F97"/>
  </w:style>
  <w:style w:type="paragraph" w:styleId="CommentSubject">
    <w:name w:val="annotation subject"/>
    <w:basedOn w:val="CommentText"/>
    <w:next w:val="CommentText"/>
    <w:link w:val="CommentSubjectChar"/>
    <w:rsid w:val="00442F97"/>
    <w:rPr>
      <w:b/>
      <w:bCs/>
    </w:rPr>
  </w:style>
  <w:style w:type="character" w:customStyle="1" w:styleId="CommentSubjectChar">
    <w:name w:val="Comment Subject Char"/>
    <w:link w:val="CommentSubject"/>
    <w:rsid w:val="00442F97"/>
    <w:rPr>
      <w:b/>
      <w:bCs/>
    </w:rPr>
  </w:style>
  <w:style w:type="paragraph" w:styleId="BalloonText">
    <w:name w:val="Balloon Text"/>
    <w:basedOn w:val="Normal"/>
    <w:link w:val="BalloonTextChar"/>
    <w:rsid w:val="00442F97"/>
    <w:rPr>
      <w:rFonts w:ascii="Tahoma" w:hAnsi="Tahoma" w:cs="Tahoma"/>
      <w:sz w:val="16"/>
      <w:szCs w:val="16"/>
    </w:rPr>
  </w:style>
  <w:style w:type="character" w:customStyle="1" w:styleId="BalloonTextChar">
    <w:name w:val="Balloon Text Char"/>
    <w:link w:val="BalloonText"/>
    <w:rsid w:val="00442F97"/>
    <w:rPr>
      <w:rFonts w:ascii="Tahoma" w:hAnsi="Tahoma" w:cs="Tahoma"/>
      <w:sz w:val="16"/>
      <w:szCs w:val="16"/>
    </w:rPr>
  </w:style>
  <w:style w:type="paragraph" w:customStyle="1" w:styleId="Default">
    <w:name w:val="Default"/>
    <w:rsid w:val="005652F0"/>
    <w:pPr>
      <w:autoSpaceDE w:val="0"/>
      <w:autoSpaceDN w:val="0"/>
      <w:adjustRightInd w:val="0"/>
    </w:pPr>
    <w:rPr>
      <w:color w:val="000000"/>
      <w:sz w:val="24"/>
      <w:szCs w:val="24"/>
    </w:rPr>
  </w:style>
  <w:style w:type="character" w:customStyle="1" w:styleId="Heading1Char">
    <w:name w:val="Heading 1 Char"/>
    <w:link w:val="Heading1"/>
    <w:uiPriority w:val="9"/>
    <w:rsid w:val="002F2C0A"/>
    <w:rPr>
      <w:rFonts w:asciiTheme="minorHAnsi" w:hAnsiTheme="minorHAnsi"/>
      <w:b/>
      <w:sz w:val="24"/>
      <w:szCs w:val="24"/>
    </w:rPr>
  </w:style>
  <w:style w:type="paragraph" w:styleId="TOCHeading">
    <w:name w:val="TOC Heading"/>
    <w:basedOn w:val="Heading1"/>
    <w:next w:val="Normal"/>
    <w:uiPriority w:val="39"/>
    <w:unhideWhenUsed/>
    <w:qFormat/>
    <w:rsid w:val="00584F23"/>
    <w:pPr>
      <w:keepLines/>
      <w:spacing w:before="480" w:after="0"/>
      <w:outlineLvl w:val="9"/>
    </w:pPr>
    <w:rPr>
      <w:color w:val="365F91"/>
      <w:sz w:val="28"/>
      <w:szCs w:val="28"/>
      <w:lang w:val="en-US" w:eastAsia="ja-JP"/>
    </w:rPr>
  </w:style>
  <w:style w:type="paragraph" w:styleId="TOC1">
    <w:name w:val="toc 1"/>
    <w:basedOn w:val="Normal"/>
    <w:next w:val="Normal"/>
    <w:autoRedefine/>
    <w:uiPriority w:val="39"/>
    <w:rsid w:val="00584F23"/>
  </w:style>
  <w:style w:type="character" w:styleId="Hyperlink">
    <w:name w:val="Hyperlink"/>
    <w:uiPriority w:val="99"/>
    <w:unhideWhenUsed/>
    <w:rsid w:val="00584F23"/>
    <w:rPr>
      <w:color w:val="0000FF"/>
      <w:u w:val="single"/>
    </w:rPr>
  </w:style>
  <w:style w:type="paragraph" w:styleId="Subtitle">
    <w:name w:val="Subtitle"/>
    <w:basedOn w:val="Normal"/>
    <w:next w:val="Normal"/>
    <w:link w:val="SubtitleChar"/>
    <w:qFormat/>
    <w:rsid w:val="008F79A5"/>
    <w:pPr>
      <w:spacing w:after="60"/>
      <w:jc w:val="center"/>
      <w:outlineLvl w:val="1"/>
    </w:pPr>
    <w:rPr>
      <w:rFonts w:ascii="Cambria" w:hAnsi="Cambria"/>
    </w:rPr>
  </w:style>
  <w:style w:type="character" w:customStyle="1" w:styleId="SubtitleChar">
    <w:name w:val="Subtitle Char"/>
    <w:link w:val="Subtitle"/>
    <w:rsid w:val="008F79A5"/>
    <w:rPr>
      <w:rFonts w:ascii="Cambria" w:eastAsia="Times New Roman" w:hAnsi="Cambria" w:cs="Times New Roman"/>
      <w:sz w:val="24"/>
      <w:szCs w:val="24"/>
    </w:rPr>
  </w:style>
  <w:style w:type="paragraph" w:styleId="TOC2">
    <w:name w:val="toc 2"/>
    <w:basedOn w:val="Normal"/>
    <w:next w:val="Normal"/>
    <w:autoRedefine/>
    <w:uiPriority w:val="39"/>
    <w:rsid w:val="007E41C2"/>
    <w:pPr>
      <w:ind w:left="240"/>
    </w:pPr>
  </w:style>
  <w:style w:type="paragraph" w:styleId="ListParagraph">
    <w:name w:val="List Paragraph"/>
    <w:basedOn w:val="Normal"/>
    <w:uiPriority w:val="34"/>
    <w:qFormat/>
    <w:rsid w:val="00D548B2"/>
    <w:pPr>
      <w:ind w:left="720"/>
    </w:pPr>
  </w:style>
  <w:style w:type="character" w:customStyle="1" w:styleId="FootnoteTextChar">
    <w:name w:val="Footnote Text Char"/>
    <w:link w:val="FootnoteText"/>
    <w:uiPriority w:val="99"/>
    <w:semiHidden/>
    <w:rsid w:val="00823DEF"/>
  </w:style>
  <w:style w:type="paragraph" w:styleId="Header">
    <w:name w:val="header"/>
    <w:basedOn w:val="Normal"/>
    <w:link w:val="HeaderChar"/>
    <w:rsid w:val="00ED141D"/>
    <w:pPr>
      <w:tabs>
        <w:tab w:val="center" w:pos="4513"/>
        <w:tab w:val="right" w:pos="9026"/>
      </w:tabs>
    </w:pPr>
  </w:style>
  <w:style w:type="character" w:customStyle="1" w:styleId="HeaderChar">
    <w:name w:val="Header Char"/>
    <w:link w:val="Header"/>
    <w:rsid w:val="00ED141D"/>
    <w:rPr>
      <w:sz w:val="24"/>
      <w:szCs w:val="24"/>
    </w:rPr>
  </w:style>
  <w:style w:type="paragraph" w:styleId="Footer">
    <w:name w:val="footer"/>
    <w:basedOn w:val="Normal"/>
    <w:link w:val="FooterChar"/>
    <w:uiPriority w:val="99"/>
    <w:rsid w:val="00ED141D"/>
    <w:pPr>
      <w:tabs>
        <w:tab w:val="center" w:pos="4513"/>
        <w:tab w:val="right" w:pos="9026"/>
      </w:tabs>
    </w:pPr>
  </w:style>
  <w:style w:type="character" w:customStyle="1" w:styleId="FooterChar">
    <w:name w:val="Footer Char"/>
    <w:link w:val="Footer"/>
    <w:uiPriority w:val="99"/>
    <w:rsid w:val="00ED141D"/>
    <w:rPr>
      <w:sz w:val="24"/>
      <w:szCs w:val="24"/>
    </w:rPr>
  </w:style>
  <w:style w:type="paragraph" w:styleId="Title">
    <w:name w:val="Title"/>
    <w:basedOn w:val="Normal"/>
    <w:next w:val="Normal"/>
    <w:link w:val="TitleChar"/>
    <w:qFormat/>
    <w:rsid w:val="00DD5B47"/>
    <w:pPr>
      <w:spacing w:before="240" w:after="60"/>
      <w:jc w:val="center"/>
      <w:outlineLvl w:val="0"/>
    </w:pPr>
    <w:rPr>
      <w:rFonts w:ascii="Cambria" w:hAnsi="Cambria"/>
      <w:b/>
      <w:bCs/>
      <w:kern w:val="28"/>
      <w:sz w:val="32"/>
      <w:szCs w:val="32"/>
    </w:rPr>
  </w:style>
  <w:style w:type="character" w:customStyle="1" w:styleId="TitleChar">
    <w:name w:val="Title Char"/>
    <w:link w:val="Title"/>
    <w:rsid w:val="00DD5B47"/>
    <w:rPr>
      <w:rFonts w:ascii="Cambria" w:eastAsia="Times New Roman" w:hAnsi="Cambria" w:cs="Times New Roman"/>
      <w:b/>
      <w:bCs/>
      <w:kern w:val="28"/>
      <w:sz w:val="32"/>
      <w:szCs w:val="32"/>
    </w:rPr>
  </w:style>
  <w:style w:type="character" w:styleId="FollowedHyperlink">
    <w:name w:val="FollowedHyperlink"/>
    <w:rsid w:val="0044396C"/>
    <w:rPr>
      <w:color w:val="800080"/>
      <w:u w:val="single"/>
    </w:rPr>
  </w:style>
  <w:style w:type="character" w:styleId="SubtleEmphasis">
    <w:name w:val="Subtle Emphasis"/>
    <w:uiPriority w:val="19"/>
    <w:qFormat/>
    <w:rsid w:val="00426EFB"/>
    <w:rPr>
      <w:rFonts w:ascii="Calibri" w:hAnsi="Calibri"/>
      <w:b w:val="0"/>
      <w:i/>
      <w:iCs/>
      <w:color w:val="808080"/>
    </w:rPr>
  </w:style>
  <w:style w:type="character" w:styleId="Strong">
    <w:name w:val="Strong"/>
    <w:qFormat/>
    <w:rsid w:val="00AD67AD"/>
    <w:rPr>
      <w:b/>
      <w:bCs/>
    </w:rPr>
  </w:style>
  <w:style w:type="paragraph" w:styleId="Revision">
    <w:name w:val="Revision"/>
    <w:hidden/>
    <w:uiPriority w:val="99"/>
    <w:semiHidden/>
    <w:rsid w:val="00542279"/>
    <w:rPr>
      <w:sz w:val="24"/>
      <w:szCs w:val="24"/>
    </w:rPr>
  </w:style>
  <w:style w:type="paragraph" w:styleId="Quote">
    <w:name w:val="Quote"/>
    <w:basedOn w:val="Normal"/>
    <w:next w:val="Normal"/>
    <w:link w:val="QuoteChar"/>
    <w:uiPriority w:val="29"/>
    <w:qFormat/>
    <w:rsid w:val="00E91221"/>
    <w:pPr>
      <w:spacing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E91221"/>
    <w:rPr>
      <w:rFonts w:asciiTheme="minorHAnsi" w:eastAsiaTheme="minorEastAsia" w:hAnsiTheme="minorHAnsi" w:cstheme="minorBidi"/>
      <w:i/>
      <w:iCs/>
      <w:color w:val="000000" w:themeColor="text1"/>
      <w:sz w:val="22"/>
      <w:szCs w:val="22"/>
      <w:lang w:val="en-US" w:eastAsia="ja-JP"/>
    </w:rPr>
  </w:style>
  <w:style w:type="paragraph" w:styleId="NormalWeb">
    <w:name w:val="Normal (Web)"/>
    <w:basedOn w:val="Normal"/>
    <w:uiPriority w:val="99"/>
    <w:unhideWhenUsed/>
    <w:rsid w:val="00235C28"/>
    <w:pPr>
      <w:textAlignment w:val="baseline"/>
    </w:pPr>
  </w:style>
  <w:style w:type="character" w:customStyle="1" w:styleId="highlight-text1">
    <w:name w:val="highlight-text1"/>
    <w:basedOn w:val="DefaultParagraphFont"/>
    <w:rsid w:val="00C04A23"/>
    <w:rPr>
      <w:rFonts w:ascii="Sailec-Regular" w:hAnsi="Sailec-Regular" w:hint="default"/>
      <w:color w:val="A30B35"/>
    </w:rPr>
  </w:style>
  <w:style w:type="character" w:customStyle="1" w:styleId="apple-converted-space">
    <w:name w:val="apple-converted-space"/>
    <w:basedOn w:val="DefaultParagraphFont"/>
    <w:rsid w:val="007C4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3284">
      <w:bodyDiv w:val="1"/>
      <w:marLeft w:val="0"/>
      <w:marRight w:val="0"/>
      <w:marTop w:val="0"/>
      <w:marBottom w:val="0"/>
      <w:divBdr>
        <w:top w:val="none" w:sz="0" w:space="0" w:color="auto"/>
        <w:left w:val="none" w:sz="0" w:space="0" w:color="auto"/>
        <w:bottom w:val="none" w:sz="0" w:space="0" w:color="auto"/>
        <w:right w:val="none" w:sz="0" w:space="0" w:color="auto"/>
      </w:divBdr>
    </w:div>
    <w:div w:id="52895546">
      <w:bodyDiv w:val="1"/>
      <w:marLeft w:val="0"/>
      <w:marRight w:val="0"/>
      <w:marTop w:val="0"/>
      <w:marBottom w:val="0"/>
      <w:divBdr>
        <w:top w:val="none" w:sz="0" w:space="0" w:color="auto"/>
        <w:left w:val="none" w:sz="0" w:space="0" w:color="auto"/>
        <w:bottom w:val="none" w:sz="0" w:space="0" w:color="auto"/>
        <w:right w:val="none" w:sz="0" w:space="0" w:color="auto"/>
      </w:divBdr>
      <w:divsChild>
        <w:div w:id="1591694806">
          <w:marLeft w:val="0"/>
          <w:marRight w:val="0"/>
          <w:marTop w:val="0"/>
          <w:marBottom w:val="0"/>
          <w:divBdr>
            <w:top w:val="none" w:sz="0" w:space="0" w:color="auto"/>
            <w:left w:val="none" w:sz="0" w:space="0" w:color="auto"/>
            <w:bottom w:val="none" w:sz="0" w:space="0" w:color="auto"/>
            <w:right w:val="none" w:sz="0" w:space="0" w:color="auto"/>
          </w:divBdr>
          <w:divsChild>
            <w:div w:id="1901818927">
              <w:marLeft w:val="0"/>
              <w:marRight w:val="0"/>
              <w:marTop w:val="0"/>
              <w:marBottom w:val="0"/>
              <w:divBdr>
                <w:top w:val="none" w:sz="0" w:space="0" w:color="auto"/>
                <w:left w:val="none" w:sz="0" w:space="0" w:color="auto"/>
                <w:bottom w:val="none" w:sz="0" w:space="0" w:color="auto"/>
                <w:right w:val="none" w:sz="0" w:space="0" w:color="auto"/>
              </w:divBdr>
              <w:divsChild>
                <w:div w:id="912007850">
                  <w:marLeft w:val="0"/>
                  <w:marRight w:val="0"/>
                  <w:marTop w:val="0"/>
                  <w:marBottom w:val="0"/>
                  <w:divBdr>
                    <w:top w:val="none" w:sz="0" w:space="0" w:color="auto"/>
                    <w:left w:val="none" w:sz="0" w:space="0" w:color="auto"/>
                    <w:bottom w:val="none" w:sz="0" w:space="0" w:color="auto"/>
                    <w:right w:val="none" w:sz="0" w:space="0" w:color="auto"/>
                  </w:divBdr>
                  <w:divsChild>
                    <w:div w:id="1310329184">
                      <w:marLeft w:val="150"/>
                      <w:marRight w:val="150"/>
                      <w:marTop w:val="0"/>
                      <w:marBottom w:val="0"/>
                      <w:divBdr>
                        <w:top w:val="single" w:sz="36" w:space="0" w:color="auto"/>
                        <w:left w:val="none" w:sz="0" w:space="0" w:color="auto"/>
                        <w:bottom w:val="none" w:sz="0" w:space="0" w:color="auto"/>
                        <w:right w:val="none" w:sz="0" w:space="0" w:color="auto"/>
                      </w:divBdr>
                      <w:divsChild>
                        <w:div w:id="552887352">
                          <w:marLeft w:val="0"/>
                          <w:marRight w:val="0"/>
                          <w:marTop w:val="0"/>
                          <w:marBottom w:val="0"/>
                          <w:divBdr>
                            <w:top w:val="none" w:sz="0" w:space="0" w:color="auto"/>
                            <w:left w:val="none" w:sz="0" w:space="0" w:color="auto"/>
                            <w:bottom w:val="none" w:sz="0" w:space="0" w:color="auto"/>
                            <w:right w:val="none" w:sz="0" w:space="0" w:color="auto"/>
                          </w:divBdr>
                          <w:divsChild>
                            <w:div w:id="63532227">
                              <w:marLeft w:val="0"/>
                              <w:marRight w:val="0"/>
                              <w:marTop w:val="0"/>
                              <w:marBottom w:val="0"/>
                              <w:divBdr>
                                <w:top w:val="none" w:sz="0" w:space="0" w:color="auto"/>
                                <w:left w:val="none" w:sz="0" w:space="0" w:color="auto"/>
                                <w:bottom w:val="none" w:sz="0" w:space="0" w:color="auto"/>
                                <w:right w:val="none" w:sz="0" w:space="0" w:color="auto"/>
                              </w:divBdr>
                              <w:divsChild>
                                <w:div w:id="1375689177">
                                  <w:marLeft w:val="0"/>
                                  <w:marRight w:val="0"/>
                                  <w:marTop w:val="0"/>
                                  <w:marBottom w:val="0"/>
                                  <w:divBdr>
                                    <w:top w:val="none" w:sz="0" w:space="0" w:color="auto"/>
                                    <w:left w:val="none" w:sz="0" w:space="0" w:color="auto"/>
                                    <w:bottom w:val="none" w:sz="0" w:space="0" w:color="auto"/>
                                    <w:right w:val="none" w:sz="0" w:space="0" w:color="auto"/>
                                  </w:divBdr>
                                  <w:divsChild>
                                    <w:div w:id="2039815666">
                                      <w:marLeft w:val="0"/>
                                      <w:marRight w:val="0"/>
                                      <w:marTop w:val="0"/>
                                      <w:marBottom w:val="0"/>
                                      <w:divBdr>
                                        <w:top w:val="none" w:sz="0" w:space="0" w:color="auto"/>
                                        <w:left w:val="none" w:sz="0" w:space="0" w:color="auto"/>
                                        <w:bottom w:val="none" w:sz="0" w:space="0" w:color="auto"/>
                                        <w:right w:val="none" w:sz="0" w:space="0" w:color="auto"/>
                                      </w:divBdr>
                                      <w:divsChild>
                                        <w:div w:id="1935822316">
                                          <w:marLeft w:val="0"/>
                                          <w:marRight w:val="0"/>
                                          <w:marTop w:val="0"/>
                                          <w:marBottom w:val="0"/>
                                          <w:divBdr>
                                            <w:top w:val="none" w:sz="0" w:space="0" w:color="auto"/>
                                            <w:left w:val="none" w:sz="0" w:space="0" w:color="auto"/>
                                            <w:bottom w:val="none" w:sz="0" w:space="0" w:color="auto"/>
                                            <w:right w:val="none" w:sz="0" w:space="0" w:color="auto"/>
                                          </w:divBdr>
                                          <w:divsChild>
                                            <w:div w:id="2008626830">
                                              <w:marLeft w:val="0"/>
                                              <w:marRight w:val="0"/>
                                              <w:marTop w:val="0"/>
                                              <w:marBottom w:val="0"/>
                                              <w:divBdr>
                                                <w:top w:val="none" w:sz="0" w:space="0" w:color="auto"/>
                                                <w:left w:val="none" w:sz="0" w:space="0" w:color="auto"/>
                                                <w:bottom w:val="none" w:sz="0" w:space="0" w:color="auto"/>
                                                <w:right w:val="none" w:sz="0" w:space="0" w:color="auto"/>
                                              </w:divBdr>
                                              <w:divsChild>
                                                <w:div w:id="2042628884">
                                                  <w:marLeft w:val="0"/>
                                                  <w:marRight w:val="0"/>
                                                  <w:marTop w:val="0"/>
                                                  <w:marBottom w:val="0"/>
                                                  <w:divBdr>
                                                    <w:top w:val="none" w:sz="0" w:space="0" w:color="auto"/>
                                                    <w:left w:val="none" w:sz="0" w:space="0" w:color="auto"/>
                                                    <w:bottom w:val="none" w:sz="0" w:space="0" w:color="auto"/>
                                                    <w:right w:val="none" w:sz="0" w:space="0" w:color="auto"/>
                                                  </w:divBdr>
                                                  <w:divsChild>
                                                    <w:div w:id="4378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055575">
      <w:bodyDiv w:val="1"/>
      <w:marLeft w:val="0"/>
      <w:marRight w:val="0"/>
      <w:marTop w:val="0"/>
      <w:marBottom w:val="0"/>
      <w:divBdr>
        <w:top w:val="none" w:sz="0" w:space="0" w:color="auto"/>
        <w:left w:val="none" w:sz="0" w:space="0" w:color="auto"/>
        <w:bottom w:val="none" w:sz="0" w:space="0" w:color="auto"/>
        <w:right w:val="none" w:sz="0" w:space="0" w:color="auto"/>
      </w:divBdr>
      <w:divsChild>
        <w:div w:id="470757289">
          <w:marLeft w:val="0"/>
          <w:marRight w:val="0"/>
          <w:marTop w:val="0"/>
          <w:marBottom w:val="0"/>
          <w:divBdr>
            <w:top w:val="none" w:sz="0" w:space="0" w:color="auto"/>
            <w:left w:val="none" w:sz="0" w:space="0" w:color="auto"/>
            <w:bottom w:val="none" w:sz="0" w:space="0" w:color="auto"/>
            <w:right w:val="none" w:sz="0" w:space="0" w:color="auto"/>
          </w:divBdr>
          <w:divsChild>
            <w:div w:id="2130199871">
              <w:marLeft w:val="0"/>
              <w:marRight w:val="0"/>
              <w:marTop w:val="100"/>
              <w:marBottom w:val="100"/>
              <w:divBdr>
                <w:top w:val="none" w:sz="0" w:space="0" w:color="auto"/>
                <w:left w:val="none" w:sz="0" w:space="0" w:color="auto"/>
                <w:bottom w:val="none" w:sz="0" w:space="0" w:color="auto"/>
                <w:right w:val="none" w:sz="0" w:space="0" w:color="auto"/>
              </w:divBdr>
              <w:divsChild>
                <w:div w:id="7189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8664">
      <w:bodyDiv w:val="1"/>
      <w:marLeft w:val="0"/>
      <w:marRight w:val="0"/>
      <w:marTop w:val="0"/>
      <w:marBottom w:val="0"/>
      <w:divBdr>
        <w:top w:val="none" w:sz="0" w:space="0" w:color="auto"/>
        <w:left w:val="none" w:sz="0" w:space="0" w:color="auto"/>
        <w:bottom w:val="none" w:sz="0" w:space="0" w:color="auto"/>
        <w:right w:val="none" w:sz="0" w:space="0" w:color="auto"/>
      </w:divBdr>
      <w:divsChild>
        <w:div w:id="671837495">
          <w:marLeft w:val="0"/>
          <w:marRight w:val="0"/>
          <w:marTop w:val="0"/>
          <w:marBottom w:val="0"/>
          <w:divBdr>
            <w:top w:val="none" w:sz="0" w:space="0" w:color="auto"/>
            <w:left w:val="none" w:sz="0" w:space="0" w:color="auto"/>
            <w:bottom w:val="none" w:sz="0" w:space="0" w:color="auto"/>
            <w:right w:val="none" w:sz="0" w:space="0" w:color="auto"/>
          </w:divBdr>
          <w:divsChild>
            <w:div w:id="745609913">
              <w:marLeft w:val="0"/>
              <w:marRight w:val="0"/>
              <w:marTop w:val="0"/>
              <w:marBottom w:val="0"/>
              <w:divBdr>
                <w:top w:val="none" w:sz="0" w:space="0" w:color="auto"/>
                <w:left w:val="none" w:sz="0" w:space="0" w:color="auto"/>
                <w:bottom w:val="none" w:sz="0" w:space="0" w:color="auto"/>
                <w:right w:val="none" w:sz="0" w:space="0" w:color="auto"/>
              </w:divBdr>
              <w:divsChild>
                <w:div w:id="14769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840777">
      <w:bodyDiv w:val="1"/>
      <w:marLeft w:val="0"/>
      <w:marRight w:val="0"/>
      <w:marTop w:val="0"/>
      <w:marBottom w:val="0"/>
      <w:divBdr>
        <w:top w:val="none" w:sz="0" w:space="0" w:color="auto"/>
        <w:left w:val="none" w:sz="0" w:space="0" w:color="auto"/>
        <w:bottom w:val="none" w:sz="0" w:space="0" w:color="auto"/>
        <w:right w:val="none" w:sz="0" w:space="0" w:color="auto"/>
      </w:divBdr>
    </w:div>
    <w:div w:id="1933515330">
      <w:bodyDiv w:val="1"/>
      <w:marLeft w:val="0"/>
      <w:marRight w:val="0"/>
      <w:marTop w:val="0"/>
      <w:marBottom w:val="0"/>
      <w:divBdr>
        <w:top w:val="none" w:sz="0" w:space="0" w:color="auto"/>
        <w:left w:val="none" w:sz="0" w:space="0" w:color="auto"/>
        <w:bottom w:val="none" w:sz="0" w:space="0" w:color="auto"/>
        <w:right w:val="none" w:sz="0" w:space="0" w:color="auto"/>
      </w:divBdr>
      <w:divsChild>
        <w:div w:id="1389454569">
          <w:marLeft w:val="0"/>
          <w:marRight w:val="0"/>
          <w:marTop w:val="0"/>
          <w:marBottom w:val="0"/>
          <w:divBdr>
            <w:top w:val="none" w:sz="0" w:space="0" w:color="auto"/>
            <w:left w:val="none" w:sz="0" w:space="0" w:color="auto"/>
            <w:bottom w:val="none" w:sz="0" w:space="0" w:color="auto"/>
            <w:right w:val="none" w:sz="0" w:space="0" w:color="auto"/>
          </w:divBdr>
          <w:divsChild>
            <w:div w:id="933632871">
              <w:marLeft w:val="0"/>
              <w:marRight w:val="0"/>
              <w:marTop w:val="0"/>
              <w:marBottom w:val="0"/>
              <w:divBdr>
                <w:top w:val="none" w:sz="0" w:space="0" w:color="auto"/>
                <w:left w:val="none" w:sz="0" w:space="0" w:color="auto"/>
                <w:bottom w:val="none" w:sz="0" w:space="0" w:color="auto"/>
                <w:right w:val="none" w:sz="0" w:space="0" w:color="auto"/>
              </w:divBdr>
              <w:divsChild>
                <w:div w:id="1960794083">
                  <w:marLeft w:val="0"/>
                  <w:marRight w:val="0"/>
                  <w:marTop w:val="0"/>
                  <w:marBottom w:val="0"/>
                  <w:divBdr>
                    <w:top w:val="none" w:sz="0" w:space="0" w:color="auto"/>
                    <w:left w:val="none" w:sz="0" w:space="0" w:color="auto"/>
                    <w:bottom w:val="none" w:sz="0" w:space="0" w:color="auto"/>
                    <w:right w:val="none" w:sz="0" w:space="0" w:color="auto"/>
                  </w:divBdr>
                  <w:divsChild>
                    <w:div w:id="772945176">
                      <w:marLeft w:val="150"/>
                      <w:marRight w:val="150"/>
                      <w:marTop w:val="0"/>
                      <w:marBottom w:val="0"/>
                      <w:divBdr>
                        <w:top w:val="single" w:sz="36" w:space="0" w:color="auto"/>
                        <w:left w:val="none" w:sz="0" w:space="0" w:color="auto"/>
                        <w:bottom w:val="none" w:sz="0" w:space="0" w:color="auto"/>
                        <w:right w:val="none" w:sz="0" w:space="0" w:color="auto"/>
                      </w:divBdr>
                      <w:divsChild>
                        <w:div w:id="1799832635">
                          <w:marLeft w:val="0"/>
                          <w:marRight w:val="0"/>
                          <w:marTop w:val="0"/>
                          <w:marBottom w:val="0"/>
                          <w:divBdr>
                            <w:top w:val="none" w:sz="0" w:space="0" w:color="auto"/>
                            <w:left w:val="none" w:sz="0" w:space="0" w:color="auto"/>
                            <w:bottom w:val="none" w:sz="0" w:space="0" w:color="auto"/>
                            <w:right w:val="none" w:sz="0" w:space="0" w:color="auto"/>
                          </w:divBdr>
                          <w:divsChild>
                            <w:div w:id="1342588455">
                              <w:marLeft w:val="0"/>
                              <w:marRight w:val="0"/>
                              <w:marTop w:val="0"/>
                              <w:marBottom w:val="0"/>
                              <w:divBdr>
                                <w:top w:val="none" w:sz="0" w:space="0" w:color="auto"/>
                                <w:left w:val="none" w:sz="0" w:space="0" w:color="auto"/>
                                <w:bottom w:val="none" w:sz="0" w:space="0" w:color="auto"/>
                                <w:right w:val="none" w:sz="0" w:space="0" w:color="auto"/>
                              </w:divBdr>
                              <w:divsChild>
                                <w:div w:id="2076119483">
                                  <w:marLeft w:val="0"/>
                                  <w:marRight w:val="0"/>
                                  <w:marTop w:val="0"/>
                                  <w:marBottom w:val="0"/>
                                  <w:divBdr>
                                    <w:top w:val="none" w:sz="0" w:space="0" w:color="auto"/>
                                    <w:left w:val="none" w:sz="0" w:space="0" w:color="auto"/>
                                    <w:bottom w:val="none" w:sz="0" w:space="0" w:color="auto"/>
                                    <w:right w:val="none" w:sz="0" w:space="0" w:color="auto"/>
                                  </w:divBdr>
                                  <w:divsChild>
                                    <w:div w:id="1478499156">
                                      <w:marLeft w:val="0"/>
                                      <w:marRight w:val="0"/>
                                      <w:marTop w:val="0"/>
                                      <w:marBottom w:val="0"/>
                                      <w:divBdr>
                                        <w:top w:val="none" w:sz="0" w:space="0" w:color="auto"/>
                                        <w:left w:val="none" w:sz="0" w:space="0" w:color="auto"/>
                                        <w:bottom w:val="none" w:sz="0" w:space="0" w:color="auto"/>
                                        <w:right w:val="none" w:sz="0" w:space="0" w:color="auto"/>
                                      </w:divBdr>
                                      <w:divsChild>
                                        <w:div w:id="1326131922">
                                          <w:marLeft w:val="0"/>
                                          <w:marRight w:val="0"/>
                                          <w:marTop w:val="0"/>
                                          <w:marBottom w:val="0"/>
                                          <w:divBdr>
                                            <w:top w:val="none" w:sz="0" w:space="0" w:color="auto"/>
                                            <w:left w:val="none" w:sz="0" w:space="0" w:color="auto"/>
                                            <w:bottom w:val="none" w:sz="0" w:space="0" w:color="auto"/>
                                            <w:right w:val="none" w:sz="0" w:space="0" w:color="auto"/>
                                          </w:divBdr>
                                          <w:divsChild>
                                            <w:div w:id="1325277485">
                                              <w:marLeft w:val="0"/>
                                              <w:marRight w:val="0"/>
                                              <w:marTop w:val="0"/>
                                              <w:marBottom w:val="0"/>
                                              <w:divBdr>
                                                <w:top w:val="none" w:sz="0" w:space="0" w:color="auto"/>
                                                <w:left w:val="none" w:sz="0" w:space="0" w:color="auto"/>
                                                <w:bottom w:val="none" w:sz="0" w:space="0" w:color="auto"/>
                                                <w:right w:val="none" w:sz="0" w:space="0" w:color="auto"/>
                                              </w:divBdr>
                                              <w:divsChild>
                                                <w:div w:id="473907623">
                                                  <w:marLeft w:val="0"/>
                                                  <w:marRight w:val="0"/>
                                                  <w:marTop w:val="0"/>
                                                  <w:marBottom w:val="0"/>
                                                  <w:divBdr>
                                                    <w:top w:val="none" w:sz="0" w:space="0" w:color="auto"/>
                                                    <w:left w:val="none" w:sz="0" w:space="0" w:color="auto"/>
                                                    <w:bottom w:val="none" w:sz="0" w:space="0" w:color="auto"/>
                                                    <w:right w:val="none" w:sz="0" w:space="0" w:color="auto"/>
                                                  </w:divBdr>
                                                  <w:divsChild>
                                                    <w:div w:id="4888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www.aph.gov.au/Parliamentary_Business/Committees/Senate_Committees?url=clac_ctte/completed_inquiries/2004-07/aborig_land_rights/submissions/sub11.pdf" TargetMode="External"/><Relationship Id="rId13" Type="http://schemas.openxmlformats.org/officeDocument/2006/relationships/hyperlink" Target="http://www.google.com.au/url?sa=t&amp;rct=j&amp;q=&amp;esrc=s&amp;frm=1&amp;source=web&amp;cd=1&amp;cad=rja&amp;ved=0CC4QFjAA&amp;url=http%3A%2F%2Fwww.fahcsia.gov.au%2Fsites%2Fdefault%2Ffiles%2Ffiles%2Findigenous%2FFinal%2520NPARIH%2520Review%2520May%252020132.pdf&amp;ei=M7y3UZ7mGKP-iAe-loAw&amp;usg=AFQjCNETib9_sHeqyplW_ZsDXwkOvch1Yw&amp;sig2=EP-5szUXIA7Ex4QetgjBBg&amp;bvm=bv.47810305,d.aGc" TargetMode="External"/><Relationship Id="rId18" Type="http://schemas.openxmlformats.org/officeDocument/2006/relationships/hyperlink" Target="http://aboriginalgovernance.org.au/" TargetMode="External"/><Relationship Id="rId3" Type="http://schemas.openxmlformats.org/officeDocument/2006/relationships/hyperlink" Target="http://www.aph.gov.au/Parliamentary_Business/Committees/House_of_Representatives_Committees?url=atsia/reeves/inquiryinf.htm" TargetMode="External"/><Relationship Id="rId7" Type="http://schemas.openxmlformats.org/officeDocument/2006/relationships/hyperlink" Target="http://www.aph.gov.au/Parliamentary_Business/Committees/Senate_Committees?url=clac_ctte/completed_inquiries/2004-07/aborig_land_rights/submissions/sub13.pdf" TargetMode="External"/><Relationship Id="rId12" Type="http://schemas.openxmlformats.org/officeDocument/2006/relationships/hyperlink" Target="http://www.google.com.au/url?sa=t&amp;rct=j&amp;q=&amp;esrc=s&amp;frm=1&amp;source=web&amp;cd=1&amp;cad=rja&amp;ved=0CC4QFjAA&amp;url=http%3A%2F%2Fwww.fahcsia.gov.au%2Fsites%2Fdefault%2Ffiles%2Ffiles%2Findigenous%2FFinal%2520NPARIH%2520Review%2520May%252020132.pdf&amp;ei=M7y3UZ7mGKP-iAe-loAw&amp;usg=AFQjCNETib9_sHeqyplW_ZsDXwkOvch1Yw&amp;sig2=EP-5szUXIA7Ex4QetgjBBg&amp;bvm=bv.47810305,d.aGc" TargetMode="External"/><Relationship Id="rId17" Type="http://schemas.openxmlformats.org/officeDocument/2006/relationships/hyperlink" Target="http://www.clc.org.au/articles/info/community-development" TargetMode="External"/><Relationship Id="rId2" Type="http://schemas.openxmlformats.org/officeDocument/2006/relationships/hyperlink" Target="http://www.abc.net.au/pm/content/2004/s1259072.htm" TargetMode="External"/><Relationship Id="rId16" Type="http://schemas.openxmlformats.org/officeDocument/2006/relationships/hyperlink" Target="http://www.clc.org.au/files/pdf/CLC_tenure_proposal_Dec_2010_final.pdf" TargetMode="External"/><Relationship Id="rId1" Type="http://schemas.openxmlformats.org/officeDocument/2006/relationships/hyperlink" Target="http://www.clc.org.au/publications/content/land-reform-in-the-northern-territory-paper/" TargetMode="External"/><Relationship Id="rId6" Type="http://schemas.openxmlformats.org/officeDocument/2006/relationships/hyperlink" Target="http://www.aph.gov.au/Parliamentary_Business/Committees/Senate_Committees?url=clac_ctte/completed_inquiries/2004-07/aborig_land_rights/submissions/sub12.pdf" TargetMode="External"/><Relationship Id="rId11" Type="http://schemas.openxmlformats.org/officeDocument/2006/relationships/hyperlink" Target="https://senate.aph.gov.au/submissions/comittees/viewdocument.aspx?id=6dbe7577-ca18-4870-9d72-e4e69213905a" TargetMode="External"/><Relationship Id="rId5" Type="http://schemas.openxmlformats.org/officeDocument/2006/relationships/hyperlink" Target="http://www.abc.net.au/news/2006-11-17/brough-bullying-wadeye-into-signing-99-year-lease/1312246" TargetMode="External"/><Relationship Id="rId15" Type="http://schemas.openxmlformats.org/officeDocument/2006/relationships/hyperlink" Target="http://caepr.anu.edu.au/sites/default/files/Publications/DP/2005_DP276.pdf" TargetMode="External"/><Relationship Id="rId10" Type="http://schemas.openxmlformats.org/officeDocument/2006/relationships/hyperlink" Target="http://www.aph.gov.au/Parliamentary_Business/Committees/Joint/Northern_Australia/Inquiry_into_the_Development_of_Northern_Australia/Tabled_Reports" TargetMode="External"/><Relationship Id="rId4" Type="http://schemas.openxmlformats.org/officeDocument/2006/relationships/hyperlink" Target="http://www.aph.gov.au/Parliamentary_Business/Committees/Senate_Committees?url=@Hansard/S9506.pdf" TargetMode="External"/><Relationship Id="rId9" Type="http://schemas.openxmlformats.org/officeDocument/2006/relationships/hyperlink" Target="http://www.fahcsia.gov.au/sites/default/files/documents/05_2012/nter_evaluation_report_2011.pdf" TargetMode="External"/><Relationship Id="rId14" Type="http://schemas.openxmlformats.org/officeDocument/2006/relationships/hyperlink" Target="http://www.aph.gov.au/Parliamentary_Business/Committees/Joint/Northern_Australia/Inquiry_into_the_Development_of_Northern_Australia/Tabled_Reports"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DB915-E45A-4C8F-954E-A60484F10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6195226D</Template>
  <TotalTime>1</TotalTime>
  <Pages>26</Pages>
  <Words>8736</Words>
  <Characters>51625</Characters>
  <Application>Microsoft Office Word</Application>
  <DocSecurity>4</DocSecurity>
  <Lines>430</Lines>
  <Paragraphs>120</Paragraphs>
  <ScaleCrop>false</ScaleCrop>
  <HeadingPairs>
    <vt:vector size="2" baseType="variant">
      <vt:variant>
        <vt:lpstr>Title</vt:lpstr>
      </vt:variant>
      <vt:variant>
        <vt:i4>1</vt:i4>
      </vt:variant>
    </vt:vector>
  </HeadingPairs>
  <TitlesOfParts>
    <vt:vector size="1" baseType="lpstr">
      <vt:lpstr>•</vt:lpstr>
    </vt:vector>
  </TitlesOfParts>
  <Company>Central Land Council</Company>
  <LinksUpToDate>false</LinksUpToDate>
  <CharactersWithSpaces>60241</CharactersWithSpaces>
  <SharedDoc>false</SharedDoc>
  <HLinks>
    <vt:vector size="288" baseType="variant">
      <vt:variant>
        <vt:i4>1638460</vt:i4>
      </vt:variant>
      <vt:variant>
        <vt:i4>92</vt:i4>
      </vt:variant>
      <vt:variant>
        <vt:i4>0</vt:i4>
      </vt:variant>
      <vt:variant>
        <vt:i4>5</vt:i4>
      </vt:variant>
      <vt:variant>
        <vt:lpwstr/>
      </vt:variant>
      <vt:variant>
        <vt:lpwstr>_Toc367788074</vt:lpwstr>
      </vt:variant>
      <vt:variant>
        <vt:i4>1638460</vt:i4>
      </vt:variant>
      <vt:variant>
        <vt:i4>86</vt:i4>
      </vt:variant>
      <vt:variant>
        <vt:i4>0</vt:i4>
      </vt:variant>
      <vt:variant>
        <vt:i4>5</vt:i4>
      </vt:variant>
      <vt:variant>
        <vt:lpwstr/>
      </vt:variant>
      <vt:variant>
        <vt:lpwstr>_Toc367788073</vt:lpwstr>
      </vt:variant>
      <vt:variant>
        <vt:i4>1638460</vt:i4>
      </vt:variant>
      <vt:variant>
        <vt:i4>80</vt:i4>
      </vt:variant>
      <vt:variant>
        <vt:i4>0</vt:i4>
      </vt:variant>
      <vt:variant>
        <vt:i4>5</vt:i4>
      </vt:variant>
      <vt:variant>
        <vt:lpwstr/>
      </vt:variant>
      <vt:variant>
        <vt:lpwstr>_Toc367788072</vt:lpwstr>
      </vt:variant>
      <vt:variant>
        <vt:i4>1638460</vt:i4>
      </vt:variant>
      <vt:variant>
        <vt:i4>74</vt:i4>
      </vt:variant>
      <vt:variant>
        <vt:i4>0</vt:i4>
      </vt:variant>
      <vt:variant>
        <vt:i4>5</vt:i4>
      </vt:variant>
      <vt:variant>
        <vt:lpwstr/>
      </vt:variant>
      <vt:variant>
        <vt:lpwstr>_Toc367788071</vt:lpwstr>
      </vt:variant>
      <vt:variant>
        <vt:i4>1638460</vt:i4>
      </vt:variant>
      <vt:variant>
        <vt:i4>68</vt:i4>
      </vt:variant>
      <vt:variant>
        <vt:i4>0</vt:i4>
      </vt:variant>
      <vt:variant>
        <vt:i4>5</vt:i4>
      </vt:variant>
      <vt:variant>
        <vt:lpwstr/>
      </vt:variant>
      <vt:variant>
        <vt:lpwstr>_Toc367788070</vt:lpwstr>
      </vt:variant>
      <vt:variant>
        <vt:i4>1572924</vt:i4>
      </vt:variant>
      <vt:variant>
        <vt:i4>62</vt:i4>
      </vt:variant>
      <vt:variant>
        <vt:i4>0</vt:i4>
      </vt:variant>
      <vt:variant>
        <vt:i4>5</vt:i4>
      </vt:variant>
      <vt:variant>
        <vt:lpwstr/>
      </vt:variant>
      <vt:variant>
        <vt:lpwstr>_Toc367788069</vt:lpwstr>
      </vt:variant>
      <vt:variant>
        <vt:i4>1572924</vt:i4>
      </vt:variant>
      <vt:variant>
        <vt:i4>56</vt:i4>
      </vt:variant>
      <vt:variant>
        <vt:i4>0</vt:i4>
      </vt:variant>
      <vt:variant>
        <vt:i4>5</vt:i4>
      </vt:variant>
      <vt:variant>
        <vt:lpwstr/>
      </vt:variant>
      <vt:variant>
        <vt:lpwstr>_Toc367788068</vt:lpwstr>
      </vt:variant>
      <vt:variant>
        <vt:i4>1572924</vt:i4>
      </vt:variant>
      <vt:variant>
        <vt:i4>50</vt:i4>
      </vt:variant>
      <vt:variant>
        <vt:i4>0</vt:i4>
      </vt:variant>
      <vt:variant>
        <vt:i4>5</vt:i4>
      </vt:variant>
      <vt:variant>
        <vt:lpwstr/>
      </vt:variant>
      <vt:variant>
        <vt:lpwstr>_Toc367788067</vt:lpwstr>
      </vt:variant>
      <vt:variant>
        <vt:i4>1572924</vt:i4>
      </vt:variant>
      <vt:variant>
        <vt:i4>44</vt:i4>
      </vt:variant>
      <vt:variant>
        <vt:i4>0</vt:i4>
      </vt:variant>
      <vt:variant>
        <vt:i4>5</vt:i4>
      </vt:variant>
      <vt:variant>
        <vt:lpwstr/>
      </vt:variant>
      <vt:variant>
        <vt:lpwstr>_Toc367788066</vt:lpwstr>
      </vt:variant>
      <vt:variant>
        <vt:i4>1572924</vt:i4>
      </vt:variant>
      <vt:variant>
        <vt:i4>38</vt:i4>
      </vt:variant>
      <vt:variant>
        <vt:i4>0</vt:i4>
      </vt:variant>
      <vt:variant>
        <vt:i4>5</vt:i4>
      </vt:variant>
      <vt:variant>
        <vt:lpwstr/>
      </vt:variant>
      <vt:variant>
        <vt:lpwstr>_Toc367788065</vt:lpwstr>
      </vt:variant>
      <vt:variant>
        <vt:i4>1572924</vt:i4>
      </vt:variant>
      <vt:variant>
        <vt:i4>32</vt:i4>
      </vt:variant>
      <vt:variant>
        <vt:i4>0</vt:i4>
      </vt:variant>
      <vt:variant>
        <vt:i4>5</vt:i4>
      </vt:variant>
      <vt:variant>
        <vt:lpwstr/>
      </vt:variant>
      <vt:variant>
        <vt:lpwstr>_Toc367788064</vt:lpwstr>
      </vt:variant>
      <vt:variant>
        <vt:i4>1572924</vt:i4>
      </vt:variant>
      <vt:variant>
        <vt:i4>26</vt:i4>
      </vt:variant>
      <vt:variant>
        <vt:i4>0</vt:i4>
      </vt:variant>
      <vt:variant>
        <vt:i4>5</vt:i4>
      </vt:variant>
      <vt:variant>
        <vt:lpwstr/>
      </vt:variant>
      <vt:variant>
        <vt:lpwstr>_Toc367788063</vt:lpwstr>
      </vt:variant>
      <vt:variant>
        <vt:i4>1572924</vt:i4>
      </vt:variant>
      <vt:variant>
        <vt:i4>20</vt:i4>
      </vt:variant>
      <vt:variant>
        <vt:i4>0</vt:i4>
      </vt:variant>
      <vt:variant>
        <vt:i4>5</vt:i4>
      </vt:variant>
      <vt:variant>
        <vt:lpwstr/>
      </vt:variant>
      <vt:variant>
        <vt:lpwstr>_Toc367788062</vt:lpwstr>
      </vt:variant>
      <vt:variant>
        <vt:i4>1572924</vt:i4>
      </vt:variant>
      <vt:variant>
        <vt:i4>14</vt:i4>
      </vt:variant>
      <vt:variant>
        <vt:i4>0</vt:i4>
      </vt:variant>
      <vt:variant>
        <vt:i4>5</vt:i4>
      </vt:variant>
      <vt:variant>
        <vt:lpwstr/>
      </vt:variant>
      <vt:variant>
        <vt:lpwstr>_Toc367788061</vt:lpwstr>
      </vt:variant>
      <vt:variant>
        <vt:i4>1572924</vt:i4>
      </vt:variant>
      <vt:variant>
        <vt:i4>8</vt:i4>
      </vt:variant>
      <vt:variant>
        <vt:i4>0</vt:i4>
      </vt:variant>
      <vt:variant>
        <vt:i4>5</vt:i4>
      </vt:variant>
      <vt:variant>
        <vt:lpwstr/>
      </vt:variant>
      <vt:variant>
        <vt:lpwstr>_Toc367788060</vt:lpwstr>
      </vt:variant>
      <vt:variant>
        <vt:i4>1769532</vt:i4>
      </vt:variant>
      <vt:variant>
        <vt:i4>2</vt:i4>
      </vt:variant>
      <vt:variant>
        <vt:i4>0</vt:i4>
      </vt:variant>
      <vt:variant>
        <vt:i4>5</vt:i4>
      </vt:variant>
      <vt:variant>
        <vt:lpwstr/>
      </vt:variant>
      <vt:variant>
        <vt:lpwstr>_Toc367788059</vt:lpwstr>
      </vt:variant>
      <vt:variant>
        <vt:i4>4522087</vt:i4>
      </vt:variant>
      <vt:variant>
        <vt:i4>93</vt:i4>
      </vt:variant>
      <vt:variant>
        <vt:i4>0</vt:i4>
      </vt:variant>
      <vt:variant>
        <vt:i4>5</vt:i4>
      </vt:variant>
      <vt:variant>
        <vt:lpwstr>http://www.clc.org.au/files/pdf/CLC_tenure_proposal_Dec_2010_final.pdf</vt:lpwstr>
      </vt:variant>
      <vt:variant>
        <vt:lpwstr/>
      </vt:variant>
      <vt:variant>
        <vt:i4>2949161</vt:i4>
      </vt:variant>
      <vt:variant>
        <vt:i4>90</vt:i4>
      </vt:variant>
      <vt:variant>
        <vt:i4>0</vt:i4>
      </vt:variant>
      <vt:variant>
        <vt:i4>5</vt:i4>
      </vt:variant>
      <vt:variant>
        <vt:lpwstr>http://maorilawreview.co.nz/2012/11/housing-development-on-maori-land-two-case-studies-in-developing-and-retaining-maori-land/</vt:lpwstr>
      </vt:variant>
      <vt:variant>
        <vt:lpwstr/>
      </vt:variant>
      <vt:variant>
        <vt:i4>7864405</vt:i4>
      </vt:variant>
      <vt:variant>
        <vt:i4>87</vt:i4>
      </vt:variant>
      <vt:variant>
        <vt:i4>0</vt:i4>
      </vt:variant>
      <vt:variant>
        <vt:i4>5</vt:i4>
      </vt:variant>
      <vt:variant>
        <vt:lpwstr>http://caepr.anu.edu.au/sites/default/files/Publications/DP/2005_DP276.pdf</vt:lpwstr>
      </vt:variant>
      <vt:variant>
        <vt:lpwstr/>
      </vt:variant>
      <vt:variant>
        <vt:i4>3342394</vt:i4>
      </vt:variant>
      <vt:variant>
        <vt:i4>84</vt:i4>
      </vt:variant>
      <vt:variant>
        <vt:i4>0</vt:i4>
      </vt:variant>
      <vt:variant>
        <vt:i4>5</vt:i4>
      </vt:variant>
      <vt:variant>
        <vt:lpwstr>http://foi.deewr.gov.au/system/files/doc/other/the_indigenous_capital_assistance_scheme.pdf</vt:lpwstr>
      </vt:variant>
      <vt:variant>
        <vt:lpwstr/>
      </vt:variant>
      <vt:variant>
        <vt:i4>1900545</vt:i4>
      </vt:variant>
      <vt:variant>
        <vt:i4>81</vt:i4>
      </vt:variant>
      <vt:variant>
        <vt:i4>0</vt:i4>
      </vt:variant>
      <vt:variant>
        <vt:i4>5</vt:i4>
      </vt:variant>
      <vt:variant>
        <vt:lpwstr>http://www.iba.gov.au/business-ownership/</vt:lpwstr>
      </vt:variant>
      <vt:variant>
        <vt:lpwstr/>
      </vt:variant>
      <vt:variant>
        <vt:i4>6619192</vt:i4>
      </vt:variant>
      <vt:variant>
        <vt:i4>78</vt:i4>
      </vt:variant>
      <vt:variant>
        <vt:i4>0</vt:i4>
      </vt:variant>
      <vt:variant>
        <vt:i4>5</vt:i4>
      </vt:variant>
      <vt:variant>
        <vt:lpwstr>http://www.rdia.nt.gov.au/__data/assets/pdf_file/0019/152137/IED_Strategy_2013-20_FINAL.pdf</vt:lpwstr>
      </vt:variant>
      <vt:variant>
        <vt:lpwstr/>
      </vt:variant>
      <vt:variant>
        <vt:i4>655375</vt:i4>
      </vt:variant>
      <vt:variant>
        <vt:i4>75</vt:i4>
      </vt:variant>
      <vt:variant>
        <vt:i4>0</vt:i4>
      </vt:variant>
      <vt:variant>
        <vt:i4>5</vt:i4>
      </vt:variant>
      <vt:variant>
        <vt:lpwstr>http://www.drdia.nt.gov.au/regional_development/indigenous_economic_development/indigeous_business_development_program</vt:lpwstr>
      </vt:variant>
      <vt:variant>
        <vt:lpwstr/>
      </vt:variant>
      <vt:variant>
        <vt:i4>6160497</vt:i4>
      </vt:variant>
      <vt:variant>
        <vt:i4>72</vt:i4>
      </vt:variant>
      <vt:variant>
        <vt:i4>0</vt:i4>
      </vt:variant>
      <vt:variant>
        <vt:i4>5</vt:i4>
      </vt:variant>
      <vt:variant>
        <vt:lpwstr>http://www.dob.nt.gov.au/about-dob/annual_report_archive/Documents/DBE_2009_2010_output_perf_5.pdf</vt:lpwstr>
      </vt:variant>
      <vt:variant>
        <vt:lpwstr/>
      </vt:variant>
      <vt:variant>
        <vt:i4>786505</vt:i4>
      </vt:variant>
      <vt:variant>
        <vt:i4>69</vt:i4>
      </vt:variant>
      <vt:variant>
        <vt:i4>0</vt:i4>
      </vt:variant>
      <vt:variant>
        <vt:i4>5</vt:i4>
      </vt:variant>
      <vt:variant>
        <vt:lpwstr>http://www.iba.gov.au/wp-content/uploads/2009/09/20081201ReportEastArnhemLandBusinessDevelopmentApproach.pdf</vt:lpwstr>
      </vt:variant>
      <vt:variant>
        <vt:lpwstr/>
      </vt:variant>
      <vt:variant>
        <vt:i4>6750315</vt:i4>
      </vt:variant>
      <vt:variant>
        <vt:i4>66</vt:i4>
      </vt:variant>
      <vt:variant>
        <vt:i4>0</vt:i4>
      </vt:variant>
      <vt:variant>
        <vt:i4>5</vt:i4>
      </vt:variant>
      <vt:variant>
        <vt:lpwstr>http://www.google.com.au/url?sa=t&amp;rct=j&amp;q=&amp;esrc=s&amp;frm=1&amp;source=web&amp;cd=1&amp;cad=rja&amp;ved=0CC4QFjAA&amp;url=http%3A%2F%2Fwww.fahcsia.gov.au%2Fsites%2Fdefault%2Ffiles%2Ffiles%2Findigenous%2FFinal%2520NPARIH%2520Review%2520May%252020132.pdf&amp;ei=M7y3UZ7mGKP-iAe-loAw&amp;usg=AFQjCNETib9_sHeqyplW_ZsDXwkOvch1Yw&amp;sig2=EP-5szUXIA7Ex4QetgjBBg&amp;bvm=bv.47810305,d.aGc</vt:lpwstr>
      </vt:variant>
      <vt:variant>
        <vt:lpwstr/>
      </vt:variant>
      <vt:variant>
        <vt:i4>1900595</vt:i4>
      </vt:variant>
      <vt:variant>
        <vt:i4>63</vt:i4>
      </vt:variant>
      <vt:variant>
        <vt:i4>0</vt:i4>
      </vt:variant>
      <vt:variant>
        <vt:i4>5</vt:i4>
      </vt:variant>
      <vt:variant>
        <vt:lpwstr>http://www.censusdata.abs.gov.au/census_services/getproduct/census/2011/quickstat/UCL721001?opendocument&amp;navpos=220</vt:lpwstr>
      </vt:variant>
      <vt:variant>
        <vt:lpwstr/>
      </vt:variant>
      <vt:variant>
        <vt:i4>1245272</vt:i4>
      </vt:variant>
      <vt:variant>
        <vt:i4>60</vt:i4>
      </vt:variant>
      <vt:variant>
        <vt:i4>0</vt:i4>
      </vt:variant>
      <vt:variant>
        <vt:i4>5</vt:i4>
      </vt:variant>
      <vt:variant>
        <vt:lpwstr>http://www.treasury.nt.gov.au/PMS/Publications/BudgetFinance/BudgetPapers/I-BP04-1314.pdf</vt:lpwstr>
      </vt:variant>
      <vt:variant>
        <vt:lpwstr/>
      </vt:variant>
      <vt:variant>
        <vt:i4>3997812</vt:i4>
      </vt:variant>
      <vt:variant>
        <vt:i4>57</vt:i4>
      </vt:variant>
      <vt:variant>
        <vt:i4>0</vt:i4>
      </vt:variant>
      <vt:variant>
        <vt:i4>5</vt:i4>
      </vt:variant>
      <vt:variant>
        <vt:lpwstr/>
      </vt:variant>
      <vt:variant>
        <vt:lpwstr>The Impact of land tenure reform in the Northern Territory</vt:lpwstr>
      </vt:variant>
      <vt:variant>
        <vt:i4>3735647</vt:i4>
      </vt:variant>
      <vt:variant>
        <vt:i4>54</vt:i4>
      </vt:variant>
      <vt:variant>
        <vt:i4>0</vt:i4>
      </vt:variant>
      <vt:variant>
        <vt:i4>5</vt:i4>
      </vt:variant>
      <vt:variant>
        <vt:lpwstr>http://www.drdia.nt.gov.au/regional_services/major_remote_towns</vt:lpwstr>
      </vt:variant>
      <vt:variant>
        <vt:lpwstr/>
      </vt:variant>
      <vt:variant>
        <vt:i4>6750253</vt:i4>
      </vt:variant>
      <vt:variant>
        <vt:i4>51</vt:i4>
      </vt:variant>
      <vt:variant>
        <vt:i4>0</vt:i4>
      </vt:variant>
      <vt:variant>
        <vt:i4>5</vt:i4>
      </vt:variant>
      <vt:variant>
        <vt:lpwstr>http://www.fahcsia.gov.au/our-responsibilities/indigenous-australians/programs-services/remote-service-delivery</vt:lpwstr>
      </vt:variant>
      <vt:variant>
        <vt:lpwstr/>
      </vt:variant>
      <vt:variant>
        <vt:i4>1835059</vt:i4>
      </vt:variant>
      <vt:variant>
        <vt:i4>48</vt:i4>
      </vt:variant>
      <vt:variant>
        <vt:i4>0</vt:i4>
      </vt:variant>
      <vt:variant>
        <vt:i4>5</vt:i4>
      </vt:variant>
      <vt:variant>
        <vt:lpwstr>http://www.censusdata.abs.gov.au/census_services/getproduct/census/2011/quickstat/UCL721011?opendocument&amp;navpos=220</vt:lpwstr>
      </vt:variant>
      <vt:variant>
        <vt:lpwstr/>
      </vt:variant>
      <vt:variant>
        <vt:i4>3211375</vt:i4>
      </vt:variant>
      <vt:variant>
        <vt:i4>45</vt:i4>
      </vt:variant>
      <vt:variant>
        <vt:i4>0</vt:i4>
      </vt:variant>
      <vt:variant>
        <vt:i4>5</vt:i4>
      </vt:variant>
      <vt:variant>
        <vt:lpwstr/>
      </vt:variant>
      <vt:variant>
        <vt:lpwstr>Remaining Issues and challenges</vt:lpwstr>
      </vt:variant>
      <vt:variant>
        <vt:i4>1441859</vt:i4>
      </vt:variant>
      <vt:variant>
        <vt:i4>42</vt:i4>
      </vt:variant>
      <vt:variant>
        <vt:i4>0</vt:i4>
      </vt:variant>
      <vt:variant>
        <vt:i4>5</vt:i4>
      </vt:variant>
      <vt:variant>
        <vt:lpwstr>http://www.fahcsia.gov.au/sites/default/files/documents/05_2012/nter_evaluation_report_2011.pdf</vt:lpwstr>
      </vt:variant>
      <vt:variant>
        <vt:lpwstr/>
      </vt:variant>
      <vt:variant>
        <vt:i4>5898270</vt:i4>
      </vt:variant>
      <vt:variant>
        <vt:i4>39</vt:i4>
      </vt:variant>
      <vt:variant>
        <vt:i4>0</vt:i4>
      </vt:variant>
      <vt:variant>
        <vt:i4>5</vt:i4>
      </vt:variant>
      <vt:variant>
        <vt:lpwstr>http://www.clc.org.au/publications/content/clc-response-to-community-living-area-reform-discussion-paper/</vt:lpwstr>
      </vt:variant>
      <vt:variant>
        <vt:lpwstr/>
      </vt:variant>
      <vt:variant>
        <vt:i4>3080245</vt:i4>
      </vt:variant>
      <vt:variant>
        <vt:i4>36</vt:i4>
      </vt:variant>
      <vt:variant>
        <vt:i4>0</vt:i4>
      </vt:variant>
      <vt:variant>
        <vt:i4>5</vt:i4>
      </vt:variant>
      <vt:variant>
        <vt:lpwstr>http://www.aph.gov.au/Parliamentary_Business/Committees/Senate_Committees?url=clac_ctte/completed_inquiries/2004-07/aborig_land_rights/submissions/sub11.pdf</vt:lpwstr>
      </vt:variant>
      <vt:variant>
        <vt:lpwstr/>
      </vt:variant>
      <vt:variant>
        <vt:i4>2949173</vt:i4>
      </vt:variant>
      <vt:variant>
        <vt:i4>33</vt:i4>
      </vt:variant>
      <vt:variant>
        <vt:i4>0</vt:i4>
      </vt:variant>
      <vt:variant>
        <vt:i4>5</vt:i4>
      </vt:variant>
      <vt:variant>
        <vt:lpwstr>http://www.aph.gov.au/Parliamentary_Business/Committees/Senate_Committees?url=clac_ctte/completed_inquiries/2004-07/aborig_land_rights/submissions/sub13.pdf</vt:lpwstr>
      </vt:variant>
      <vt:variant>
        <vt:lpwstr/>
      </vt:variant>
      <vt:variant>
        <vt:i4>2883637</vt:i4>
      </vt:variant>
      <vt:variant>
        <vt:i4>30</vt:i4>
      </vt:variant>
      <vt:variant>
        <vt:i4>0</vt:i4>
      </vt:variant>
      <vt:variant>
        <vt:i4>5</vt:i4>
      </vt:variant>
      <vt:variant>
        <vt:lpwstr>http://www.aph.gov.au/Parliamentary_Business/Committees/Senate_Committees?url=clac_ctte/completed_inquiries/2004-07/aborig_land_rights/submissions/sub12.pdf</vt:lpwstr>
      </vt:variant>
      <vt:variant>
        <vt:lpwstr/>
      </vt:variant>
      <vt:variant>
        <vt:i4>8126555</vt:i4>
      </vt:variant>
      <vt:variant>
        <vt:i4>27</vt:i4>
      </vt:variant>
      <vt:variant>
        <vt:i4>0</vt:i4>
      </vt:variant>
      <vt:variant>
        <vt:i4>5</vt:i4>
      </vt:variant>
      <vt:variant>
        <vt:lpwstr>http://www.gtcentre.unsw.edu.au/sites/gtcentre.unsw.edu.au/files/mdocs/Sean_CommentaryExtract.pdf</vt:lpwstr>
      </vt:variant>
      <vt:variant>
        <vt:lpwstr/>
      </vt:variant>
      <vt:variant>
        <vt:i4>2424940</vt:i4>
      </vt:variant>
      <vt:variant>
        <vt:i4>24</vt:i4>
      </vt:variant>
      <vt:variant>
        <vt:i4>0</vt:i4>
      </vt:variant>
      <vt:variant>
        <vt:i4>5</vt:i4>
      </vt:variant>
      <vt:variant>
        <vt:lpwstr>http://www.abc.net.au/news/2006-11-17/brough-bullying-wadeye-into-signing-99-year-lease/1312246</vt:lpwstr>
      </vt:variant>
      <vt:variant>
        <vt:lpwstr/>
      </vt:variant>
      <vt:variant>
        <vt:i4>8126474</vt:i4>
      </vt:variant>
      <vt:variant>
        <vt:i4>21</vt:i4>
      </vt:variant>
      <vt:variant>
        <vt:i4>0</vt:i4>
      </vt:variant>
      <vt:variant>
        <vt:i4>5</vt:i4>
      </vt:variant>
      <vt:variant>
        <vt:lpwstr>http://www.aph.gov.au/Parliamentary_Business/Committees/Senate_Committees?url=@Hansard/S9506.pdf</vt:lpwstr>
      </vt:variant>
      <vt:variant>
        <vt:lpwstr/>
      </vt:variant>
      <vt:variant>
        <vt:i4>3407904</vt:i4>
      </vt:variant>
      <vt:variant>
        <vt:i4>18</vt:i4>
      </vt:variant>
      <vt:variant>
        <vt:i4>0</vt:i4>
      </vt:variant>
      <vt:variant>
        <vt:i4>5</vt:i4>
      </vt:variant>
      <vt:variant>
        <vt:lpwstr>http://www.aph.gov.au/Parliamentary_Business/Committees/House_of_Representatives_Committees?url=atsia/reeves/inquiryinf.htm</vt:lpwstr>
      </vt:variant>
      <vt:variant>
        <vt:lpwstr/>
      </vt:variant>
      <vt:variant>
        <vt:i4>2228278</vt:i4>
      </vt:variant>
      <vt:variant>
        <vt:i4>15</vt:i4>
      </vt:variant>
      <vt:variant>
        <vt:i4>0</vt:i4>
      </vt:variant>
      <vt:variant>
        <vt:i4>5</vt:i4>
      </vt:variant>
      <vt:variant>
        <vt:lpwstr>http://www.abc.net.au/pm/content/2004/s1259072.htm</vt:lpwstr>
      </vt:variant>
      <vt:variant>
        <vt:lpwstr/>
      </vt:variant>
      <vt:variant>
        <vt:i4>2883636</vt:i4>
      </vt:variant>
      <vt:variant>
        <vt:i4>12</vt:i4>
      </vt:variant>
      <vt:variant>
        <vt:i4>0</vt:i4>
      </vt:variant>
      <vt:variant>
        <vt:i4>5</vt:i4>
      </vt:variant>
      <vt:variant>
        <vt:lpwstr>http://www.aph.gov.au/Parliamentary_Business/Committees/Senate_Committees?url=clac_ctte/completed_inquiries/2004-07/aborig_land_rights/submissions/sub02.pdf</vt:lpwstr>
      </vt:variant>
      <vt:variant>
        <vt:lpwstr/>
      </vt:variant>
      <vt:variant>
        <vt:i4>5046291</vt:i4>
      </vt:variant>
      <vt:variant>
        <vt:i4>9</vt:i4>
      </vt:variant>
      <vt:variant>
        <vt:i4>0</vt:i4>
      </vt:variant>
      <vt:variant>
        <vt:i4>5</vt:i4>
      </vt:variant>
      <vt:variant>
        <vt:lpwstr>http://info.worldbank.org/etools/docs/library/34919/landpoliciesexecsummary.pdf5</vt:lpwstr>
      </vt:variant>
      <vt:variant>
        <vt:lpwstr/>
      </vt:variant>
      <vt:variant>
        <vt:i4>3801195</vt:i4>
      </vt:variant>
      <vt:variant>
        <vt:i4>6</vt:i4>
      </vt:variant>
      <vt:variant>
        <vt:i4>0</vt:i4>
      </vt:variant>
      <vt:variant>
        <vt:i4>5</vt:i4>
      </vt:variant>
      <vt:variant>
        <vt:lpwstr>http://www.clc.org.au/articles/cat/leasing-aboriginal-land/</vt:lpwstr>
      </vt:variant>
      <vt:variant>
        <vt:lpwstr/>
      </vt:variant>
      <vt:variant>
        <vt:i4>6160404</vt:i4>
      </vt:variant>
      <vt:variant>
        <vt:i4>3</vt:i4>
      </vt:variant>
      <vt:variant>
        <vt:i4>0</vt:i4>
      </vt:variant>
      <vt:variant>
        <vt:i4>5</vt:i4>
      </vt:variant>
      <vt:variant>
        <vt:lpwstr>https://senate.aph.gov.au/submissions/comittees/viewdocument.aspx?id=6dbe7577-ca18-4870-9d72-e4e69213905a</vt:lpwstr>
      </vt:variant>
      <vt:variant>
        <vt:lpwstr/>
      </vt:variant>
      <vt:variant>
        <vt:i4>4849711</vt:i4>
      </vt:variant>
      <vt:variant>
        <vt:i4>0</vt:i4>
      </vt:variant>
      <vt:variant>
        <vt:i4>0</vt:i4>
      </vt:variant>
      <vt:variant>
        <vt:i4>5</vt:i4>
      </vt:variant>
      <vt:variant>
        <vt:lpwstr>http://www.fahcsia.gov.au/sites/default/files/documents/09_2012/ieds_2011_2018.pdf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Staff</dc:creator>
  <cp:lastModifiedBy>James Nugent</cp:lastModifiedBy>
  <cp:revision>2</cp:revision>
  <cp:lastPrinted>2015-06-05T06:51:00Z</cp:lastPrinted>
  <dcterms:created xsi:type="dcterms:W3CDTF">2015-06-12T06:53:00Z</dcterms:created>
  <dcterms:modified xsi:type="dcterms:W3CDTF">2015-06-12T06:53:00Z</dcterms:modified>
</cp:coreProperties>
</file>