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A8D29" w14:textId="77777777" w:rsidR="004163FA" w:rsidRDefault="000C23D6" w:rsidP="004163FA">
      <w:pPr>
        <w:pStyle w:val="ProtectiveMarking"/>
        <w:rPr>
          <w:caps w:val="0"/>
          <w:noProof w:val="0"/>
          <w:color w:val="191919" w:themeColor="text1" w:themeTint="E6"/>
        </w:rPr>
      </w:pPr>
      <w:sdt>
        <w:sdtPr>
          <w:alias w:val="Classification"/>
          <w:tag w:val="Classification"/>
          <w:id w:val="-521240474"/>
          <w:dataBinding w:xpath="/root[1]/Classification[1]" w:storeItemID="{F533AE62-A212-4B26-92DA-A3B336E8AE06}"/>
          <w:dropDownList w:lastValue="OFFICIAL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1E2C8D">
            <w:t>OFFICIAL</w:t>
          </w:r>
        </w:sdtContent>
      </w:sdt>
    </w:p>
    <w:p w14:paraId="2AC6369C" w14:textId="77777777" w:rsidR="006B0488" w:rsidRDefault="0040648D" w:rsidP="006B048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795B274" wp14:editId="74EBF74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ection Name"/>
                              <w:tag w:val="SectionName"/>
                              <w:id w:val="2015037429"/>
                              <w:placeholder>
                                <w:docPart w:val="6EC34E8F025D474EABCE123A748DB2F8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14:paraId="1800CF14" w14:textId="77777777" w:rsidR="0040648D" w:rsidRPr="00C91A83" w:rsidRDefault="001E2C8D" w:rsidP="0040648D">
                                <w:pPr>
                                  <w:pStyle w:val="SectionNameRev"/>
                                </w:pPr>
                                <w:r>
                                  <w:t>CATSI Act Review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5AA68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sdt>
                      <w:sdtPr>
                        <w:alias w:val="Section Name"/>
                        <w:tag w:val="SectionName"/>
                        <w:id w:val="2015037429"/>
                        <w:placeholder>
                          <w:docPart w:val="6EC34E8F025D474EABCE123A748DB2F8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:rsidR="0040648D" w:rsidRPr="00C91A83" w:rsidRDefault="001E2C8D" w:rsidP="0040648D">
                          <w:pPr>
                            <w:pStyle w:val="SectionNameRev"/>
                          </w:pPr>
                          <w:r>
                            <w:t>CATSI Act Review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1129DAE9" w14:textId="77777777" w:rsidR="0086672B" w:rsidRPr="00562166" w:rsidRDefault="00F4649D" w:rsidP="00233B91">
      <w:pPr>
        <w:pStyle w:val="Heading1"/>
      </w:pPr>
      <w:r w:rsidRPr="001E2C8D">
        <w:rPr>
          <w:noProof/>
          <w:color w:val="BEA887" w:themeColor="accent2"/>
        </w:rPr>
        <w:t>Part 1</w:t>
      </w:r>
      <w:r w:rsidR="00654319" w:rsidRPr="001E2C8D">
        <w:rPr>
          <w:noProof/>
          <w:color w:val="BEA887" w:themeColor="accent2"/>
        </w:rPr>
        <w:t>0</w:t>
      </w:r>
      <w:r w:rsidRPr="001E2C8D">
        <w:rPr>
          <w:noProof/>
          <w:color w:val="BEA887" w:themeColor="accent2"/>
        </w:rPr>
        <w:t>—</w:t>
      </w:r>
      <w:bookmarkStart w:id="0" w:name="_GoBack"/>
      <w:r w:rsidRPr="001E2C8D">
        <w:rPr>
          <w:noProof/>
          <w:color w:val="BEA887" w:themeColor="accent2"/>
        </w:rPr>
        <w:t>Power to exempt corporation from employee-director requirement</w:t>
      </w:r>
      <w:bookmarkEnd w:id="0"/>
    </w:p>
    <w:p w14:paraId="0DBFE720" w14:textId="77777777" w:rsidR="003D48A4" w:rsidRDefault="003D48A4" w:rsidP="003D48A4">
      <w:r>
        <w:t xml:space="preserve">Recommendation 39 </w:t>
      </w:r>
      <w:r w:rsidR="00FD32DB">
        <w:t xml:space="preserve">of the CATSI Act Review final report </w:t>
      </w:r>
      <w:r>
        <w:t>recognised that there are times when it may be appropriate for a corporation’s directors to al</w:t>
      </w:r>
      <w:r w:rsidR="00B5069D">
        <w:t xml:space="preserve">so be employees. For example, </w:t>
      </w:r>
      <w:r>
        <w:t xml:space="preserve">in a </w:t>
      </w:r>
      <w:r w:rsidR="00B5069D">
        <w:t>Registered Native Title Body Corpo</w:t>
      </w:r>
      <w:r w:rsidR="00691832">
        <w:t>r</w:t>
      </w:r>
      <w:r w:rsidR="00B5069D">
        <w:t>ate where the directors may work as emp</w:t>
      </w:r>
      <w:r w:rsidR="003B7C1F">
        <w:t>l</w:t>
      </w:r>
      <w:r w:rsidR="00B5069D">
        <w:t>oyees undertaking cultural heritage work,</w:t>
      </w:r>
      <w:r>
        <w:t xml:space="preserve"> or </w:t>
      </w:r>
      <w:r w:rsidR="00B5069D">
        <w:t>an art centre where directors may also be artists who work as employees to sell their artwork</w:t>
      </w:r>
      <w:r>
        <w:t xml:space="preserve">. </w:t>
      </w:r>
      <w:r w:rsidR="00691832">
        <w:t xml:space="preserve">Recommendation 39 </w:t>
      </w:r>
      <w:r>
        <w:t>stated:</w:t>
      </w:r>
    </w:p>
    <w:p w14:paraId="16127F3C" w14:textId="77777777" w:rsidR="005D757E" w:rsidRPr="005D757E" w:rsidRDefault="003D48A4" w:rsidP="003D48A4">
      <w:r>
        <w:rPr>
          <w:rFonts w:cstheme="minorHAnsi"/>
          <w:i/>
        </w:rPr>
        <w:t>A</w:t>
      </w:r>
      <w:r w:rsidR="005D757E" w:rsidRPr="003D48A4">
        <w:rPr>
          <w:rFonts w:cstheme="minorHAnsi"/>
          <w:i/>
        </w:rPr>
        <w:t>llow the Registrar to exempt a corporation or class of corporations from the requirement that a majority of directors must not be employees</w:t>
      </w:r>
      <w:r w:rsidR="005D757E" w:rsidRPr="003D48A4">
        <w:rPr>
          <w:rFonts w:cstheme="minorHAnsi"/>
        </w:rPr>
        <w:t>.</w:t>
      </w:r>
    </w:p>
    <w:p w14:paraId="5EA7D4A5" w14:textId="77777777" w:rsidR="00A3076D" w:rsidRPr="00A3076D" w:rsidRDefault="00B5069D" w:rsidP="003D48A4">
      <w:r>
        <w:t>Items</w:t>
      </w:r>
      <w:r w:rsidR="003D48A4">
        <w:t xml:space="preserve"> 172 and 173 give effect to this recommendation by </w:t>
      </w:r>
      <w:r w:rsidR="005D757E">
        <w:t xml:space="preserve">providing the Registrar with the power to exempt a corporation from, or make a determination </w:t>
      </w:r>
      <w:r w:rsidR="00691832">
        <w:t>exempting</w:t>
      </w:r>
      <w:r w:rsidR="005D757E">
        <w:t xml:space="preserve"> a class of corporations</w:t>
      </w:r>
      <w:r w:rsidR="00691832">
        <w:t xml:space="preserve"> from</w:t>
      </w:r>
      <w:r w:rsidR="005D757E">
        <w:t>, the requirement that the majority of directors must not be employees.</w:t>
      </w:r>
    </w:p>
    <w:sectPr w:rsidR="00A3076D" w:rsidRPr="00A3076D" w:rsidSect="001E42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59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9A8CE" w14:textId="77777777" w:rsidR="00F83908" w:rsidRDefault="00F83908" w:rsidP="00B95533">
      <w:pPr>
        <w:spacing w:after="0" w:line="240" w:lineRule="auto"/>
      </w:pPr>
      <w:r>
        <w:separator/>
      </w:r>
    </w:p>
  </w:endnote>
  <w:endnote w:type="continuationSeparator" w:id="0">
    <w:p w14:paraId="509D4ABB" w14:textId="77777777" w:rsidR="00F83908" w:rsidRDefault="00F83908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DC28D" w14:textId="77777777" w:rsidR="000C23D6" w:rsidRDefault="000C2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dataBinding w:xpath="/root[1]/Classification[1]" w:storeItemID="{F533AE62-A212-4B26-92DA-A3B336E8AE06}"/>
      <w:text/>
    </w:sdtPr>
    <w:sdtEndPr/>
    <w:sdtContent>
      <w:p w14:paraId="5A23F9C7" w14:textId="77777777" w:rsidR="009672EB" w:rsidRPr="00B87E45" w:rsidRDefault="001E2C8D" w:rsidP="001007B9">
        <w:pPr>
          <w:pStyle w:val="ProtectiveMarking"/>
        </w:pPr>
        <w:r>
          <w:t>OFFICIAL</w:t>
        </w:r>
      </w:p>
    </w:sdtContent>
  </w:sdt>
  <w:p w14:paraId="31322388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87E01E3" wp14:editId="151B6AA9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AE878A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57D79F59" wp14:editId="0608FDE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1CD95" w14:textId="77777777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1E2C8D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49A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1E2C8D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6B89E2E2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6EC34E8F025D474EABCE123A748DB2F8"/>
        </w:placeholder>
        <w:dataBinding w:xpath="/root[1]/SectionName[1]" w:storeItemID="{F533AE62-A212-4B26-92DA-A3B336E8AE06}"/>
        <w:text/>
      </w:sdtPr>
      <w:sdtEndPr/>
      <w:sdtContent>
        <w:r w:rsidR="001E2C8D">
          <w:rPr>
            <w:color w:val="25303B" w:themeColor="accent1"/>
          </w:rPr>
          <w:t>CATSI Act Review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1E2C8D">
      <w:rPr>
        <w:b/>
        <w:bCs w:val="0"/>
        <w:noProof/>
        <w:color w:val="25303B" w:themeColor="accent1"/>
        <w:lang w:val="en-US"/>
      </w:rPr>
      <w:t>Error! No text of specified style in document.</w:t>
    </w:r>
    <w:r w:rsidRPr="0040648D">
      <w:rPr>
        <w:color w:val="25303B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779212053"/>
      <w:dataBinding w:xpath="/root[1]/Classification[1]" w:storeItemID="{F533AE62-A212-4B26-92DA-A3B336E8AE06}"/>
      <w:text/>
    </w:sdtPr>
    <w:sdtEndPr/>
    <w:sdtContent>
      <w:p w14:paraId="5B446060" w14:textId="77777777" w:rsidR="009672EB" w:rsidRPr="00B87E45" w:rsidRDefault="001E2C8D" w:rsidP="00917F95">
        <w:pPr>
          <w:pStyle w:val="ProtectiveMarking"/>
        </w:pPr>
        <w:r>
          <w:t>OFFICIAL</w:t>
        </w:r>
      </w:p>
    </w:sdtContent>
  </w:sdt>
  <w:p w14:paraId="693239B6" w14:textId="7777777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502C35B" wp14:editId="160D4DFB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460F9C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46DCD81A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17755A72" wp14:editId="0C1B8D1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6660F" w14:textId="77777777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0C23D6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55A7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3716660F" w14:textId="77777777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0C23D6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dataBinding w:xpath="/root[1]/SectionName[1]" w:storeItemID="{F533AE62-A212-4B26-92DA-A3B336E8AE06}"/>
        <w:text/>
      </w:sdtPr>
      <w:sdtEndPr/>
      <w:sdtContent>
        <w:r w:rsidR="001E2C8D">
          <w:rPr>
            <w:color w:val="25303B" w:themeColor="accent1"/>
          </w:rPr>
          <w:t>CATSI Act Review</w:t>
        </w:r>
      </w:sdtContent>
    </w:sdt>
    <w:r w:rsidRPr="0040648D">
      <w:rPr>
        <w:color w:val="25303B" w:themeColor="accent1"/>
      </w:rPr>
      <w:t xml:space="preserve"> | </w:t>
    </w:r>
    <w:r w:rsidR="001E2C8D" w:rsidRPr="001E2C8D">
      <w:rPr>
        <w:color w:val="25303B" w:themeColor="accent1"/>
      </w:rPr>
      <w:t>Part 10—Power to exempt corporation from employee-director requirement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4FAC4" w14:textId="77777777" w:rsidR="00F83908" w:rsidRPr="007A6FC6" w:rsidRDefault="00F83908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2CBBCDBF" w14:textId="77777777" w:rsidR="00F83908" w:rsidRPr="007A6FC6" w:rsidRDefault="00F83908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F5E0" w14:textId="77777777" w:rsidR="000C23D6" w:rsidRDefault="000C2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AE0F" w14:textId="77777777" w:rsidR="002C0B0E" w:rsidRDefault="000C23D6" w:rsidP="00510499">
    <w:pPr>
      <w:pStyle w:val="ProtectiveMarking"/>
    </w:pPr>
    <w:sdt>
      <w:sdtPr>
        <w:alias w:val="Classification"/>
        <w:tag w:val="Classification"/>
        <w:id w:val="336196887"/>
        <w:dataBinding w:xpath="/root[1]/Classification[1]" w:storeItemID="{F533AE62-A212-4B26-92DA-A3B336E8AE06}"/>
        <w:text/>
      </w:sdtPr>
      <w:sdtEndPr/>
      <w:sdtContent>
        <w:r w:rsidR="001E2C8D">
          <w:t>OFFICIAL</w:t>
        </w:r>
      </w:sdtContent>
    </w:sdt>
  </w:p>
  <w:p w14:paraId="74E01823" w14:textId="77777777"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4B50F4E7" wp14:editId="7BD01336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33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0AFABD" w14:textId="77777777" w:rsidR="009672EB" w:rsidRDefault="00967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A77D4" w14:textId="77777777" w:rsidR="009672EB" w:rsidRDefault="001E2C8D">
    <w:pPr>
      <w:pStyle w:val="Header"/>
    </w:pP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2200BE2A" wp14:editId="118C1CCA">
          <wp:simplePos x="0" y="0"/>
          <wp:positionH relativeFrom="page">
            <wp:posOffset>535305</wp:posOffset>
          </wp:positionH>
          <wp:positionV relativeFrom="page">
            <wp:posOffset>257175</wp:posOffset>
          </wp:positionV>
          <wp:extent cx="2118360" cy="640080"/>
          <wp:effectExtent l="0" t="0" r="0" b="7620"/>
          <wp:wrapNone/>
          <wp:docPr id="59" name="Graphic 19" title="Australian Government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47392874" wp14:editId="76D1D762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55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5BE4D4" id="Straight Connector 55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6B40C45C" wp14:editId="2EB9DDB5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817EF" w14:textId="77777777" w:rsidR="001E2C8D" w:rsidRPr="00602577" w:rsidRDefault="001E2C8D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BCBCBC" w:themeColor="background2" w:themeShade="E6"/>
                              <w:sz w:val="16"/>
                              <w:szCs w:val="16"/>
                            </w:rPr>
                          </w:pPr>
                          <w:r w:rsidRPr="00602577">
                            <w:rPr>
                              <w:i/>
                              <w:iCs/>
                              <w:color w:val="BCBCBC" w:themeColor="background2" w:themeShade="E6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56B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" fillcolor="white [3212]" stroked="f">
              <v:textbox inset="15mm,0,0,0">
                <w:txbxContent>
                  <w:p w:rsidR="001E2C8D" w:rsidRPr="00602577" w:rsidRDefault="001E2C8D" w:rsidP="009672EB">
                    <w:pPr>
                      <w:spacing w:after="0" w:line="240" w:lineRule="auto"/>
                      <w:rPr>
                        <w:i/>
                        <w:iCs/>
                        <w:color w:val="BCBCBC" w:themeColor="background2" w:themeShade="E6"/>
                        <w:sz w:val="16"/>
                        <w:szCs w:val="16"/>
                      </w:rPr>
                    </w:pPr>
                    <w:r w:rsidRPr="00602577">
                      <w:rPr>
                        <w:i/>
                        <w:iCs/>
                        <w:color w:val="BCBCBC" w:themeColor="background2" w:themeShade="E6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2B7B2BF7" wp14:editId="2F5279F3">
          <wp:simplePos x="0" y="0"/>
          <wp:positionH relativeFrom="page">
            <wp:posOffset>3016885</wp:posOffset>
          </wp:positionH>
          <wp:positionV relativeFrom="page">
            <wp:posOffset>291465</wp:posOffset>
          </wp:positionV>
          <wp:extent cx="1580400" cy="518400"/>
          <wp:effectExtent l="0" t="0" r="1270" b="0"/>
          <wp:wrapNone/>
          <wp:docPr id="60" name="Graphic 16" title="NI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0A1D233E" wp14:editId="1ADDAB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6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8562" r="-1" b="-1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21C"/>
    <w:multiLevelType w:val="hybridMultilevel"/>
    <w:tmpl w:val="9E9C4900"/>
    <w:lvl w:ilvl="0" w:tplc="600E66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3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8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9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6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2"/>
  </w:num>
  <w:num w:numId="18">
    <w:abstractNumId w:val="2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5"/>
  </w:num>
  <w:num w:numId="20">
    <w:abstractNumId w:val="10"/>
  </w:num>
  <w:num w:numId="21">
    <w:abstractNumId w:val="1"/>
  </w:num>
  <w:num w:numId="22">
    <w:abstractNumId w:val="8"/>
  </w:num>
  <w:num w:numId="23">
    <w:abstractNumId w:val="8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91"/>
    <w:rsid w:val="00002F73"/>
    <w:rsid w:val="00007EB1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8F0"/>
    <w:rsid w:val="00053CD9"/>
    <w:rsid w:val="00057B46"/>
    <w:rsid w:val="00063034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3D6"/>
    <w:rsid w:val="000C29C5"/>
    <w:rsid w:val="000D106A"/>
    <w:rsid w:val="000D113F"/>
    <w:rsid w:val="000E351D"/>
    <w:rsid w:val="000E60F7"/>
    <w:rsid w:val="000F1B86"/>
    <w:rsid w:val="000F23B0"/>
    <w:rsid w:val="000F5917"/>
    <w:rsid w:val="001007B9"/>
    <w:rsid w:val="00105ECB"/>
    <w:rsid w:val="00131315"/>
    <w:rsid w:val="00131BD2"/>
    <w:rsid w:val="00132268"/>
    <w:rsid w:val="001336CF"/>
    <w:rsid w:val="00143288"/>
    <w:rsid w:val="0015537B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957"/>
    <w:rsid w:val="001A2F86"/>
    <w:rsid w:val="001B0144"/>
    <w:rsid w:val="001B10ED"/>
    <w:rsid w:val="001C2FC8"/>
    <w:rsid w:val="001D283B"/>
    <w:rsid w:val="001E2C8D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3B91"/>
    <w:rsid w:val="00234705"/>
    <w:rsid w:val="00237365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85FC6"/>
    <w:rsid w:val="00294D1D"/>
    <w:rsid w:val="002955DD"/>
    <w:rsid w:val="002A0289"/>
    <w:rsid w:val="002A371E"/>
    <w:rsid w:val="002B4B0A"/>
    <w:rsid w:val="002C0866"/>
    <w:rsid w:val="002C0B0E"/>
    <w:rsid w:val="002C5F5B"/>
    <w:rsid w:val="002C777D"/>
    <w:rsid w:val="002D40B1"/>
    <w:rsid w:val="002D45CD"/>
    <w:rsid w:val="002D75F9"/>
    <w:rsid w:val="002E07AC"/>
    <w:rsid w:val="002E6AA1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63AE5"/>
    <w:rsid w:val="00371FDB"/>
    <w:rsid w:val="003848EF"/>
    <w:rsid w:val="00385B65"/>
    <w:rsid w:val="00391929"/>
    <w:rsid w:val="003A3E57"/>
    <w:rsid w:val="003B7C1F"/>
    <w:rsid w:val="003C6961"/>
    <w:rsid w:val="003D21A3"/>
    <w:rsid w:val="003D33F7"/>
    <w:rsid w:val="003D48A4"/>
    <w:rsid w:val="003E6B8B"/>
    <w:rsid w:val="003F017E"/>
    <w:rsid w:val="003F17BC"/>
    <w:rsid w:val="003F1A1E"/>
    <w:rsid w:val="003F5F4B"/>
    <w:rsid w:val="003F7E70"/>
    <w:rsid w:val="0040648D"/>
    <w:rsid w:val="00414CEB"/>
    <w:rsid w:val="004163FA"/>
    <w:rsid w:val="00423E92"/>
    <w:rsid w:val="004257F1"/>
    <w:rsid w:val="004366AE"/>
    <w:rsid w:val="0044371A"/>
    <w:rsid w:val="00454696"/>
    <w:rsid w:val="004616FF"/>
    <w:rsid w:val="00463F31"/>
    <w:rsid w:val="004759ED"/>
    <w:rsid w:val="004945F7"/>
    <w:rsid w:val="004957BB"/>
    <w:rsid w:val="00497F14"/>
    <w:rsid w:val="004B2CB0"/>
    <w:rsid w:val="004B7B8B"/>
    <w:rsid w:val="004C18F6"/>
    <w:rsid w:val="004C6518"/>
    <w:rsid w:val="004D0B40"/>
    <w:rsid w:val="004D24EB"/>
    <w:rsid w:val="004D688C"/>
    <w:rsid w:val="004E58AE"/>
    <w:rsid w:val="004F1EBC"/>
    <w:rsid w:val="004F20A9"/>
    <w:rsid w:val="004F73E8"/>
    <w:rsid w:val="0051316F"/>
    <w:rsid w:val="00523958"/>
    <w:rsid w:val="0053301E"/>
    <w:rsid w:val="005370B2"/>
    <w:rsid w:val="005400C8"/>
    <w:rsid w:val="00543E44"/>
    <w:rsid w:val="00543FDE"/>
    <w:rsid w:val="00552F1C"/>
    <w:rsid w:val="00562166"/>
    <w:rsid w:val="00574F28"/>
    <w:rsid w:val="00576C8D"/>
    <w:rsid w:val="0058793B"/>
    <w:rsid w:val="005917FA"/>
    <w:rsid w:val="0059258A"/>
    <w:rsid w:val="00596D03"/>
    <w:rsid w:val="005A0DE7"/>
    <w:rsid w:val="005A355D"/>
    <w:rsid w:val="005B210C"/>
    <w:rsid w:val="005B241C"/>
    <w:rsid w:val="005B27D0"/>
    <w:rsid w:val="005C7655"/>
    <w:rsid w:val="005C7C79"/>
    <w:rsid w:val="005D1BC5"/>
    <w:rsid w:val="005D2D7A"/>
    <w:rsid w:val="005D7026"/>
    <w:rsid w:val="005D757E"/>
    <w:rsid w:val="005F3D48"/>
    <w:rsid w:val="005F79CC"/>
    <w:rsid w:val="00602577"/>
    <w:rsid w:val="00603EA6"/>
    <w:rsid w:val="00603FC1"/>
    <w:rsid w:val="0061381E"/>
    <w:rsid w:val="006159C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4319"/>
    <w:rsid w:val="00657D2D"/>
    <w:rsid w:val="00661E36"/>
    <w:rsid w:val="00663EAD"/>
    <w:rsid w:val="006674FC"/>
    <w:rsid w:val="006719C9"/>
    <w:rsid w:val="00675B34"/>
    <w:rsid w:val="00675EDF"/>
    <w:rsid w:val="00682080"/>
    <w:rsid w:val="00684ABF"/>
    <w:rsid w:val="00685BF1"/>
    <w:rsid w:val="00691832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53B4D"/>
    <w:rsid w:val="00754949"/>
    <w:rsid w:val="007660B9"/>
    <w:rsid w:val="00780AC4"/>
    <w:rsid w:val="00781797"/>
    <w:rsid w:val="007836C4"/>
    <w:rsid w:val="007956C4"/>
    <w:rsid w:val="007A27C5"/>
    <w:rsid w:val="007A52E1"/>
    <w:rsid w:val="007A6FC6"/>
    <w:rsid w:val="007C3F60"/>
    <w:rsid w:val="007D680C"/>
    <w:rsid w:val="007E4334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A6759"/>
    <w:rsid w:val="008B13B1"/>
    <w:rsid w:val="008B493F"/>
    <w:rsid w:val="008C115E"/>
    <w:rsid w:val="008C5D7E"/>
    <w:rsid w:val="008D0504"/>
    <w:rsid w:val="008D1256"/>
    <w:rsid w:val="008D275A"/>
    <w:rsid w:val="008D40C5"/>
    <w:rsid w:val="008E109E"/>
    <w:rsid w:val="008E3760"/>
    <w:rsid w:val="008E66E6"/>
    <w:rsid w:val="008F112A"/>
    <w:rsid w:val="00900D4B"/>
    <w:rsid w:val="009014BC"/>
    <w:rsid w:val="00902CAC"/>
    <w:rsid w:val="009036CA"/>
    <w:rsid w:val="00917F95"/>
    <w:rsid w:val="00923EDF"/>
    <w:rsid w:val="00935AD4"/>
    <w:rsid w:val="00937CE1"/>
    <w:rsid w:val="0094513B"/>
    <w:rsid w:val="0094688C"/>
    <w:rsid w:val="00963FB3"/>
    <w:rsid w:val="009672EB"/>
    <w:rsid w:val="00973090"/>
    <w:rsid w:val="0099436F"/>
    <w:rsid w:val="009959E0"/>
    <w:rsid w:val="00996BEA"/>
    <w:rsid w:val="009A33FB"/>
    <w:rsid w:val="009A409C"/>
    <w:rsid w:val="009A5056"/>
    <w:rsid w:val="009B1A44"/>
    <w:rsid w:val="009B300F"/>
    <w:rsid w:val="009B4379"/>
    <w:rsid w:val="009D161E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C1AA3"/>
    <w:rsid w:val="00AC4EB2"/>
    <w:rsid w:val="00AC6B86"/>
    <w:rsid w:val="00AC7F21"/>
    <w:rsid w:val="00AD0F94"/>
    <w:rsid w:val="00AE0E38"/>
    <w:rsid w:val="00AE11C4"/>
    <w:rsid w:val="00AE297B"/>
    <w:rsid w:val="00AE58D5"/>
    <w:rsid w:val="00AE6686"/>
    <w:rsid w:val="00AF7794"/>
    <w:rsid w:val="00B0259B"/>
    <w:rsid w:val="00B06546"/>
    <w:rsid w:val="00B13055"/>
    <w:rsid w:val="00B151CC"/>
    <w:rsid w:val="00B24D0A"/>
    <w:rsid w:val="00B3317D"/>
    <w:rsid w:val="00B36583"/>
    <w:rsid w:val="00B37705"/>
    <w:rsid w:val="00B455C1"/>
    <w:rsid w:val="00B5069D"/>
    <w:rsid w:val="00B53058"/>
    <w:rsid w:val="00B83B2F"/>
    <w:rsid w:val="00B87E45"/>
    <w:rsid w:val="00B95533"/>
    <w:rsid w:val="00BA698E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64F3"/>
    <w:rsid w:val="00C00697"/>
    <w:rsid w:val="00C0095A"/>
    <w:rsid w:val="00C067D6"/>
    <w:rsid w:val="00C464A7"/>
    <w:rsid w:val="00C511C3"/>
    <w:rsid w:val="00C51C42"/>
    <w:rsid w:val="00C52329"/>
    <w:rsid w:val="00C57F4E"/>
    <w:rsid w:val="00C66A73"/>
    <w:rsid w:val="00C67AA6"/>
    <w:rsid w:val="00C80CAE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E1635"/>
    <w:rsid w:val="00CF0D33"/>
    <w:rsid w:val="00CF41A9"/>
    <w:rsid w:val="00CF7819"/>
    <w:rsid w:val="00D171A8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E02E5D"/>
    <w:rsid w:val="00E14B90"/>
    <w:rsid w:val="00E23B18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95131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F017E0"/>
    <w:rsid w:val="00F03B20"/>
    <w:rsid w:val="00F065A0"/>
    <w:rsid w:val="00F21C70"/>
    <w:rsid w:val="00F26D11"/>
    <w:rsid w:val="00F27CBE"/>
    <w:rsid w:val="00F4121E"/>
    <w:rsid w:val="00F4212B"/>
    <w:rsid w:val="00F4649D"/>
    <w:rsid w:val="00F46D66"/>
    <w:rsid w:val="00F4704F"/>
    <w:rsid w:val="00F50EE3"/>
    <w:rsid w:val="00F651C4"/>
    <w:rsid w:val="00F7682E"/>
    <w:rsid w:val="00F83248"/>
    <w:rsid w:val="00F83908"/>
    <w:rsid w:val="00F92C57"/>
    <w:rsid w:val="00F9344F"/>
    <w:rsid w:val="00F97B14"/>
    <w:rsid w:val="00FB20C4"/>
    <w:rsid w:val="00FB385B"/>
    <w:rsid w:val="00FB3C96"/>
    <w:rsid w:val="00FB60EF"/>
    <w:rsid w:val="00FC3D4F"/>
    <w:rsid w:val="00FC49FB"/>
    <w:rsid w:val="00FC5756"/>
    <w:rsid w:val="00FD32DB"/>
    <w:rsid w:val="00FD659E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A32212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C34E8F025D474EABCE123A748D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3519E-7EA5-4F93-9491-4B35EDFA874B}"/>
      </w:docPartPr>
      <w:docPartBody>
        <w:p w:rsidR="00720C1C" w:rsidRDefault="00720C1C">
          <w:pPr>
            <w:pStyle w:val="6EC34E8F025D474EABCE123A748DB2F8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1C"/>
    <w:rsid w:val="002A56DC"/>
    <w:rsid w:val="003A0E9C"/>
    <w:rsid w:val="00720C1C"/>
    <w:rsid w:val="0092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F7F7F" w:themeColor="text1" w:themeTint="80"/>
    </w:rPr>
  </w:style>
  <w:style w:type="paragraph" w:customStyle="1" w:styleId="6EC34E8F025D474EABCE123A748DB2F8">
    <w:name w:val="6EC34E8F025D474EABCE123A748DB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Name/>
  <Classification>OFFICIAL</Classification>
  <DLM/>
  <SectionName>CATSI Act Review</SectionName>
  <DH/>
  <Byline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f53c1d54-6e59-4b8b-8af5-a00f9baa8e57</TermId>
        </TermInfo>
      </Terms>
    </hc4a8f51d7584793bcee84017ea96cb3>
    <ShareHubID xmlns="166541c0-0594-4e6a-9105-c24d4b6de6f7">DOC21-180259</ShareHubID>
    <TaxCatchAll xmlns="166541c0-0594-4e6a-9105-c24d4b6de6f7">
      <Value>56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0EBFB555-2DE8-455C-A008-39ECD21C2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29FD7-F757-4C6C-9A65-652F0D269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70CD16-DFC7-40D9-9E59-98BE9024AA2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C4FC5EE-4AAF-48CF-933C-3922F212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2021-06-30T01:15:00Z</dcterms:created>
  <dcterms:modified xsi:type="dcterms:W3CDTF">2021-06-30T01:15:00Z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HPRMSecurityCaveat">
    <vt:lpwstr/>
  </property>
  <property fmtid="{D5CDD505-2E9C-101B-9397-08002B2CF9AE}" pid="4" name="ESearchTags">
    <vt:lpwstr>56;#Official|f53c1d54-6e59-4b8b-8af5-a00f9baa8e57</vt:lpwstr>
  </property>
  <property fmtid="{D5CDD505-2E9C-101B-9397-08002B2CF9AE}" pid="5" name="HPRMSecurityLevel">
    <vt:lpwstr>57;#OFFICIAL|11463c70-78df-4e3b-b0ff-f66cd3cb26ec</vt:lpwstr>
  </property>
  <property fmtid="{D5CDD505-2E9C-101B-9397-08002B2CF9AE}" pid="6" name="PMC.ESearch.TagGeneratedTime">
    <vt:lpwstr>2021-06-30T11:22:53</vt:lpwstr>
  </property>
</Properties>
</file>