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548" w:rsidRDefault="00D15E46" w:rsidP="005E3362">
      <w:pPr>
        <w:pStyle w:val="Title"/>
        <w:ind w:right="0"/>
      </w:pPr>
      <w:r>
        <w:t xml:space="preserve">The Indigenous </w:t>
      </w:r>
      <w:r>
        <w:br/>
      </w:r>
      <w:r w:rsidR="005E3362">
        <w:t xml:space="preserve">Business </w:t>
      </w:r>
      <w:r>
        <w:t>Factsheet</w:t>
      </w:r>
    </w:p>
    <w:p w:rsidR="004F4C3D" w:rsidRDefault="00D15E46" w:rsidP="005E3362">
      <w:pPr>
        <w:pStyle w:val="Heading1"/>
      </w:pPr>
      <w:r>
        <w:t>Key Points</w:t>
      </w:r>
    </w:p>
    <w:p w:rsidR="00D15E46" w:rsidRDefault="00D15E46" w:rsidP="00D15E46">
      <w:pPr>
        <w:pStyle w:val="ListParagraph"/>
        <w:numPr>
          <w:ilvl w:val="0"/>
          <w:numId w:val="10"/>
        </w:numPr>
        <w:rPr>
          <w:lang w:val="en-AU"/>
        </w:rPr>
      </w:pPr>
      <w:r w:rsidRPr="00D15E46">
        <w:rPr>
          <w:lang w:val="en-AU"/>
        </w:rPr>
        <w:t>There are around 2.1 million businesses in Australia, between 12,000-16,000 of these a</w:t>
      </w:r>
      <w:r>
        <w:rPr>
          <w:lang w:val="en-AU"/>
        </w:rPr>
        <w:t xml:space="preserve">re Indigenous-owned businesses  </w:t>
      </w:r>
    </w:p>
    <w:p w:rsidR="00D15E46" w:rsidRDefault="00D15E46" w:rsidP="00D15E46">
      <w:pPr>
        <w:pStyle w:val="ListParagraph"/>
        <w:numPr>
          <w:ilvl w:val="0"/>
          <w:numId w:val="10"/>
        </w:numPr>
        <w:rPr>
          <w:lang w:val="en-AU"/>
        </w:rPr>
      </w:pPr>
      <w:r w:rsidRPr="00D15E46">
        <w:rPr>
          <w:lang w:val="en-AU"/>
        </w:rPr>
        <w:t>Collectively, Supply Nation registered Indigenous businesses earn more than $1 billion per year with revenues gro</w:t>
      </w:r>
      <w:bookmarkStart w:id="0" w:name="_GoBack"/>
      <w:bookmarkEnd w:id="0"/>
      <w:r w:rsidRPr="00D15E46">
        <w:rPr>
          <w:lang w:val="en-AU"/>
        </w:rPr>
        <w:t xml:space="preserve">wing at </w:t>
      </w:r>
      <w:r>
        <w:rPr>
          <w:lang w:val="en-AU"/>
        </w:rPr>
        <w:t>an annual average rate of 12.5%</w:t>
      </w:r>
    </w:p>
    <w:p w:rsidR="00D15E46" w:rsidRDefault="00D15E46" w:rsidP="00D15E46">
      <w:pPr>
        <w:pStyle w:val="ListParagraph"/>
        <w:numPr>
          <w:ilvl w:val="0"/>
          <w:numId w:val="10"/>
        </w:numPr>
        <w:rPr>
          <w:lang w:val="en-AU"/>
        </w:rPr>
      </w:pPr>
      <w:r w:rsidRPr="00D15E46">
        <w:rPr>
          <w:lang w:val="en-AU"/>
        </w:rPr>
        <w:t>An additional 73,250 prime working age Indigenous Australians will operate in the economy by 2026. Based on current Indigenous self-employment rates around 2,200 will start a business</w:t>
      </w:r>
    </w:p>
    <w:p w:rsidR="00D15E46" w:rsidRPr="00D15E46" w:rsidRDefault="00D15E46" w:rsidP="00D15E46">
      <w:pPr>
        <w:pStyle w:val="Heading1"/>
      </w:pPr>
      <w:r w:rsidRPr="00D15E46">
        <w:t>Indigenous men twice as likely to be self employed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Indigenous self-employed by sex in 2011, ABS</w:t>
      </w:r>
      <w:r w:rsidR="00B63EAF">
        <w:rPr>
          <w:rStyle w:val="EndnoteReference"/>
          <w:lang w:val="en-AU"/>
        </w:rPr>
        <w:endnoteReference w:id="1"/>
      </w:r>
      <w:r w:rsidRPr="00D15E46">
        <w:rPr>
          <w:lang w:val="en-AU"/>
        </w:rPr>
        <w:t xml:space="preserve"> 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noProof/>
          <w:lang w:val="en-AU" w:eastAsia="en-AU"/>
        </w:rPr>
        <w:drawing>
          <wp:inline distT="0" distB="0" distL="0" distR="0" wp14:anchorId="588C1B98" wp14:editId="5BEDC016">
            <wp:extent cx="3187337" cy="834779"/>
            <wp:effectExtent l="0" t="0" r="635" b="3810"/>
            <wp:docPr id="15" name="Picture 15" descr="Graph - 2891 Females, 6009 Males." title="Indigenous self-employed by sex in 2011, AB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3048" cy="8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pPr>
        <w:pStyle w:val="Heading1"/>
      </w:pPr>
      <w:r w:rsidRPr="00D15E46">
        <w:t>Indigenous entrepreneurs on the rise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Indigenous self-employment and all Australia</w:t>
      </w:r>
      <w:r w:rsidR="00B63EAF">
        <w:rPr>
          <w:lang w:val="en-AU"/>
        </w:rPr>
        <w:t>n businesses, 1991 to 2011, ABS</w:t>
      </w:r>
      <w:r w:rsidR="00B63EAF">
        <w:rPr>
          <w:rStyle w:val="EndnoteReference"/>
          <w:lang w:val="en-AU"/>
        </w:rPr>
        <w:endnoteReference w:id="2"/>
      </w:r>
    </w:p>
    <w:p w:rsidR="00D15E46" w:rsidRPr="00D15E46" w:rsidRDefault="00D15E46" w:rsidP="00D15E46">
      <w:pPr>
        <w:rPr>
          <w:lang w:val="en-AU"/>
        </w:rPr>
      </w:pPr>
      <w:r w:rsidRPr="00D15E46">
        <w:rPr>
          <w:noProof/>
          <w:lang w:val="en-AU" w:eastAsia="en-AU"/>
        </w:rPr>
        <w:drawing>
          <wp:inline distT="0" distB="0" distL="0" distR="0" wp14:anchorId="3E6E2AF2" wp14:editId="76E7143D">
            <wp:extent cx="2360023" cy="1982083"/>
            <wp:effectExtent l="0" t="0" r="2540" b="0"/>
            <wp:docPr id="16" name="Picture 16" descr="Steady increase of Indigenous LHS from 1991 to 2011 compared to a lesser increase of all Australian RHS." title="Indigenous self-employment and all Australian businesses, 1991 to 2011, AB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228" cy="19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r w:rsidRPr="00D15E46">
        <w:t>Estimates for the number of Indigenous businesses, various sources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Estimates for the number of Indigenous businesses,"/>
        <w:tblDescription w:val=" various sources"/>
      </w:tblPr>
      <w:tblGrid>
        <w:gridCol w:w="4744"/>
        <w:gridCol w:w="4744"/>
      </w:tblGrid>
      <w:tr w:rsidR="00D15E46" w:rsidRPr="00D15E46" w:rsidTr="00D15E46"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lastRenderedPageBreak/>
              <w:t>Source (year of research)</w:t>
            </w:r>
          </w:p>
        </w:tc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Estimate (year)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Census (2011)i</w:t>
            </w:r>
          </w:p>
        </w:tc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8,900 (2011)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Hu</w:t>
            </w:r>
            <w:r w:rsidR="00233F6A">
              <w:rPr>
                <w:lang w:val="en-AU"/>
              </w:rPr>
              <w:t>nter (2013)</w:t>
            </w:r>
            <w:r w:rsidR="00233F6A">
              <w:rPr>
                <w:rStyle w:val="EndnoteReference"/>
                <w:lang w:val="en-AU"/>
              </w:rPr>
              <w:endnoteReference w:id="3"/>
            </w:r>
            <w:r w:rsidRPr="00D15E46">
              <w:rPr>
                <w:lang w:val="en-AU"/>
              </w:rPr>
              <w:t xml:space="preserve"> (self-employed)</w:t>
            </w:r>
          </w:p>
        </w:tc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12,500 (2011)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PwC Indigenous Consulting (2016</w:t>
            </w:r>
            <w:r w:rsidR="00233F6A">
              <w:rPr>
                <w:lang w:val="en-AU"/>
              </w:rPr>
              <w:t>)</w:t>
            </w:r>
            <w:r w:rsidR="00233F6A">
              <w:rPr>
                <w:rStyle w:val="EndnoteReference"/>
                <w:lang w:val="en-AU"/>
              </w:rPr>
              <w:endnoteReference w:id="4"/>
            </w:r>
          </w:p>
        </w:tc>
        <w:tc>
          <w:tcPr>
            <w:tcW w:w="4744" w:type="dxa"/>
          </w:tcPr>
          <w:p w:rsidR="00D15E46" w:rsidRPr="00D15E46" w:rsidRDefault="00D15E46" w:rsidP="00BE674F">
            <w:pPr>
              <w:rPr>
                <w:lang w:val="en-AU"/>
              </w:rPr>
            </w:pPr>
            <w:r w:rsidRPr="00D15E46">
              <w:rPr>
                <w:lang w:val="en-AU"/>
              </w:rPr>
              <w:t>11,760 to 16,260 (2016)</w:t>
            </w:r>
          </w:p>
        </w:tc>
      </w:tr>
    </w:tbl>
    <w:p w:rsidR="00D15E46" w:rsidRPr="00D15E46" w:rsidRDefault="00D15E46" w:rsidP="00D15E46">
      <w:pPr>
        <w:rPr>
          <w:lang w:val="en-AU"/>
        </w:rPr>
      </w:pPr>
    </w:p>
    <w:p w:rsidR="00D15E46" w:rsidRPr="00D15E46" w:rsidRDefault="00D15E46" w:rsidP="00D15E46">
      <w:pPr>
        <w:pStyle w:val="Heading1"/>
      </w:pPr>
      <w:r w:rsidRPr="00D15E46">
        <w:t>Massive demographic dividend on the horizon</w:t>
      </w:r>
    </w:p>
    <w:p w:rsidR="00D15E46" w:rsidRDefault="00D15E46" w:rsidP="00D15E46">
      <w:pPr>
        <w:rPr>
          <w:lang w:val="en-AU"/>
        </w:rPr>
      </w:pPr>
      <w:r w:rsidRPr="00D15E46">
        <w:rPr>
          <w:lang w:val="en-AU"/>
        </w:rPr>
        <w:t xml:space="preserve">Indigenous Population projections by age, ABS </w:t>
      </w:r>
      <w:r w:rsidR="00233F6A">
        <w:rPr>
          <w:rStyle w:val="EndnoteReference"/>
          <w:lang w:val="en-AU"/>
        </w:rPr>
        <w:endnoteReference w:id="5"/>
      </w:r>
    </w:p>
    <w:p w:rsidR="00757A0C" w:rsidRPr="00D15E46" w:rsidRDefault="00757A0C" w:rsidP="00D15E46">
      <w:pPr>
        <w:rPr>
          <w:lang w:val="en-AU"/>
        </w:rPr>
      </w:pPr>
      <w:r w:rsidRPr="00757A0C">
        <w:rPr>
          <w:noProof/>
          <w:lang w:val="en-AU" w:eastAsia="en-AU"/>
        </w:rPr>
        <w:drawing>
          <wp:inline distT="0" distB="0" distL="0" distR="0" wp14:anchorId="09593D99" wp14:editId="7B3317E0">
            <wp:extent cx="3784600" cy="3733800"/>
            <wp:effectExtent l="0" t="0" r="0" b="0"/>
            <wp:docPr id="17" name="Picture 17" descr="28% increase in Indigenous prime working age population -73,250 more potential workers by 2026" title="Indigenous Population projections by age, AB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E8" w:rsidRDefault="00A000E8" w:rsidP="00D15E46">
      <w:pPr>
        <w:pStyle w:val="Heading1"/>
      </w:pPr>
    </w:p>
    <w:p w:rsidR="00A000E8" w:rsidRDefault="00A000E8" w:rsidP="00D15E46">
      <w:pPr>
        <w:pStyle w:val="Heading1"/>
      </w:pPr>
    </w:p>
    <w:p w:rsidR="00D15E46" w:rsidRPr="00D15E46" w:rsidRDefault="00D15E46" w:rsidP="00D15E46">
      <w:pPr>
        <w:pStyle w:val="Heading1"/>
      </w:pPr>
      <w:r w:rsidRPr="00D15E46">
        <w:t xml:space="preserve">Lion’s share of Indigenous entrepreneurs are in services and construction, similar to non-Indigenous entrepreneurs  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Indigenous and non-Indigenous self-employed sectors in 2011, per cent, ABS</w:t>
      </w:r>
      <w:r w:rsidR="00233F6A">
        <w:rPr>
          <w:rStyle w:val="EndnoteReference"/>
          <w:lang w:val="en-AU"/>
        </w:rPr>
        <w:endnoteReference w:id="6"/>
      </w:r>
      <w:r w:rsidRPr="00D15E46">
        <w:rPr>
          <w:lang w:val="en-AU"/>
        </w:rPr>
        <w:t xml:space="preserve"> </w:t>
      </w:r>
    </w:p>
    <w:p w:rsidR="00D15E46" w:rsidRDefault="00757A0C">
      <w:pPr>
        <w:spacing w:before="0" w:after="0"/>
        <w:rPr>
          <w:rFonts w:ascii="Avenir Black" w:eastAsiaTheme="majorEastAsia" w:hAnsi="Avenir Black" w:cstheme="majorBidi"/>
          <w:b/>
          <w:caps/>
          <w:color w:val="F1AD2B"/>
          <w:spacing w:val="30"/>
          <w:sz w:val="28"/>
          <w:szCs w:val="32"/>
          <w:lang w:val="en-AU"/>
        </w:rPr>
      </w:pPr>
      <w:r w:rsidRPr="00757A0C">
        <w:rPr>
          <w:noProof/>
          <w:lang w:val="en-AU" w:eastAsia="en-AU"/>
        </w:rPr>
        <w:drawing>
          <wp:inline distT="0" distB="0" distL="0" distR="0" wp14:anchorId="006F55D2" wp14:editId="7B557D4C">
            <wp:extent cx="5638800" cy="2501900"/>
            <wp:effectExtent l="0" t="0" r="0" b="0"/>
            <wp:docPr id="18" name="Picture 18" descr="8525 Indigenous Businesses compared to 1.5 million Non Indigenous Businesses. " title="Indigenous and non-Indigenous self-employed sectors in 2011, per cent, ABS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E8" w:rsidRDefault="00A000E8">
      <w:pPr>
        <w:spacing w:before="0" w:after="0"/>
        <w:rPr>
          <w:rFonts w:ascii="Avenir Black" w:eastAsiaTheme="majorEastAsia" w:hAnsi="Avenir Black" w:cstheme="majorBidi"/>
          <w:b/>
          <w:caps/>
          <w:color w:val="F1AD2B"/>
          <w:spacing w:val="30"/>
          <w:sz w:val="28"/>
          <w:szCs w:val="32"/>
          <w:lang w:val="en-AU"/>
        </w:rPr>
      </w:pPr>
      <w:r>
        <w:br w:type="page"/>
      </w:r>
    </w:p>
    <w:p w:rsidR="00D15E46" w:rsidRPr="00D15E46" w:rsidRDefault="00D15E46" w:rsidP="00D15E46">
      <w:pPr>
        <w:pStyle w:val="Heading1"/>
      </w:pPr>
      <w:r w:rsidRPr="00D15E46">
        <w:lastRenderedPageBreak/>
        <w:t xml:space="preserve">Indigenous businesses are concentrated in regional parts of the eastern states 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Indigenous self-employed by capital c</w:t>
      </w:r>
      <w:r w:rsidR="00233F6A">
        <w:rPr>
          <w:lang w:val="en-AU"/>
        </w:rPr>
        <w:t>ity and rest of state, count, %</w:t>
      </w:r>
      <w:r w:rsidR="00233F6A">
        <w:rPr>
          <w:rStyle w:val="EndnoteReference"/>
          <w:lang w:val="en-AU"/>
        </w:rPr>
        <w:endnoteReference w:id="7"/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Indigenous self-employed by capital city and rest of state, count, % "/>
      </w:tblPr>
      <w:tblGrid>
        <w:gridCol w:w="2372"/>
        <w:gridCol w:w="2372"/>
        <w:gridCol w:w="2372"/>
        <w:gridCol w:w="2372"/>
      </w:tblGrid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State/Territory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Region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Indigenous business (count)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% of total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NSW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Sydney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878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14%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NSW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NSW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1,332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22%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VIC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Melbourne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230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VIC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Vic.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208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3%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Qld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Brisbane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450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7%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Qld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QLD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1,028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17%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SA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Adelaide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86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SA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SA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94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2%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WA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Perth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298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5%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WA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WA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381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6%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TAS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Hobart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182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3%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TAS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Tas.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381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6%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NT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Greater Darwin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60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NT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Rest of NT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408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7%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ACT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Australian Capital Territory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41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1%</w:t>
            </w:r>
          </w:p>
        </w:tc>
      </w:tr>
      <w:tr w:rsidR="00D15E46" w:rsidRPr="00D15E46" w:rsidTr="00D15E46"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Total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 xml:space="preserve"> 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  <w:r w:rsidRPr="00D15E46">
              <w:rPr>
                <w:lang w:val="en-AU"/>
              </w:rPr>
              <w:t>6,057*</w:t>
            </w:r>
          </w:p>
        </w:tc>
        <w:tc>
          <w:tcPr>
            <w:tcW w:w="2372" w:type="dxa"/>
          </w:tcPr>
          <w:p w:rsidR="00D15E46" w:rsidRPr="00D15E46" w:rsidRDefault="00D15E46" w:rsidP="00706A12">
            <w:pPr>
              <w:rPr>
                <w:lang w:val="en-AU"/>
              </w:rPr>
            </w:pPr>
          </w:p>
        </w:tc>
      </w:tr>
    </w:tbl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*Indigenous businesses lacking locational information; hence the total of 6,057 in the table is lower than the total count of Indigenous small businesses acros</w:t>
      </w:r>
      <w:r w:rsidR="00757A0C">
        <w:rPr>
          <w:lang w:val="en-AU"/>
        </w:rPr>
        <w:t>s Australia as a whole (8,900).</w:t>
      </w:r>
    </w:p>
    <w:p w:rsidR="00D15E46" w:rsidRPr="00D15E46" w:rsidRDefault="00D15E46" w:rsidP="00D15E46">
      <w:pPr>
        <w:pStyle w:val="Heading1"/>
      </w:pPr>
      <w:r w:rsidRPr="00D15E46">
        <w:lastRenderedPageBreak/>
        <w:t>ORIC registered Indigenous organisations located largely in NT, WA and QLD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Geographic spread of the Top 500 Co</w:t>
      </w:r>
      <w:r w:rsidR="00233F6A">
        <w:rPr>
          <w:lang w:val="en-AU"/>
        </w:rPr>
        <w:t>rporations in 2014-15, count, %</w:t>
      </w:r>
      <w:r w:rsidR="00233F6A">
        <w:rPr>
          <w:rStyle w:val="EndnoteReference"/>
          <w:lang w:val="en-AU"/>
        </w:rPr>
        <w:endnoteReference w:id="8"/>
      </w:r>
    </w:p>
    <w:p w:rsidR="00D15E46" w:rsidRDefault="00757A0C">
      <w:pPr>
        <w:spacing w:before="0" w:after="0"/>
        <w:rPr>
          <w:rFonts w:ascii="Avenir Black" w:eastAsiaTheme="majorEastAsia" w:hAnsi="Avenir Black" w:cstheme="majorBidi"/>
          <w:b/>
          <w:caps/>
          <w:color w:val="F1AD2B"/>
          <w:spacing w:val="30"/>
          <w:sz w:val="28"/>
          <w:szCs w:val="32"/>
          <w:lang w:val="en-AU"/>
        </w:rPr>
      </w:pPr>
      <w:r w:rsidRPr="00757A0C">
        <w:rPr>
          <w:noProof/>
          <w:lang w:val="en-AU" w:eastAsia="en-AU"/>
        </w:rPr>
        <w:drawing>
          <wp:inline distT="0" distB="0" distL="0" distR="0" wp14:anchorId="72053B6D" wp14:editId="366F45FB">
            <wp:extent cx="2751909" cy="2469075"/>
            <wp:effectExtent l="0" t="0" r="4445" b="0"/>
            <wp:docPr id="19" name="Picture 19" descr="Majority of of ORIC registered businesses are located in NT (33%), WA (25.4%), QLD (19%) followed by NSW (13.2%), SA (4.6%), VIC (3.6%) TAS (0.8%) and ACT (0.2%)." title="Geographic spread of the Top 500 Corporations in 2014-15, count, 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5561" cy="248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46">
        <w:br w:type="page"/>
      </w:r>
    </w:p>
    <w:p w:rsidR="00D15E46" w:rsidRPr="00D15E46" w:rsidRDefault="00D15E46" w:rsidP="00D15E46">
      <w:pPr>
        <w:pStyle w:val="Heading1"/>
      </w:pPr>
      <w:r w:rsidRPr="00D15E46">
        <w:lastRenderedPageBreak/>
        <w:t xml:space="preserve">Key statistical snapshot of 697 Supply Nation registered Indigenous businesses in 2014-15  </w:t>
      </w:r>
      <w:r w:rsidR="00233F6A">
        <w:rPr>
          <w:rStyle w:val="EndnoteReference"/>
        </w:rPr>
        <w:endnoteReference w:id="9"/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Total revenue generated</w:t>
      </w:r>
    </w:p>
    <w:p w:rsidR="00D15E46" w:rsidRPr="00757A0C" w:rsidRDefault="00D15E46" w:rsidP="00D15E46">
      <w:pPr>
        <w:rPr>
          <w:b/>
          <w:lang w:val="en-AU"/>
        </w:rPr>
      </w:pPr>
      <w:r w:rsidRPr="00757A0C">
        <w:rPr>
          <w:b/>
          <w:lang w:val="en-AU"/>
        </w:rPr>
        <w:t>$1.15b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Ann</w:t>
      </w:r>
      <w:r w:rsidR="00233F6A">
        <w:rPr>
          <w:lang w:val="en-AU"/>
        </w:rPr>
        <w:t>ual average growth over 4 years</w:t>
      </w:r>
      <w:r w:rsidR="00233F6A">
        <w:rPr>
          <w:rStyle w:val="EndnoteReference"/>
          <w:lang w:val="en-AU"/>
        </w:rPr>
        <w:endnoteReference w:id="10"/>
      </w:r>
    </w:p>
    <w:p w:rsidR="00D15E46" w:rsidRPr="00757A0C" w:rsidRDefault="00D15E46" w:rsidP="00D15E46">
      <w:pPr>
        <w:rPr>
          <w:b/>
          <w:lang w:val="en-AU"/>
        </w:rPr>
      </w:pPr>
      <w:r w:rsidRPr="00757A0C">
        <w:rPr>
          <w:b/>
          <w:lang w:val="en-AU"/>
        </w:rPr>
        <w:t>12.5%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Average revenue per firm</w:t>
      </w:r>
    </w:p>
    <w:p w:rsidR="00D15E46" w:rsidRPr="00757A0C" w:rsidRDefault="00D15E46" w:rsidP="00D15E46">
      <w:pPr>
        <w:rPr>
          <w:b/>
          <w:lang w:val="en-AU"/>
        </w:rPr>
      </w:pPr>
      <w:r w:rsidRPr="00757A0C">
        <w:rPr>
          <w:b/>
          <w:lang w:val="en-AU"/>
        </w:rPr>
        <w:t>$1.65m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Industry Value Add</w:t>
      </w:r>
    </w:p>
    <w:p w:rsidR="00D15E46" w:rsidRPr="00757A0C" w:rsidRDefault="00D15E46" w:rsidP="00D15E46">
      <w:pPr>
        <w:rPr>
          <w:b/>
          <w:lang w:val="en-AU"/>
        </w:rPr>
      </w:pPr>
      <w:r w:rsidRPr="00757A0C">
        <w:rPr>
          <w:b/>
          <w:lang w:val="en-AU"/>
        </w:rPr>
        <w:t>$463.9m</w:t>
      </w:r>
    </w:p>
    <w:p w:rsidR="00D15E46" w:rsidRPr="00D15E46" w:rsidRDefault="00D15E46" w:rsidP="00D15E46">
      <w:pPr>
        <w:pStyle w:val="Heading1"/>
      </w:pPr>
      <w:r w:rsidRPr="00D15E46">
        <w:t>East coas</w:t>
      </w:r>
      <w:r w:rsidR="00233F6A">
        <w:t>t dominates Indigenous business</w:t>
      </w:r>
    </w:p>
    <w:p w:rsidR="00D15E46" w:rsidRDefault="00D15E46" w:rsidP="00D15E46">
      <w:pPr>
        <w:rPr>
          <w:lang w:val="en-AU"/>
        </w:rPr>
      </w:pPr>
      <w:r w:rsidRPr="00D15E46">
        <w:rPr>
          <w:lang w:val="en-AU"/>
        </w:rPr>
        <w:t xml:space="preserve">Locations of infrastructure projects and Supply Nation firms </w:t>
      </w:r>
    </w:p>
    <w:p w:rsidR="00757A0C" w:rsidRPr="00D15E46" w:rsidRDefault="00757A0C" w:rsidP="00D15E46">
      <w:pPr>
        <w:rPr>
          <w:lang w:val="en-AU"/>
        </w:rPr>
      </w:pPr>
      <w:r w:rsidRPr="00757A0C">
        <w:rPr>
          <w:noProof/>
          <w:lang w:val="en-AU" w:eastAsia="en-AU"/>
        </w:rPr>
        <w:drawing>
          <wp:inline distT="0" distB="0" distL="0" distR="0" wp14:anchorId="7E1409E7" wp14:editId="090D1239">
            <wp:extent cx="3784600" cy="4025900"/>
            <wp:effectExtent l="0" t="0" r="0" b="0"/>
            <wp:docPr id="20" name="Picture 20" descr="Map of Australia plotting registered Supply Nation groups." title="Locations of infrastructure projects and Supply Nation firm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pPr>
        <w:pStyle w:val="Heading1"/>
      </w:pPr>
      <w:r>
        <w:lastRenderedPageBreak/>
        <w:t>M</w:t>
      </w:r>
      <w:r w:rsidRPr="00D15E46">
        <w:t>aturity brings soaring financial success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Average revenue of Indigenous businesses based on years in operation, $m</w:t>
      </w:r>
    </w:p>
    <w:p w:rsidR="00B63EAF" w:rsidRDefault="00B63EAF">
      <w:pPr>
        <w:spacing w:before="0" w:after="0"/>
      </w:pPr>
      <w:r w:rsidRPr="00757A0C">
        <w:rPr>
          <w:noProof/>
          <w:lang w:val="en-AU" w:eastAsia="en-AU"/>
        </w:rPr>
        <w:drawing>
          <wp:inline distT="0" distB="0" distL="0" distR="0" wp14:anchorId="1C093A61" wp14:editId="29115D7A">
            <wp:extent cx="2142309" cy="1985075"/>
            <wp:effectExtent l="0" t="0" r="4445" b="0"/>
            <wp:docPr id="21" name="Picture 21" descr="$0.49million for 217 firms over 2 years compared to $2.04 for 184 firms over 3-5 years and $2.25 for 296 firms over 6 + years. " title="Average revenue of Indigenous businesses based on years in operation, $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580" cy="19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pPr>
        <w:pStyle w:val="Heading1"/>
      </w:pPr>
      <w:r w:rsidRPr="00D15E46">
        <w:t>Strongest in construction and services sectors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 xml:space="preserve">Indigenous business representation across industries, $m, %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Indigenous business representation across industries, $m, % "/>
      </w:tblPr>
      <w:tblGrid>
        <w:gridCol w:w="4815"/>
        <w:gridCol w:w="1510"/>
        <w:gridCol w:w="3163"/>
      </w:tblGrid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Top 10 Industries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Revenue $M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% of Total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Construction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395.5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34%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Administrative and Support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115.9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10%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Electricity, Gas, Water and Waste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77.2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7%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Transport, Postal and Warehousing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67.0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6%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Professional, Scientific and Technical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64.4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6%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Health Care and Social Assistance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51.2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Wholesale Trade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44.8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Financial and Insurance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44.1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Mining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43.7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Rental, Hiring and Real Estate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40.2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4%</w:t>
            </w:r>
          </w:p>
        </w:tc>
      </w:tr>
      <w:tr w:rsidR="00D15E46" w:rsidRPr="00D15E46" w:rsidTr="00B63EAF">
        <w:tc>
          <w:tcPr>
            <w:tcW w:w="4815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Total Across All Sectors</w:t>
            </w:r>
          </w:p>
        </w:tc>
        <w:tc>
          <w:tcPr>
            <w:tcW w:w="1510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>1148.4</w:t>
            </w:r>
          </w:p>
        </w:tc>
        <w:tc>
          <w:tcPr>
            <w:tcW w:w="3163" w:type="dxa"/>
          </w:tcPr>
          <w:p w:rsidR="00D15E46" w:rsidRPr="00D15E46" w:rsidRDefault="00D15E46" w:rsidP="00AA22F2">
            <w:pPr>
              <w:rPr>
                <w:lang w:val="en-AU"/>
              </w:rPr>
            </w:pPr>
            <w:r w:rsidRPr="00D15E46">
              <w:rPr>
                <w:lang w:val="en-AU"/>
              </w:rPr>
              <w:t xml:space="preserve"> </w:t>
            </w:r>
          </w:p>
        </w:tc>
      </w:tr>
    </w:tbl>
    <w:p w:rsidR="00B63EAF" w:rsidRPr="00D15E46" w:rsidRDefault="00B63EAF" w:rsidP="00B63EAF">
      <w:pPr>
        <w:pStyle w:val="Heading1"/>
      </w:pPr>
      <w:r w:rsidRPr="00D15E46">
        <w:lastRenderedPageBreak/>
        <w:t>Indigenous business incomes surge during mining boom</w:t>
      </w:r>
    </w:p>
    <w:p w:rsidR="00B63EAF" w:rsidRDefault="00B63EAF" w:rsidP="00B63EAF">
      <w:pPr>
        <w:rPr>
          <w:lang w:val="en-AU"/>
        </w:rPr>
      </w:pPr>
      <w:r w:rsidRPr="00D15E46">
        <w:rPr>
          <w:lang w:val="en-AU"/>
        </w:rPr>
        <w:t>Revenue growth of 214 Indigenous businesses from 09-10 to 13-14, $m</w:t>
      </w:r>
    </w:p>
    <w:p w:rsidR="00B63EAF" w:rsidRDefault="00B63EAF" w:rsidP="00D15E46">
      <w:pPr>
        <w:pStyle w:val="Heading1"/>
      </w:pPr>
      <w:r w:rsidRPr="00B63EAF">
        <w:rPr>
          <w:noProof/>
          <w:lang w:eastAsia="en-AU"/>
        </w:rPr>
        <w:drawing>
          <wp:inline distT="0" distB="0" distL="0" distR="0" wp14:anchorId="227383B0" wp14:editId="5A9FC71B">
            <wp:extent cx="3911600" cy="2730500"/>
            <wp:effectExtent l="0" t="0" r="0" b="0"/>
            <wp:docPr id="23" name="Picture 23" title="Revenue growth of 214 Indigenous businesses from 09-10 to 13-14, $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pPr>
        <w:pStyle w:val="Heading1"/>
      </w:pPr>
      <w:r w:rsidRPr="00D15E46">
        <w:t>Larger firms contribute most value to economy</w:t>
      </w:r>
    </w:p>
    <w:p w:rsidR="00D15E46" w:rsidRPr="00D15E46" w:rsidRDefault="00D15E46" w:rsidP="00D15E46">
      <w:pPr>
        <w:rPr>
          <w:lang w:val="en-AU"/>
        </w:rPr>
      </w:pPr>
      <w:r w:rsidRPr="00D15E46">
        <w:rPr>
          <w:lang w:val="en-AU"/>
        </w:rPr>
        <w:t>Industry value add by no. of employees, $m</w:t>
      </w:r>
    </w:p>
    <w:p w:rsidR="00D15E46" w:rsidRDefault="00B63EAF">
      <w:pPr>
        <w:spacing w:before="0" w:after="0"/>
        <w:rPr>
          <w:rFonts w:ascii="Avenir Black" w:eastAsiaTheme="majorEastAsia" w:hAnsi="Avenir Black" w:cstheme="majorBidi"/>
          <w:b/>
          <w:caps/>
          <w:color w:val="F1AD2B"/>
          <w:spacing w:val="30"/>
          <w:sz w:val="28"/>
          <w:szCs w:val="32"/>
          <w:lang w:val="en-AU"/>
        </w:rPr>
      </w:pPr>
      <w:r w:rsidRPr="00B63EAF">
        <w:rPr>
          <w:rFonts w:ascii="Avenir Black" w:eastAsiaTheme="majorEastAsia" w:hAnsi="Avenir Black" w:cstheme="majorBidi"/>
          <w:b/>
          <w:caps/>
          <w:noProof/>
          <w:color w:val="F1AD2B"/>
          <w:spacing w:val="30"/>
          <w:sz w:val="28"/>
          <w:szCs w:val="32"/>
          <w:lang w:val="en-AU" w:eastAsia="en-AU"/>
        </w:rPr>
        <w:drawing>
          <wp:inline distT="0" distB="0" distL="0" distR="0" wp14:anchorId="06F5B316" wp14:editId="3899BE1D">
            <wp:extent cx="3784600" cy="2705100"/>
            <wp:effectExtent l="0" t="0" r="0" b="0"/>
            <wp:docPr id="24" name="Picture 24" descr="506 firms with0-4 employees added $69.8 million. 121 firms with 5-19 employees added $87.7 million. 70 firms with 20 or more employees added $306.1 million." title="Industry value add by no. of employees, $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E46" w:rsidRPr="00D15E46" w:rsidRDefault="00D15E46" w:rsidP="00D15E46">
      <w:pPr>
        <w:pStyle w:val="Heading1"/>
      </w:pPr>
      <w:r w:rsidRPr="00D15E46">
        <w:lastRenderedPageBreak/>
        <w:t>Overview of Supply Nation businesses in 2016</w:t>
      </w:r>
      <w:r w:rsidR="00233F6A">
        <w:rPr>
          <w:rStyle w:val="EndnoteReference"/>
        </w:rPr>
        <w:endnoteReference w:id="11"/>
      </w:r>
      <w:r w:rsidRPr="00D15E46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Overview of Supply Nation businesses in 2016 "/>
      </w:tblPr>
      <w:tblGrid>
        <w:gridCol w:w="4744"/>
        <w:gridCol w:w="4744"/>
      </w:tblGrid>
      <w:tr w:rsidR="00D15E46" w:rsidRPr="00D15E46" w:rsidTr="00D15E46"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Category</w:t>
            </w:r>
          </w:p>
        </w:tc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 xml:space="preserve">Total 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Number of businesses</w:t>
            </w:r>
          </w:p>
        </w:tc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1,114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Number of Employees</w:t>
            </w:r>
          </w:p>
        </w:tc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15,064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Number of Indigenous workers</w:t>
            </w:r>
          </w:p>
        </w:tc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6,324</w:t>
            </w:r>
          </w:p>
        </w:tc>
      </w:tr>
      <w:tr w:rsidR="00D15E46" w:rsidRPr="00D15E46" w:rsidTr="00D15E46"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Average no. of workers per business</w:t>
            </w:r>
          </w:p>
        </w:tc>
        <w:tc>
          <w:tcPr>
            <w:tcW w:w="4744" w:type="dxa"/>
          </w:tcPr>
          <w:p w:rsidR="00D15E46" w:rsidRPr="00D15E46" w:rsidRDefault="00D15E46" w:rsidP="00B82B32">
            <w:pPr>
              <w:rPr>
                <w:lang w:val="en-AU"/>
              </w:rPr>
            </w:pPr>
            <w:r w:rsidRPr="00D15E46">
              <w:rPr>
                <w:lang w:val="en-AU"/>
              </w:rPr>
              <w:t>14</w:t>
            </w:r>
          </w:p>
        </w:tc>
      </w:tr>
    </w:tbl>
    <w:p w:rsidR="00D15E46" w:rsidRPr="00D15E46" w:rsidRDefault="00D15E46" w:rsidP="00D15E46">
      <w:pPr>
        <w:rPr>
          <w:lang w:val="en-AU"/>
        </w:rPr>
      </w:pPr>
    </w:p>
    <w:sectPr w:rsidR="00D15E46" w:rsidRPr="00D15E46" w:rsidSect="00D15E46">
      <w:footerReference w:type="default" r:id="rId17"/>
      <w:headerReference w:type="first" r:id="rId18"/>
      <w:footerReference w:type="first" r:id="rId19"/>
      <w:footnotePr>
        <w:pos w:val="beneathText"/>
      </w:footnotePr>
      <w:pgSz w:w="11900" w:h="16840"/>
      <w:pgMar w:top="2700" w:right="962" w:bottom="1687" w:left="1440" w:header="1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496" w:rsidRDefault="004D5496" w:rsidP="00202224">
      <w:pPr>
        <w:spacing w:before="0" w:after="0"/>
      </w:pPr>
      <w:r>
        <w:separator/>
      </w:r>
    </w:p>
  </w:endnote>
  <w:endnote w:type="continuationSeparator" w:id="0">
    <w:p w:rsidR="004D5496" w:rsidRDefault="004D5496" w:rsidP="00202224">
      <w:pPr>
        <w:spacing w:before="0" w:after="0"/>
      </w:pPr>
      <w:r>
        <w:continuationSeparator/>
      </w:r>
    </w:p>
  </w:endnote>
  <w:endnote w:id="1">
    <w:p w:rsidR="00B63EAF" w:rsidRPr="00B63EAF" w:rsidRDefault="00B63EAF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Australian Bureau of Statistics Census of Population and Housing (2011)</w:t>
      </w:r>
    </w:p>
  </w:endnote>
  <w:endnote w:id="2">
    <w:p w:rsidR="00B63EAF" w:rsidRPr="00B63EAF" w:rsidRDefault="00B63EAF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Australian Bureau of Statistics Census of Population and Housing (2011) and </w:t>
      </w:r>
      <w:r w:rsidRPr="005940BA">
        <w:t>B Hunter, ‘Recent Growth in Indigenous Self-Employed and Entrepreneurs’, CAEPR Working Paper No. 91/2013</w:t>
      </w:r>
      <w:r>
        <w:t xml:space="preserve"> (2013), Australian Bureau of Statistics 6105.0, Australian Labour Market Statistics (5 July 2011), Australian Bureau of Statistics 81650 Counts of Australian Businesses (26 February 2016)</w:t>
      </w:r>
    </w:p>
  </w:endnote>
  <w:endnote w:id="3">
    <w:p w:rsidR="00233F6A" w:rsidRPr="00233F6A" w:rsidRDefault="00233F6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5940BA">
        <w:t>B Hunter, ‘Recent Growth in Indigenous Self-Employed and Entrepreneurs’, CAEPR Working Paper No. 91/2013</w:t>
      </w:r>
      <w:r>
        <w:t xml:space="preserve"> (2013)</w:t>
      </w:r>
    </w:p>
  </w:endnote>
  <w:endnote w:id="4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PwC Indigenous Consulting (2016) on behalf of Prime Minister and Cabinet</w:t>
      </w:r>
    </w:p>
  </w:endnote>
  <w:endnote w:id="5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233F6A">
        <w:t>Australian Bureau of Statistics – Indigenous Population Projections (7 November 2016)</w:t>
      </w:r>
    </w:p>
  </w:endnote>
  <w:endnote w:id="6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Australian Bureau of Statistics Census of Population and Housing (2011)</w:t>
      </w:r>
    </w:p>
  </w:endnote>
  <w:endnote w:id="7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PwC Indigenous Consulting, Australian Bureau of Statistics Census of Population and Housing (2011), </w:t>
      </w:r>
      <w:r w:rsidRPr="004478A5">
        <w:t>prepared on behalf of PM&amp;C</w:t>
      </w:r>
    </w:p>
  </w:endnote>
  <w:endnote w:id="8">
    <w:p w:rsidR="00233F6A" w:rsidRPr="00233F6A" w:rsidRDefault="00233F6A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B57AC9">
        <w:t>Office of the Registrar of Indigenous Corporations</w:t>
      </w:r>
    </w:p>
  </w:endnote>
  <w:endnote w:id="9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</w:t>
      </w:r>
      <w:r w:rsidRPr="004478A5">
        <w:t>Australian Bureau of Statistics – Business Longitudinal Analysis Data Environment (2016) – Customised dataset based on Supply Nation registered Indigenous businesses prepared on behalf of PM&amp;C</w:t>
      </w:r>
      <w:r>
        <w:t>. Due to long delays in receipt of BAS and Business income tax statements, the most recent complete set of financial data is from 2014-15.</w:t>
      </w:r>
    </w:p>
  </w:endnote>
  <w:endnote w:id="10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For 214 Indigenous businesses registered on Supply Nation which operated between 2009-10 to 2013-14.</w:t>
      </w:r>
    </w:p>
  </w:endnote>
  <w:endnote w:id="11">
    <w:p w:rsidR="00233F6A" w:rsidRPr="00233F6A" w:rsidRDefault="00233F6A">
      <w:pPr>
        <w:pStyle w:val="EndnoteText"/>
        <w:rPr>
          <w:lang w:val="en-AU"/>
        </w:rPr>
      </w:pPr>
      <w:r>
        <w:rPr>
          <w:rStyle w:val="EndnoteReference"/>
        </w:rPr>
        <w:endnoteRef/>
      </w:r>
      <w:r>
        <w:t xml:space="preserve"> Supply Nation - Indigenous Business Direct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Corbel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Trebuchet MS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Trebuchet MS"/>
    <w:charset w:val="00"/>
    <w:family w:val="auto"/>
    <w:pitch w:val="variable"/>
    <w:sig w:usb0="800000A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rEavesXLModOT-Book">
    <w:altName w:val="MrEavesXLModOT"/>
    <w:charset w:val="4D"/>
    <w:family w:val="auto"/>
    <w:pitch w:val="default"/>
    <w:sig w:usb0="00000003" w:usb1="00000000" w:usb2="00000000" w:usb3="00000000" w:csb0="00000001" w:csb1="00000000"/>
  </w:font>
  <w:font w:name="MrEavesXLModOT-Ultra">
    <w:altName w:val="MrEavesXLModOT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Avenir Light" w:hAnsi="Avenir Light"/>
        <w:b w:val="0"/>
      </w:rPr>
      <w:id w:val="-7021746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02224" w:rsidRPr="00202224" w:rsidRDefault="00202224" w:rsidP="00202224">
        <w:pPr>
          <w:pStyle w:val="Footer"/>
          <w:framePr w:wrap="none" w:vAnchor="text" w:hAnchor="margin" w:y="1"/>
          <w:rPr>
            <w:rStyle w:val="PageNumber"/>
            <w:rFonts w:ascii="Avenir Light" w:hAnsi="Avenir Light"/>
            <w:b w:val="0"/>
          </w:rPr>
        </w:pPr>
        <w:r w:rsidRPr="00202224">
          <w:rPr>
            <w:rFonts w:ascii="Avenir Light" w:hAnsi="Avenir Light"/>
            <w:b w:val="0"/>
          </w:rPr>
          <w:t>Page</w:t>
        </w:r>
        <w:r w:rsidRPr="00202224">
          <w:rPr>
            <w:rStyle w:val="PageNumber"/>
            <w:rFonts w:ascii="Avenir Light" w:hAnsi="Avenir Light"/>
            <w:b w:val="0"/>
          </w:rPr>
          <w:t xml:space="preserve"> </w:t>
        </w:r>
        <w:r w:rsidRPr="00202224">
          <w:rPr>
            <w:rStyle w:val="PageNumber"/>
            <w:rFonts w:ascii="Avenir Light" w:hAnsi="Avenir Light"/>
            <w:b w:val="0"/>
          </w:rPr>
          <w:fldChar w:fldCharType="begin"/>
        </w:r>
        <w:r w:rsidRPr="00202224">
          <w:rPr>
            <w:rStyle w:val="PageNumber"/>
            <w:rFonts w:ascii="Avenir Light" w:hAnsi="Avenir Light"/>
            <w:b w:val="0"/>
          </w:rPr>
          <w:instrText xml:space="preserve"> PAGE </w:instrText>
        </w:r>
        <w:r w:rsidRPr="00202224">
          <w:rPr>
            <w:rStyle w:val="PageNumber"/>
            <w:rFonts w:ascii="Avenir Light" w:hAnsi="Avenir Light"/>
            <w:b w:val="0"/>
          </w:rPr>
          <w:fldChar w:fldCharType="separate"/>
        </w:r>
        <w:r w:rsidR="005E52C2">
          <w:rPr>
            <w:rStyle w:val="PageNumber"/>
            <w:rFonts w:ascii="Avenir Light" w:hAnsi="Avenir Light"/>
            <w:b w:val="0"/>
            <w:noProof/>
          </w:rPr>
          <w:t>9</w:t>
        </w:r>
        <w:r w:rsidRPr="00202224">
          <w:rPr>
            <w:rStyle w:val="PageNumber"/>
            <w:rFonts w:ascii="Avenir Light" w:hAnsi="Avenir Light"/>
            <w:b w:val="0"/>
          </w:rPr>
          <w:fldChar w:fldCharType="end"/>
        </w:r>
      </w:p>
    </w:sdtContent>
  </w:sdt>
  <w:p w:rsidR="00202224" w:rsidRDefault="00202224" w:rsidP="00065996">
    <w:pPr>
      <w:pStyle w:val="Footer"/>
      <w:tabs>
        <w:tab w:val="clear" w:pos="9026"/>
        <w:tab w:val="right" w:pos="9020"/>
      </w:tabs>
      <w:jc w:val="right"/>
    </w:pPr>
    <w:r>
      <w:rPr>
        <w:noProof/>
      </w:rPr>
      <w:t xml:space="preserve"> </w:t>
    </w:r>
    <w:r>
      <w:rPr>
        <w:noProof/>
        <w:lang w:val="en-AU" w:eastAsia="en-AU"/>
      </w:rPr>
      <w:drawing>
        <wp:inline distT="0" distB="0" distL="0" distR="0" wp14:anchorId="1E248F3A">
          <wp:extent cx="3600421" cy="860612"/>
          <wp:effectExtent l="0" t="0" r="0" b="0"/>
          <wp:docPr id="1" name="Picture 1" descr="Artifact" title="Graphic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SS_Word Template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983" t="25984" b="18286"/>
                  <a:stretch/>
                </pic:blipFill>
                <pic:spPr bwMode="auto">
                  <a:xfrm>
                    <a:off x="0" y="0"/>
                    <a:ext cx="3600421" cy="8606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41262" w:rsidRDefault="00B41262"/>
  <w:p w:rsidR="00B41262" w:rsidRDefault="00B412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Avenir Light" w:hAnsi="Avenir Light"/>
        <w:b w:val="0"/>
      </w:rPr>
      <w:id w:val="-1804305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202224" w:rsidRPr="00202224" w:rsidRDefault="00202224" w:rsidP="00BA228D">
        <w:pPr>
          <w:pStyle w:val="Footer"/>
          <w:framePr w:wrap="none" w:vAnchor="text" w:hAnchor="margin" w:y="1"/>
          <w:rPr>
            <w:rStyle w:val="PageNumber"/>
            <w:rFonts w:ascii="Avenir Light" w:hAnsi="Avenir Light"/>
            <w:b w:val="0"/>
          </w:rPr>
        </w:pPr>
        <w:r w:rsidRPr="00202224">
          <w:rPr>
            <w:rFonts w:ascii="Avenir Light" w:hAnsi="Avenir Light"/>
            <w:b w:val="0"/>
          </w:rPr>
          <w:t>Page</w:t>
        </w:r>
        <w:r w:rsidRPr="00202224">
          <w:rPr>
            <w:rStyle w:val="PageNumber"/>
            <w:rFonts w:ascii="Avenir Light" w:hAnsi="Avenir Light"/>
            <w:b w:val="0"/>
          </w:rPr>
          <w:t xml:space="preserve"> </w:t>
        </w:r>
        <w:r w:rsidRPr="00202224">
          <w:rPr>
            <w:rStyle w:val="PageNumber"/>
            <w:rFonts w:ascii="Avenir Light" w:hAnsi="Avenir Light"/>
            <w:b w:val="0"/>
          </w:rPr>
          <w:fldChar w:fldCharType="begin"/>
        </w:r>
        <w:r w:rsidRPr="00202224">
          <w:rPr>
            <w:rStyle w:val="PageNumber"/>
            <w:rFonts w:ascii="Avenir Light" w:hAnsi="Avenir Light"/>
            <w:b w:val="0"/>
          </w:rPr>
          <w:instrText xml:space="preserve"> PAGE </w:instrText>
        </w:r>
        <w:r w:rsidRPr="00202224">
          <w:rPr>
            <w:rStyle w:val="PageNumber"/>
            <w:rFonts w:ascii="Avenir Light" w:hAnsi="Avenir Light"/>
            <w:b w:val="0"/>
          </w:rPr>
          <w:fldChar w:fldCharType="separate"/>
        </w:r>
        <w:r w:rsidR="001F4F04">
          <w:rPr>
            <w:rStyle w:val="PageNumber"/>
            <w:rFonts w:ascii="Avenir Light" w:hAnsi="Avenir Light"/>
            <w:b w:val="0"/>
            <w:noProof/>
          </w:rPr>
          <w:t>1</w:t>
        </w:r>
        <w:r w:rsidRPr="00202224">
          <w:rPr>
            <w:rStyle w:val="PageNumber"/>
            <w:rFonts w:ascii="Avenir Light" w:hAnsi="Avenir Light"/>
            <w:b w:val="0"/>
          </w:rPr>
          <w:fldChar w:fldCharType="end"/>
        </w:r>
      </w:p>
    </w:sdtContent>
  </w:sdt>
  <w:p w:rsidR="00B41262" w:rsidRDefault="00202224" w:rsidP="00D15E46">
    <w:pPr>
      <w:ind w:right="-1440" w:firstLine="360"/>
      <w:jc w:val="right"/>
    </w:pPr>
    <w:r>
      <w:rPr>
        <w:noProof/>
        <w:lang w:val="en-AU" w:eastAsia="en-AU"/>
      </w:rPr>
      <w:drawing>
        <wp:inline distT="0" distB="0" distL="0" distR="0">
          <wp:extent cx="3533969" cy="1059366"/>
          <wp:effectExtent l="0" t="0" r="0" b="0"/>
          <wp:docPr id="6" name="Picture 6" descr="Artifiact" title="Graphic Elemen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SS_Word Template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856" t="22376" b="9033"/>
                  <a:stretch/>
                </pic:blipFill>
                <pic:spPr bwMode="auto">
                  <a:xfrm>
                    <a:off x="0" y="0"/>
                    <a:ext cx="3536029" cy="10599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496" w:rsidRDefault="004D5496" w:rsidP="00202224">
      <w:pPr>
        <w:spacing w:before="0" w:after="0"/>
      </w:pPr>
      <w:r>
        <w:separator/>
      </w:r>
    </w:p>
  </w:footnote>
  <w:footnote w:type="continuationSeparator" w:id="0">
    <w:p w:rsidR="004D5496" w:rsidRDefault="004D5496" w:rsidP="0020222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224" w:rsidRDefault="003F2B8D" w:rsidP="00065996">
    <w:pPr>
      <w:pStyle w:val="Header"/>
      <w:ind w:left="-1440"/>
    </w:pPr>
    <w:r>
      <w:rPr>
        <w:noProof/>
        <w:lang w:val="en-AU" w:eastAsia="en-AU"/>
      </w:rPr>
      <w:drawing>
        <wp:inline distT="0" distB="0" distL="0" distR="0">
          <wp:extent cx="3512634" cy="2051173"/>
          <wp:effectExtent l="0" t="0" r="0" b="0"/>
          <wp:docPr id="5" name="Picture 5" descr="Artifact" title="Graphic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BSS_Word Template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" t="1237" r="65684" b="-241"/>
                  <a:stretch/>
                </pic:blipFill>
                <pic:spPr bwMode="auto">
                  <a:xfrm>
                    <a:off x="0" y="0"/>
                    <a:ext cx="3512634" cy="2051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966AE8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75218B"/>
    <w:multiLevelType w:val="hybridMultilevel"/>
    <w:tmpl w:val="049294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1110B"/>
    <w:multiLevelType w:val="hybridMultilevel"/>
    <w:tmpl w:val="74C64B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EB5B73"/>
    <w:multiLevelType w:val="hybridMultilevel"/>
    <w:tmpl w:val="44E67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47A51"/>
    <w:multiLevelType w:val="multilevel"/>
    <w:tmpl w:val="0809001D"/>
    <w:styleLink w:val="ListNumbered"/>
    <w:lvl w:ilvl="0">
      <w:start w:val="1"/>
      <w:numFmt w:val="decimal"/>
      <w:lvlText w:val="%1)"/>
      <w:lvlJc w:val="left"/>
      <w:pPr>
        <w:ind w:left="360" w:hanging="360"/>
      </w:pPr>
      <w:rPr>
        <w:rFonts w:ascii="PT Sans" w:hAnsi="PT Sans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E8461D6"/>
    <w:multiLevelType w:val="multilevel"/>
    <w:tmpl w:val="0809001D"/>
    <w:styleLink w:val="NumberedList"/>
    <w:lvl w:ilvl="0">
      <w:start w:val="1"/>
      <w:numFmt w:val="decimal"/>
      <w:lvlText w:val="%1)"/>
      <w:lvlJc w:val="left"/>
      <w:pPr>
        <w:ind w:left="1080" w:hanging="360"/>
      </w:pPr>
      <w:rPr>
        <w:rFonts w:ascii="PT Sans" w:hAnsi="PT Sans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4572CE"/>
    <w:multiLevelType w:val="hybridMultilevel"/>
    <w:tmpl w:val="162CD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C3498"/>
    <w:multiLevelType w:val="hybridMultilevel"/>
    <w:tmpl w:val="E698F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A18E7"/>
    <w:multiLevelType w:val="hybridMultilevel"/>
    <w:tmpl w:val="1F72A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710"/>
    <w:rsid w:val="00065996"/>
    <w:rsid w:val="00132DAF"/>
    <w:rsid w:val="00176275"/>
    <w:rsid w:val="001F4F04"/>
    <w:rsid w:val="00202224"/>
    <w:rsid w:val="00233F6A"/>
    <w:rsid w:val="003247FA"/>
    <w:rsid w:val="003353A7"/>
    <w:rsid w:val="003858A2"/>
    <w:rsid w:val="003E10A2"/>
    <w:rsid w:val="003F2B8D"/>
    <w:rsid w:val="004D5496"/>
    <w:rsid w:val="004F4C3D"/>
    <w:rsid w:val="005E3362"/>
    <w:rsid w:val="005E52C2"/>
    <w:rsid w:val="00757A0C"/>
    <w:rsid w:val="00777171"/>
    <w:rsid w:val="00787784"/>
    <w:rsid w:val="00832323"/>
    <w:rsid w:val="00A000E8"/>
    <w:rsid w:val="00A06F58"/>
    <w:rsid w:val="00B41262"/>
    <w:rsid w:val="00B63EAF"/>
    <w:rsid w:val="00B71798"/>
    <w:rsid w:val="00BE30D1"/>
    <w:rsid w:val="00C66DAB"/>
    <w:rsid w:val="00D15E46"/>
    <w:rsid w:val="00DC0F9B"/>
    <w:rsid w:val="00E81BC6"/>
    <w:rsid w:val="00E8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  <w15:docId w15:val="{86790558-3830-6F4B-99F4-4C6B9C23D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224"/>
    <w:pPr>
      <w:spacing w:before="120" w:after="120"/>
    </w:pPr>
    <w:rPr>
      <w:rFonts w:ascii="Avenir Light" w:hAnsi="Avenir Light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F4C3D"/>
    <w:pPr>
      <w:keepNext/>
      <w:keepLines/>
      <w:pBdr>
        <w:bottom w:val="single" w:sz="8" w:space="1" w:color="FFC000" w:themeColor="accent4"/>
      </w:pBdr>
      <w:spacing w:before="240" w:after="240"/>
      <w:outlineLvl w:val="0"/>
    </w:pPr>
    <w:rPr>
      <w:rFonts w:ascii="Avenir Black" w:eastAsiaTheme="majorEastAsia" w:hAnsi="Avenir Black" w:cstheme="majorBidi"/>
      <w:b/>
      <w:caps/>
      <w:color w:val="F1AD2B"/>
      <w:spacing w:val="30"/>
      <w:sz w:val="28"/>
      <w:szCs w:val="32"/>
      <w:lang w:val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02224"/>
    <w:pPr>
      <w:keepNext/>
      <w:keepLines/>
      <w:spacing w:before="240"/>
      <w:outlineLvl w:val="1"/>
    </w:pPr>
    <w:rPr>
      <w:rFonts w:ascii="Avenir Medium" w:eastAsiaTheme="majorEastAsia" w:hAnsi="Avenir Medium" w:cs="Times New Roman (Headings CS)"/>
      <w:color w:val="432C76"/>
      <w:spacing w:val="3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autoRedefine/>
    <w:uiPriority w:val="99"/>
    <w:unhideWhenUsed/>
    <w:rsid w:val="00BE30D1"/>
    <w:pPr>
      <w:tabs>
        <w:tab w:val="center" w:pos="4513"/>
        <w:tab w:val="right" w:pos="9026"/>
      </w:tabs>
      <w:jc w:val="center"/>
    </w:pPr>
    <w:rPr>
      <w:rFonts w:ascii="PT Sans" w:hAnsi="PT Sans"/>
      <w:b/>
      <w:bCs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E30D1"/>
    <w:rPr>
      <w:rFonts w:ascii="PT Sans" w:hAnsi="PT Sans"/>
      <w:b/>
      <w:bC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F4C3D"/>
    <w:rPr>
      <w:rFonts w:ascii="Avenir Black" w:eastAsiaTheme="majorEastAsia" w:hAnsi="Avenir Black" w:cstheme="majorBidi"/>
      <w:b/>
      <w:caps/>
      <w:color w:val="F1AD2B"/>
      <w:spacing w:val="30"/>
      <w:sz w:val="28"/>
      <w:szCs w:val="32"/>
      <w:lang w:val="en-AU"/>
    </w:rPr>
  </w:style>
  <w:style w:type="numbering" w:customStyle="1" w:styleId="NumberedList">
    <w:name w:val="Numbered List"/>
    <w:basedOn w:val="NoList"/>
    <w:uiPriority w:val="99"/>
    <w:rsid w:val="00BE30D1"/>
    <w:pPr>
      <w:numPr>
        <w:numId w:val="1"/>
      </w:numPr>
    </w:pPr>
  </w:style>
  <w:style w:type="paragraph" w:customStyle="1" w:styleId="BlockQuote">
    <w:name w:val="Block Quote"/>
    <w:basedOn w:val="Normal"/>
    <w:autoRedefine/>
    <w:rsid w:val="00BE30D1"/>
    <w:pPr>
      <w:shd w:val="clear" w:color="auto" w:fill="F1AD2B"/>
    </w:pPr>
    <w:rPr>
      <w:rFonts w:ascii="PT Sans" w:hAnsi="PT Sans"/>
      <w:b/>
      <w:sz w:val="22"/>
    </w:rPr>
  </w:style>
  <w:style w:type="paragraph" w:customStyle="1" w:styleId="FigureTableHeader">
    <w:name w:val="FigureTable Header"/>
    <w:basedOn w:val="Normal"/>
    <w:rsid w:val="00BE30D1"/>
    <w:pPr>
      <w:spacing w:before="240"/>
    </w:pPr>
    <w:rPr>
      <w:rFonts w:ascii="PT Sans" w:hAnsi="PT Sans"/>
      <w:i/>
      <w:color w:val="3578A2"/>
      <w:sz w:val="22"/>
    </w:rPr>
  </w:style>
  <w:style w:type="numbering" w:customStyle="1" w:styleId="ListNumbered">
    <w:name w:val="List Numbered"/>
    <w:basedOn w:val="NoList"/>
    <w:uiPriority w:val="99"/>
    <w:rsid w:val="00BE30D1"/>
    <w:pPr>
      <w:numPr>
        <w:numId w:val="2"/>
      </w:numPr>
    </w:pPr>
  </w:style>
  <w:style w:type="paragraph" w:styleId="ListNumber">
    <w:name w:val="List Number"/>
    <w:basedOn w:val="Normal"/>
    <w:autoRedefine/>
    <w:uiPriority w:val="99"/>
    <w:unhideWhenUsed/>
    <w:rsid w:val="00BE30D1"/>
    <w:pPr>
      <w:numPr>
        <w:numId w:val="4"/>
      </w:numPr>
      <w:contextualSpacing/>
    </w:pPr>
    <w:rPr>
      <w:rFonts w:ascii="PT Sans" w:hAnsi="PT Sans"/>
      <w:sz w:val="22"/>
    </w:rPr>
  </w:style>
  <w:style w:type="table" w:customStyle="1" w:styleId="Style1">
    <w:name w:val="Style1"/>
    <w:basedOn w:val="TableNormal"/>
    <w:uiPriority w:val="99"/>
    <w:rsid w:val="00BE30D1"/>
    <w:pPr>
      <w:jc w:val="center"/>
    </w:pPr>
    <w:rPr>
      <w:rFonts w:ascii="PT Sans" w:hAnsi="PT Sans"/>
      <w:color w:val="000000" w:themeColor="text1"/>
      <w:sz w:val="22"/>
    </w:rPr>
    <w:tblPr>
      <w:tblBorders>
        <w:insideH w:val="single" w:sz="4" w:space="0" w:color="3578A2"/>
        <w:insideV w:val="single" w:sz="4" w:space="0" w:color="3578A2"/>
      </w:tblBorders>
    </w:tblPr>
    <w:tcPr>
      <w:vAlign w:val="center"/>
    </w:tcPr>
    <w:tblStylePr w:type="firstRow">
      <w:rPr>
        <w:rFonts w:ascii="PT Sans" w:hAnsi="PT Sans"/>
        <w:b/>
        <w:bCs/>
        <w:i w:val="0"/>
        <w:iCs w:val="0"/>
        <w:color w:val="3578A2"/>
        <w:sz w:val="22"/>
      </w:rPr>
      <w:tblPr/>
      <w:tcPr>
        <w:shd w:val="clear" w:color="auto" w:fill="D9E2F3" w:themeFill="accent1" w:themeFillTint="33"/>
      </w:tcPr>
    </w:tblStylePr>
  </w:style>
  <w:style w:type="paragraph" w:customStyle="1" w:styleId="PictureCaption">
    <w:name w:val="PictureCaption"/>
    <w:basedOn w:val="Normal"/>
    <w:autoRedefine/>
    <w:rsid w:val="00B71798"/>
    <w:pPr>
      <w:widowControl w:val="0"/>
      <w:autoSpaceDE w:val="0"/>
      <w:autoSpaceDN w:val="0"/>
      <w:adjustRightInd w:val="0"/>
      <w:textAlignment w:val="center"/>
    </w:pPr>
    <w:rPr>
      <w:rFonts w:ascii="Arial" w:eastAsia="Calibri" w:hAnsi="Arial" w:cs="Arial"/>
      <w:color w:val="7F7F7F" w:themeColor="text1" w:themeTint="80"/>
      <w:sz w:val="15"/>
      <w:szCs w:val="20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E3362"/>
    <w:pPr>
      <w:ind w:right="962"/>
      <w:contextualSpacing/>
    </w:pPr>
    <w:rPr>
      <w:rFonts w:ascii="Avenir Black" w:eastAsiaTheme="majorEastAsia" w:hAnsi="Avenir Black" w:cs="Times New Roman (Headings CS)"/>
      <w:b/>
      <w:color w:val="432C76"/>
      <w:spacing w:val="14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5E3362"/>
    <w:rPr>
      <w:rFonts w:ascii="Avenir Black" w:eastAsiaTheme="majorEastAsia" w:hAnsi="Avenir Black" w:cs="Times New Roman (Headings CS)"/>
      <w:b/>
      <w:color w:val="432C76"/>
      <w:spacing w:val="14"/>
      <w:kern w:val="28"/>
      <w:sz w:val="56"/>
      <w:szCs w:val="56"/>
      <w:lang w:val="en-AU"/>
    </w:rPr>
  </w:style>
  <w:style w:type="paragraph" w:styleId="Subtitle">
    <w:name w:val="Subtitle"/>
    <w:basedOn w:val="Normal"/>
    <w:next w:val="Normal"/>
    <w:link w:val="SubtitleChar"/>
    <w:uiPriority w:val="11"/>
    <w:rsid w:val="0020222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02224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202224"/>
    <w:rPr>
      <w:rFonts w:ascii="Avenir Medium" w:eastAsiaTheme="majorEastAsia" w:hAnsi="Avenir Medium" w:cs="Times New Roman (Headings CS)"/>
      <w:color w:val="432C76"/>
      <w:spacing w:val="32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0222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202224"/>
    <w:rPr>
      <w:rFonts w:ascii="Avenir Light" w:hAnsi="Avenir Light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02224"/>
  </w:style>
  <w:style w:type="paragraph" w:customStyle="1" w:styleId="BODY">
    <w:name w:val="BODY"/>
    <w:basedOn w:val="Normal"/>
    <w:uiPriority w:val="99"/>
    <w:rsid w:val="00E85710"/>
    <w:pPr>
      <w:suppressAutoHyphens/>
      <w:autoSpaceDE w:val="0"/>
      <w:autoSpaceDN w:val="0"/>
      <w:adjustRightInd w:val="0"/>
      <w:spacing w:before="113" w:after="0" w:line="220" w:lineRule="atLeast"/>
      <w:ind w:left="227"/>
      <w:textAlignment w:val="center"/>
    </w:pPr>
    <w:rPr>
      <w:rFonts w:ascii="MrEavesXLModOT-Book" w:hAnsi="MrEavesXLModOT-Book" w:cs="MrEavesXLModOT-Book"/>
      <w:color w:val="000000"/>
      <w:spacing w:val="2"/>
      <w:szCs w:val="20"/>
      <w:lang w:val="en-US"/>
    </w:rPr>
  </w:style>
  <w:style w:type="paragraph" w:customStyle="1" w:styleId="H3MAIN">
    <w:name w:val="H3_MAIN"/>
    <w:basedOn w:val="Normal"/>
    <w:uiPriority w:val="99"/>
    <w:rsid w:val="00E85710"/>
    <w:pPr>
      <w:suppressAutoHyphens/>
      <w:autoSpaceDE w:val="0"/>
      <w:autoSpaceDN w:val="0"/>
      <w:adjustRightInd w:val="0"/>
      <w:spacing w:before="283" w:after="113" w:line="220" w:lineRule="atLeast"/>
      <w:ind w:left="227"/>
      <w:textAlignment w:val="center"/>
    </w:pPr>
    <w:rPr>
      <w:rFonts w:ascii="MrEavesXLModOT-Ultra" w:hAnsi="MrEavesXLModOT-Ultra" w:cs="MrEavesXLModOT-Ultra"/>
      <w:b/>
      <w:bCs/>
      <w:color w:val="FF9100"/>
      <w:spacing w:val="2"/>
      <w:sz w:val="24"/>
      <w:lang w:val="en-US"/>
    </w:rPr>
  </w:style>
  <w:style w:type="paragraph" w:customStyle="1" w:styleId="BODYLIST">
    <w:name w:val="BODY LIST"/>
    <w:basedOn w:val="BODY"/>
    <w:uiPriority w:val="99"/>
    <w:rsid w:val="00E85710"/>
    <w:pPr>
      <w:spacing w:before="57"/>
      <w:ind w:hanging="227"/>
    </w:pPr>
  </w:style>
  <w:style w:type="paragraph" w:styleId="ListParagraph">
    <w:name w:val="List Paragraph"/>
    <w:basedOn w:val="Normal"/>
    <w:uiPriority w:val="34"/>
    <w:rsid w:val="00E85710"/>
    <w:pPr>
      <w:ind w:left="720"/>
      <w:contextualSpacing/>
    </w:pPr>
  </w:style>
  <w:style w:type="table" w:styleId="TableGrid">
    <w:name w:val="Table Grid"/>
    <w:basedOn w:val="TableNormal"/>
    <w:uiPriority w:val="39"/>
    <w:rsid w:val="00D15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B63EAF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63EAF"/>
    <w:rPr>
      <w:rFonts w:ascii="Avenir Light" w:hAnsi="Avenir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63E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308250-2701-4EF5-9A10-042226448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Indigenous Business Factsheet</vt:lpstr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Indigenous Business Factsheet</dc:title>
  <dc:subject/>
  <dc:creator>Department of the Prime Minister and Cabinet</dc:creator>
  <cp:keywords/>
  <dc:description/>
  <cp:lastModifiedBy>O'Toole, Aidan</cp:lastModifiedBy>
  <cp:revision>4</cp:revision>
  <cp:lastPrinted>2018-02-06T01:58:00Z</cp:lastPrinted>
  <dcterms:created xsi:type="dcterms:W3CDTF">2018-02-13T00:42:00Z</dcterms:created>
  <dcterms:modified xsi:type="dcterms:W3CDTF">2018-02-13T01:57:00Z</dcterms:modified>
</cp:coreProperties>
</file>