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B5BF5" w14:textId="7EF5FB98" w:rsidR="00F26F10" w:rsidRDefault="003A009A" w:rsidP="00F26F10">
      <w:pPr>
        <w:pStyle w:val="CoverOutcomeHeadline"/>
      </w:pPr>
      <w:r>
        <w:t>Review of the IAS funded secondary school scholarships</w:t>
      </w:r>
      <w:r w:rsidR="009A7B00">
        <w:t xml:space="preserve"> for Aboriginal and Torres Strait Islander Students</w:t>
      </w:r>
    </w:p>
    <w:p w14:paraId="3DC1E0FE" w14:textId="77777777" w:rsidR="009A7B00" w:rsidRDefault="009A7B00" w:rsidP="00F26F10">
      <w:pPr>
        <w:pStyle w:val="CoverOutcomeHeadline"/>
      </w:pPr>
    </w:p>
    <w:p w14:paraId="0EB2063E" w14:textId="77777777" w:rsidR="00B7615B" w:rsidRDefault="00B7615B" w:rsidP="00F26F10">
      <w:pPr>
        <w:pStyle w:val="CoverOutcomeHeadline"/>
      </w:pPr>
    </w:p>
    <w:p w14:paraId="49F956D0" w14:textId="73BAB7AC" w:rsidR="009A7B00" w:rsidRDefault="009F1E96" w:rsidP="00F26F10">
      <w:pPr>
        <w:pStyle w:val="CoverOutcomeHeadline"/>
      </w:pPr>
      <w:r>
        <w:t xml:space="preserve">Final Report </w:t>
      </w:r>
      <w:r>
        <w:br/>
      </w:r>
    </w:p>
    <w:p w14:paraId="7D843B9B" w14:textId="4CFC821F" w:rsidR="009A7B00" w:rsidRDefault="000F5855" w:rsidP="00F26F10">
      <w:pPr>
        <w:pStyle w:val="CoverOutcomeHeadline"/>
      </w:pPr>
      <w:r>
        <w:t>Part 1</w:t>
      </w:r>
    </w:p>
    <w:p w14:paraId="60E504F8" w14:textId="77777777" w:rsidR="000F5855" w:rsidRPr="007560B4" w:rsidRDefault="000F5855" w:rsidP="00F26F10">
      <w:pPr>
        <w:pStyle w:val="CoverOutcomeHeadline"/>
      </w:pPr>
    </w:p>
    <w:p w14:paraId="1363B02E" w14:textId="27D29F65" w:rsidR="00F26F10" w:rsidRPr="007560B4" w:rsidRDefault="003A009A" w:rsidP="00F26F10">
      <w:pPr>
        <w:pStyle w:val="Covertitle"/>
        <w:framePr w:wrap="notBeside"/>
      </w:pPr>
      <w:r>
        <w:t xml:space="preserve">Department of </w:t>
      </w:r>
      <w:r w:rsidR="00C21D05">
        <w:t xml:space="preserve">the </w:t>
      </w:r>
      <w:r>
        <w:t>Prime Min</w:t>
      </w:r>
      <w:r w:rsidR="009B6094">
        <w:t>i</w:t>
      </w:r>
      <w:r>
        <w:t>ster and Cabinet</w:t>
      </w:r>
    </w:p>
    <w:p w14:paraId="726A9705" w14:textId="70BFF1F4" w:rsidR="00F26F10" w:rsidRPr="007560B4" w:rsidRDefault="00B7615B" w:rsidP="00F26F10">
      <w:pPr>
        <w:pStyle w:val="CoverDate"/>
        <w:framePr w:wrap="notBeside"/>
      </w:pPr>
      <w:r>
        <w:t>June</w:t>
      </w:r>
      <w:r w:rsidR="003A009A">
        <w:t xml:space="preserve"> 2017</w:t>
      </w:r>
    </w:p>
    <w:p w14:paraId="7E309180" w14:textId="77777777" w:rsidR="00F26F10" w:rsidRPr="007560B4" w:rsidRDefault="00F26F10" w:rsidP="00F26F10">
      <w:pPr>
        <w:pStyle w:val="Coverpulloutframe"/>
        <w:framePr w:wrap="notBeside"/>
      </w:pPr>
    </w:p>
    <w:p w14:paraId="284AD0EA" w14:textId="77777777" w:rsidR="005203CC" w:rsidRDefault="007779DD" w:rsidP="005203CC">
      <w:pPr>
        <w:pStyle w:val="CoverOutcomeSubtitle"/>
        <w:spacing w:after="240"/>
      </w:pPr>
      <w:r>
        <w:t>PwC’s Indigenous Consulting</w:t>
      </w:r>
    </w:p>
    <w:p w14:paraId="593D6CC2" w14:textId="77777777" w:rsidR="00F308C4" w:rsidRDefault="00F308C4" w:rsidP="005203CC">
      <w:pPr>
        <w:pStyle w:val="PwCNormal"/>
      </w:pPr>
    </w:p>
    <w:p w14:paraId="248240D2" w14:textId="77777777" w:rsidR="00F06C19" w:rsidRPr="007560B4" w:rsidRDefault="00F06C19" w:rsidP="005203CC">
      <w:pPr>
        <w:pStyle w:val="PwCNormal"/>
        <w:sectPr w:rsidR="00F06C19" w:rsidRPr="007560B4" w:rsidSect="003A009A">
          <w:headerReference w:type="even" r:id="rId8"/>
          <w:headerReference w:type="default" r:id="rId9"/>
          <w:footerReference w:type="even" r:id="rId10"/>
          <w:footerReference w:type="default" r:id="rId11"/>
          <w:headerReference w:type="first" r:id="rId12"/>
          <w:pgSz w:w="11907" w:h="16840" w:code="9"/>
          <w:pgMar w:top="3686" w:right="1021" w:bottom="1134" w:left="3317" w:header="397" w:footer="567" w:gutter="227"/>
          <w:pgNumType w:start="1"/>
          <w:cols w:space="708"/>
          <w:titlePg/>
          <w:docGrid w:linePitch="360"/>
        </w:sectPr>
      </w:pPr>
    </w:p>
    <w:p w14:paraId="33FD72CF" w14:textId="77777777" w:rsidR="002D69E9" w:rsidRDefault="002D69E9" w:rsidP="002D69E9">
      <w:pPr>
        <w:pStyle w:val="PwCNormal"/>
        <w:numPr>
          <w:ilvl w:val="0"/>
          <w:numId w:val="0"/>
        </w:numPr>
        <w:kinsoku/>
        <w:overflowPunct/>
        <w:autoSpaceDE/>
        <w:autoSpaceDN/>
        <w:adjustRightInd/>
        <w:snapToGrid/>
        <w:rPr>
          <w:lang w:val="en-GB"/>
        </w:rPr>
      </w:pPr>
      <w:bookmarkStart w:id="2" w:name="_Toc290460141"/>
      <w:bookmarkStart w:id="3" w:name="_Toc292795890"/>
      <w:bookmarkStart w:id="4" w:name="_Toc292795900"/>
      <w:bookmarkStart w:id="5" w:name="_Toc292795947"/>
      <w:bookmarkStart w:id="6" w:name="_Toc292795954"/>
      <w:bookmarkStart w:id="7" w:name="_Toc294534323"/>
      <w:bookmarkStart w:id="8" w:name="_Toc294613504"/>
      <w:bookmarkStart w:id="9" w:name="_Toc392674715"/>
      <w:bookmarkStart w:id="10" w:name="ExecSum"/>
    </w:p>
    <w:p w14:paraId="1D2A43B9" w14:textId="77777777" w:rsidR="002D69E9" w:rsidRDefault="002D69E9" w:rsidP="002D69E9">
      <w:pPr>
        <w:pStyle w:val="PwCNormal"/>
        <w:numPr>
          <w:ilvl w:val="0"/>
          <w:numId w:val="0"/>
        </w:numPr>
        <w:kinsoku/>
        <w:overflowPunct/>
        <w:autoSpaceDE/>
        <w:autoSpaceDN/>
        <w:adjustRightInd/>
        <w:snapToGrid/>
        <w:rPr>
          <w:lang w:val="en-GB"/>
        </w:rPr>
      </w:pPr>
    </w:p>
    <w:p w14:paraId="7974BF7C" w14:textId="77777777" w:rsidR="002D69E9" w:rsidRDefault="002D69E9" w:rsidP="002D69E9">
      <w:pPr>
        <w:pStyle w:val="PwCNormal"/>
        <w:numPr>
          <w:ilvl w:val="0"/>
          <w:numId w:val="0"/>
        </w:numPr>
        <w:kinsoku/>
        <w:overflowPunct/>
        <w:autoSpaceDE/>
        <w:autoSpaceDN/>
        <w:adjustRightInd/>
        <w:snapToGrid/>
        <w:rPr>
          <w:lang w:val="en-GB"/>
        </w:rPr>
      </w:pPr>
    </w:p>
    <w:p w14:paraId="0EE2E97E" w14:textId="77777777" w:rsidR="002D69E9" w:rsidRDefault="002D69E9" w:rsidP="002D69E9">
      <w:pPr>
        <w:pStyle w:val="PwCNormal"/>
        <w:numPr>
          <w:ilvl w:val="0"/>
          <w:numId w:val="0"/>
        </w:numPr>
        <w:kinsoku/>
        <w:overflowPunct/>
        <w:autoSpaceDE/>
        <w:autoSpaceDN/>
        <w:adjustRightInd/>
        <w:snapToGrid/>
        <w:rPr>
          <w:lang w:val="en-GB"/>
        </w:rPr>
      </w:pPr>
    </w:p>
    <w:p w14:paraId="32243A8D" w14:textId="77777777" w:rsidR="002D69E9" w:rsidRDefault="002D69E9" w:rsidP="002D69E9">
      <w:pPr>
        <w:pStyle w:val="PwCNormal"/>
        <w:numPr>
          <w:ilvl w:val="0"/>
          <w:numId w:val="0"/>
        </w:numPr>
        <w:kinsoku/>
        <w:overflowPunct/>
        <w:autoSpaceDE/>
        <w:autoSpaceDN/>
        <w:adjustRightInd/>
        <w:snapToGrid/>
        <w:rPr>
          <w:lang w:val="en-GB"/>
        </w:rPr>
      </w:pPr>
    </w:p>
    <w:p w14:paraId="32E6FA68" w14:textId="77777777" w:rsidR="002D69E9" w:rsidRDefault="002D69E9" w:rsidP="002D69E9">
      <w:pPr>
        <w:pStyle w:val="PwCNormal"/>
        <w:numPr>
          <w:ilvl w:val="0"/>
          <w:numId w:val="0"/>
        </w:numPr>
        <w:kinsoku/>
        <w:overflowPunct/>
        <w:autoSpaceDE/>
        <w:autoSpaceDN/>
        <w:adjustRightInd/>
        <w:snapToGrid/>
        <w:rPr>
          <w:lang w:val="en-GB"/>
        </w:rPr>
      </w:pPr>
    </w:p>
    <w:p w14:paraId="622130AF" w14:textId="77777777" w:rsidR="002D69E9" w:rsidRDefault="002D69E9" w:rsidP="002D69E9">
      <w:pPr>
        <w:pStyle w:val="PwCNormal"/>
        <w:numPr>
          <w:ilvl w:val="0"/>
          <w:numId w:val="0"/>
        </w:numPr>
        <w:kinsoku/>
        <w:overflowPunct/>
        <w:autoSpaceDE/>
        <w:autoSpaceDN/>
        <w:adjustRightInd/>
        <w:snapToGrid/>
        <w:rPr>
          <w:lang w:val="en-GB"/>
        </w:rPr>
      </w:pPr>
    </w:p>
    <w:p w14:paraId="2E559FAA" w14:textId="77777777" w:rsidR="002D69E9" w:rsidRDefault="002D69E9" w:rsidP="002D69E9">
      <w:pPr>
        <w:pStyle w:val="PwCNormal"/>
        <w:numPr>
          <w:ilvl w:val="0"/>
          <w:numId w:val="0"/>
        </w:numPr>
        <w:kinsoku/>
        <w:overflowPunct/>
        <w:autoSpaceDE/>
        <w:autoSpaceDN/>
        <w:adjustRightInd/>
        <w:snapToGrid/>
        <w:rPr>
          <w:lang w:val="en-GB"/>
        </w:rPr>
      </w:pPr>
      <w:bookmarkStart w:id="11" w:name="_GoBack"/>
      <w:bookmarkEnd w:id="11"/>
    </w:p>
    <w:p w14:paraId="25DAFA6D" w14:textId="77777777" w:rsidR="002D69E9" w:rsidRDefault="002D69E9" w:rsidP="002D69E9">
      <w:pPr>
        <w:pStyle w:val="PwCNormal"/>
        <w:numPr>
          <w:ilvl w:val="0"/>
          <w:numId w:val="0"/>
        </w:numPr>
        <w:kinsoku/>
        <w:overflowPunct/>
        <w:autoSpaceDE/>
        <w:autoSpaceDN/>
        <w:adjustRightInd/>
        <w:snapToGrid/>
        <w:rPr>
          <w:lang w:val="en-GB"/>
        </w:rPr>
      </w:pPr>
    </w:p>
    <w:p w14:paraId="5CC5EDE1" w14:textId="77777777" w:rsidR="002D69E9" w:rsidRDefault="002D69E9" w:rsidP="002D69E9">
      <w:pPr>
        <w:pStyle w:val="PwCNormal"/>
        <w:numPr>
          <w:ilvl w:val="0"/>
          <w:numId w:val="0"/>
        </w:numPr>
        <w:kinsoku/>
        <w:overflowPunct/>
        <w:autoSpaceDE/>
        <w:autoSpaceDN/>
        <w:adjustRightInd/>
        <w:snapToGrid/>
        <w:rPr>
          <w:lang w:val="en-GB"/>
        </w:rPr>
      </w:pPr>
    </w:p>
    <w:p w14:paraId="3043B91D" w14:textId="77777777" w:rsidR="002D69E9" w:rsidRDefault="002D69E9" w:rsidP="002D69E9">
      <w:pPr>
        <w:pStyle w:val="PwCNormal"/>
        <w:numPr>
          <w:ilvl w:val="0"/>
          <w:numId w:val="0"/>
        </w:numPr>
        <w:kinsoku/>
        <w:overflowPunct/>
        <w:autoSpaceDE/>
        <w:autoSpaceDN/>
        <w:adjustRightInd/>
        <w:snapToGrid/>
        <w:rPr>
          <w:lang w:val="en-GB"/>
        </w:rPr>
      </w:pPr>
    </w:p>
    <w:p w14:paraId="31216859" w14:textId="77777777" w:rsidR="002D69E9" w:rsidRDefault="002D69E9" w:rsidP="002D69E9">
      <w:pPr>
        <w:pStyle w:val="PwCNormal"/>
        <w:numPr>
          <w:ilvl w:val="0"/>
          <w:numId w:val="0"/>
        </w:numPr>
        <w:kinsoku/>
        <w:overflowPunct/>
        <w:autoSpaceDE/>
        <w:autoSpaceDN/>
        <w:adjustRightInd/>
        <w:snapToGrid/>
        <w:rPr>
          <w:lang w:val="en-GB"/>
        </w:rPr>
      </w:pPr>
    </w:p>
    <w:p w14:paraId="69ACFDDD" w14:textId="77777777" w:rsidR="002D69E9" w:rsidRDefault="002D69E9" w:rsidP="002D69E9">
      <w:pPr>
        <w:pStyle w:val="PwCNormal"/>
        <w:numPr>
          <w:ilvl w:val="0"/>
          <w:numId w:val="0"/>
        </w:numPr>
        <w:kinsoku/>
        <w:overflowPunct/>
        <w:autoSpaceDE/>
        <w:autoSpaceDN/>
        <w:adjustRightInd/>
        <w:snapToGrid/>
        <w:rPr>
          <w:lang w:val="en-GB"/>
        </w:rPr>
      </w:pPr>
    </w:p>
    <w:p w14:paraId="2C93F7D4" w14:textId="77777777" w:rsidR="002D69E9" w:rsidRDefault="002D69E9" w:rsidP="002D69E9">
      <w:pPr>
        <w:pStyle w:val="PwCNormal"/>
        <w:numPr>
          <w:ilvl w:val="0"/>
          <w:numId w:val="0"/>
        </w:numPr>
        <w:kinsoku/>
        <w:overflowPunct/>
        <w:autoSpaceDE/>
        <w:autoSpaceDN/>
        <w:adjustRightInd/>
        <w:snapToGrid/>
        <w:rPr>
          <w:lang w:val="en-GB"/>
        </w:rPr>
      </w:pPr>
    </w:p>
    <w:p w14:paraId="4397531C" w14:textId="77777777" w:rsidR="002D69E9" w:rsidRDefault="002D69E9" w:rsidP="002D69E9">
      <w:pPr>
        <w:pStyle w:val="PwCNormal"/>
        <w:numPr>
          <w:ilvl w:val="0"/>
          <w:numId w:val="0"/>
        </w:numPr>
        <w:kinsoku/>
        <w:overflowPunct/>
        <w:autoSpaceDE/>
        <w:autoSpaceDN/>
        <w:adjustRightInd/>
        <w:snapToGrid/>
        <w:rPr>
          <w:lang w:val="en-GB"/>
        </w:rPr>
      </w:pPr>
    </w:p>
    <w:p w14:paraId="1F5C43DF" w14:textId="77777777" w:rsidR="002D69E9" w:rsidRPr="006F67CF" w:rsidRDefault="002D69E9" w:rsidP="002D69E9">
      <w:pPr>
        <w:pStyle w:val="PwCNormal"/>
        <w:numPr>
          <w:ilvl w:val="0"/>
          <w:numId w:val="0"/>
        </w:numPr>
        <w:kinsoku/>
        <w:overflowPunct/>
        <w:autoSpaceDE/>
        <w:autoSpaceDN/>
        <w:adjustRightInd/>
        <w:snapToGrid/>
        <w:rPr>
          <w:b/>
          <w:sz w:val="36"/>
          <w:lang w:val="en-GB"/>
        </w:rPr>
      </w:pPr>
      <w:r w:rsidRPr="006F67CF">
        <w:rPr>
          <w:b/>
          <w:sz w:val="36"/>
          <w:lang w:val="en-GB"/>
        </w:rPr>
        <w:t>Disclaimer</w:t>
      </w:r>
    </w:p>
    <w:p w14:paraId="31A48EAA" w14:textId="77777777" w:rsidR="002D69E9" w:rsidRPr="006F67CF" w:rsidRDefault="002D69E9" w:rsidP="002D69E9">
      <w:pPr>
        <w:pStyle w:val="PwCNormal"/>
        <w:numPr>
          <w:ilvl w:val="0"/>
          <w:numId w:val="9"/>
        </w:numPr>
        <w:kinsoku/>
        <w:overflowPunct/>
        <w:autoSpaceDE/>
        <w:autoSpaceDN/>
        <w:adjustRightInd/>
        <w:snapToGrid/>
        <w:rPr>
          <w:lang w:val="en-GB"/>
        </w:rPr>
      </w:pPr>
      <w:r w:rsidRPr="006F67CF">
        <w:rPr>
          <w:lang w:val="en-GB"/>
        </w:rPr>
        <w:t xml:space="preserve">This Report has been prepared by PwC’s Indigenous Consulting (PIC) in our capacity as advisors to the Department of the Prime Minister and Cabinet (the department) in accordance with </w:t>
      </w:r>
      <w:r>
        <w:rPr>
          <w:lang w:val="en-GB"/>
        </w:rPr>
        <w:t xml:space="preserve">our </w:t>
      </w:r>
      <w:r w:rsidRPr="006F67CF">
        <w:rPr>
          <w:lang w:val="en-GB"/>
        </w:rPr>
        <w:t>contract executed on 6 February 2017.</w:t>
      </w:r>
    </w:p>
    <w:p w14:paraId="1101E2A2" w14:textId="77777777" w:rsidR="002D69E9" w:rsidRPr="006F67CF" w:rsidRDefault="002D69E9" w:rsidP="002D69E9">
      <w:pPr>
        <w:pStyle w:val="PwCNormal"/>
        <w:numPr>
          <w:ilvl w:val="0"/>
          <w:numId w:val="9"/>
        </w:numPr>
        <w:kinsoku/>
        <w:overflowPunct/>
        <w:autoSpaceDE/>
        <w:autoSpaceDN/>
        <w:adjustRightInd/>
        <w:snapToGrid/>
        <w:rPr>
          <w:lang w:val="en-GB"/>
        </w:rPr>
      </w:pPr>
      <w:r w:rsidRPr="006F67CF">
        <w:rPr>
          <w:lang w:val="en-GB"/>
        </w:rPr>
        <w:t xml:space="preserve">The information, statements, statistics, material and commentary (together the “Information”) used in this Report have been prepared by PIC from publicly available material, from information provided by the </w:t>
      </w:r>
      <w:r>
        <w:rPr>
          <w:lang w:val="en-GB"/>
        </w:rPr>
        <w:t xml:space="preserve">department and </w:t>
      </w:r>
      <w:r w:rsidRPr="006F67CF">
        <w:rPr>
          <w:lang w:val="en-GB"/>
        </w:rPr>
        <w:t xml:space="preserve">consultations with departmental stakeholders and current scholarship providers receiving Indigenous Advancement Strategy funding for secondary school scholarships. </w:t>
      </w:r>
      <w:r>
        <w:rPr>
          <w:lang w:val="en-GB"/>
        </w:rPr>
        <w:t xml:space="preserve"> </w:t>
      </w:r>
      <w:r w:rsidRPr="006F67CF">
        <w:rPr>
          <w:lang w:val="en-GB"/>
        </w:rPr>
        <w:t xml:space="preserve">PIC has relied upon the accuracy, currency and completeness of the Information provided to it by the department and the relevant stakeholders and takes no responsibility for the accuracy, currency, reliability or correctness of the Information and acknowledges that changes in circumstances after the time of publication may impact on the accuracy of the Information. </w:t>
      </w:r>
      <w:r>
        <w:rPr>
          <w:lang w:val="en-GB"/>
        </w:rPr>
        <w:t xml:space="preserve"> </w:t>
      </w:r>
      <w:r w:rsidRPr="006F67CF">
        <w:rPr>
          <w:lang w:val="en-GB"/>
        </w:rPr>
        <w:t>The Information may change without notice and PIC is not in any way liable for the accuracy of any information used or relied upon by a third party.</w:t>
      </w:r>
    </w:p>
    <w:p w14:paraId="10601049" w14:textId="77777777" w:rsidR="002D69E9" w:rsidRPr="006F67CF" w:rsidRDefault="002D69E9" w:rsidP="002D69E9">
      <w:pPr>
        <w:pStyle w:val="PwCNormal"/>
        <w:numPr>
          <w:ilvl w:val="0"/>
          <w:numId w:val="9"/>
        </w:numPr>
        <w:kinsoku/>
        <w:overflowPunct/>
        <w:autoSpaceDE/>
        <w:autoSpaceDN/>
        <w:adjustRightInd/>
        <w:snapToGrid/>
        <w:rPr>
          <w:lang w:val="en-GB"/>
        </w:rPr>
      </w:pPr>
      <w:r w:rsidRPr="006F67CF">
        <w:rPr>
          <w:lang w:val="en-GB"/>
        </w:rPr>
        <w:t>Furthermore PIC has not independently validated or verified the Information provided to it for the purpose of the Report and the content of this Report does not in any way constitute an audit or assurance of any of the Information contained herein.</w:t>
      </w:r>
    </w:p>
    <w:p w14:paraId="505D732C" w14:textId="77777777" w:rsidR="002D69E9" w:rsidRPr="007560B4" w:rsidRDefault="002D69E9" w:rsidP="002D69E9">
      <w:pPr>
        <w:pStyle w:val="PwCNormal"/>
        <w:numPr>
          <w:ilvl w:val="0"/>
          <w:numId w:val="0"/>
        </w:numPr>
        <w:kinsoku/>
        <w:overflowPunct/>
        <w:autoSpaceDE/>
        <w:autoSpaceDN/>
        <w:adjustRightInd/>
        <w:snapToGrid/>
        <w:rPr>
          <w:lang w:val="en-GB"/>
        </w:rPr>
      </w:pPr>
      <w:r w:rsidRPr="006F67CF">
        <w:rPr>
          <w:lang w:val="en-GB"/>
        </w:rPr>
        <w:t>PIC has provided this advice solely for the benefit of the department and disclaims all liability and responsibility (including arising from its negligence) to any other parties for any loss, damage, cost or expense incurred or arising out of any person using or relying upon the Information.</w:t>
      </w:r>
    </w:p>
    <w:p w14:paraId="2C1830BC" w14:textId="77777777" w:rsidR="00F06C19" w:rsidRPr="007560B4" w:rsidRDefault="00F06C19" w:rsidP="00F06C19">
      <w:pPr>
        <w:pStyle w:val="PrefaceTitle"/>
        <w:rPr>
          <w:lang w:val="en-GB"/>
        </w:rPr>
      </w:pPr>
      <w:bookmarkStart w:id="12" w:name="_Toc482974458"/>
      <w:r w:rsidRPr="007560B4">
        <w:rPr>
          <w:lang w:val="en-GB"/>
        </w:rPr>
        <w:lastRenderedPageBreak/>
        <w:t>Executive summary</w:t>
      </w:r>
      <w:bookmarkEnd w:id="2"/>
      <w:bookmarkEnd w:id="3"/>
      <w:bookmarkEnd w:id="4"/>
      <w:bookmarkEnd w:id="5"/>
      <w:bookmarkEnd w:id="6"/>
      <w:bookmarkEnd w:id="7"/>
      <w:bookmarkEnd w:id="8"/>
      <w:bookmarkEnd w:id="9"/>
      <w:bookmarkEnd w:id="12"/>
    </w:p>
    <w:p w14:paraId="55854559" w14:textId="77777777" w:rsidR="002D69E9" w:rsidRDefault="002D69E9" w:rsidP="002D69E9">
      <w:pPr>
        <w:pStyle w:val="PwCNormal"/>
        <w:numPr>
          <w:ilvl w:val="0"/>
          <w:numId w:val="0"/>
        </w:numPr>
        <w:rPr>
          <w:lang w:val="en-GB"/>
        </w:rPr>
      </w:pPr>
      <w:r w:rsidRPr="00D67AE0">
        <w:rPr>
          <w:lang w:val="en-GB"/>
        </w:rPr>
        <w:t>PricewaterhouseCoopers Indigenous Consulting (PIC) was appointed in February 2017 by the Department of the Prime Minister and Cabinet (the department) to undertake a review of Indigenous Advancement Strategy (IAS) funded secondary school scholarships.</w:t>
      </w:r>
    </w:p>
    <w:p w14:paraId="74C259D2" w14:textId="77777777" w:rsidR="002D69E9" w:rsidRDefault="002D69E9" w:rsidP="002D69E9">
      <w:pPr>
        <w:pStyle w:val="Heading6"/>
        <w:numPr>
          <w:ilvl w:val="0"/>
          <w:numId w:val="0"/>
        </w:numPr>
        <w:ind w:left="850" w:hanging="850"/>
        <w:rPr>
          <w:lang w:val="en-GB"/>
        </w:rPr>
      </w:pPr>
      <w:r>
        <w:rPr>
          <w:lang w:val="en-GB"/>
        </w:rPr>
        <w:t>About the scholarships</w:t>
      </w:r>
    </w:p>
    <w:p w14:paraId="5EFCBC1B" w14:textId="6028E10B" w:rsidR="002D69E9" w:rsidRDefault="002D69E9" w:rsidP="002D69E9">
      <w:pPr>
        <w:pStyle w:val="PwCNormal"/>
        <w:numPr>
          <w:ilvl w:val="0"/>
          <w:numId w:val="9"/>
        </w:numPr>
        <w:rPr>
          <w:lang w:val="en-GB"/>
        </w:rPr>
      </w:pPr>
      <w:r w:rsidRPr="00B30B42">
        <w:rPr>
          <w:lang w:val="en-GB"/>
        </w:rPr>
        <w:t>Attainment of higher levels of education is directly associated with improved health outcomes, socio-economic status and prosperity.</w:t>
      </w:r>
      <w:r>
        <w:rPr>
          <w:rStyle w:val="FootnoteReference"/>
          <w:lang w:val="en-GB"/>
        </w:rPr>
        <w:footnoteReference w:id="2"/>
      </w:r>
      <w:r w:rsidRPr="00B30B42">
        <w:rPr>
          <w:lang w:val="en-GB"/>
        </w:rPr>
        <w:t xml:space="preserve">  Completion of </w:t>
      </w:r>
      <w:r>
        <w:rPr>
          <w:lang w:val="en-GB"/>
        </w:rPr>
        <w:t>Y</w:t>
      </w:r>
      <w:r w:rsidRPr="00B30B42">
        <w:rPr>
          <w:lang w:val="en-GB"/>
        </w:rPr>
        <w:t>ear 12 or its equivalent provides an important step along the path to economic participation and access to further tra</w:t>
      </w:r>
      <w:r w:rsidR="00C21D05">
        <w:rPr>
          <w:lang w:val="en-GB"/>
        </w:rPr>
        <w:t>ining or education opportunity.</w:t>
      </w:r>
      <w:r w:rsidRPr="00B30B42">
        <w:rPr>
          <w:lang w:val="en-GB"/>
        </w:rPr>
        <w:t xml:space="preserve"> However, Aboriginal and Torres Strait Islander students’ school completion rates fall well below the rates </w:t>
      </w:r>
      <w:r>
        <w:rPr>
          <w:lang w:val="en-GB"/>
        </w:rPr>
        <w:t xml:space="preserve">of their </w:t>
      </w:r>
      <w:r w:rsidRPr="00B30B42">
        <w:rPr>
          <w:lang w:val="en-GB"/>
        </w:rPr>
        <w:t xml:space="preserve">non-Indigenous </w:t>
      </w:r>
      <w:r>
        <w:rPr>
          <w:lang w:val="en-GB"/>
        </w:rPr>
        <w:t>counterparts</w:t>
      </w:r>
      <w:r w:rsidRPr="00B30B42">
        <w:rPr>
          <w:lang w:val="en-GB"/>
        </w:rPr>
        <w:t>.</w:t>
      </w:r>
    </w:p>
    <w:p w14:paraId="20C94A87" w14:textId="77777777" w:rsidR="002D69E9" w:rsidRPr="00B30B42" w:rsidRDefault="002D69E9" w:rsidP="002D69E9">
      <w:pPr>
        <w:pStyle w:val="PwCNormal"/>
        <w:numPr>
          <w:ilvl w:val="0"/>
          <w:numId w:val="9"/>
        </w:numPr>
        <w:rPr>
          <w:lang w:val="en-GB"/>
        </w:rPr>
      </w:pPr>
      <w:r w:rsidRPr="00B30B42">
        <w:rPr>
          <w:lang w:val="en-GB"/>
        </w:rPr>
        <w:t>The IAS</w:t>
      </w:r>
      <w:r>
        <w:rPr>
          <w:lang w:val="en-GB"/>
        </w:rPr>
        <w:t>’</w:t>
      </w:r>
      <w:r w:rsidRPr="00B30B42">
        <w:rPr>
          <w:lang w:val="en-GB"/>
        </w:rPr>
        <w:t xml:space="preserve"> three core priority areas of getting children to school, adults into work and building safe communities </w:t>
      </w:r>
      <w:r>
        <w:rPr>
          <w:lang w:val="en-GB"/>
        </w:rPr>
        <w:t>are</w:t>
      </w:r>
      <w:r w:rsidRPr="00B30B42">
        <w:rPr>
          <w:lang w:val="en-GB"/>
        </w:rPr>
        <w:t xml:space="preserve"> supported by five programme streams</w:t>
      </w:r>
      <w:r>
        <w:rPr>
          <w:lang w:val="en-GB"/>
        </w:rPr>
        <w:t xml:space="preserve"> one of which is the </w:t>
      </w:r>
      <w:r w:rsidRPr="00B30B42">
        <w:rPr>
          <w:lang w:val="en-GB"/>
        </w:rPr>
        <w:t>Children and Schooling Programme</w:t>
      </w:r>
      <w:r>
        <w:rPr>
          <w:lang w:val="en-GB"/>
        </w:rPr>
        <w:t>.  Under this programme</w:t>
      </w:r>
      <w:r w:rsidRPr="00B30B42">
        <w:rPr>
          <w:lang w:val="en-GB"/>
        </w:rPr>
        <w:t xml:space="preserve"> the IAS funds </w:t>
      </w:r>
      <w:r>
        <w:rPr>
          <w:lang w:val="en-GB"/>
        </w:rPr>
        <w:t>ten</w:t>
      </w:r>
      <w:r w:rsidRPr="00B30B42">
        <w:rPr>
          <w:lang w:val="en-GB"/>
        </w:rPr>
        <w:t xml:space="preserve"> scholarship providers to provide secondary school scholarships for Aboriginal and Torres Strait Islander students.  </w:t>
      </w:r>
      <w:r>
        <w:rPr>
          <w:lang w:val="en-GB"/>
        </w:rPr>
        <w:t>A smaller number of tertiary scholarships are also delivered by some scholarship providers.</w:t>
      </w:r>
    </w:p>
    <w:p w14:paraId="653CD40A" w14:textId="77777777" w:rsidR="002D69E9" w:rsidRDefault="002D69E9" w:rsidP="002D69E9">
      <w:pPr>
        <w:pStyle w:val="PwCNormal"/>
        <w:numPr>
          <w:ilvl w:val="0"/>
          <w:numId w:val="9"/>
        </w:numPr>
        <w:rPr>
          <w:lang w:val="en-GB"/>
        </w:rPr>
      </w:pPr>
      <w:r w:rsidRPr="00B30B42">
        <w:rPr>
          <w:lang w:val="en-GB"/>
        </w:rPr>
        <w:t xml:space="preserve">IAS funded </w:t>
      </w:r>
      <w:r>
        <w:rPr>
          <w:lang w:val="en-GB"/>
        </w:rPr>
        <w:t xml:space="preserve">secondary school </w:t>
      </w:r>
      <w:r w:rsidRPr="00B30B42">
        <w:rPr>
          <w:lang w:val="en-GB"/>
        </w:rPr>
        <w:t xml:space="preserve">scholarships </w:t>
      </w:r>
      <w:r>
        <w:rPr>
          <w:lang w:val="en-GB"/>
        </w:rPr>
        <w:t xml:space="preserve">are intended to </w:t>
      </w:r>
      <w:r w:rsidRPr="00B30B42">
        <w:rPr>
          <w:lang w:val="en-GB"/>
        </w:rPr>
        <w:t>help address geographical impediments (students living in isolated and remote communities where education may be sparse or non-existent)</w:t>
      </w:r>
      <w:r>
        <w:rPr>
          <w:lang w:val="en-GB"/>
        </w:rPr>
        <w:t xml:space="preserve">, access to high quality education providers including boarding schools, </w:t>
      </w:r>
      <w:r w:rsidRPr="00B30B42">
        <w:rPr>
          <w:lang w:val="en-GB"/>
        </w:rPr>
        <w:t xml:space="preserve"> and economic barriers (the costs of attending school) preventing Aboriginal and Torres Strait Islander students attaining </w:t>
      </w:r>
      <w:r>
        <w:rPr>
          <w:lang w:val="en-GB"/>
        </w:rPr>
        <w:t>Y</w:t>
      </w:r>
      <w:r w:rsidRPr="00B30B42">
        <w:rPr>
          <w:lang w:val="en-GB"/>
        </w:rPr>
        <w:t>ear 12 or equivalent qualifications.  In addition scholarship</w:t>
      </w:r>
      <w:r>
        <w:rPr>
          <w:lang w:val="en-GB"/>
        </w:rPr>
        <w:t>s</w:t>
      </w:r>
      <w:r w:rsidRPr="00B30B42">
        <w:rPr>
          <w:lang w:val="en-GB"/>
        </w:rPr>
        <w:t xml:space="preserve"> can play an important role in promoting the importance of education attainment and participation</w:t>
      </w:r>
      <w:r>
        <w:rPr>
          <w:lang w:val="en-GB"/>
        </w:rPr>
        <w:t xml:space="preserve"> and place a priority on leadership development as well as providing a strong platform for future economic participation and career outcomes.</w:t>
      </w:r>
    </w:p>
    <w:p w14:paraId="699F69E8" w14:textId="77777777" w:rsidR="002D69E9" w:rsidRDefault="002D69E9" w:rsidP="002D69E9">
      <w:pPr>
        <w:pStyle w:val="PwCNormal"/>
        <w:numPr>
          <w:ilvl w:val="0"/>
          <w:numId w:val="0"/>
        </w:numPr>
        <w:rPr>
          <w:lang w:val="en-GB"/>
        </w:rPr>
      </w:pPr>
      <w:r>
        <w:rPr>
          <w:lang w:val="en-GB"/>
        </w:rPr>
        <w:t>The department provides funds to support a number of scholarships including:</w:t>
      </w:r>
    </w:p>
    <w:p w14:paraId="23AEE72A" w14:textId="0F284F3A" w:rsidR="002D69E9" w:rsidRDefault="002D69E9" w:rsidP="00DE6C74">
      <w:pPr>
        <w:pStyle w:val="PwCNormal"/>
        <w:numPr>
          <w:ilvl w:val="0"/>
          <w:numId w:val="29"/>
        </w:numPr>
        <w:rPr>
          <w:lang w:val="en-GB"/>
        </w:rPr>
      </w:pPr>
      <w:r>
        <w:rPr>
          <w:lang w:val="en-GB"/>
        </w:rPr>
        <w:t>Non</w:t>
      </w:r>
      <w:r w:rsidR="00744EBB">
        <w:rPr>
          <w:lang w:val="en-GB"/>
        </w:rPr>
        <w:t>-</w:t>
      </w:r>
      <w:r>
        <w:rPr>
          <w:lang w:val="en-GB"/>
        </w:rPr>
        <w:t xml:space="preserve">IAS funded Indigenous Youth Leadership Programme (IYLP) carry over scholarships: </w:t>
      </w:r>
      <w:r w:rsidRPr="00E13A2C">
        <w:rPr>
          <w:lang w:val="en-GB"/>
        </w:rPr>
        <w:t>Allocate</w:t>
      </w:r>
      <w:r>
        <w:rPr>
          <w:lang w:val="en-GB"/>
        </w:rPr>
        <w:t>d</w:t>
      </w:r>
      <w:r w:rsidRPr="00E13A2C">
        <w:rPr>
          <w:lang w:val="en-GB"/>
        </w:rPr>
        <w:t xml:space="preserve"> unspent funds identified during the 2012 acquittal to support students commencing in Year 10 in 2014 through to December 2016</w:t>
      </w:r>
      <w:r>
        <w:rPr>
          <w:lang w:val="en-GB"/>
        </w:rPr>
        <w:t>.  S</w:t>
      </w:r>
      <w:r w:rsidRPr="00E13A2C">
        <w:rPr>
          <w:lang w:val="en-GB"/>
        </w:rPr>
        <w:t xml:space="preserve">cholarships </w:t>
      </w:r>
      <w:r>
        <w:rPr>
          <w:lang w:val="en-GB"/>
        </w:rPr>
        <w:t>under these agreements were</w:t>
      </w:r>
      <w:r w:rsidRPr="00E13A2C">
        <w:rPr>
          <w:lang w:val="en-GB"/>
        </w:rPr>
        <w:t xml:space="preserve"> of 3 year</w:t>
      </w:r>
      <w:r>
        <w:rPr>
          <w:lang w:val="en-GB"/>
        </w:rPr>
        <w:t>s</w:t>
      </w:r>
      <w:r w:rsidRPr="00E13A2C">
        <w:rPr>
          <w:lang w:val="en-GB"/>
        </w:rPr>
        <w:t xml:space="preserve"> duration</w:t>
      </w:r>
      <w:r>
        <w:rPr>
          <w:lang w:val="en-GB"/>
        </w:rPr>
        <w:t>.</w:t>
      </w:r>
    </w:p>
    <w:p w14:paraId="07E6EFBB" w14:textId="77777777" w:rsidR="002D69E9" w:rsidRDefault="002D69E9" w:rsidP="00DE6C74">
      <w:pPr>
        <w:pStyle w:val="PwCNormal"/>
        <w:numPr>
          <w:ilvl w:val="0"/>
          <w:numId w:val="29"/>
        </w:numPr>
        <w:rPr>
          <w:lang w:val="en-GB"/>
        </w:rPr>
      </w:pPr>
      <w:r>
        <w:rPr>
          <w:lang w:val="en-GB"/>
        </w:rPr>
        <w:t>IAS funded IYLP legacy project: P</w:t>
      </w:r>
      <w:r w:rsidRPr="00E13A2C">
        <w:rPr>
          <w:lang w:val="en-GB"/>
        </w:rPr>
        <w:t>rovide</w:t>
      </w:r>
      <w:r>
        <w:rPr>
          <w:lang w:val="en-GB"/>
        </w:rPr>
        <w:t>d</w:t>
      </w:r>
      <w:r w:rsidRPr="00E13A2C">
        <w:rPr>
          <w:lang w:val="en-GB"/>
        </w:rPr>
        <w:t xml:space="preserve"> support to scholars who commenced a program </w:t>
      </w:r>
      <w:r>
        <w:rPr>
          <w:lang w:val="en-GB"/>
        </w:rPr>
        <w:t xml:space="preserve">but had yet to complete their secondary school studies </w:t>
      </w:r>
      <w:r w:rsidRPr="00E13A2C">
        <w:rPr>
          <w:lang w:val="en-GB"/>
        </w:rPr>
        <w:t xml:space="preserve">under the previous IYLP to attain </w:t>
      </w:r>
      <w:r>
        <w:rPr>
          <w:lang w:val="en-GB"/>
        </w:rPr>
        <w:t>a Y</w:t>
      </w:r>
      <w:r w:rsidRPr="00E13A2C">
        <w:rPr>
          <w:lang w:val="en-GB"/>
        </w:rPr>
        <w:t xml:space="preserve">ear 12 </w:t>
      </w:r>
      <w:r>
        <w:rPr>
          <w:lang w:val="en-GB"/>
        </w:rPr>
        <w:t>or equivalent qualification</w:t>
      </w:r>
      <w:r w:rsidRPr="00E13A2C">
        <w:rPr>
          <w:lang w:val="en-GB"/>
        </w:rPr>
        <w:t>.</w:t>
      </w:r>
    </w:p>
    <w:p w14:paraId="4187989F" w14:textId="77777777" w:rsidR="002D69E9" w:rsidRDefault="002D69E9" w:rsidP="00DE6C74">
      <w:pPr>
        <w:pStyle w:val="PwCNormal"/>
        <w:numPr>
          <w:ilvl w:val="0"/>
          <w:numId w:val="29"/>
        </w:numPr>
        <w:rPr>
          <w:lang w:val="en-GB"/>
        </w:rPr>
      </w:pPr>
      <w:r>
        <w:rPr>
          <w:lang w:val="en-GB"/>
        </w:rPr>
        <w:t>IAS funding round which allocated funds as follows:</w:t>
      </w:r>
    </w:p>
    <w:p w14:paraId="09F6F4BD" w14:textId="77777777" w:rsidR="002D69E9" w:rsidRDefault="002D69E9" w:rsidP="00DE6C74">
      <w:pPr>
        <w:pStyle w:val="PwCNormal"/>
        <w:numPr>
          <w:ilvl w:val="1"/>
          <w:numId w:val="29"/>
        </w:numPr>
        <w:ind w:left="709" w:hanging="283"/>
        <w:rPr>
          <w:lang w:val="en-GB"/>
        </w:rPr>
      </w:pPr>
      <w:r>
        <w:rPr>
          <w:lang w:val="en-GB"/>
        </w:rPr>
        <w:t>A competitive grant round where previously funded IYLP scholarship providers were invited to make submissions for scholarship funding</w:t>
      </w:r>
    </w:p>
    <w:p w14:paraId="6217BC7E" w14:textId="77777777" w:rsidR="002D69E9" w:rsidRDefault="002D69E9" w:rsidP="00DE6C74">
      <w:pPr>
        <w:pStyle w:val="PwCNormal"/>
        <w:numPr>
          <w:ilvl w:val="1"/>
          <w:numId w:val="29"/>
        </w:numPr>
        <w:ind w:left="709" w:hanging="283"/>
        <w:rPr>
          <w:lang w:val="en-GB"/>
        </w:rPr>
      </w:pPr>
      <w:r>
        <w:rPr>
          <w:lang w:val="en-GB"/>
        </w:rPr>
        <w:t>the Wunan Foundation</w:t>
      </w:r>
    </w:p>
    <w:p w14:paraId="43A712B4" w14:textId="298ABA49" w:rsidR="002D69E9" w:rsidRDefault="002D69E9" w:rsidP="00DE6C74">
      <w:pPr>
        <w:pStyle w:val="PwCNormal"/>
        <w:numPr>
          <w:ilvl w:val="1"/>
          <w:numId w:val="29"/>
        </w:numPr>
        <w:ind w:left="709" w:hanging="283"/>
        <w:rPr>
          <w:lang w:val="en-GB"/>
        </w:rPr>
      </w:pPr>
      <w:r>
        <w:rPr>
          <w:lang w:val="en-GB"/>
        </w:rPr>
        <w:t>Australian Indigenous Education Foundation (AIEF)</w:t>
      </w:r>
      <w:r w:rsidR="00744EBB">
        <w:rPr>
          <w:lang w:val="en-GB"/>
        </w:rPr>
        <w:t>.</w:t>
      </w:r>
    </w:p>
    <w:p w14:paraId="7B855090" w14:textId="77777777" w:rsidR="002D69E9" w:rsidRDefault="002D69E9" w:rsidP="002D69E9">
      <w:pPr>
        <w:pStyle w:val="PwCNormal"/>
        <w:numPr>
          <w:ilvl w:val="0"/>
          <w:numId w:val="0"/>
        </w:numPr>
        <w:rPr>
          <w:lang w:val="en-GB"/>
        </w:rPr>
      </w:pPr>
      <w:r>
        <w:rPr>
          <w:lang w:val="en-GB"/>
        </w:rPr>
        <w:lastRenderedPageBreak/>
        <w:fldChar w:fldCharType="begin"/>
      </w:r>
      <w:r>
        <w:rPr>
          <w:lang w:val="en-GB"/>
        </w:rPr>
        <w:instrText xml:space="preserve"> REF _Ref476059620 \h </w:instrText>
      </w:r>
      <w:r>
        <w:rPr>
          <w:lang w:val="en-GB"/>
        </w:rPr>
      </w:r>
      <w:r>
        <w:rPr>
          <w:lang w:val="en-GB"/>
        </w:rPr>
        <w:fldChar w:fldCharType="separate"/>
      </w:r>
      <w:r w:rsidR="009C78D7">
        <w:t xml:space="preserve">Figure </w:t>
      </w:r>
      <w:r w:rsidR="009C78D7">
        <w:rPr>
          <w:noProof/>
        </w:rPr>
        <w:t>1</w:t>
      </w:r>
      <w:r>
        <w:rPr>
          <w:lang w:val="en-GB"/>
        </w:rPr>
        <w:fldChar w:fldCharType="end"/>
      </w:r>
      <w:r>
        <w:rPr>
          <w:lang w:val="en-GB"/>
        </w:rPr>
        <w:t xml:space="preserve"> provides a summary of IAS funded secondary school scholarships including the scholarship providers.</w:t>
      </w:r>
    </w:p>
    <w:p w14:paraId="4470A7F6" w14:textId="3EF14007" w:rsidR="002D69E9" w:rsidRDefault="002D69E9" w:rsidP="002D69E9">
      <w:pPr>
        <w:pStyle w:val="Caption"/>
      </w:pPr>
      <w:bookmarkStart w:id="13" w:name="_Ref476059620"/>
      <w:r>
        <w:t xml:space="preserve">Figure </w:t>
      </w:r>
      <w:fldSimple w:instr=" SEQ Figure \* ARABIC ">
        <w:r w:rsidR="009C78D7">
          <w:rPr>
            <w:noProof/>
          </w:rPr>
          <w:t>1</w:t>
        </w:r>
      </w:fldSimple>
      <w:bookmarkEnd w:id="13"/>
      <w:r>
        <w:t xml:space="preserve"> Department Funded Secondary School Scholarships</w:t>
      </w:r>
    </w:p>
    <w:p w14:paraId="30E867C1" w14:textId="77777777" w:rsidR="002D69E9" w:rsidRPr="00DD2494" w:rsidRDefault="002D69E9" w:rsidP="002D69E9">
      <w:r w:rsidRPr="00ED0F37">
        <w:rPr>
          <w:noProof/>
          <w:lang w:eastAsia="en-AU"/>
        </w:rPr>
        <w:drawing>
          <wp:inline distT="0" distB="0" distL="0" distR="0" wp14:anchorId="10F67070" wp14:editId="0A0A991A">
            <wp:extent cx="4729654" cy="3924616"/>
            <wp:effectExtent l="0" t="0" r="0" b="0"/>
            <wp:docPr id="288" name="Picture 288" descr="Provides a summary of the types of scholarship funded by the department including the scholarship providers for each." title="Department Funded Secondary School Scholar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735092" cy="3929128"/>
                    </a:xfrm>
                    <a:prstGeom prst="rect">
                      <a:avLst/>
                    </a:prstGeom>
                    <a:noFill/>
                    <a:ln>
                      <a:noFill/>
                    </a:ln>
                  </pic:spPr>
                </pic:pic>
              </a:graphicData>
            </a:graphic>
          </wp:inline>
        </w:drawing>
      </w:r>
    </w:p>
    <w:p w14:paraId="5EE1135B" w14:textId="77777777" w:rsidR="002D69E9" w:rsidRDefault="002D69E9" w:rsidP="002D69E9">
      <w:pPr>
        <w:pStyle w:val="PwCNormal"/>
        <w:numPr>
          <w:ilvl w:val="0"/>
          <w:numId w:val="0"/>
        </w:numPr>
        <w:rPr>
          <w:lang w:val="en-GB"/>
        </w:rPr>
      </w:pPr>
    </w:p>
    <w:p w14:paraId="7BB06565" w14:textId="77777777" w:rsidR="002D69E9" w:rsidRDefault="002D69E9" w:rsidP="002D69E9">
      <w:pPr>
        <w:pStyle w:val="Heading6"/>
        <w:numPr>
          <w:ilvl w:val="0"/>
          <w:numId w:val="0"/>
        </w:numPr>
        <w:ind w:left="850" w:hanging="850"/>
        <w:rPr>
          <w:lang w:val="en-GB"/>
        </w:rPr>
      </w:pPr>
      <w:r>
        <w:rPr>
          <w:lang w:val="en-GB"/>
        </w:rPr>
        <w:t>About the review</w:t>
      </w:r>
    </w:p>
    <w:p w14:paraId="392EBDA4" w14:textId="77777777" w:rsidR="002D69E9" w:rsidRDefault="002D69E9" w:rsidP="002D69E9">
      <w:pPr>
        <w:pStyle w:val="PwCNormal"/>
        <w:numPr>
          <w:ilvl w:val="0"/>
          <w:numId w:val="0"/>
        </w:numPr>
        <w:rPr>
          <w:lang w:val="en-GB"/>
        </w:rPr>
      </w:pPr>
      <w:r>
        <w:rPr>
          <w:lang w:val="en-GB"/>
        </w:rPr>
        <w:t xml:space="preserve">The </w:t>
      </w:r>
      <w:r w:rsidRPr="00357D13">
        <w:rPr>
          <w:i/>
          <w:lang w:val="en-GB"/>
        </w:rPr>
        <w:t>Closing the Gap Prime Minister’s Report 2017</w:t>
      </w:r>
      <w:r>
        <w:rPr>
          <w:lang w:val="en-GB"/>
        </w:rPr>
        <w:t xml:space="preserve"> indicates that progress is being made on improving Year 12 or equivalent attainment by Aboriginal and Torres Strait Islander young people as set out in </w:t>
      </w:r>
      <w:r>
        <w:rPr>
          <w:lang w:val="en-GB"/>
        </w:rPr>
        <w:fldChar w:fldCharType="begin"/>
      </w:r>
      <w:r>
        <w:rPr>
          <w:lang w:val="en-GB"/>
        </w:rPr>
        <w:instrText xml:space="preserve"> REF _Ref476125925 \h </w:instrText>
      </w:r>
      <w:r>
        <w:rPr>
          <w:lang w:val="en-GB"/>
        </w:rPr>
      </w:r>
      <w:r>
        <w:rPr>
          <w:lang w:val="en-GB"/>
        </w:rPr>
        <w:fldChar w:fldCharType="separate"/>
      </w:r>
      <w:r w:rsidR="009C78D7">
        <w:t xml:space="preserve">Figure </w:t>
      </w:r>
      <w:r w:rsidR="009C78D7">
        <w:rPr>
          <w:noProof/>
        </w:rPr>
        <w:t>2</w:t>
      </w:r>
      <w:r>
        <w:rPr>
          <w:lang w:val="en-GB"/>
        </w:rPr>
        <w:fldChar w:fldCharType="end"/>
      </w:r>
      <w:r>
        <w:rPr>
          <w:lang w:val="en-GB"/>
        </w:rPr>
        <w:t xml:space="preserve">.  </w:t>
      </w:r>
    </w:p>
    <w:p w14:paraId="512E106C" w14:textId="1291C06C" w:rsidR="002D69E9" w:rsidRDefault="002D69E9" w:rsidP="002D69E9">
      <w:pPr>
        <w:pStyle w:val="Caption"/>
        <w:rPr>
          <w:lang w:val="en-GB"/>
        </w:rPr>
      </w:pPr>
      <w:bookmarkStart w:id="14" w:name="_Ref476125925"/>
      <w:r>
        <w:t xml:space="preserve">Figure </w:t>
      </w:r>
      <w:fldSimple w:instr=" SEQ Figure \* ARABIC ">
        <w:r w:rsidR="009C78D7">
          <w:rPr>
            <w:noProof/>
          </w:rPr>
          <w:t>2</w:t>
        </w:r>
      </w:fldSimple>
      <w:bookmarkEnd w:id="14"/>
      <w:r w:rsidRPr="002A4FA6">
        <w:t xml:space="preserve"> </w:t>
      </w:r>
      <w:r>
        <w:t>Proportion of Indigenous 20-24 year olds with Year 12 or equivalent attainment, by state/territory, 2008 and 2014-15</w:t>
      </w:r>
    </w:p>
    <w:p w14:paraId="6F38E2E3" w14:textId="77777777" w:rsidR="002D69E9" w:rsidRPr="000E6C56" w:rsidRDefault="002D69E9" w:rsidP="002D69E9">
      <w:pPr>
        <w:pStyle w:val="PwCNormal"/>
        <w:numPr>
          <w:ilvl w:val="0"/>
          <w:numId w:val="0"/>
        </w:numPr>
        <w:rPr>
          <w:lang w:val="en-GB"/>
        </w:rPr>
      </w:pPr>
      <w:r>
        <w:rPr>
          <w:noProof/>
          <w:snapToGrid/>
          <w:lang w:eastAsia="en-AU"/>
        </w:rPr>
        <w:drawing>
          <wp:inline distT="0" distB="0" distL="0" distR="0" wp14:anchorId="26062873" wp14:editId="51DB8693">
            <wp:extent cx="4038600" cy="2590800"/>
            <wp:effectExtent l="0" t="0" r="0" b="0"/>
            <wp:docPr id="41" name="Chart 41" descr="NSW: 2008 - 43.1%, 2014-15 - 62.7%&#10;VIC: 2008 - 57.6%, 2014-15 - 62.7%&#10;QLD: 2008 - 52.9%, 2014-15 - 67.5%&#10;SA: 2008 - 53.6%, 2014-15 - 81%&#10;WA: 2008 - 43%, 2014-15 - 58.4%&#10;TAS: 2008 - 55.6%, 2014-15 - 76.4%&#10;NT: 2008 - 23.6%, 2014-15 - 29.7%&#10;ACT: 2008 - 56.6%, 2014-15 - 82.7%&#10;Australia: 2008 - 45.4%, 2014-15 - 61.5%" title="Figure 2 Proportion of Indigenous 20-24 year olds with Year 12 or equivalent attinment, by state/territory, 2008 and 201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650EA1" w14:textId="77777777" w:rsidR="002D69E9" w:rsidRDefault="002D69E9" w:rsidP="002D69E9">
      <w:pPr>
        <w:pStyle w:val="BodyText"/>
        <w:spacing w:after="0"/>
      </w:pPr>
      <w:r>
        <w:lastRenderedPageBreak/>
        <w:t xml:space="preserve">Scholarship </w:t>
      </w:r>
      <w:r w:rsidRPr="00B30B42">
        <w:t xml:space="preserve">projects funded </w:t>
      </w:r>
      <w:r>
        <w:t>by the IAS</w:t>
      </w:r>
      <w:r w:rsidRPr="00B30B42">
        <w:t xml:space="preserve"> have reported high completion rates</w:t>
      </w:r>
      <w:r>
        <w:t>.  A</w:t>
      </w:r>
      <w:r w:rsidRPr="00B30B42">
        <w:t xml:space="preserve"> review of </w:t>
      </w:r>
      <w:r>
        <w:t>the projects was</w:t>
      </w:r>
      <w:r w:rsidRPr="00B30B42">
        <w:t xml:space="preserve"> required to assist with developing a comprehensive picture of the reach and achievements of the </w:t>
      </w:r>
      <w:r>
        <w:t>IAS funded scholarships and the contribution of these scholarships to improving attainment</w:t>
      </w:r>
      <w:r w:rsidRPr="00B30B42">
        <w:t xml:space="preserve">.  </w:t>
      </w:r>
    </w:p>
    <w:p w14:paraId="63EF338B" w14:textId="77777777" w:rsidR="002D69E9" w:rsidRDefault="002D69E9" w:rsidP="002D69E9">
      <w:pPr>
        <w:pStyle w:val="BodyText"/>
        <w:spacing w:after="0"/>
      </w:pPr>
    </w:p>
    <w:p w14:paraId="6A993B7A" w14:textId="77777777" w:rsidR="002D69E9" w:rsidRDefault="002D69E9" w:rsidP="002D69E9">
      <w:pPr>
        <w:pStyle w:val="BodyText"/>
        <w:spacing w:after="0"/>
      </w:pPr>
      <w:r>
        <w:t>It is in this context that this eight week review comprised two distinct components:</w:t>
      </w:r>
    </w:p>
    <w:p w14:paraId="138BAB50" w14:textId="77777777" w:rsidR="002D69E9" w:rsidRDefault="002D69E9" w:rsidP="002D69E9">
      <w:pPr>
        <w:pStyle w:val="BodyText"/>
        <w:spacing w:after="0"/>
      </w:pPr>
    </w:p>
    <w:p w14:paraId="7037D66E" w14:textId="18741EF7" w:rsidR="002D69E9" w:rsidRDefault="002D69E9" w:rsidP="002D69E9">
      <w:pPr>
        <w:pStyle w:val="ChapterNumberedList1"/>
        <w:spacing w:after="0"/>
      </w:pPr>
      <w:r>
        <w:t>build</w:t>
      </w:r>
      <w:r w:rsidR="004E230C">
        <w:t>ing</w:t>
      </w:r>
      <w:r>
        <w:t xml:space="preserve"> </w:t>
      </w:r>
      <w:r w:rsidRPr="001D1342">
        <w:t>a</w:t>
      </w:r>
      <w:r>
        <w:t>s</w:t>
      </w:r>
      <w:r w:rsidRPr="001D1342">
        <w:t xml:space="preserve"> comprehensive </w:t>
      </w:r>
      <w:r>
        <w:t xml:space="preserve">a </w:t>
      </w:r>
      <w:r w:rsidRPr="001D1342">
        <w:t xml:space="preserve">picture </w:t>
      </w:r>
      <w:r>
        <w:t xml:space="preserve">as possible </w:t>
      </w:r>
      <w:r w:rsidRPr="001D1342">
        <w:t xml:space="preserve">of </w:t>
      </w:r>
      <w:r>
        <w:t>funded</w:t>
      </w:r>
      <w:r w:rsidRPr="001D1342">
        <w:t xml:space="preserve"> activity with specific lines of inquiry focused on:</w:t>
      </w:r>
    </w:p>
    <w:p w14:paraId="292A26E9" w14:textId="77777777" w:rsidR="002D69E9" w:rsidRPr="001D1342" w:rsidRDefault="002D69E9" w:rsidP="002D69E9">
      <w:pPr>
        <w:pStyle w:val="ChapterNumberedList1"/>
        <w:numPr>
          <w:ilvl w:val="0"/>
          <w:numId w:val="0"/>
        </w:numPr>
        <w:spacing w:after="0"/>
        <w:ind w:left="567"/>
      </w:pPr>
    </w:p>
    <w:p w14:paraId="51237051" w14:textId="77777777" w:rsidR="002D69E9" w:rsidRPr="001D1342" w:rsidRDefault="002D69E9" w:rsidP="002D69E9">
      <w:pPr>
        <w:pStyle w:val="ListBullet2"/>
        <w:tabs>
          <w:tab w:val="clear" w:pos="1134"/>
          <w:tab w:val="num" w:pos="567"/>
        </w:tabs>
        <w:ind w:left="567"/>
      </w:pPr>
      <w:r w:rsidRPr="001D1342">
        <w:t>administration and delivery</w:t>
      </w:r>
    </w:p>
    <w:p w14:paraId="5798ABB1" w14:textId="77777777" w:rsidR="002D69E9" w:rsidRPr="001D1342" w:rsidRDefault="002D69E9" w:rsidP="002D69E9">
      <w:pPr>
        <w:pStyle w:val="ListBullet2"/>
        <w:tabs>
          <w:tab w:val="clear" w:pos="1134"/>
          <w:tab w:val="num" w:pos="567"/>
        </w:tabs>
        <w:ind w:left="567"/>
      </w:pPr>
      <w:r w:rsidRPr="001D1342">
        <w:t>student application and selection processes</w:t>
      </w:r>
    </w:p>
    <w:p w14:paraId="16FF7E18" w14:textId="77777777" w:rsidR="002D69E9" w:rsidRPr="001D1342" w:rsidRDefault="002D69E9" w:rsidP="002D69E9">
      <w:pPr>
        <w:pStyle w:val="ListBullet2"/>
        <w:tabs>
          <w:tab w:val="clear" w:pos="1134"/>
          <w:tab w:val="num" w:pos="567"/>
        </w:tabs>
        <w:ind w:left="567"/>
      </w:pPr>
      <w:r w:rsidRPr="001D1342">
        <w:t>evidence of current and future need</w:t>
      </w:r>
    </w:p>
    <w:p w14:paraId="62951B8F" w14:textId="41BE1569" w:rsidR="002D69E9" w:rsidRPr="001D1342" w:rsidRDefault="002D69E9" w:rsidP="002D69E9">
      <w:pPr>
        <w:pStyle w:val="ListBullet2"/>
        <w:tabs>
          <w:tab w:val="clear" w:pos="1134"/>
          <w:tab w:val="num" w:pos="567"/>
        </w:tabs>
        <w:ind w:left="567"/>
      </w:pPr>
      <w:r w:rsidRPr="001D1342">
        <w:t>costs</w:t>
      </w:r>
      <w:r>
        <w:t xml:space="preserve"> </w:t>
      </w:r>
      <w:r w:rsidRPr="001D1342">
        <w:t>(this includes an assessment of value for money including level of co-investment in scholarships and various cost drivers including school type and student characteristics)</w:t>
      </w:r>
    </w:p>
    <w:p w14:paraId="0D4F29AC" w14:textId="77777777" w:rsidR="002D69E9" w:rsidRDefault="002D69E9" w:rsidP="002D69E9">
      <w:pPr>
        <w:pStyle w:val="ListBullet2"/>
        <w:tabs>
          <w:tab w:val="clear" w:pos="1134"/>
          <w:tab w:val="num" w:pos="567"/>
        </w:tabs>
        <w:ind w:left="567"/>
      </w:pPr>
      <w:r>
        <w:t>impact and outcomes.</w:t>
      </w:r>
    </w:p>
    <w:p w14:paraId="30FE7477" w14:textId="470D6435" w:rsidR="002D69E9" w:rsidRDefault="002D69E9" w:rsidP="002D69E9">
      <w:pPr>
        <w:pStyle w:val="ChapterNumberedList1"/>
        <w:spacing w:after="0"/>
      </w:pPr>
      <w:r>
        <w:t>provid</w:t>
      </w:r>
      <w:r w:rsidR="004E230C">
        <w:t>ing</w:t>
      </w:r>
      <w:r>
        <w:t xml:space="preserve"> advice on </w:t>
      </w:r>
      <w:r w:rsidRPr="001D1342">
        <w:t>data availability and quality. This include</w:t>
      </w:r>
      <w:r w:rsidR="004E230C">
        <w:t>s</w:t>
      </w:r>
      <w:r w:rsidRPr="001D1342">
        <w:t xml:space="preserve"> an assessment of strengths, gaps and opportunities to enhance data collection</w:t>
      </w:r>
      <w:r>
        <w:t>, quality assurance, analysis, storage and sharing</w:t>
      </w:r>
      <w:r w:rsidRPr="001D1342">
        <w:t xml:space="preserve"> in the future.</w:t>
      </w:r>
    </w:p>
    <w:p w14:paraId="2CC6CFED" w14:textId="77777777" w:rsidR="002D69E9" w:rsidRDefault="002D69E9" w:rsidP="002D69E9">
      <w:pPr>
        <w:pStyle w:val="PwCNormal"/>
        <w:numPr>
          <w:ilvl w:val="0"/>
          <w:numId w:val="0"/>
        </w:numPr>
        <w:spacing w:after="0"/>
        <w:rPr>
          <w:lang w:val="en-GB"/>
        </w:rPr>
      </w:pPr>
    </w:p>
    <w:p w14:paraId="7D00CD7E" w14:textId="486C58F1" w:rsidR="00694F0D" w:rsidRDefault="002D69E9" w:rsidP="002D69E9">
      <w:pPr>
        <w:pStyle w:val="PwCNormal"/>
        <w:numPr>
          <w:ilvl w:val="0"/>
          <w:numId w:val="0"/>
        </w:numPr>
        <w:rPr>
          <w:lang w:val="en-GB"/>
        </w:rPr>
      </w:pPr>
      <w:r>
        <w:rPr>
          <w:lang w:val="en-GB"/>
        </w:rPr>
        <w:t xml:space="preserve">Our approach combined desktop analysis, data review and analysis, consultation </w:t>
      </w:r>
      <w:r w:rsidR="00744EBB">
        <w:rPr>
          <w:lang w:val="en-GB"/>
        </w:rPr>
        <w:t>(</w:t>
      </w:r>
      <w:r>
        <w:rPr>
          <w:lang w:val="en-GB"/>
        </w:rPr>
        <w:t xml:space="preserve">particularly with scholarship providers </w:t>
      </w:r>
      <w:r w:rsidR="009A7B00">
        <w:rPr>
          <w:lang w:val="en-GB"/>
        </w:rPr>
        <w:t>and education partners</w:t>
      </w:r>
      <w:r w:rsidR="00744EBB">
        <w:rPr>
          <w:lang w:val="en-GB"/>
        </w:rPr>
        <w:t>),</w:t>
      </w:r>
      <w:r w:rsidR="009A7B00">
        <w:rPr>
          <w:lang w:val="en-GB"/>
        </w:rPr>
        <w:t xml:space="preserve"> </w:t>
      </w:r>
      <w:r>
        <w:rPr>
          <w:lang w:val="en-GB"/>
        </w:rPr>
        <w:t>and the facilitation of a workshop with the department to develop recommendations for future data requirements.</w:t>
      </w:r>
    </w:p>
    <w:p w14:paraId="04A5309A" w14:textId="77777777" w:rsidR="002D69E9" w:rsidRDefault="002D69E9" w:rsidP="002D69E9">
      <w:pPr>
        <w:pStyle w:val="Heading6"/>
        <w:numPr>
          <w:ilvl w:val="0"/>
          <w:numId w:val="0"/>
        </w:numPr>
        <w:ind w:left="850" w:hanging="850"/>
        <w:rPr>
          <w:lang w:val="en-GB"/>
        </w:rPr>
      </w:pPr>
      <w:r>
        <w:rPr>
          <w:lang w:val="en-GB"/>
        </w:rPr>
        <w:t>Overview of scholarship providers</w:t>
      </w:r>
    </w:p>
    <w:p w14:paraId="2618614D" w14:textId="5E5765F0" w:rsidR="00694F0D" w:rsidRDefault="002D69E9" w:rsidP="002D69E9">
      <w:r>
        <w:t>The department provides funds to ten secondary school scholarship providers</w:t>
      </w:r>
      <w:r w:rsidR="00694F0D">
        <w:t xml:space="preserve"> in order to enable Indigenous students to attend high performing schools (i.e. education partners) across the country</w:t>
      </w:r>
      <w:r>
        <w:t>.</w:t>
      </w:r>
      <w:r w:rsidR="00694F0D">
        <w:t xml:space="preserve"> In addition to high performing secondary schools, some scholarship providers have established education partnerships with Registered Training Organisations (RTOs), TAFEs and other tertiary institutions. However, unless otherwise stated, any reference to ‘education partners’ throughout this report refers to the high performing secondary schools which have existing partnerships with the IAS funded scholarship providers.</w:t>
      </w:r>
    </w:p>
    <w:p w14:paraId="55D4E744" w14:textId="77777777" w:rsidR="00694F0D" w:rsidRDefault="00694F0D" w:rsidP="002D69E9"/>
    <w:p w14:paraId="5046426F" w14:textId="67CA2F46" w:rsidR="002D69E9" w:rsidRPr="00407816" w:rsidRDefault="002D69E9" w:rsidP="002D69E9">
      <w:pPr>
        <w:rPr>
          <w:snapToGrid/>
          <w:lang w:val="en-GB"/>
        </w:rPr>
      </w:pPr>
      <w:r w:rsidRPr="00407816">
        <w:rPr>
          <w:lang w:val="en-GB"/>
        </w:rPr>
        <w:t>Following our desktop review, consultation and data analysis</w:t>
      </w:r>
      <w:r w:rsidR="00744EBB">
        <w:rPr>
          <w:lang w:val="en-GB"/>
        </w:rPr>
        <w:t>,</w:t>
      </w:r>
      <w:r w:rsidRPr="00407816">
        <w:rPr>
          <w:lang w:val="en-GB"/>
        </w:rPr>
        <w:t xml:space="preserve"> we have assembled detailed profiles for each funded scholarship provider.  For each scholarship provider the profile provides:</w:t>
      </w:r>
    </w:p>
    <w:p w14:paraId="326F88E5" w14:textId="77777777" w:rsidR="002D69E9" w:rsidRPr="00407816" w:rsidRDefault="002D69E9" w:rsidP="00DE6C74">
      <w:pPr>
        <w:numPr>
          <w:ilvl w:val="0"/>
          <w:numId w:val="32"/>
        </w:numPr>
        <w:spacing w:after="240"/>
        <w:rPr>
          <w:snapToGrid/>
          <w:lang w:val="en-GB"/>
        </w:rPr>
      </w:pPr>
      <w:r w:rsidRPr="00407816">
        <w:rPr>
          <w:lang w:val="en-GB"/>
        </w:rPr>
        <w:t>an organisation overview</w:t>
      </w:r>
    </w:p>
    <w:p w14:paraId="7BE39A98" w14:textId="77777777" w:rsidR="002D69E9" w:rsidRPr="00407816" w:rsidRDefault="002D69E9" w:rsidP="00DE6C74">
      <w:pPr>
        <w:numPr>
          <w:ilvl w:val="0"/>
          <w:numId w:val="32"/>
        </w:numPr>
        <w:spacing w:after="240"/>
        <w:rPr>
          <w:snapToGrid/>
          <w:lang w:val="en-GB"/>
        </w:rPr>
      </w:pPr>
      <w:r w:rsidRPr="00407816">
        <w:rPr>
          <w:lang w:val="en-GB"/>
        </w:rPr>
        <w:t>background and context</w:t>
      </w:r>
    </w:p>
    <w:p w14:paraId="65AEBE84" w14:textId="5CCD4C18" w:rsidR="002D69E9" w:rsidRPr="00407816" w:rsidRDefault="002D69E9" w:rsidP="00DE6C74">
      <w:pPr>
        <w:numPr>
          <w:ilvl w:val="0"/>
          <w:numId w:val="32"/>
        </w:numPr>
        <w:spacing w:after="240"/>
        <w:rPr>
          <w:snapToGrid/>
          <w:lang w:val="en-GB"/>
        </w:rPr>
      </w:pPr>
      <w:r w:rsidRPr="00407816">
        <w:rPr>
          <w:lang w:val="en-GB"/>
        </w:rPr>
        <w:t>an overview of current practice</w:t>
      </w:r>
    </w:p>
    <w:p w14:paraId="62085EC7" w14:textId="77777777" w:rsidR="002D69E9" w:rsidRPr="00407816" w:rsidRDefault="002D69E9" w:rsidP="00DE6C74">
      <w:pPr>
        <w:numPr>
          <w:ilvl w:val="0"/>
          <w:numId w:val="32"/>
        </w:numPr>
        <w:spacing w:after="240"/>
        <w:rPr>
          <w:snapToGrid/>
          <w:lang w:val="en-GB"/>
        </w:rPr>
      </w:pPr>
      <w:r w:rsidRPr="00407816">
        <w:rPr>
          <w:lang w:val="en-GB"/>
        </w:rPr>
        <w:t>other notable funding</w:t>
      </w:r>
      <w:r>
        <w:rPr>
          <w:lang w:val="en-GB"/>
        </w:rPr>
        <w:t>.</w:t>
      </w:r>
    </w:p>
    <w:p w14:paraId="7628D19B" w14:textId="389BFC3B" w:rsidR="002D69E9" w:rsidRPr="00407816" w:rsidRDefault="002D69E9" w:rsidP="002D69E9">
      <w:pPr>
        <w:spacing w:after="240"/>
        <w:rPr>
          <w:snapToGrid/>
          <w:lang w:val="en-GB"/>
        </w:rPr>
      </w:pPr>
      <w:r w:rsidRPr="00407816">
        <w:rPr>
          <w:snapToGrid/>
          <w:lang w:val="en-GB"/>
        </w:rPr>
        <w:t xml:space="preserve">Detailed scholarship provider profiles are provided at </w:t>
      </w:r>
      <w:r w:rsidR="00197BBC">
        <w:rPr>
          <w:snapToGrid/>
          <w:lang w:val="en-GB"/>
        </w:rPr>
        <w:t>Appendix A</w:t>
      </w:r>
      <w:r w:rsidR="003D0871">
        <w:rPr>
          <w:snapToGrid/>
          <w:lang w:val="en-GB"/>
        </w:rPr>
        <w:t>.</w:t>
      </w:r>
    </w:p>
    <w:p w14:paraId="16FE14EE" w14:textId="55F6A49A" w:rsidR="002D69E9" w:rsidRDefault="002D69E9" w:rsidP="002D69E9">
      <w:r>
        <w:t>Scholarship providers are located in Western Australia, South Australia, Victoria, New South Wales and Queensland and reach a student catchment area which include</w:t>
      </w:r>
      <w:r w:rsidR="001E6CBC">
        <w:t>s</w:t>
      </w:r>
      <w:r>
        <w:t xml:space="preserve"> Western Australia, Norther Territory, Queensland, New South Wales, Victoria and South Australia.</w:t>
      </w:r>
    </w:p>
    <w:p w14:paraId="2C75BE69" w14:textId="77777777" w:rsidR="002D69E9" w:rsidRPr="006319F5" w:rsidRDefault="002D69E9" w:rsidP="002D69E9"/>
    <w:p w14:paraId="3C1694B7" w14:textId="0190086E" w:rsidR="002D69E9" w:rsidRDefault="002D69E9" w:rsidP="002D69E9">
      <w:r>
        <w:t xml:space="preserve">While each scholarship provider has unique characteristics and qualities </w:t>
      </w:r>
      <w:r w:rsidR="00965EA3">
        <w:t xml:space="preserve">there are </w:t>
      </w:r>
      <w:r>
        <w:t xml:space="preserve">two dominant approaches to the </w:t>
      </w:r>
      <w:r w:rsidR="00965EA3">
        <w:t xml:space="preserve">administration of </w:t>
      </w:r>
      <w:r>
        <w:t xml:space="preserve">scholarships – a school led model </w:t>
      </w:r>
      <w:r w:rsidR="004E230C">
        <w:t xml:space="preserve">and </w:t>
      </w:r>
      <w:r>
        <w:t xml:space="preserve">a </w:t>
      </w:r>
      <w:r w:rsidR="0020267E">
        <w:t>community/</w:t>
      </w:r>
      <w:r>
        <w:t xml:space="preserve">broker led model.  In very simple terms, a defining feature of the school-led model is that the school </w:t>
      </w:r>
      <w:r>
        <w:lastRenderedPageBreak/>
        <w:t xml:space="preserve">selects and enrols applicants while in the </w:t>
      </w:r>
      <w:r w:rsidR="0020267E">
        <w:t>community/</w:t>
      </w:r>
      <w:r>
        <w:t>broker-led model this process is administered by the scholarship provider.</w:t>
      </w:r>
    </w:p>
    <w:p w14:paraId="495410C3" w14:textId="77777777" w:rsidR="002D69E9" w:rsidRDefault="002D69E9" w:rsidP="002D69E9"/>
    <w:p w14:paraId="3913F257" w14:textId="77777777" w:rsidR="002D69E9" w:rsidRDefault="002D69E9" w:rsidP="002D69E9">
      <w:r>
        <w:t xml:space="preserve">Consultations were held with all ten scholarship providers, comprising a combination of face to face and teleconference interviews.  Key themes from the consultations against each line of inquiry are outlined in </w:t>
      </w:r>
      <w:r>
        <w:fldChar w:fldCharType="begin"/>
      </w:r>
      <w:r>
        <w:instrText xml:space="preserve"> REF _Ref481562838 \h </w:instrText>
      </w:r>
      <w:r>
        <w:fldChar w:fldCharType="separate"/>
      </w:r>
      <w:r w:rsidR="009C78D7">
        <w:t xml:space="preserve">Figure </w:t>
      </w:r>
      <w:r w:rsidR="009C78D7">
        <w:rPr>
          <w:noProof/>
        </w:rPr>
        <w:t>3</w:t>
      </w:r>
      <w:r>
        <w:fldChar w:fldCharType="end"/>
      </w:r>
      <w:r>
        <w:t>.  A detailed summary is provided in section 2.6.</w:t>
      </w:r>
    </w:p>
    <w:p w14:paraId="4D44C3DA" w14:textId="77777777" w:rsidR="002D69E9" w:rsidRDefault="002D69E9" w:rsidP="002D69E9">
      <w:pPr>
        <w:pStyle w:val="PwCNormal"/>
        <w:numPr>
          <w:ilvl w:val="0"/>
          <w:numId w:val="0"/>
        </w:numPr>
      </w:pPr>
    </w:p>
    <w:p w14:paraId="621A70A3" w14:textId="05D4E608" w:rsidR="002D69E9" w:rsidRPr="00D76B81" w:rsidRDefault="002D69E9" w:rsidP="002D69E9">
      <w:pPr>
        <w:pStyle w:val="Caption"/>
      </w:pPr>
      <w:bookmarkStart w:id="15" w:name="_Ref481562838"/>
      <w:r>
        <w:t xml:space="preserve">Figure </w:t>
      </w:r>
      <w:fldSimple w:instr=" SEQ Figure \* ARABIC ">
        <w:r w:rsidR="009C78D7">
          <w:rPr>
            <w:noProof/>
          </w:rPr>
          <w:t>3</w:t>
        </w:r>
      </w:fldSimple>
      <w:bookmarkEnd w:id="15"/>
      <w:r>
        <w:t xml:space="preserve"> High level summary of consultation themes</w:t>
      </w:r>
    </w:p>
    <w:p w14:paraId="2B601361" w14:textId="77777777" w:rsidR="002D69E9" w:rsidRDefault="002D69E9" w:rsidP="002D69E9">
      <w:r w:rsidRPr="00C43C38">
        <w:rPr>
          <w:noProof/>
          <w:lang w:eastAsia="en-AU"/>
        </w:rPr>
        <w:drawing>
          <wp:inline distT="0" distB="0" distL="0" distR="0" wp14:anchorId="29DB5017" wp14:editId="6B284066">
            <wp:extent cx="5739293" cy="3047300"/>
            <wp:effectExtent l="0" t="0" r="0" b="1270"/>
            <wp:docPr id="110" name="Picture 110" descr="Provides a summary of consultation provided in full in Table 5 (Section 2)." title="High level summary of consultation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72963" cy="3065177"/>
                    </a:xfrm>
                    <a:prstGeom prst="rect">
                      <a:avLst/>
                    </a:prstGeom>
                    <a:noFill/>
                    <a:ln>
                      <a:noFill/>
                    </a:ln>
                  </pic:spPr>
                </pic:pic>
              </a:graphicData>
            </a:graphic>
          </wp:inline>
        </w:drawing>
      </w:r>
    </w:p>
    <w:p w14:paraId="1FD434E0" w14:textId="77777777" w:rsidR="002D69E9" w:rsidRDefault="002D69E9" w:rsidP="002D69E9">
      <w:pPr>
        <w:pStyle w:val="PwCNormal"/>
        <w:numPr>
          <w:ilvl w:val="0"/>
          <w:numId w:val="9"/>
        </w:numPr>
      </w:pPr>
    </w:p>
    <w:p w14:paraId="2AFD378A" w14:textId="562FC6FF" w:rsidR="002D69E9" w:rsidRPr="00802331" w:rsidRDefault="002D69E9" w:rsidP="002D69E9">
      <w:pPr>
        <w:pStyle w:val="PwCNormal"/>
        <w:numPr>
          <w:ilvl w:val="0"/>
          <w:numId w:val="0"/>
        </w:numPr>
      </w:pPr>
      <w:r w:rsidRPr="00802331">
        <w:t>The education partner survey and consultations demonstrated that the majority of respondents view the IAS funded scholarships positively. A summary of their survey responses to key assertions relating to the scholarships (and their relationships with scholarship providers) is provided below.</w:t>
      </w:r>
      <w:r w:rsidR="00744EBB">
        <w:t xml:space="preserve"> It is important to acknowledge that not all education partners participated in the survey. Therefore, the following table provides a snapshot of perceptions based on the feedback received from the survey respondents.</w:t>
      </w:r>
    </w:p>
    <w:p w14:paraId="4F486B85" w14:textId="77777777" w:rsidR="002D69E9" w:rsidRDefault="002D69E9" w:rsidP="002D69E9">
      <w:pPr>
        <w:pStyle w:val="Caption"/>
      </w:pPr>
      <w:r>
        <w:t xml:space="preserve">Table </w:t>
      </w:r>
      <w:fldSimple w:instr=" SEQ Table \* ARABIC ">
        <w:r w:rsidR="009C78D7">
          <w:rPr>
            <w:noProof/>
          </w:rPr>
          <w:t>1</w:t>
        </w:r>
      </w:fldSimple>
      <w:r>
        <w:t>: Summary of education partner perceptions of the IAS funded scholarships</w:t>
      </w:r>
    </w:p>
    <w:tbl>
      <w:tblPr>
        <w:tblStyle w:val="ListTable3-Accent11"/>
        <w:tblW w:w="9033" w:type="dxa"/>
        <w:tblLayout w:type="fixed"/>
        <w:tblLook w:val="04A0" w:firstRow="1" w:lastRow="0" w:firstColumn="1" w:lastColumn="0" w:noHBand="0" w:noVBand="1"/>
        <w:tblCaption w:val="Table 1: Summary of education partner perceptions of the IAS funded scholarships"/>
        <w:tblDescription w:val="Assertion - Administration of scholarships supports recipient to complete their education: Inadequate 0%, Somewhat inadequate 3.8%, Neutral 5.7%, Some Extent 30.2% and Great Extent 60.4%&#10;&#10;Assertion – Scholarships are targeting the students most in need: Inadequate 0%, Somewhat inadequate 5.7%, Neutral 15.1%, Some Extent 39.6% and Great Extent 39.6%&#10;&#10;Assertion – Recipients are making the most of the opportunities at their respective schools: Inadequate 0%, Somewhat inadequate 3.8%, Neutral 7.5%, Some Extent 20.8% and Great Extent 67.9%&#10;&#10;Assertion – Scholarships have assisted recipients to complete Year 12: Inadequate 0%, Somewhat inadequate 0%, Neutral 11.3%, Some Extent 26.4% and Great Extent 62.3%&#10;&#10;Assertion – Current funding is sufficient to support recipients to complete their education: Inadequate 7.5%, Somewhat inadequate 5.7%, Neutral 1.9%, Some Extent 28.3% and Great Extent 56.6%"/>
      </w:tblPr>
      <w:tblGrid>
        <w:gridCol w:w="2454"/>
        <w:gridCol w:w="1315"/>
        <w:gridCol w:w="1316"/>
        <w:gridCol w:w="1316"/>
        <w:gridCol w:w="1316"/>
        <w:gridCol w:w="1316"/>
      </w:tblGrid>
      <w:tr w:rsidR="002D69E9" w:rsidRPr="001A33DB" w14:paraId="52A355E6" w14:textId="77777777" w:rsidTr="002F1AC5">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100" w:firstRow="0" w:lastRow="0" w:firstColumn="1" w:lastColumn="0" w:oddVBand="0" w:evenVBand="0" w:oddHBand="0" w:evenHBand="0" w:firstRowFirstColumn="1" w:firstRowLastColumn="0" w:lastRowFirstColumn="0" w:lastRowLastColumn="0"/>
            <w:tcW w:w="2454" w:type="dxa"/>
            <w:vAlign w:val="center"/>
          </w:tcPr>
          <w:p w14:paraId="2851A49C" w14:textId="77777777" w:rsidR="002D69E9" w:rsidRPr="001A33DB" w:rsidRDefault="002D69E9" w:rsidP="00B54A8B">
            <w:pPr>
              <w:rPr>
                <w:sz w:val="18"/>
              </w:rPr>
            </w:pPr>
            <w:r w:rsidRPr="001A33DB">
              <w:rPr>
                <w:sz w:val="18"/>
              </w:rPr>
              <w:t>Assertion</w:t>
            </w:r>
          </w:p>
        </w:tc>
        <w:tc>
          <w:tcPr>
            <w:tcW w:w="1315" w:type="dxa"/>
            <w:vAlign w:val="center"/>
          </w:tcPr>
          <w:p w14:paraId="5F24BF99" w14:textId="77777777" w:rsidR="002D69E9" w:rsidRPr="001A33DB" w:rsidRDefault="002D69E9" w:rsidP="00B54A8B">
            <w:pPr>
              <w:jc w:val="center"/>
              <w:cnfStyle w:val="100000000000" w:firstRow="1" w:lastRow="0" w:firstColumn="0" w:lastColumn="0" w:oddVBand="0" w:evenVBand="0" w:oddHBand="0" w:evenHBand="0" w:firstRowFirstColumn="0" w:firstRowLastColumn="0" w:lastRowFirstColumn="0" w:lastRowLastColumn="0"/>
              <w:rPr>
                <w:sz w:val="18"/>
              </w:rPr>
            </w:pPr>
            <w:r w:rsidRPr="001A33DB">
              <w:rPr>
                <w:sz w:val="18"/>
              </w:rPr>
              <w:t>Inadequate</w:t>
            </w:r>
          </w:p>
        </w:tc>
        <w:tc>
          <w:tcPr>
            <w:tcW w:w="1316" w:type="dxa"/>
            <w:vAlign w:val="center"/>
          </w:tcPr>
          <w:p w14:paraId="1FD74300" w14:textId="77777777" w:rsidR="002D69E9" w:rsidRPr="001A33DB" w:rsidRDefault="002D69E9" w:rsidP="00B54A8B">
            <w:pPr>
              <w:jc w:val="center"/>
              <w:cnfStyle w:val="100000000000" w:firstRow="1" w:lastRow="0" w:firstColumn="0" w:lastColumn="0" w:oddVBand="0" w:evenVBand="0" w:oddHBand="0" w:evenHBand="0" w:firstRowFirstColumn="0" w:firstRowLastColumn="0" w:lastRowFirstColumn="0" w:lastRowLastColumn="0"/>
              <w:rPr>
                <w:sz w:val="18"/>
              </w:rPr>
            </w:pPr>
            <w:r w:rsidRPr="001A33DB">
              <w:rPr>
                <w:sz w:val="18"/>
              </w:rPr>
              <w:t>Somewhat inadequate</w:t>
            </w:r>
          </w:p>
        </w:tc>
        <w:tc>
          <w:tcPr>
            <w:tcW w:w="1316" w:type="dxa"/>
            <w:vAlign w:val="center"/>
          </w:tcPr>
          <w:p w14:paraId="2032187D" w14:textId="77777777" w:rsidR="002D69E9" w:rsidRPr="001A33DB" w:rsidRDefault="002D69E9" w:rsidP="00B54A8B">
            <w:pPr>
              <w:jc w:val="center"/>
              <w:cnfStyle w:val="100000000000" w:firstRow="1" w:lastRow="0" w:firstColumn="0" w:lastColumn="0" w:oddVBand="0" w:evenVBand="0" w:oddHBand="0" w:evenHBand="0" w:firstRowFirstColumn="0" w:firstRowLastColumn="0" w:lastRowFirstColumn="0" w:lastRowLastColumn="0"/>
              <w:rPr>
                <w:sz w:val="18"/>
              </w:rPr>
            </w:pPr>
            <w:r w:rsidRPr="001A33DB">
              <w:rPr>
                <w:sz w:val="18"/>
              </w:rPr>
              <w:t>Neutral</w:t>
            </w:r>
          </w:p>
        </w:tc>
        <w:tc>
          <w:tcPr>
            <w:tcW w:w="1316" w:type="dxa"/>
            <w:vAlign w:val="center"/>
          </w:tcPr>
          <w:p w14:paraId="3CE243CF" w14:textId="77777777" w:rsidR="002D69E9" w:rsidRPr="001A33DB" w:rsidRDefault="002D69E9" w:rsidP="00B54A8B">
            <w:pPr>
              <w:jc w:val="center"/>
              <w:cnfStyle w:val="100000000000" w:firstRow="1" w:lastRow="0" w:firstColumn="0" w:lastColumn="0" w:oddVBand="0" w:evenVBand="0" w:oddHBand="0" w:evenHBand="0" w:firstRowFirstColumn="0" w:firstRowLastColumn="0" w:lastRowFirstColumn="0" w:lastRowLastColumn="0"/>
              <w:rPr>
                <w:sz w:val="18"/>
              </w:rPr>
            </w:pPr>
            <w:r w:rsidRPr="001A33DB">
              <w:rPr>
                <w:sz w:val="18"/>
              </w:rPr>
              <w:t>Some extent</w:t>
            </w:r>
          </w:p>
        </w:tc>
        <w:tc>
          <w:tcPr>
            <w:tcW w:w="1316" w:type="dxa"/>
            <w:vAlign w:val="center"/>
          </w:tcPr>
          <w:p w14:paraId="4F503237" w14:textId="77777777" w:rsidR="002D69E9" w:rsidRPr="001A33DB" w:rsidRDefault="002D69E9" w:rsidP="00B54A8B">
            <w:pPr>
              <w:jc w:val="center"/>
              <w:cnfStyle w:val="100000000000" w:firstRow="1" w:lastRow="0" w:firstColumn="0" w:lastColumn="0" w:oddVBand="0" w:evenVBand="0" w:oddHBand="0" w:evenHBand="0" w:firstRowFirstColumn="0" w:firstRowLastColumn="0" w:lastRowFirstColumn="0" w:lastRowLastColumn="0"/>
              <w:rPr>
                <w:sz w:val="18"/>
              </w:rPr>
            </w:pPr>
            <w:r w:rsidRPr="001A33DB">
              <w:rPr>
                <w:sz w:val="18"/>
              </w:rPr>
              <w:t>Great extent</w:t>
            </w:r>
          </w:p>
        </w:tc>
      </w:tr>
      <w:tr w:rsidR="002D69E9" w:rsidRPr="001A33DB" w14:paraId="220D6907" w14:textId="77777777" w:rsidTr="00B54A8B">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454" w:type="dxa"/>
            <w:vAlign w:val="center"/>
          </w:tcPr>
          <w:p w14:paraId="5F23444D" w14:textId="77777777" w:rsidR="002D69E9" w:rsidRPr="001A33DB" w:rsidRDefault="002D69E9" w:rsidP="00B54A8B">
            <w:pPr>
              <w:rPr>
                <w:sz w:val="18"/>
              </w:rPr>
            </w:pPr>
            <w:r w:rsidRPr="001A33DB">
              <w:rPr>
                <w:sz w:val="18"/>
              </w:rPr>
              <w:t>Administration of scholarships supports recipients to complete their education</w:t>
            </w:r>
          </w:p>
        </w:tc>
        <w:tc>
          <w:tcPr>
            <w:tcW w:w="1315" w:type="dxa"/>
            <w:vAlign w:val="center"/>
          </w:tcPr>
          <w:p w14:paraId="67001F74"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0%</w:t>
            </w:r>
          </w:p>
        </w:tc>
        <w:tc>
          <w:tcPr>
            <w:tcW w:w="1316" w:type="dxa"/>
            <w:vAlign w:val="center"/>
          </w:tcPr>
          <w:p w14:paraId="0AC38B0C"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3.8%</w:t>
            </w:r>
          </w:p>
        </w:tc>
        <w:tc>
          <w:tcPr>
            <w:tcW w:w="1316" w:type="dxa"/>
            <w:vAlign w:val="center"/>
          </w:tcPr>
          <w:p w14:paraId="0ABA000A"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5.7%</w:t>
            </w:r>
          </w:p>
        </w:tc>
        <w:tc>
          <w:tcPr>
            <w:tcW w:w="1316" w:type="dxa"/>
            <w:vAlign w:val="center"/>
          </w:tcPr>
          <w:p w14:paraId="1CA02759"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30.2%</w:t>
            </w:r>
          </w:p>
        </w:tc>
        <w:tc>
          <w:tcPr>
            <w:tcW w:w="1316" w:type="dxa"/>
            <w:vAlign w:val="center"/>
          </w:tcPr>
          <w:p w14:paraId="47123F26"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60.4%</w:t>
            </w:r>
          </w:p>
        </w:tc>
      </w:tr>
      <w:tr w:rsidR="002D69E9" w:rsidRPr="001A33DB" w14:paraId="0AEC028A" w14:textId="77777777" w:rsidTr="00B54A8B">
        <w:trPr>
          <w:trHeight w:val="592"/>
        </w:trPr>
        <w:tc>
          <w:tcPr>
            <w:cnfStyle w:val="001000000000" w:firstRow="0" w:lastRow="0" w:firstColumn="1" w:lastColumn="0" w:oddVBand="0" w:evenVBand="0" w:oddHBand="0" w:evenHBand="0" w:firstRowFirstColumn="0" w:firstRowLastColumn="0" w:lastRowFirstColumn="0" w:lastRowLastColumn="0"/>
            <w:tcW w:w="2454" w:type="dxa"/>
            <w:vAlign w:val="center"/>
          </w:tcPr>
          <w:p w14:paraId="7782EB4F" w14:textId="77777777" w:rsidR="002D69E9" w:rsidRPr="001A33DB" w:rsidRDefault="002D69E9" w:rsidP="00B54A8B">
            <w:pPr>
              <w:rPr>
                <w:sz w:val="18"/>
              </w:rPr>
            </w:pPr>
            <w:r w:rsidRPr="001A33DB">
              <w:rPr>
                <w:sz w:val="18"/>
              </w:rPr>
              <w:t>Scholarships are targeting the students most in need</w:t>
            </w:r>
          </w:p>
        </w:tc>
        <w:tc>
          <w:tcPr>
            <w:tcW w:w="1315" w:type="dxa"/>
            <w:vAlign w:val="center"/>
          </w:tcPr>
          <w:p w14:paraId="748A379F" w14:textId="77777777" w:rsidR="002D69E9" w:rsidRPr="001A33DB" w:rsidRDefault="002D69E9" w:rsidP="00B54A8B">
            <w:pPr>
              <w:jc w:val="center"/>
              <w:cnfStyle w:val="000000000000" w:firstRow="0" w:lastRow="0" w:firstColumn="0" w:lastColumn="0" w:oddVBand="0" w:evenVBand="0" w:oddHBand="0" w:evenHBand="0" w:firstRowFirstColumn="0" w:firstRowLastColumn="0" w:lastRowFirstColumn="0" w:lastRowLastColumn="0"/>
              <w:rPr>
                <w:sz w:val="18"/>
              </w:rPr>
            </w:pPr>
            <w:r w:rsidRPr="001A33DB">
              <w:rPr>
                <w:sz w:val="18"/>
              </w:rPr>
              <w:t>0%</w:t>
            </w:r>
          </w:p>
        </w:tc>
        <w:tc>
          <w:tcPr>
            <w:tcW w:w="1316" w:type="dxa"/>
            <w:vAlign w:val="center"/>
          </w:tcPr>
          <w:p w14:paraId="7584CDC3" w14:textId="77777777" w:rsidR="002D69E9" w:rsidRPr="001A33DB" w:rsidRDefault="002D69E9" w:rsidP="00B54A8B">
            <w:pPr>
              <w:jc w:val="center"/>
              <w:cnfStyle w:val="000000000000" w:firstRow="0" w:lastRow="0" w:firstColumn="0" w:lastColumn="0" w:oddVBand="0" w:evenVBand="0" w:oddHBand="0" w:evenHBand="0" w:firstRowFirstColumn="0" w:firstRowLastColumn="0" w:lastRowFirstColumn="0" w:lastRowLastColumn="0"/>
              <w:rPr>
                <w:sz w:val="18"/>
              </w:rPr>
            </w:pPr>
            <w:r w:rsidRPr="001A33DB">
              <w:rPr>
                <w:sz w:val="18"/>
              </w:rPr>
              <w:t>5.7%</w:t>
            </w:r>
          </w:p>
        </w:tc>
        <w:tc>
          <w:tcPr>
            <w:tcW w:w="1316" w:type="dxa"/>
            <w:vAlign w:val="center"/>
          </w:tcPr>
          <w:p w14:paraId="02D6AD8D" w14:textId="77777777" w:rsidR="002D69E9" w:rsidRPr="001A33DB" w:rsidRDefault="002D69E9" w:rsidP="00B54A8B">
            <w:pPr>
              <w:jc w:val="center"/>
              <w:cnfStyle w:val="000000000000" w:firstRow="0" w:lastRow="0" w:firstColumn="0" w:lastColumn="0" w:oddVBand="0" w:evenVBand="0" w:oddHBand="0" w:evenHBand="0" w:firstRowFirstColumn="0" w:firstRowLastColumn="0" w:lastRowFirstColumn="0" w:lastRowLastColumn="0"/>
              <w:rPr>
                <w:sz w:val="18"/>
              </w:rPr>
            </w:pPr>
            <w:r w:rsidRPr="001A33DB">
              <w:rPr>
                <w:sz w:val="18"/>
              </w:rPr>
              <w:t>15.1%</w:t>
            </w:r>
          </w:p>
        </w:tc>
        <w:tc>
          <w:tcPr>
            <w:tcW w:w="1316" w:type="dxa"/>
            <w:vAlign w:val="center"/>
          </w:tcPr>
          <w:p w14:paraId="00CCA982" w14:textId="77777777" w:rsidR="002D69E9" w:rsidRPr="001A33DB" w:rsidRDefault="002D69E9" w:rsidP="00B54A8B">
            <w:pPr>
              <w:jc w:val="center"/>
              <w:cnfStyle w:val="000000000000" w:firstRow="0" w:lastRow="0" w:firstColumn="0" w:lastColumn="0" w:oddVBand="0" w:evenVBand="0" w:oddHBand="0" w:evenHBand="0" w:firstRowFirstColumn="0" w:firstRowLastColumn="0" w:lastRowFirstColumn="0" w:lastRowLastColumn="0"/>
              <w:rPr>
                <w:sz w:val="18"/>
              </w:rPr>
            </w:pPr>
            <w:r w:rsidRPr="001A33DB">
              <w:rPr>
                <w:sz w:val="18"/>
              </w:rPr>
              <w:t>39.6%</w:t>
            </w:r>
          </w:p>
        </w:tc>
        <w:tc>
          <w:tcPr>
            <w:tcW w:w="1316" w:type="dxa"/>
            <w:vAlign w:val="center"/>
          </w:tcPr>
          <w:p w14:paraId="468F84F2" w14:textId="77777777" w:rsidR="002D69E9" w:rsidRPr="001A33DB" w:rsidRDefault="002D69E9" w:rsidP="00B54A8B">
            <w:pPr>
              <w:jc w:val="center"/>
              <w:cnfStyle w:val="000000000000" w:firstRow="0" w:lastRow="0" w:firstColumn="0" w:lastColumn="0" w:oddVBand="0" w:evenVBand="0" w:oddHBand="0" w:evenHBand="0" w:firstRowFirstColumn="0" w:firstRowLastColumn="0" w:lastRowFirstColumn="0" w:lastRowLastColumn="0"/>
              <w:rPr>
                <w:sz w:val="18"/>
              </w:rPr>
            </w:pPr>
            <w:r w:rsidRPr="001A33DB">
              <w:rPr>
                <w:sz w:val="18"/>
              </w:rPr>
              <w:t>39.6%</w:t>
            </w:r>
          </w:p>
        </w:tc>
      </w:tr>
      <w:tr w:rsidR="002D69E9" w:rsidRPr="001A33DB" w14:paraId="19AE5B62" w14:textId="77777777" w:rsidTr="00B54A8B">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454" w:type="dxa"/>
            <w:vAlign w:val="center"/>
          </w:tcPr>
          <w:p w14:paraId="1B2A2B92" w14:textId="77777777" w:rsidR="002D69E9" w:rsidRPr="001A33DB" w:rsidRDefault="002D69E9" w:rsidP="00B54A8B">
            <w:pPr>
              <w:rPr>
                <w:sz w:val="18"/>
              </w:rPr>
            </w:pPr>
            <w:r w:rsidRPr="001A33DB">
              <w:rPr>
                <w:sz w:val="18"/>
              </w:rPr>
              <w:t>Recipients are making the most of the opportunities at their respective schools</w:t>
            </w:r>
          </w:p>
        </w:tc>
        <w:tc>
          <w:tcPr>
            <w:tcW w:w="1315" w:type="dxa"/>
            <w:vAlign w:val="center"/>
          </w:tcPr>
          <w:p w14:paraId="3BD645CC"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0%</w:t>
            </w:r>
          </w:p>
        </w:tc>
        <w:tc>
          <w:tcPr>
            <w:tcW w:w="1316" w:type="dxa"/>
            <w:vAlign w:val="center"/>
          </w:tcPr>
          <w:p w14:paraId="26408112"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3.8%</w:t>
            </w:r>
          </w:p>
        </w:tc>
        <w:tc>
          <w:tcPr>
            <w:tcW w:w="1316" w:type="dxa"/>
            <w:vAlign w:val="center"/>
          </w:tcPr>
          <w:p w14:paraId="13A460D7"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7.5%</w:t>
            </w:r>
          </w:p>
        </w:tc>
        <w:tc>
          <w:tcPr>
            <w:tcW w:w="1316" w:type="dxa"/>
            <w:vAlign w:val="center"/>
          </w:tcPr>
          <w:p w14:paraId="2423CEA8"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20.8%</w:t>
            </w:r>
          </w:p>
        </w:tc>
        <w:tc>
          <w:tcPr>
            <w:tcW w:w="1316" w:type="dxa"/>
            <w:vAlign w:val="center"/>
          </w:tcPr>
          <w:p w14:paraId="0CBBBF80"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67.9%</w:t>
            </w:r>
          </w:p>
        </w:tc>
      </w:tr>
      <w:tr w:rsidR="002D69E9" w:rsidRPr="001A33DB" w14:paraId="6ED6D3CA" w14:textId="77777777" w:rsidTr="00B54A8B">
        <w:trPr>
          <w:trHeight w:val="592"/>
        </w:trPr>
        <w:tc>
          <w:tcPr>
            <w:cnfStyle w:val="001000000000" w:firstRow="0" w:lastRow="0" w:firstColumn="1" w:lastColumn="0" w:oddVBand="0" w:evenVBand="0" w:oddHBand="0" w:evenHBand="0" w:firstRowFirstColumn="0" w:firstRowLastColumn="0" w:lastRowFirstColumn="0" w:lastRowLastColumn="0"/>
            <w:tcW w:w="2454" w:type="dxa"/>
            <w:vAlign w:val="center"/>
          </w:tcPr>
          <w:p w14:paraId="50F475D3" w14:textId="77777777" w:rsidR="002D69E9" w:rsidRPr="001A33DB" w:rsidRDefault="002D69E9" w:rsidP="00B54A8B">
            <w:pPr>
              <w:rPr>
                <w:sz w:val="18"/>
              </w:rPr>
            </w:pPr>
            <w:r w:rsidRPr="001A33DB">
              <w:rPr>
                <w:sz w:val="18"/>
              </w:rPr>
              <w:t>Scholarships have assisted recipients to complete Year 12</w:t>
            </w:r>
          </w:p>
        </w:tc>
        <w:tc>
          <w:tcPr>
            <w:tcW w:w="1315" w:type="dxa"/>
            <w:vAlign w:val="center"/>
          </w:tcPr>
          <w:p w14:paraId="4D58F478" w14:textId="77777777" w:rsidR="002D69E9" w:rsidRPr="001A33DB" w:rsidRDefault="002D69E9" w:rsidP="00B54A8B">
            <w:pPr>
              <w:jc w:val="center"/>
              <w:cnfStyle w:val="000000000000" w:firstRow="0" w:lastRow="0" w:firstColumn="0" w:lastColumn="0" w:oddVBand="0" w:evenVBand="0" w:oddHBand="0" w:evenHBand="0" w:firstRowFirstColumn="0" w:firstRowLastColumn="0" w:lastRowFirstColumn="0" w:lastRowLastColumn="0"/>
              <w:rPr>
                <w:sz w:val="18"/>
              </w:rPr>
            </w:pPr>
            <w:r w:rsidRPr="001A33DB">
              <w:rPr>
                <w:sz w:val="18"/>
              </w:rPr>
              <w:t>0%</w:t>
            </w:r>
          </w:p>
        </w:tc>
        <w:tc>
          <w:tcPr>
            <w:tcW w:w="1316" w:type="dxa"/>
            <w:vAlign w:val="center"/>
          </w:tcPr>
          <w:p w14:paraId="68A7911C" w14:textId="77777777" w:rsidR="002D69E9" w:rsidRPr="001A33DB" w:rsidRDefault="002D69E9" w:rsidP="00B54A8B">
            <w:pPr>
              <w:jc w:val="center"/>
              <w:cnfStyle w:val="000000000000" w:firstRow="0" w:lastRow="0" w:firstColumn="0" w:lastColumn="0" w:oddVBand="0" w:evenVBand="0" w:oddHBand="0" w:evenHBand="0" w:firstRowFirstColumn="0" w:firstRowLastColumn="0" w:lastRowFirstColumn="0" w:lastRowLastColumn="0"/>
              <w:rPr>
                <w:sz w:val="18"/>
              </w:rPr>
            </w:pPr>
            <w:r w:rsidRPr="001A33DB">
              <w:rPr>
                <w:sz w:val="18"/>
              </w:rPr>
              <w:t>0%</w:t>
            </w:r>
          </w:p>
        </w:tc>
        <w:tc>
          <w:tcPr>
            <w:tcW w:w="1316" w:type="dxa"/>
            <w:vAlign w:val="center"/>
          </w:tcPr>
          <w:p w14:paraId="7F76C020" w14:textId="77777777" w:rsidR="002D69E9" w:rsidRPr="001A33DB" w:rsidRDefault="002D69E9" w:rsidP="00B54A8B">
            <w:pPr>
              <w:jc w:val="center"/>
              <w:cnfStyle w:val="000000000000" w:firstRow="0" w:lastRow="0" w:firstColumn="0" w:lastColumn="0" w:oddVBand="0" w:evenVBand="0" w:oddHBand="0" w:evenHBand="0" w:firstRowFirstColumn="0" w:firstRowLastColumn="0" w:lastRowFirstColumn="0" w:lastRowLastColumn="0"/>
              <w:rPr>
                <w:sz w:val="18"/>
              </w:rPr>
            </w:pPr>
            <w:r w:rsidRPr="001A33DB">
              <w:rPr>
                <w:sz w:val="18"/>
              </w:rPr>
              <w:t>11.3%</w:t>
            </w:r>
          </w:p>
        </w:tc>
        <w:tc>
          <w:tcPr>
            <w:tcW w:w="1316" w:type="dxa"/>
            <w:vAlign w:val="center"/>
          </w:tcPr>
          <w:p w14:paraId="09B58D7B" w14:textId="77777777" w:rsidR="002D69E9" w:rsidRPr="001A33DB" w:rsidRDefault="002D69E9" w:rsidP="00B54A8B">
            <w:pPr>
              <w:jc w:val="center"/>
              <w:cnfStyle w:val="000000000000" w:firstRow="0" w:lastRow="0" w:firstColumn="0" w:lastColumn="0" w:oddVBand="0" w:evenVBand="0" w:oddHBand="0" w:evenHBand="0" w:firstRowFirstColumn="0" w:firstRowLastColumn="0" w:lastRowFirstColumn="0" w:lastRowLastColumn="0"/>
              <w:rPr>
                <w:sz w:val="18"/>
              </w:rPr>
            </w:pPr>
            <w:r w:rsidRPr="001A33DB">
              <w:rPr>
                <w:sz w:val="18"/>
              </w:rPr>
              <w:t>26.4%</w:t>
            </w:r>
          </w:p>
        </w:tc>
        <w:tc>
          <w:tcPr>
            <w:tcW w:w="1316" w:type="dxa"/>
            <w:vAlign w:val="center"/>
          </w:tcPr>
          <w:p w14:paraId="150152EC" w14:textId="77777777" w:rsidR="002D69E9" w:rsidRPr="001A33DB" w:rsidRDefault="002D69E9" w:rsidP="00B54A8B">
            <w:pPr>
              <w:jc w:val="center"/>
              <w:cnfStyle w:val="000000000000" w:firstRow="0" w:lastRow="0" w:firstColumn="0" w:lastColumn="0" w:oddVBand="0" w:evenVBand="0" w:oddHBand="0" w:evenHBand="0" w:firstRowFirstColumn="0" w:firstRowLastColumn="0" w:lastRowFirstColumn="0" w:lastRowLastColumn="0"/>
              <w:rPr>
                <w:sz w:val="18"/>
              </w:rPr>
            </w:pPr>
            <w:r w:rsidRPr="001A33DB">
              <w:rPr>
                <w:sz w:val="18"/>
              </w:rPr>
              <w:t>62.3%</w:t>
            </w:r>
          </w:p>
        </w:tc>
      </w:tr>
      <w:tr w:rsidR="002D69E9" w:rsidRPr="001A33DB" w14:paraId="482A9694" w14:textId="77777777" w:rsidTr="00B54A8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2454" w:type="dxa"/>
            <w:vAlign w:val="center"/>
          </w:tcPr>
          <w:p w14:paraId="4287E518" w14:textId="77777777" w:rsidR="002D69E9" w:rsidRPr="001A33DB" w:rsidRDefault="002D69E9" w:rsidP="00B54A8B">
            <w:pPr>
              <w:rPr>
                <w:sz w:val="18"/>
              </w:rPr>
            </w:pPr>
            <w:r w:rsidRPr="001A33DB">
              <w:rPr>
                <w:sz w:val="18"/>
              </w:rPr>
              <w:t>Current funding is sufficient to support recipients to complete their education</w:t>
            </w:r>
          </w:p>
        </w:tc>
        <w:tc>
          <w:tcPr>
            <w:tcW w:w="1315" w:type="dxa"/>
            <w:vAlign w:val="center"/>
          </w:tcPr>
          <w:p w14:paraId="726C952B"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7.5%</w:t>
            </w:r>
          </w:p>
        </w:tc>
        <w:tc>
          <w:tcPr>
            <w:tcW w:w="1316" w:type="dxa"/>
            <w:vAlign w:val="center"/>
          </w:tcPr>
          <w:p w14:paraId="4AA38F74"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5.7%</w:t>
            </w:r>
          </w:p>
        </w:tc>
        <w:tc>
          <w:tcPr>
            <w:tcW w:w="1316" w:type="dxa"/>
            <w:vAlign w:val="center"/>
          </w:tcPr>
          <w:p w14:paraId="7FC3204A"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1.9%</w:t>
            </w:r>
          </w:p>
        </w:tc>
        <w:tc>
          <w:tcPr>
            <w:tcW w:w="1316" w:type="dxa"/>
            <w:vAlign w:val="center"/>
          </w:tcPr>
          <w:p w14:paraId="7BBABE33"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28.3%</w:t>
            </w:r>
          </w:p>
        </w:tc>
        <w:tc>
          <w:tcPr>
            <w:tcW w:w="1316" w:type="dxa"/>
            <w:vAlign w:val="center"/>
          </w:tcPr>
          <w:p w14:paraId="461FAC87" w14:textId="77777777" w:rsidR="002D69E9" w:rsidRPr="001A33DB" w:rsidRDefault="002D69E9" w:rsidP="00B54A8B">
            <w:pPr>
              <w:jc w:val="center"/>
              <w:cnfStyle w:val="000000100000" w:firstRow="0" w:lastRow="0" w:firstColumn="0" w:lastColumn="0" w:oddVBand="0" w:evenVBand="0" w:oddHBand="1" w:evenHBand="0" w:firstRowFirstColumn="0" w:firstRowLastColumn="0" w:lastRowFirstColumn="0" w:lastRowLastColumn="0"/>
              <w:rPr>
                <w:sz w:val="18"/>
              </w:rPr>
            </w:pPr>
            <w:r w:rsidRPr="001A33DB">
              <w:rPr>
                <w:sz w:val="18"/>
              </w:rPr>
              <w:t>56.6%</w:t>
            </w:r>
          </w:p>
        </w:tc>
      </w:tr>
    </w:tbl>
    <w:p w14:paraId="24DF75F2" w14:textId="77777777" w:rsidR="002D69E9" w:rsidRPr="008847FB" w:rsidRDefault="002D69E9" w:rsidP="002D69E9">
      <w:pPr>
        <w:pStyle w:val="PwCNormal"/>
        <w:numPr>
          <w:ilvl w:val="0"/>
          <w:numId w:val="9"/>
        </w:numPr>
      </w:pPr>
    </w:p>
    <w:p w14:paraId="2BBC9803" w14:textId="77777777" w:rsidR="002D69E9" w:rsidRDefault="002D69E9" w:rsidP="002D69E9">
      <w:pPr>
        <w:pStyle w:val="Heading6"/>
        <w:numPr>
          <w:ilvl w:val="0"/>
          <w:numId w:val="0"/>
        </w:numPr>
        <w:ind w:left="850" w:hanging="850"/>
        <w:rPr>
          <w:lang w:val="en-GB"/>
        </w:rPr>
      </w:pPr>
      <w:r>
        <w:rPr>
          <w:lang w:val="en-GB"/>
        </w:rPr>
        <w:lastRenderedPageBreak/>
        <w:t>Current state of data holdings</w:t>
      </w:r>
    </w:p>
    <w:p w14:paraId="598745F3" w14:textId="77777777" w:rsidR="002F7776" w:rsidRDefault="002F7776" w:rsidP="002F7776">
      <w:pPr>
        <w:pStyle w:val="Heading7"/>
        <w:numPr>
          <w:ilvl w:val="0"/>
          <w:numId w:val="0"/>
        </w:numPr>
        <w:ind w:left="850" w:hanging="850"/>
        <w:rPr>
          <w:lang w:val="en-GB"/>
        </w:rPr>
      </w:pPr>
      <w:r>
        <w:rPr>
          <w:lang w:val="en-GB"/>
        </w:rPr>
        <w:t>Snapshot of the IAS funded secondary school scholarships</w:t>
      </w:r>
    </w:p>
    <w:p w14:paraId="09BAE6CF" w14:textId="0B92832E" w:rsidR="00974303" w:rsidRPr="007E25B6" w:rsidRDefault="00974303" w:rsidP="00974303">
      <w:pPr>
        <w:pStyle w:val="PwCNormal"/>
        <w:numPr>
          <w:ilvl w:val="0"/>
          <w:numId w:val="0"/>
        </w:numPr>
        <w:rPr>
          <w:lang w:val="en-GB"/>
        </w:rPr>
      </w:pPr>
      <w:r>
        <w:rPr>
          <w:lang w:val="en-GB"/>
        </w:rPr>
        <w:t xml:space="preserve">Although the INDIGO database has been decommissioned, the department </w:t>
      </w:r>
      <w:r w:rsidR="00B20264">
        <w:rPr>
          <w:lang w:val="en-GB"/>
        </w:rPr>
        <w:t xml:space="preserve">currently </w:t>
      </w:r>
      <w:r>
        <w:rPr>
          <w:lang w:val="en-GB"/>
        </w:rPr>
        <w:t xml:space="preserve">requires each scholarship provider to report its key activities via an alternative reporting mechanism. </w:t>
      </w:r>
      <w:r w:rsidR="00164007">
        <w:rPr>
          <w:lang w:val="en-GB"/>
        </w:rPr>
        <w:t>Whilst</w:t>
      </w:r>
      <w:r>
        <w:rPr>
          <w:lang w:val="en-GB"/>
        </w:rPr>
        <w:t xml:space="preserve"> th</w:t>
      </w:r>
      <w:r w:rsidR="00B20264">
        <w:rPr>
          <w:lang w:val="en-GB"/>
        </w:rPr>
        <w:t>e requirements are not comprehensive, the department held data</w:t>
      </w:r>
      <w:r>
        <w:rPr>
          <w:lang w:val="en-GB"/>
        </w:rPr>
        <w:t xml:space="preserve"> </w:t>
      </w:r>
      <w:r w:rsidR="00936874">
        <w:rPr>
          <w:lang w:val="en-GB"/>
        </w:rPr>
        <w:t xml:space="preserve">can be used to provide a snapshot of the IAS funded secondary school scholarships as they are currently delivered. </w:t>
      </w:r>
      <w:r w:rsidR="00C21D05">
        <w:rPr>
          <w:lang w:val="en-GB"/>
        </w:rPr>
        <w:t>The</w:t>
      </w:r>
      <w:r w:rsidRPr="007E25B6">
        <w:rPr>
          <w:lang w:val="en-GB"/>
        </w:rPr>
        <w:t xml:space="preserve"> department provided </w:t>
      </w:r>
      <w:r w:rsidR="00B20264">
        <w:rPr>
          <w:lang w:val="en-GB"/>
        </w:rPr>
        <w:t xml:space="preserve">PIC with </w:t>
      </w:r>
      <w:r w:rsidRPr="007E25B6">
        <w:rPr>
          <w:lang w:val="en-GB"/>
        </w:rPr>
        <w:t xml:space="preserve">data for eight out of the </w:t>
      </w:r>
      <w:r w:rsidR="00B20264">
        <w:rPr>
          <w:lang w:val="en-GB"/>
        </w:rPr>
        <w:t>ten scholarship providers</w:t>
      </w:r>
      <w:r w:rsidRPr="007E25B6">
        <w:rPr>
          <w:lang w:val="en-GB"/>
        </w:rPr>
        <w:t>. PIC engaged with the o</w:t>
      </w:r>
      <w:r w:rsidR="00F825E6">
        <w:rPr>
          <w:lang w:val="en-GB"/>
        </w:rPr>
        <w:t>ther two</w:t>
      </w:r>
      <w:r w:rsidRPr="007E25B6">
        <w:rPr>
          <w:lang w:val="en-GB"/>
        </w:rPr>
        <w:t xml:space="preserve"> scholarship providers and </w:t>
      </w:r>
      <w:r w:rsidR="00C21D05">
        <w:rPr>
          <w:lang w:val="en-GB"/>
        </w:rPr>
        <w:t>obtained</w:t>
      </w:r>
      <w:r w:rsidRPr="007E25B6">
        <w:rPr>
          <w:lang w:val="en-GB"/>
        </w:rPr>
        <w:t xml:space="preserve"> a comprehensive data response from one of these organisations. The following snapshot therefore includes data from nine out of the ten scholarship providers.</w:t>
      </w:r>
    </w:p>
    <w:p w14:paraId="34D457A4" w14:textId="5F581C12" w:rsidR="00974303" w:rsidRPr="0032106D" w:rsidRDefault="00936874" w:rsidP="00974303">
      <w:pPr>
        <w:pStyle w:val="PwCNormal"/>
        <w:numPr>
          <w:ilvl w:val="0"/>
          <w:numId w:val="9"/>
        </w:numPr>
        <w:rPr>
          <w:lang w:val="en-GB"/>
        </w:rPr>
      </w:pPr>
      <w:r>
        <w:rPr>
          <w:lang w:val="en-GB"/>
        </w:rPr>
        <w:t>B</w:t>
      </w:r>
      <w:r w:rsidR="00974303" w:rsidRPr="0032106D">
        <w:rPr>
          <w:lang w:val="en-GB"/>
        </w:rPr>
        <w:t xml:space="preserve">ased on the </w:t>
      </w:r>
      <w:r w:rsidR="00B20264">
        <w:rPr>
          <w:lang w:val="en-GB"/>
        </w:rPr>
        <w:t>available data</w:t>
      </w:r>
      <w:r w:rsidR="00974303" w:rsidRPr="0032106D">
        <w:rPr>
          <w:lang w:val="en-GB"/>
        </w:rPr>
        <w:t xml:space="preserve">, in 2016 1,418 Aboriginal and Torres Strait Islander young people were recipients of an IAS funded secondary school scholarship. Of the recipients, </w:t>
      </w:r>
      <w:r w:rsidR="00CD58E1">
        <w:rPr>
          <w:lang w:val="en-GB"/>
        </w:rPr>
        <w:t xml:space="preserve">the majority were </w:t>
      </w:r>
      <w:r w:rsidR="00C21D05">
        <w:rPr>
          <w:lang w:val="en-GB"/>
        </w:rPr>
        <w:t>male.</w:t>
      </w:r>
      <w:r w:rsidR="00CD58E1">
        <w:rPr>
          <w:lang w:val="en-GB"/>
        </w:rPr>
        <w:t xml:space="preserve"> Specifically, </w:t>
      </w:r>
      <w:r w:rsidR="00974303" w:rsidRPr="0032106D">
        <w:rPr>
          <w:lang w:val="en-GB"/>
        </w:rPr>
        <w:t xml:space="preserve">52.0% </w:t>
      </w:r>
      <w:r w:rsidR="00CD58E1">
        <w:rPr>
          <w:lang w:val="en-GB"/>
        </w:rPr>
        <w:t xml:space="preserve">of recipients </w:t>
      </w:r>
      <w:r w:rsidR="00974303" w:rsidRPr="0032106D">
        <w:rPr>
          <w:lang w:val="en-GB"/>
        </w:rPr>
        <w:t>(i.e. 737 scholars)</w:t>
      </w:r>
      <w:r w:rsidR="00CD58E1">
        <w:rPr>
          <w:lang w:val="en-GB"/>
        </w:rPr>
        <w:t xml:space="preserve"> were m</w:t>
      </w:r>
      <w:r w:rsidR="00164007">
        <w:rPr>
          <w:lang w:val="en-GB"/>
        </w:rPr>
        <w:t>ale</w:t>
      </w:r>
      <w:r w:rsidR="00CD58E1">
        <w:rPr>
          <w:lang w:val="en-GB"/>
        </w:rPr>
        <w:t xml:space="preserve"> and </w:t>
      </w:r>
      <w:r w:rsidR="00974303" w:rsidRPr="0032106D">
        <w:rPr>
          <w:lang w:val="en-GB"/>
        </w:rPr>
        <w:t xml:space="preserve">45.3% </w:t>
      </w:r>
      <w:r w:rsidR="00CD58E1">
        <w:rPr>
          <w:lang w:val="en-GB"/>
        </w:rPr>
        <w:t>(i.e. 643 scholars) were female. T</w:t>
      </w:r>
      <w:r w:rsidR="00974303" w:rsidRPr="0032106D">
        <w:rPr>
          <w:lang w:val="en-GB"/>
        </w:rPr>
        <w:t>he gender of 2.7% of schola</w:t>
      </w:r>
      <w:r w:rsidR="00CD58E1">
        <w:rPr>
          <w:lang w:val="en-GB"/>
        </w:rPr>
        <w:t>rship recipients (i.e. 38 scholars) was not stated.</w:t>
      </w:r>
    </w:p>
    <w:p w14:paraId="6E5DD058" w14:textId="792D4F38" w:rsidR="00974303" w:rsidRDefault="00936874" w:rsidP="00974303">
      <w:pPr>
        <w:pStyle w:val="PwCNormal"/>
        <w:rPr>
          <w:lang w:val="en-GB"/>
        </w:rPr>
      </w:pPr>
      <w:r>
        <w:rPr>
          <w:lang w:val="en-GB"/>
        </w:rPr>
        <w:t>Of the scholarship recipients in 2016,</w:t>
      </w:r>
      <w:r w:rsidR="00974303" w:rsidRPr="00D14054">
        <w:rPr>
          <w:lang w:val="en-GB"/>
        </w:rPr>
        <w:t xml:space="preserve"> 49.7% (i.e. 705 scholars) were from remote or very remote communities with a further 30.4% (i.e. 431 scholars) from regional areas of Australia.</w:t>
      </w:r>
      <w:r w:rsidR="00164007">
        <w:rPr>
          <w:lang w:val="en-GB"/>
        </w:rPr>
        <w:t xml:space="preserve"> As outlined below, the majority of scholarship recipients (61.4%) in 2016 were completing Year 10, Year 11 or Year 12.</w:t>
      </w:r>
    </w:p>
    <w:p w14:paraId="1077872F" w14:textId="0737AC25" w:rsidR="00F03B38" w:rsidRDefault="00F03B38" w:rsidP="00F03B38">
      <w:pPr>
        <w:pStyle w:val="Caption"/>
      </w:pPr>
      <w:r>
        <w:t xml:space="preserve">Table </w:t>
      </w:r>
      <w:fldSimple w:instr=" SEQ Table \* ARABIC ">
        <w:r w:rsidR="009C78D7">
          <w:rPr>
            <w:noProof/>
          </w:rPr>
          <w:t>2</w:t>
        </w:r>
      </w:fldSimple>
      <w:r>
        <w:t>: Distribution of scholarship recipients by school level</w:t>
      </w:r>
    </w:p>
    <w:tbl>
      <w:tblPr>
        <w:tblStyle w:val="ListTable3-Accent11"/>
        <w:tblW w:w="8709" w:type="dxa"/>
        <w:tblInd w:w="165" w:type="dxa"/>
        <w:tblLayout w:type="fixed"/>
        <w:tblLook w:val="04A0" w:firstRow="1" w:lastRow="0" w:firstColumn="1" w:lastColumn="0" w:noHBand="0" w:noVBand="1"/>
        <w:tblCaption w:val="Table 2: Distribution of scholarship recipients by school level"/>
        <w:tblDescription w:val="Year 6 - No. of recipients 1, Percentage 0.1%&#10;Year 7 - No. of recipients 110, Percentage 7.8%&#10;Year 8 - No. of recipients 202, Percentage 14.2%&#10;Year 9 - No. of recipients 234, Percentage 16.5%&#10;Year 10 - No. of recipients 317, Percentage 22.4%&#10;Year 11 - No. of recipients 312, Percentage 22.0%&#10;Year 12 - No. of recipients 242, Percentage 17.1%&#10;Total - No. of recipients 1418, Percentage 100%"/>
      </w:tblPr>
      <w:tblGrid>
        <w:gridCol w:w="1276"/>
        <w:gridCol w:w="929"/>
        <w:gridCol w:w="929"/>
        <w:gridCol w:w="929"/>
        <w:gridCol w:w="929"/>
        <w:gridCol w:w="929"/>
        <w:gridCol w:w="929"/>
        <w:gridCol w:w="929"/>
        <w:gridCol w:w="930"/>
      </w:tblGrid>
      <w:tr w:rsidR="00164007" w:rsidRPr="00164007" w14:paraId="24587357" w14:textId="1ACDFF5F" w:rsidTr="002F1AC5">
        <w:trPr>
          <w:cnfStyle w:val="100000000000" w:firstRow="1" w:lastRow="0" w:firstColumn="0" w:lastColumn="0" w:oddVBand="0" w:evenVBand="0" w:oddHBand="0" w:evenHBand="0" w:firstRowFirstColumn="0" w:firstRowLastColumn="0" w:lastRowFirstColumn="0" w:lastRowLastColumn="0"/>
          <w:trHeight w:val="484"/>
          <w:tblHeader/>
        </w:trPr>
        <w:tc>
          <w:tcPr>
            <w:cnfStyle w:val="001000000100" w:firstRow="0" w:lastRow="0" w:firstColumn="1" w:lastColumn="0" w:oddVBand="0" w:evenVBand="0" w:oddHBand="0" w:evenHBand="0" w:firstRowFirstColumn="1" w:firstRowLastColumn="0" w:lastRowFirstColumn="0" w:lastRowLastColumn="0"/>
            <w:tcW w:w="1276" w:type="dxa"/>
            <w:vAlign w:val="center"/>
          </w:tcPr>
          <w:p w14:paraId="10431929" w14:textId="14B9E50E" w:rsidR="00164007" w:rsidRPr="00164007" w:rsidRDefault="00164007" w:rsidP="00164007">
            <w:pPr>
              <w:kinsoku/>
              <w:overflowPunct/>
              <w:autoSpaceDE/>
              <w:autoSpaceDN/>
              <w:adjustRightInd/>
              <w:snapToGrid/>
              <w:jc w:val="center"/>
              <w:rPr>
                <w:rFonts w:asciiTheme="majorHAnsi" w:hAnsiTheme="majorHAnsi"/>
                <w:snapToGrid/>
                <w:color w:val="000000"/>
                <w:sz w:val="18"/>
                <w:szCs w:val="22"/>
                <w:lang w:eastAsia="en-AU"/>
              </w:rPr>
            </w:pPr>
          </w:p>
        </w:tc>
        <w:tc>
          <w:tcPr>
            <w:tcW w:w="929" w:type="dxa"/>
            <w:noWrap/>
            <w:vAlign w:val="center"/>
            <w:hideMark/>
          </w:tcPr>
          <w:p w14:paraId="2B1F00B9" w14:textId="479A9496" w:rsidR="00164007" w:rsidRPr="00164007" w:rsidRDefault="00164007" w:rsidP="00164007">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6</w:t>
            </w:r>
          </w:p>
        </w:tc>
        <w:tc>
          <w:tcPr>
            <w:tcW w:w="929" w:type="dxa"/>
            <w:noWrap/>
            <w:vAlign w:val="center"/>
            <w:hideMark/>
          </w:tcPr>
          <w:p w14:paraId="5F6B9585" w14:textId="77777777" w:rsidR="00164007" w:rsidRPr="00164007" w:rsidRDefault="00164007" w:rsidP="00164007">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7</w:t>
            </w:r>
          </w:p>
        </w:tc>
        <w:tc>
          <w:tcPr>
            <w:tcW w:w="929" w:type="dxa"/>
            <w:noWrap/>
            <w:vAlign w:val="center"/>
            <w:hideMark/>
          </w:tcPr>
          <w:p w14:paraId="3D53EC44" w14:textId="77777777" w:rsidR="00164007" w:rsidRPr="00164007" w:rsidRDefault="00164007" w:rsidP="00164007">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8</w:t>
            </w:r>
          </w:p>
        </w:tc>
        <w:tc>
          <w:tcPr>
            <w:tcW w:w="929" w:type="dxa"/>
            <w:noWrap/>
            <w:vAlign w:val="center"/>
            <w:hideMark/>
          </w:tcPr>
          <w:p w14:paraId="579BBFDF" w14:textId="77777777" w:rsidR="00164007" w:rsidRPr="00164007" w:rsidRDefault="00164007" w:rsidP="00164007">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9</w:t>
            </w:r>
          </w:p>
        </w:tc>
        <w:tc>
          <w:tcPr>
            <w:tcW w:w="929" w:type="dxa"/>
            <w:noWrap/>
            <w:vAlign w:val="center"/>
            <w:hideMark/>
          </w:tcPr>
          <w:p w14:paraId="0D1CBFAE" w14:textId="77777777" w:rsidR="00164007" w:rsidRPr="00164007" w:rsidRDefault="00164007" w:rsidP="00164007">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10</w:t>
            </w:r>
          </w:p>
        </w:tc>
        <w:tc>
          <w:tcPr>
            <w:tcW w:w="929" w:type="dxa"/>
            <w:noWrap/>
            <w:vAlign w:val="center"/>
            <w:hideMark/>
          </w:tcPr>
          <w:p w14:paraId="22F23EBE" w14:textId="77777777" w:rsidR="00164007" w:rsidRPr="00164007" w:rsidRDefault="00164007" w:rsidP="00164007">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11</w:t>
            </w:r>
          </w:p>
        </w:tc>
        <w:tc>
          <w:tcPr>
            <w:tcW w:w="929" w:type="dxa"/>
            <w:noWrap/>
            <w:vAlign w:val="center"/>
            <w:hideMark/>
          </w:tcPr>
          <w:p w14:paraId="425DD245" w14:textId="77777777" w:rsidR="00164007" w:rsidRPr="00164007" w:rsidRDefault="00164007" w:rsidP="00164007">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12</w:t>
            </w:r>
          </w:p>
        </w:tc>
        <w:tc>
          <w:tcPr>
            <w:tcW w:w="930" w:type="dxa"/>
            <w:vAlign w:val="center"/>
          </w:tcPr>
          <w:p w14:paraId="6BCAAD82" w14:textId="2E365A1C" w:rsidR="00164007" w:rsidRPr="00164007" w:rsidRDefault="00164007" w:rsidP="00164007">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Total</w:t>
            </w:r>
          </w:p>
        </w:tc>
      </w:tr>
      <w:tr w:rsidR="00164007" w:rsidRPr="00164007" w14:paraId="66ED1AAD" w14:textId="596F57CD" w:rsidTr="00F03B38">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80AEE41" w14:textId="124AA155" w:rsidR="00164007" w:rsidRPr="00164007" w:rsidRDefault="00164007" w:rsidP="00F03B38">
            <w:pPr>
              <w:kinsoku/>
              <w:overflowPunct/>
              <w:autoSpaceDE/>
              <w:autoSpaceDN/>
              <w:adjustRightInd/>
              <w:snapToGrid/>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N</w:t>
            </w:r>
            <w:r>
              <w:rPr>
                <w:rFonts w:asciiTheme="majorHAnsi" w:hAnsiTheme="majorHAnsi"/>
                <w:snapToGrid/>
                <w:color w:val="000000"/>
                <w:sz w:val="18"/>
                <w:szCs w:val="22"/>
                <w:lang w:eastAsia="en-AU"/>
              </w:rPr>
              <w:t>o.</w:t>
            </w:r>
            <w:r w:rsidRPr="00164007">
              <w:rPr>
                <w:rFonts w:asciiTheme="majorHAnsi" w:hAnsiTheme="majorHAnsi"/>
                <w:snapToGrid/>
                <w:color w:val="000000"/>
                <w:sz w:val="18"/>
                <w:szCs w:val="22"/>
                <w:lang w:eastAsia="en-AU"/>
              </w:rPr>
              <w:t xml:space="preserve"> of recipients</w:t>
            </w:r>
          </w:p>
        </w:tc>
        <w:tc>
          <w:tcPr>
            <w:tcW w:w="929" w:type="dxa"/>
            <w:noWrap/>
            <w:vAlign w:val="center"/>
          </w:tcPr>
          <w:p w14:paraId="4662EE82" w14:textId="3482E935" w:rsidR="00164007" w:rsidRPr="00164007" w:rsidRDefault="00164007" w:rsidP="00164007">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w:t>
            </w:r>
          </w:p>
        </w:tc>
        <w:tc>
          <w:tcPr>
            <w:tcW w:w="929" w:type="dxa"/>
            <w:noWrap/>
            <w:vAlign w:val="center"/>
          </w:tcPr>
          <w:p w14:paraId="5C64C239" w14:textId="1D396DC6" w:rsidR="00164007" w:rsidRPr="00164007" w:rsidRDefault="00164007" w:rsidP="00164007">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110</w:t>
            </w:r>
          </w:p>
        </w:tc>
        <w:tc>
          <w:tcPr>
            <w:tcW w:w="929" w:type="dxa"/>
            <w:noWrap/>
            <w:vAlign w:val="center"/>
          </w:tcPr>
          <w:p w14:paraId="207BEC1C" w14:textId="3F34FE66" w:rsidR="00164007" w:rsidRPr="00164007" w:rsidRDefault="00164007" w:rsidP="00164007">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202</w:t>
            </w:r>
          </w:p>
        </w:tc>
        <w:tc>
          <w:tcPr>
            <w:tcW w:w="929" w:type="dxa"/>
            <w:noWrap/>
            <w:vAlign w:val="center"/>
          </w:tcPr>
          <w:p w14:paraId="4D1DBB1F" w14:textId="6F10751B" w:rsidR="00164007" w:rsidRPr="00164007" w:rsidRDefault="00164007" w:rsidP="00164007">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234</w:t>
            </w:r>
          </w:p>
        </w:tc>
        <w:tc>
          <w:tcPr>
            <w:tcW w:w="929" w:type="dxa"/>
            <w:noWrap/>
            <w:vAlign w:val="center"/>
          </w:tcPr>
          <w:p w14:paraId="08A08302" w14:textId="656975C8" w:rsidR="00164007" w:rsidRPr="00164007" w:rsidRDefault="00164007" w:rsidP="00164007">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317</w:t>
            </w:r>
          </w:p>
        </w:tc>
        <w:tc>
          <w:tcPr>
            <w:tcW w:w="929" w:type="dxa"/>
            <w:noWrap/>
            <w:vAlign w:val="center"/>
          </w:tcPr>
          <w:p w14:paraId="10CEA90A" w14:textId="19D865EE" w:rsidR="00164007" w:rsidRPr="00164007" w:rsidRDefault="00164007" w:rsidP="00164007">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312</w:t>
            </w:r>
          </w:p>
        </w:tc>
        <w:tc>
          <w:tcPr>
            <w:tcW w:w="929" w:type="dxa"/>
            <w:noWrap/>
            <w:vAlign w:val="center"/>
          </w:tcPr>
          <w:p w14:paraId="633798C8" w14:textId="1DCB20FF" w:rsidR="00164007" w:rsidRPr="00164007" w:rsidRDefault="00164007" w:rsidP="00164007">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242</w:t>
            </w:r>
          </w:p>
        </w:tc>
        <w:tc>
          <w:tcPr>
            <w:tcW w:w="930" w:type="dxa"/>
            <w:vAlign w:val="center"/>
          </w:tcPr>
          <w:p w14:paraId="1F882BD1" w14:textId="762BA9A1" w:rsidR="00164007" w:rsidRPr="00164007" w:rsidRDefault="00164007" w:rsidP="00164007">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1,418</w:t>
            </w:r>
          </w:p>
        </w:tc>
      </w:tr>
      <w:tr w:rsidR="00164007" w:rsidRPr="00164007" w14:paraId="2E05FE1F" w14:textId="4605AA52" w:rsidTr="00F03B38">
        <w:trPr>
          <w:trHeight w:val="48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0EAF569" w14:textId="6840B057" w:rsidR="00164007" w:rsidRPr="00164007" w:rsidRDefault="00164007" w:rsidP="00F03B38">
            <w:pPr>
              <w:kinsoku/>
              <w:overflowPunct/>
              <w:autoSpaceDE/>
              <w:autoSpaceDN/>
              <w:adjustRightInd/>
              <w:snapToGrid/>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P</w:t>
            </w:r>
            <w:r>
              <w:rPr>
                <w:rFonts w:asciiTheme="majorHAnsi" w:hAnsiTheme="majorHAnsi"/>
                <w:snapToGrid/>
                <w:color w:val="000000"/>
                <w:sz w:val="18"/>
                <w:szCs w:val="22"/>
                <w:lang w:eastAsia="en-AU"/>
              </w:rPr>
              <w:t>ercentage</w:t>
            </w:r>
          </w:p>
        </w:tc>
        <w:tc>
          <w:tcPr>
            <w:tcW w:w="929" w:type="dxa"/>
            <w:noWrap/>
            <w:vAlign w:val="center"/>
            <w:hideMark/>
          </w:tcPr>
          <w:p w14:paraId="704D9503" w14:textId="7928E520" w:rsidR="00164007" w:rsidRPr="00164007" w:rsidRDefault="00164007" w:rsidP="00164007">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0.1%</w:t>
            </w:r>
          </w:p>
        </w:tc>
        <w:tc>
          <w:tcPr>
            <w:tcW w:w="929" w:type="dxa"/>
            <w:noWrap/>
            <w:vAlign w:val="center"/>
            <w:hideMark/>
          </w:tcPr>
          <w:p w14:paraId="6B5A8E12" w14:textId="77777777" w:rsidR="00164007" w:rsidRPr="00164007" w:rsidRDefault="00164007" w:rsidP="00164007">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7.8%</w:t>
            </w:r>
          </w:p>
        </w:tc>
        <w:tc>
          <w:tcPr>
            <w:tcW w:w="929" w:type="dxa"/>
            <w:noWrap/>
            <w:vAlign w:val="center"/>
            <w:hideMark/>
          </w:tcPr>
          <w:p w14:paraId="0C093DA8" w14:textId="77777777" w:rsidR="00164007" w:rsidRPr="00164007" w:rsidRDefault="00164007" w:rsidP="00164007">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14.2%</w:t>
            </w:r>
          </w:p>
        </w:tc>
        <w:tc>
          <w:tcPr>
            <w:tcW w:w="929" w:type="dxa"/>
            <w:noWrap/>
            <w:vAlign w:val="center"/>
            <w:hideMark/>
          </w:tcPr>
          <w:p w14:paraId="598F05E9" w14:textId="77777777" w:rsidR="00164007" w:rsidRPr="00164007" w:rsidRDefault="00164007" w:rsidP="00164007">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16.5%</w:t>
            </w:r>
          </w:p>
        </w:tc>
        <w:tc>
          <w:tcPr>
            <w:tcW w:w="929" w:type="dxa"/>
            <w:noWrap/>
            <w:vAlign w:val="center"/>
            <w:hideMark/>
          </w:tcPr>
          <w:p w14:paraId="5EE2981B" w14:textId="77777777" w:rsidR="00164007" w:rsidRPr="00164007" w:rsidRDefault="00164007" w:rsidP="00164007">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22.4%</w:t>
            </w:r>
          </w:p>
        </w:tc>
        <w:tc>
          <w:tcPr>
            <w:tcW w:w="929" w:type="dxa"/>
            <w:noWrap/>
            <w:vAlign w:val="center"/>
            <w:hideMark/>
          </w:tcPr>
          <w:p w14:paraId="35F22331" w14:textId="77777777" w:rsidR="00164007" w:rsidRPr="00164007" w:rsidRDefault="00164007" w:rsidP="00164007">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22.0%</w:t>
            </w:r>
          </w:p>
        </w:tc>
        <w:tc>
          <w:tcPr>
            <w:tcW w:w="929" w:type="dxa"/>
            <w:noWrap/>
            <w:vAlign w:val="center"/>
            <w:hideMark/>
          </w:tcPr>
          <w:p w14:paraId="253CF169" w14:textId="77777777" w:rsidR="00164007" w:rsidRPr="00164007" w:rsidRDefault="00164007" w:rsidP="00164007">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17.1%</w:t>
            </w:r>
          </w:p>
        </w:tc>
        <w:tc>
          <w:tcPr>
            <w:tcW w:w="930" w:type="dxa"/>
            <w:vAlign w:val="center"/>
          </w:tcPr>
          <w:p w14:paraId="6263EADF" w14:textId="04176DF1" w:rsidR="00164007" w:rsidRPr="00164007" w:rsidRDefault="00164007" w:rsidP="00164007">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100.0%</w:t>
            </w:r>
          </w:p>
        </w:tc>
      </w:tr>
    </w:tbl>
    <w:p w14:paraId="168A04A0" w14:textId="77777777" w:rsidR="00164007" w:rsidRPr="00D14054" w:rsidRDefault="00164007" w:rsidP="00164007">
      <w:pPr>
        <w:pStyle w:val="PwCNormal"/>
        <w:numPr>
          <w:ilvl w:val="0"/>
          <w:numId w:val="0"/>
        </w:numPr>
        <w:rPr>
          <w:lang w:val="en-GB"/>
        </w:rPr>
      </w:pPr>
    </w:p>
    <w:p w14:paraId="200EA101" w14:textId="44FC2503" w:rsidR="00974303" w:rsidRDefault="00936874" w:rsidP="00974303">
      <w:pPr>
        <w:pStyle w:val="PwCNormal"/>
      </w:pPr>
      <w:r>
        <w:t>In total,</w:t>
      </w:r>
      <w:r w:rsidR="00974303">
        <w:t xml:space="preserve"> </w:t>
      </w:r>
      <w:r w:rsidR="00CD58E1">
        <w:t xml:space="preserve">in 2016 </w:t>
      </w:r>
      <w:r w:rsidR="00974303">
        <w:t xml:space="preserve">the </w:t>
      </w:r>
      <w:r>
        <w:t xml:space="preserve">ten </w:t>
      </w:r>
      <w:r w:rsidR="00974303">
        <w:t>scholarshi</w:t>
      </w:r>
      <w:r>
        <w:t xml:space="preserve">p providers </w:t>
      </w:r>
      <w:r w:rsidR="00C21D05">
        <w:t xml:space="preserve">had active </w:t>
      </w:r>
      <w:r w:rsidR="00974303">
        <w:t xml:space="preserve">partnerships with more than 115 Catholic, independent and </w:t>
      </w:r>
      <w:r w:rsidR="00C21D05">
        <w:t>government</w:t>
      </w:r>
      <w:r w:rsidR="00974303">
        <w:t xml:space="preserve"> schools around Australia. </w:t>
      </w:r>
      <w:r>
        <w:fldChar w:fldCharType="begin"/>
      </w:r>
      <w:r>
        <w:instrText xml:space="preserve"> REF _Ref482216734 \h </w:instrText>
      </w:r>
      <w:r>
        <w:fldChar w:fldCharType="separate"/>
      </w:r>
      <w:r w:rsidR="009C78D7">
        <w:t xml:space="preserve">Figure </w:t>
      </w:r>
      <w:r w:rsidR="009C78D7">
        <w:rPr>
          <w:noProof/>
        </w:rPr>
        <w:t>4</w:t>
      </w:r>
      <w:r>
        <w:fldChar w:fldCharType="end"/>
      </w:r>
      <w:r>
        <w:t xml:space="preserve"> summarises </w:t>
      </w:r>
      <w:r w:rsidR="00974303">
        <w:t>the location and number of education partners in 2016, as well as the number of secondary scholarship recipients in each state and territory.</w:t>
      </w:r>
    </w:p>
    <w:p w14:paraId="6C435F87" w14:textId="77777777" w:rsidR="00974303" w:rsidRDefault="00974303" w:rsidP="00974303">
      <w:pPr>
        <w:pStyle w:val="Caption"/>
        <w:rPr>
          <w:b w:val="0"/>
          <w:i/>
          <w:iCs/>
          <w:sz w:val="28"/>
          <w:szCs w:val="28"/>
        </w:rPr>
      </w:pPr>
      <w:bookmarkStart w:id="16" w:name="_Ref482216734"/>
      <w:r>
        <w:lastRenderedPageBreak/>
        <w:t xml:space="preserve">Figure </w:t>
      </w:r>
      <w:fldSimple w:instr=" SEQ Figure \* ARABIC ">
        <w:r w:rsidR="009C78D7">
          <w:rPr>
            <w:noProof/>
          </w:rPr>
          <w:t>4</w:t>
        </w:r>
      </w:fldSimple>
      <w:bookmarkEnd w:id="16"/>
      <w:r>
        <w:t xml:space="preserve">: Number of education partners and secondary scholarships in 2016 </w:t>
      </w:r>
    </w:p>
    <w:p w14:paraId="6FB4B8C6" w14:textId="77777777" w:rsidR="00974303" w:rsidRDefault="00974303" w:rsidP="00974303">
      <w:pPr>
        <w:pStyle w:val="PwCNormal"/>
        <w:numPr>
          <w:ilvl w:val="0"/>
          <w:numId w:val="0"/>
        </w:numPr>
        <w:rPr>
          <w:b/>
          <w:i/>
          <w:iCs/>
          <w:color w:val="A32020" w:themeColor="text2"/>
          <w:sz w:val="28"/>
          <w:szCs w:val="28"/>
        </w:rPr>
      </w:pPr>
      <w:r w:rsidRPr="00974303">
        <w:rPr>
          <w:noProof/>
          <w:lang w:eastAsia="en-AU"/>
        </w:rPr>
        <w:drawing>
          <wp:inline distT="0" distB="0" distL="0" distR="0" wp14:anchorId="4C97BB86" wp14:editId="3FE154F9">
            <wp:extent cx="5419090" cy="3814118"/>
            <wp:effectExtent l="0" t="0" r="0" b="0"/>
            <wp:docPr id="291" name="Picture 291" descr="Based on data provider by the Department this diagram presents (on a map of Australia) the number of scholarships and education partnersr in 2016 in each state and territory." title="Number of education partnersr and secondary scholarships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419090" cy="3814118"/>
                    </a:xfrm>
                    <a:prstGeom prst="rect">
                      <a:avLst/>
                    </a:prstGeom>
                    <a:noFill/>
                    <a:ln>
                      <a:noFill/>
                    </a:ln>
                  </pic:spPr>
                </pic:pic>
              </a:graphicData>
            </a:graphic>
          </wp:inline>
        </w:drawing>
      </w:r>
    </w:p>
    <w:p w14:paraId="03217227" w14:textId="77777777" w:rsidR="00974303" w:rsidRPr="00B903DD" w:rsidRDefault="00974303" w:rsidP="00974303">
      <w:pPr>
        <w:pStyle w:val="PwCNormal"/>
        <w:numPr>
          <w:ilvl w:val="0"/>
          <w:numId w:val="0"/>
        </w:numPr>
        <w:rPr>
          <w:i/>
          <w:iCs/>
        </w:rPr>
      </w:pPr>
      <w:r w:rsidRPr="000F00F7">
        <w:rPr>
          <w:b/>
          <w:i/>
          <w:iCs/>
        </w:rPr>
        <w:t>Note:</w:t>
      </w:r>
      <w:r w:rsidRPr="00B903DD">
        <w:rPr>
          <w:i/>
          <w:iCs/>
        </w:rPr>
        <w:t xml:space="preserve"> </w:t>
      </w:r>
      <w:r>
        <w:rPr>
          <w:i/>
          <w:iCs/>
        </w:rPr>
        <w:t>Based on data held by the department for nine out of the ten scholarship providers.</w:t>
      </w:r>
    </w:p>
    <w:p w14:paraId="3524FD23" w14:textId="01F2017A" w:rsidR="00974303" w:rsidRDefault="00974303" w:rsidP="00974303">
      <w:pPr>
        <w:pStyle w:val="PwCNormal"/>
        <w:numPr>
          <w:ilvl w:val="0"/>
          <w:numId w:val="0"/>
        </w:numPr>
      </w:pPr>
      <w:r>
        <w:t xml:space="preserve">When aggregated, the reports submitted to the department by each scholarship provider highlight a range of significant achievements by the 2016 cohort of scholarship recipients. Most notably, of the 242 scholarship recipients in their final year of secondary school, </w:t>
      </w:r>
      <w:r w:rsidR="00744EBB">
        <w:t xml:space="preserve">the scholarship providers report that </w:t>
      </w:r>
      <w:r>
        <w:t>235 graduated Year 12. This represents a graduation rate for 2016 of 97.1%.</w:t>
      </w:r>
    </w:p>
    <w:p w14:paraId="41BC84A6" w14:textId="4E60FAE1" w:rsidR="002F7776" w:rsidRDefault="002F7776" w:rsidP="002F7776">
      <w:pPr>
        <w:pStyle w:val="Heading7"/>
        <w:numPr>
          <w:ilvl w:val="0"/>
          <w:numId w:val="0"/>
        </w:numPr>
        <w:ind w:left="850" w:hanging="850"/>
        <w:rPr>
          <w:lang w:val="en-GB"/>
        </w:rPr>
      </w:pPr>
      <w:r>
        <w:rPr>
          <w:lang w:val="en-GB"/>
        </w:rPr>
        <w:t>Responses to the data request</w:t>
      </w:r>
    </w:p>
    <w:p w14:paraId="7D206F6C" w14:textId="4602AEB4" w:rsidR="002D69E9" w:rsidRDefault="002D69E9" w:rsidP="002D69E9">
      <w:pPr>
        <w:keepNext/>
        <w:keepLines/>
        <w:rPr>
          <w:lang w:val="en-GB"/>
        </w:rPr>
      </w:pPr>
      <w:r w:rsidRPr="00E05BAD">
        <w:rPr>
          <w:lang w:val="en-GB"/>
        </w:rPr>
        <w:t>On 15 February 2017, PIC sent a data request to all scholarship providers which asked each to provide all data that is currently collected relating to the IAS funde</w:t>
      </w:r>
      <w:r w:rsidR="002E7DFB">
        <w:rPr>
          <w:lang w:val="en-GB"/>
        </w:rPr>
        <w:t xml:space="preserve">d secondary school scholarships. This included </w:t>
      </w:r>
      <w:r w:rsidRPr="00E05BAD">
        <w:rPr>
          <w:lang w:val="en-GB"/>
        </w:rPr>
        <w:t>unit record level data</w:t>
      </w:r>
      <w:r>
        <w:rPr>
          <w:lang w:val="en-GB"/>
        </w:rPr>
        <w:t xml:space="preserve"> to:</w:t>
      </w:r>
    </w:p>
    <w:p w14:paraId="605F753F" w14:textId="77777777" w:rsidR="002D69E9" w:rsidRPr="0020595B" w:rsidRDefault="002D69E9" w:rsidP="002D69E9">
      <w:pPr>
        <w:pStyle w:val="ListBullet"/>
        <w:rPr>
          <w:lang w:val="en-GB"/>
        </w:rPr>
      </w:pPr>
      <w:r w:rsidRPr="00D76B81">
        <w:rPr>
          <w:lang w:val="en-GB"/>
        </w:rPr>
        <w:t>build as comprehensive a picture as possible of the current delivery of the IAS funded secondary school scholarships</w:t>
      </w:r>
    </w:p>
    <w:p w14:paraId="4921EB32" w14:textId="6FF519A3" w:rsidR="002D69E9" w:rsidRPr="00166496" w:rsidRDefault="002D69E9" w:rsidP="002D69E9">
      <w:pPr>
        <w:pStyle w:val="ListBullet"/>
        <w:rPr>
          <w:lang w:val="en-GB"/>
        </w:rPr>
      </w:pPr>
      <w:r w:rsidRPr="00901423">
        <w:rPr>
          <w:lang w:val="en-GB"/>
        </w:rPr>
        <w:t xml:space="preserve">understand any </w:t>
      </w:r>
      <w:r w:rsidR="002E7DFB">
        <w:rPr>
          <w:lang w:val="en-GB"/>
        </w:rPr>
        <w:t xml:space="preserve">gaps or </w:t>
      </w:r>
      <w:r w:rsidRPr="00901423">
        <w:rPr>
          <w:lang w:val="en-GB"/>
        </w:rPr>
        <w:t>variability in the data collection processes and capabilities of the scholarship providers.</w:t>
      </w:r>
    </w:p>
    <w:p w14:paraId="29391F2E" w14:textId="765CC981" w:rsidR="002E7DFB" w:rsidRPr="001209C8" w:rsidRDefault="002D69E9" w:rsidP="004919B1">
      <w:pPr>
        <w:pStyle w:val="Indent1"/>
        <w:numPr>
          <w:ilvl w:val="0"/>
          <w:numId w:val="9"/>
        </w:numPr>
        <w:rPr>
          <w:lang w:val="en-GB"/>
        </w:rPr>
      </w:pPr>
      <w:r w:rsidRPr="001209C8">
        <w:rPr>
          <w:rFonts w:cs="Arial"/>
          <w:snapToGrid/>
          <w:lang w:val="en-GB"/>
        </w:rPr>
        <w:t>All scholarship providers responded to the data request.  However this process revealed data gaps and inconsistencies.  In some instances the model of delivery means that some data are not held by the scholarship provider</w:t>
      </w:r>
      <w:r w:rsidR="004E230C">
        <w:rPr>
          <w:rFonts w:cs="Arial"/>
          <w:snapToGrid/>
          <w:lang w:val="en-GB"/>
        </w:rPr>
        <w:t xml:space="preserve">. </w:t>
      </w:r>
      <w:r w:rsidRPr="001209C8">
        <w:rPr>
          <w:rFonts w:cs="Arial"/>
          <w:snapToGrid/>
          <w:lang w:val="en-GB"/>
        </w:rPr>
        <w:t xml:space="preserve"> </w:t>
      </w:r>
      <w:r w:rsidR="004E230C">
        <w:rPr>
          <w:rFonts w:cs="Arial"/>
          <w:snapToGrid/>
          <w:lang w:val="en-GB"/>
        </w:rPr>
        <w:t>F</w:t>
      </w:r>
      <w:r w:rsidRPr="001209C8">
        <w:rPr>
          <w:rFonts w:cs="Arial"/>
          <w:snapToGrid/>
          <w:lang w:val="en-GB"/>
        </w:rPr>
        <w:t xml:space="preserve">or example in the school-led model scholarship providers may not have access to detailed information on demographic profile of all scholarship applicants. </w:t>
      </w:r>
      <w:r w:rsidR="002E7DFB" w:rsidRPr="001209C8">
        <w:rPr>
          <w:lang w:val="en-GB"/>
        </w:rPr>
        <w:t>Each scholarship provider has access to a diverse range of data points many of which are not currently collected or reported in a consistent manner.</w:t>
      </w:r>
    </w:p>
    <w:p w14:paraId="3EF5160F" w14:textId="0F6DF6D7" w:rsidR="00936874" w:rsidRDefault="002D69E9" w:rsidP="00936874">
      <w:pPr>
        <w:pStyle w:val="PwCNormal"/>
        <w:numPr>
          <w:ilvl w:val="0"/>
          <w:numId w:val="9"/>
        </w:numPr>
        <w:rPr>
          <w:lang w:val="en-GB"/>
        </w:rPr>
      </w:pPr>
      <w:r w:rsidRPr="00936874">
        <w:rPr>
          <w:lang w:val="en-US"/>
        </w:rPr>
        <w:t>A summary of the key strengths, gaps and limitations in the data</w:t>
      </w:r>
      <w:r w:rsidR="00991513" w:rsidRPr="00936874">
        <w:rPr>
          <w:lang w:val="en-US"/>
        </w:rPr>
        <w:t>set</w:t>
      </w:r>
      <w:r w:rsidRPr="00936874">
        <w:rPr>
          <w:lang w:val="en-US"/>
        </w:rPr>
        <w:t xml:space="preserve"> is outlined in </w:t>
      </w:r>
      <w:r w:rsidRPr="00936874">
        <w:rPr>
          <w:lang w:val="en-US"/>
        </w:rPr>
        <w:fldChar w:fldCharType="begin"/>
      </w:r>
      <w:r w:rsidRPr="00936874">
        <w:rPr>
          <w:lang w:val="en-US"/>
        </w:rPr>
        <w:instrText xml:space="preserve"> REF _Ref481562646 \h </w:instrText>
      </w:r>
      <w:r w:rsidRPr="00936874">
        <w:rPr>
          <w:lang w:val="en-US"/>
        </w:rPr>
      </w:r>
      <w:r w:rsidRPr="00936874">
        <w:rPr>
          <w:lang w:val="en-US"/>
        </w:rPr>
        <w:fldChar w:fldCharType="separate"/>
      </w:r>
      <w:r w:rsidR="009C78D7">
        <w:t xml:space="preserve">Figure </w:t>
      </w:r>
      <w:r w:rsidR="009C78D7">
        <w:rPr>
          <w:noProof/>
        </w:rPr>
        <w:t>5</w:t>
      </w:r>
      <w:r w:rsidRPr="00936874">
        <w:rPr>
          <w:lang w:val="en-US"/>
        </w:rPr>
        <w:fldChar w:fldCharType="end"/>
      </w:r>
      <w:r w:rsidRPr="00936874">
        <w:rPr>
          <w:lang w:val="en-US"/>
        </w:rPr>
        <w:t>.</w:t>
      </w:r>
      <w:r w:rsidR="00936874">
        <w:rPr>
          <w:lang w:val="en-US"/>
        </w:rPr>
        <w:t xml:space="preserve"> </w:t>
      </w:r>
    </w:p>
    <w:p w14:paraId="36811B65" w14:textId="23CAE50A" w:rsidR="002D69E9" w:rsidRDefault="002D69E9" w:rsidP="002D69E9">
      <w:pPr>
        <w:pStyle w:val="Caption"/>
      </w:pPr>
      <w:bookmarkStart w:id="17" w:name="_Ref481562646"/>
      <w:r>
        <w:lastRenderedPageBreak/>
        <w:t xml:space="preserve">Figure </w:t>
      </w:r>
      <w:fldSimple w:instr=" SEQ Figure \* ARABIC ">
        <w:r w:rsidR="009C78D7">
          <w:rPr>
            <w:noProof/>
          </w:rPr>
          <w:t>5</w:t>
        </w:r>
      </w:fldSimple>
      <w:bookmarkEnd w:id="17"/>
      <w:r>
        <w:t>: Summary of the strengths, gaps and limitations of the data provided</w:t>
      </w:r>
    </w:p>
    <w:p w14:paraId="3C6FAD7F" w14:textId="51379726" w:rsidR="00936874" w:rsidRDefault="00195DDB" w:rsidP="00195DDB">
      <w:pPr>
        <w:pStyle w:val="PwCNormal"/>
        <w:rPr>
          <w:lang w:val="en-GB"/>
        </w:rPr>
      </w:pPr>
      <w:r w:rsidRPr="00195DDB">
        <w:rPr>
          <w:noProof/>
          <w:lang w:eastAsia="en-AU"/>
        </w:rPr>
        <w:drawing>
          <wp:inline distT="0" distB="0" distL="0" distR="0" wp14:anchorId="30029551" wp14:editId="7B290408">
            <wp:extent cx="5419090" cy="2384086"/>
            <wp:effectExtent l="0" t="0" r="0" b="0"/>
            <wp:docPr id="14" name="Picture 14" descr="Strengths&#10;- Scholarship providers have provided descriptions of their respective operating models, how funding is allocated and the range of supports provided for scholarship recipients.&#10;- Scholarship providers clearly articulate current application and selection processes, including the respective roles (if any) of their education partners.&#10;&#10;Gaps&#10;- Lack of consistent unique student identifier has meant the ‘pathway’ for some scholarship recipients cannot be tracked.&#10;- Similarly, for some scholarship providers it is not possible to identify students who ‘switched’ scholarship providers.&#10;- Few scholarship providers have submitted unit level data on scholarship application and selection processes.&#10;- Only AIEF and Cape York Institute have provided Year 12 completion and student destinations at the unit level (PLC, The Smith Family and Yalari have provided partial lists of student destinations which they have compiled to inform this project).&#10;- Only AIEF, CYI, MADALAH, PLC and Yalari have provided estimates of the average annual administration costs per scholarship.&#10;&#10;Limitations&#10;- In the absence of INDIGO or an alternative data reporting tool, data are provided in a range of reporting formats and often require some interpretation.&#10;- Different reporting cycles means that only some scholarship providers have reported data relating to 2016 and 2017.&#10;- Little evidence of data sharing between scholarship providers and education partners in terms of data collection and collation. One scholarship provider indicated that schools cannot legally share data with scholarship providers.&#10;- Given the tight time lines of this project, many scholarship providers have only provided what they have had at hand, and have been working to compile the information requested." title="Figure 5: Summary of the strengths, gaps and limitations of the data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9090" cy="2384086"/>
                    </a:xfrm>
                    <a:prstGeom prst="rect">
                      <a:avLst/>
                    </a:prstGeom>
                    <a:noFill/>
                    <a:ln>
                      <a:noFill/>
                    </a:ln>
                  </pic:spPr>
                </pic:pic>
              </a:graphicData>
            </a:graphic>
          </wp:inline>
        </w:drawing>
      </w:r>
    </w:p>
    <w:p w14:paraId="144BFD5F" w14:textId="77777777" w:rsidR="002D69E9" w:rsidRPr="00E05BAD" w:rsidRDefault="002D69E9" w:rsidP="002D69E9">
      <w:pPr>
        <w:pStyle w:val="PwCNormal"/>
        <w:numPr>
          <w:ilvl w:val="0"/>
          <w:numId w:val="9"/>
        </w:numPr>
        <w:rPr>
          <w:lang w:val="en-GB"/>
        </w:rPr>
      </w:pPr>
      <w:r>
        <w:rPr>
          <w:lang w:val="en-GB"/>
        </w:rPr>
        <w:t>A</w:t>
      </w:r>
      <w:r w:rsidRPr="00E05BAD">
        <w:rPr>
          <w:lang w:val="en-GB"/>
        </w:rPr>
        <w:t xml:space="preserve">ll scholarship providers were highly engaged in the review process with many indicating that they had the capability to construct more complete data sets if </w:t>
      </w:r>
      <w:r>
        <w:rPr>
          <w:lang w:val="en-GB"/>
        </w:rPr>
        <w:t xml:space="preserve">required, provided this is agreed with scholarship providers and </w:t>
      </w:r>
      <w:r w:rsidRPr="00E05BAD">
        <w:rPr>
          <w:lang w:val="en-GB"/>
        </w:rPr>
        <w:t xml:space="preserve">consistent data mechanisms </w:t>
      </w:r>
      <w:r>
        <w:rPr>
          <w:lang w:val="en-GB"/>
        </w:rPr>
        <w:t>are implemented</w:t>
      </w:r>
      <w:r w:rsidRPr="00E05BAD">
        <w:rPr>
          <w:lang w:val="en-GB"/>
        </w:rPr>
        <w:t>.</w:t>
      </w:r>
    </w:p>
    <w:p w14:paraId="4243D77D" w14:textId="77777777" w:rsidR="002D69E9" w:rsidRDefault="002D69E9" w:rsidP="002D69E9">
      <w:pPr>
        <w:pStyle w:val="ListBullet"/>
        <w:numPr>
          <w:ilvl w:val="0"/>
          <w:numId w:val="0"/>
        </w:numPr>
        <w:rPr>
          <w:lang w:val="en-GB"/>
        </w:rPr>
      </w:pPr>
      <w:r>
        <w:rPr>
          <w:lang w:val="en-GB"/>
        </w:rPr>
        <w:t>The</w:t>
      </w:r>
      <w:r w:rsidRPr="00D17237">
        <w:rPr>
          <w:lang w:val="en-GB"/>
        </w:rPr>
        <w:t xml:space="preserve"> </w:t>
      </w:r>
      <w:r>
        <w:rPr>
          <w:lang w:val="en-GB"/>
        </w:rPr>
        <w:t xml:space="preserve">decommissioning of the </w:t>
      </w:r>
      <w:r w:rsidRPr="00D17237">
        <w:rPr>
          <w:lang w:val="en-GB"/>
        </w:rPr>
        <w:t>INDIGO database</w:t>
      </w:r>
      <w:r>
        <w:rPr>
          <w:lang w:val="en-GB"/>
        </w:rPr>
        <w:t xml:space="preserve"> has contributed to significant variation in data collection arrangements amongst scholarship providers.  While reporting arrangements are in place under grant agreements the data collected is not as complete as was the case with INDIGO. </w:t>
      </w:r>
    </w:p>
    <w:p w14:paraId="3FAEB62B" w14:textId="60AB4AA1" w:rsidR="002D69E9" w:rsidRDefault="002D69E9" w:rsidP="002D69E9">
      <w:pPr>
        <w:pStyle w:val="ListBullet"/>
        <w:numPr>
          <w:ilvl w:val="0"/>
          <w:numId w:val="0"/>
        </w:numPr>
        <w:rPr>
          <w:lang w:val="en-US"/>
        </w:rPr>
      </w:pPr>
      <w:r>
        <w:rPr>
          <w:lang w:val="en-US"/>
        </w:rPr>
        <w:t>It was our intention to use the data set assembled with information provided by scholarship providers to determine the effectiveness and efficiency of the IAS funded secondary school scholarships.  However, inconsistencies and limitations of the data set have not supported a robust analysis of this kind.</w:t>
      </w:r>
    </w:p>
    <w:p w14:paraId="2C8F6EB5" w14:textId="69C9E17A" w:rsidR="002D69E9" w:rsidRDefault="002D69E9" w:rsidP="002D69E9">
      <w:pPr>
        <w:pStyle w:val="ListBullet"/>
        <w:numPr>
          <w:ilvl w:val="0"/>
          <w:numId w:val="0"/>
        </w:numPr>
        <w:rPr>
          <w:lang w:val="en-US"/>
        </w:rPr>
      </w:pPr>
      <w:r>
        <w:rPr>
          <w:lang w:val="en-US"/>
        </w:rPr>
        <w:t>S</w:t>
      </w:r>
      <w:r w:rsidRPr="000229DC">
        <w:rPr>
          <w:lang w:val="en-US"/>
        </w:rPr>
        <w:t xml:space="preserve">ection </w:t>
      </w:r>
      <w:r w:rsidR="00DE12AF">
        <w:rPr>
          <w:lang w:val="en-US"/>
        </w:rPr>
        <w:fldChar w:fldCharType="begin"/>
      </w:r>
      <w:r w:rsidR="00DE12AF">
        <w:rPr>
          <w:lang w:val="en-US"/>
        </w:rPr>
        <w:instrText xml:space="preserve"> REF _Ref481687164 \n \h </w:instrText>
      </w:r>
      <w:r w:rsidR="00DE12AF">
        <w:rPr>
          <w:lang w:val="en-US"/>
        </w:rPr>
      </w:r>
      <w:r w:rsidR="00DE12AF">
        <w:rPr>
          <w:lang w:val="en-US"/>
        </w:rPr>
        <w:fldChar w:fldCharType="separate"/>
      </w:r>
      <w:r w:rsidR="009C78D7">
        <w:rPr>
          <w:lang w:val="en-US"/>
        </w:rPr>
        <w:t>3</w:t>
      </w:r>
      <w:r w:rsidR="00DE12AF">
        <w:rPr>
          <w:lang w:val="en-US"/>
        </w:rPr>
        <w:fldChar w:fldCharType="end"/>
      </w:r>
      <w:r>
        <w:rPr>
          <w:lang w:val="en-US"/>
        </w:rPr>
        <w:t xml:space="preserve"> of this report outlines </w:t>
      </w:r>
      <w:r w:rsidR="00936874">
        <w:rPr>
          <w:lang w:val="en-US"/>
        </w:rPr>
        <w:t>the data that is needed to determine</w:t>
      </w:r>
      <w:r>
        <w:rPr>
          <w:lang w:val="en-US"/>
        </w:rPr>
        <w:t xml:space="preserve"> the effectiveness and efficiency of the IAS funded scholarships as they are currently delivered</w:t>
      </w:r>
      <w:r w:rsidR="00936874">
        <w:rPr>
          <w:lang w:val="en-US"/>
        </w:rPr>
        <w:t>. Based on the responses to the data request, i</w:t>
      </w:r>
      <w:r>
        <w:rPr>
          <w:lang w:val="en-US"/>
        </w:rPr>
        <w:t>t identifies key data points required to build an evidence base to inform a rigorous evaluation of the IAS funded secondary school scholarships.</w:t>
      </w:r>
    </w:p>
    <w:p w14:paraId="1596DC7D" w14:textId="77777777" w:rsidR="002D69E9" w:rsidRDefault="002D69E9" w:rsidP="002D69E9">
      <w:pPr>
        <w:pStyle w:val="Heading6"/>
        <w:numPr>
          <w:ilvl w:val="0"/>
          <w:numId w:val="0"/>
        </w:numPr>
        <w:ind w:left="850" w:hanging="850"/>
        <w:rPr>
          <w:lang w:val="en-GB"/>
        </w:rPr>
      </w:pPr>
      <w:r>
        <w:rPr>
          <w:lang w:val="en-GB"/>
        </w:rPr>
        <w:t>Future data improvement plan and options</w:t>
      </w:r>
    </w:p>
    <w:p w14:paraId="57956CDE" w14:textId="0DF4AFC5" w:rsidR="002D69E9" w:rsidRPr="000729DD" w:rsidRDefault="002D69E9" w:rsidP="002D69E9">
      <w:pPr>
        <w:spacing w:after="240"/>
        <w:rPr>
          <w:snapToGrid/>
          <w:lang w:val="en-GB"/>
        </w:rPr>
      </w:pPr>
      <w:r>
        <w:rPr>
          <w:snapToGrid/>
          <w:lang w:val="en-GB"/>
        </w:rPr>
        <w:t>There are</w:t>
      </w:r>
      <w:r w:rsidRPr="005D3640">
        <w:rPr>
          <w:snapToGrid/>
          <w:lang w:val="en-GB"/>
        </w:rPr>
        <w:t xml:space="preserve"> a number of opportunities to improve future collection of data related to the operation of funded scholarships for Aboriginal and Torres Strait Islander secondary school students.  </w:t>
      </w:r>
      <w:r>
        <w:rPr>
          <w:snapToGrid/>
          <w:lang w:val="en-GB"/>
        </w:rPr>
        <w:t xml:space="preserve">These are </w:t>
      </w:r>
      <w:r w:rsidRPr="000729DD">
        <w:rPr>
          <w:snapToGrid/>
          <w:lang w:val="en-GB"/>
        </w:rPr>
        <w:t xml:space="preserve">set out in the data improvement plan at </w:t>
      </w:r>
      <w:r w:rsidRPr="00ED1293">
        <w:rPr>
          <w:snapToGrid/>
          <w:lang w:val="en-GB"/>
        </w:rPr>
        <w:fldChar w:fldCharType="begin"/>
      </w:r>
      <w:r w:rsidRPr="006020F2">
        <w:rPr>
          <w:snapToGrid/>
          <w:lang w:val="en-GB"/>
        </w:rPr>
        <w:instrText xml:space="preserve"> REF _Ref478659238 \h </w:instrText>
      </w:r>
      <w:r w:rsidRPr="00C00129">
        <w:rPr>
          <w:snapToGrid/>
          <w:lang w:val="en-GB"/>
        </w:rPr>
        <w:instrText xml:space="preserve"> \* MERGEFORMAT </w:instrText>
      </w:r>
      <w:r w:rsidRPr="00ED1293">
        <w:rPr>
          <w:snapToGrid/>
          <w:lang w:val="en-GB"/>
        </w:rPr>
      </w:r>
      <w:r w:rsidRPr="00ED1293">
        <w:rPr>
          <w:snapToGrid/>
          <w:lang w:val="en-GB"/>
        </w:rPr>
        <w:fldChar w:fldCharType="separate"/>
      </w:r>
      <w:r w:rsidR="009C78D7" w:rsidRPr="009C78D7">
        <w:rPr>
          <w:bCs/>
          <w:snapToGrid/>
          <w:szCs w:val="18"/>
        </w:rPr>
        <w:t xml:space="preserve">Figure </w:t>
      </w:r>
      <w:r w:rsidR="009C78D7" w:rsidRPr="009C78D7">
        <w:rPr>
          <w:bCs/>
          <w:noProof/>
          <w:snapToGrid/>
          <w:szCs w:val="18"/>
        </w:rPr>
        <w:t>6</w:t>
      </w:r>
      <w:r w:rsidRPr="00ED1293">
        <w:rPr>
          <w:snapToGrid/>
          <w:lang w:val="en-GB"/>
        </w:rPr>
        <w:fldChar w:fldCharType="end"/>
      </w:r>
      <w:r w:rsidRPr="006020F2">
        <w:rPr>
          <w:snapToGrid/>
          <w:lang w:val="en-GB"/>
        </w:rPr>
        <w:t xml:space="preserve"> and </w:t>
      </w:r>
      <w:r>
        <w:rPr>
          <w:snapToGrid/>
          <w:lang w:val="en-GB"/>
        </w:rPr>
        <w:t>summarised below</w:t>
      </w:r>
      <w:r w:rsidRPr="000729DD">
        <w:rPr>
          <w:snapToGrid/>
          <w:lang w:val="en-GB"/>
        </w:rPr>
        <w:t>.</w:t>
      </w:r>
    </w:p>
    <w:p w14:paraId="1A7E691A" w14:textId="674FDE04" w:rsidR="002D69E9" w:rsidRPr="000729DD" w:rsidRDefault="002D69E9" w:rsidP="002D69E9">
      <w:pPr>
        <w:keepNext/>
        <w:keepLines/>
        <w:tabs>
          <w:tab w:val="left" w:pos="992"/>
        </w:tabs>
        <w:spacing w:before="240" w:after="120"/>
        <w:rPr>
          <w:b/>
          <w:bCs/>
          <w:snapToGrid/>
          <w:color w:val="A32020" w:themeColor="text2"/>
          <w:szCs w:val="18"/>
          <w:lang w:val="en-GB"/>
        </w:rPr>
      </w:pPr>
      <w:bookmarkStart w:id="18" w:name="_Ref478659238"/>
      <w:r w:rsidRPr="000729DD">
        <w:rPr>
          <w:b/>
          <w:bCs/>
          <w:snapToGrid/>
          <w:color w:val="A32020" w:themeColor="text2"/>
          <w:szCs w:val="18"/>
        </w:rPr>
        <w:lastRenderedPageBreak/>
        <w:t xml:space="preserve">Figure </w:t>
      </w:r>
      <w:r w:rsidR="0032106D">
        <w:rPr>
          <w:b/>
          <w:bCs/>
          <w:snapToGrid/>
          <w:color w:val="A32020" w:themeColor="text2"/>
          <w:szCs w:val="18"/>
        </w:rPr>
        <w:fldChar w:fldCharType="begin"/>
      </w:r>
      <w:r w:rsidR="0032106D">
        <w:rPr>
          <w:b/>
          <w:bCs/>
          <w:snapToGrid/>
          <w:color w:val="A32020" w:themeColor="text2"/>
          <w:szCs w:val="18"/>
        </w:rPr>
        <w:instrText xml:space="preserve"> SEQ Figure \* ARABIC </w:instrText>
      </w:r>
      <w:r w:rsidR="0032106D">
        <w:rPr>
          <w:b/>
          <w:bCs/>
          <w:snapToGrid/>
          <w:color w:val="A32020" w:themeColor="text2"/>
          <w:szCs w:val="18"/>
        </w:rPr>
        <w:fldChar w:fldCharType="separate"/>
      </w:r>
      <w:r w:rsidR="009C78D7">
        <w:rPr>
          <w:b/>
          <w:bCs/>
          <w:noProof/>
          <w:snapToGrid/>
          <w:color w:val="A32020" w:themeColor="text2"/>
          <w:szCs w:val="18"/>
        </w:rPr>
        <w:t>6</w:t>
      </w:r>
      <w:r w:rsidR="0032106D">
        <w:rPr>
          <w:b/>
          <w:bCs/>
          <w:snapToGrid/>
          <w:color w:val="A32020" w:themeColor="text2"/>
          <w:szCs w:val="18"/>
        </w:rPr>
        <w:fldChar w:fldCharType="end"/>
      </w:r>
      <w:bookmarkEnd w:id="18"/>
      <w:r w:rsidRPr="000729DD">
        <w:rPr>
          <w:b/>
          <w:bCs/>
          <w:snapToGrid/>
          <w:color w:val="A32020" w:themeColor="text2"/>
          <w:szCs w:val="18"/>
        </w:rPr>
        <w:t xml:space="preserve"> Data improvement plan</w:t>
      </w:r>
    </w:p>
    <w:p w14:paraId="7E92C5DC" w14:textId="77777777" w:rsidR="002D69E9" w:rsidRDefault="002D69E9" w:rsidP="002D69E9">
      <w:pPr>
        <w:spacing w:after="240"/>
        <w:rPr>
          <w:snapToGrid/>
          <w:lang w:val="en-GB"/>
        </w:rPr>
      </w:pPr>
      <w:r w:rsidRPr="000729DD">
        <w:rPr>
          <w:noProof/>
          <w:snapToGrid/>
          <w:lang w:eastAsia="en-AU"/>
        </w:rPr>
        <w:drawing>
          <wp:inline distT="0" distB="0" distL="0" distR="0" wp14:anchorId="55CFB414" wp14:editId="3E99909D">
            <wp:extent cx="5417820" cy="2598420"/>
            <wp:effectExtent l="0" t="0" r="0" b="0"/>
            <wp:docPr id="20" name="Picture 9" descr="Provides a summary of the six steps recommended below for the data improvement plan." title="Data improv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417820" cy="2598420"/>
                    </a:xfrm>
                    <a:prstGeom prst="rect">
                      <a:avLst/>
                    </a:prstGeom>
                    <a:noFill/>
                    <a:ln>
                      <a:noFill/>
                    </a:ln>
                  </pic:spPr>
                </pic:pic>
              </a:graphicData>
            </a:graphic>
          </wp:inline>
        </w:drawing>
      </w:r>
    </w:p>
    <w:p w14:paraId="5FBD8AB2" w14:textId="77777777" w:rsidR="002D69E9" w:rsidRPr="00042F34" w:rsidRDefault="002D69E9" w:rsidP="002D69E9">
      <w:pPr>
        <w:pStyle w:val="PwCNormal"/>
        <w:numPr>
          <w:ilvl w:val="0"/>
          <w:numId w:val="9"/>
        </w:numPr>
        <w:rPr>
          <w:lang w:val="en-GB"/>
        </w:rPr>
      </w:pPr>
      <w:r w:rsidRPr="00D76B81">
        <w:rPr>
          <w:lang w:val="en-GB"/>
        </w:rPr>
        <w:t xml:space="preserve">The purpose of data collection should be to determine how </w:t>
      </w:r>
      <w:r w:rsidRPr="00F703FE">
        <w:rPr>
          <w:lang w:val="en-GB"/>
        </w:rPr>
        <w:t xml:space="preserve">funded scholarship contribute </w:t>
      </w:r>
      <w:r w:rsidRPr="0020595B">
        <w:rPr>
          <w:lang w:val="en-GB"/>
        </w:rPr>
        <w:t>to achieving agreed</w:t>
      </w:r>
      <w:r w:rsidRPr="00901423">
        <w:rPr>
          <w:lang w:val="en-GB"/>
        </w:rPr>
        <w:t xml:space="preserve"> outcomes.  A number of scholarship providers caution against data collection processe</w:t>
      </w:r>
      <w:r w:rsidRPr="00166496">
        <w:rPr>
          <w:lang w:val="en-GB"/>
        </w:rPr>
        <w:t>s standardis</w:t>
      </w:r>
      <w:r w:rsidRPr="00042F34">
        <w:rPr>
          <w:lang w:val="en-GB"/>
        </w:rPr>
        <w:t>ing scholarship provider activity resulting in a one size fits all approach to delivery.  It is vital that any new data collection requirements and processes are developed in consultation with scholarship providers to ensure data collection arrangements:</w:t>
      </w:r>
    </w:p>
    <w:p w14:paraId="057EBF96" w14:textId="77777777" w:rsidR="002D69E9" w:rsidRDefault="002D69E9" w:rsidP="002D69E9">
      <w:pPr>
        <w:pStyle w:val="ListBullet"/>
        <w:rPr>
          <w:lang w:val="en-GB"/>
        </w:rPr>
      </w:pPr>
      <w:r>
        <w:rPr>
          <w:lang w:val="en-GB"/>
        </w:rPr>
        <w:t>reflect the range of circumstances of scholarship providers</w:t>
      </w:r>
    </w:p>
    <w:p w14:paraId="6A8886B3" w14:textId="77777777" w:rsidR="002D69E9" w:rsidRDefault="002D69E9" w:rsidP="002D69E9">
      <w:pPr>
        <w:pStyle w:val="ListBullet"/>
        <w:rPr>
          <w:lang w:val="en-GB"/>
        </w:rPr>
      </w:pPr>
      <w:r>
        <w:rPr>
          <w:lang w:val="en-GB"/>
        </w:rPr>
        <w:t>do not impose an undue administrative burden on scholarship providers</w:t>
      </w:r>
    </w:p>
    <w:p w14:paraId="12A47D7C" w14:textId="77777777" w:rsidR="002D69E9" w:rsidRPr="006319F5" w:rsidRDefault="002D69E9" w:rsidP="002D69E9">
      <w:pPr>
        <w:pStyle w:val="ListBullet"/>
        <w:rPr>
          <w:lang w:val="en-GB"/>
        </w:rPr>
      </w:pPr>
      <w:r>
        <w:rPr>
          <w:lang w:val="en-GB"/>
        </w:rPr>
        <w:t>are proportionate and do not unintentionally stifle innovation, capacity of scholarship providers to meet specific needs or compromise the capacity of scholarship providers to implement their own service delivery model.</w:t>
      </w:r>
    </w:p>
    <w:p w14:paraId="4B6ECC92" w14:textId="77777777" w:rsidR="002D69E9" w:rsidRPr="000729DD" w:rsidRDefault="002D69E9" w:rsidP="00DE6C74">
      <w:pPr>
        <w:numPr>
          <w:ilvl w:val="0"/>
          <w:numId w:val="30"/>
        </w:numPr>
        <w:spacing w:after="240"/>
        <w:rPr>
          <w:b/>
          <w:snapToGrid/>
          <w:lang w:val="en-GB"/>
        </w:rPr>
      </w:pPr>
      <w:r w:rsidRPr="000729DD">
        <w:rPr>
          <w:b/>
          <w:snapToGrid/>
          <w:lang w:val="en-GB"/>
        </w:rPr>
        <w:t>Recommendation</w:t>
      </w:r>
      <w:r>
        <w:rPr>
          <w:b/>
          <w:snapToGrid/>
          <w:lang w:val="en-GB"/>
        </w:rPr>
        <w:t xml:space="preserve"> 1</w:t>
      </w:r>
    </w:p>
    <w:p w14:paraId="74AAE4A9" w14:textId="77777777" w:rsidR="002D69E9" w:rsidRPr="000729DD" w:rsidRDefault="002D69E9" w:rsidP="00DE6C74">
      <w:pPr>
        <w:numPr>
          <w:ilvl w:val="0"/>
          <w:numId w:val="30"/>
        </w:numPr>
        <w:spacing w:after="240"/>
        <w:rPr>
          <w:b/>
          <w:snapToGrid/>
          <w:lang w:val="en-GB"/>
        </w:rPr>
      </w:pPr>
      <w:r w:rsidRPr="000729DD">
        <w:rPr>
          <w:b/>
          <w:snapToGrid/>
          <w:lang w:val="en-GB"/>
        </w:rPr>
        <w:t xml:space="preserve">The </w:t>
      </w:r>
      <w:r>
        <w:rPr>
          <w:b/>
          <w:snapToGrid/>
          <w:lang w:val="en-GB"/>
        </w:rPr>
        <w:t>d</w:t>
      </w:r>
      <w:r w:rsidRPr="000729DD">
        <w:rPr>
          <w:b/>
          <w:snapToGrid/>
          <w:lang w:val="en-GB"/>
        </w:rPr>
        <w:t xml:space="preserve">epartment should </w:t>
      </w:r>
      <w:r>
        <w:rPr>
          <w:b/>
          <w:snapToGrid/>
          <w:lang w:val="en-GB"/>
        </w:rPr>
        <w:t>consult with funded scholarship providers on any proposed changes to data collection requirements to ensure that new data collection arrangements are proportionate, flexible and do not impose an undue administrative burden.</w:t>
      </w:r>
    </w:p>
    <w:p w14:paraId="5B132F9D" w14:textId="77777777" w:rsidR="002D69E9" w:rsidRPr="000729DD" w:rsidRDefault="002D69E9" w:rsidP="002D69E9">
      <w:pPr>
        <w:keepNext/>
        <w:keepLines/>
        <w:tabs>
          <w:tab w:val="left" w:pos="720"/>
        </w:tabs>
        <w:spacing w:after="40"/>
        <w:outlineLvl w:val="6"/>
        <w:rPr>
          <w:i/>
          <w:iCs/>
          <w:snapToGrid/>
          <w:color w:val="A32020" w:themeColor="text2"/>
          <w:sz w:val="28"/>
          <w:szCs w:val="28"/>
          <w:lang w:val="en-GB"/>
        </w:rPr>
      </w:pPr>
      <w:r w:rsidRPr="000729DD">
        <w:rPr>
          <w:i/>
          <w:iCs/>
          <w:snapToGrid/>
          <w:color w:val="A32020" w:themeColor="text2"/>
          <w:sz w:val="28"/>
          <w:szCs w:val="28"/>
          <w:lang w:val="en-GB"/>
        </w:rPr>
        <w:t>Discovery</w:t>
      </w:r>
    </w:p>
    <w:p w14:paraId="0A167C92" w14:textId="77777777" w:rsidR="002D69E9" w:rsidRPr="000729DD" w:rsidRDefault="002D69E9" w:rsidP="00DE6C74">
      <w:pPr>
        <w:numPr>
          <w:ilvl w:val="0"/>
          <w:numId w:val="30"/>
        </w:numPr>
        <w:spacing w:after="240"/>
        <w:rPr>
          <w:snapToGrid/>
          <w:lang w:val="en-GB"/>
        </w:rPr>
      </w:pPr>
      <w:r w:rsidRPr="000729DD">
        <w:rPr>
          <w:snapToGrid/>
          <w:lang w:val="en-GB"/>
        </w:rPr>
        <w:t xml:space="preserve">PIC has gathered input from all currently funded scholarship providers on their current data collection.  On the basis of this work PIC has found that the current state </w:t>
      </w:r>
      <w:r>
        <w:rPr>
          <w:snapToGrid/>
          <w:lang w:val="en-GB"/>
        </w:rPr>
        <w:t xml:space="preserve">of the </w:t>
      </w:r>
      <w:r w:rsidRPr="000729DD">
        <w:rPr>
          <w:snapToGrid/>
          <w:lang w:val="en-GB"/>
        </w:rPr>
        <w:t>data is compromised by data gaps, inconsistencies and disparate data</w:t>
      </w:r>
      <w:r>
        <w:rPr>
          <w:snapToGrid/>
          <w:lang w:val="en-GB"/>
        </w:rPr>
        <w:t>.  Data in this form will not</w:t>
      </w:r>
      <w:r w:rsidRPr="000729DD">
        <w:rPr>
          <w:snapToGrid/>
          <w:lang w:val="en-GB"/>
        </w:rPr>
        <w:t xml:space="preserve"> support robust evaluation approaches </w:t>
      </w:r>
      <w:r>
        <w:rPr>
          <w:snapToGrid/>
          <w:lang w:val="en-GB"/>
        </w:rPr>
        <w:t xml:space="preserve">such as </w:t>
      </w:r>
      <w:r w:rsidRPr="000729DD">
        <w:rPr>
          <w:snapToGrid/>
          <w:lang w:val="en-GB"/>
        </w:rPr>
        <w:t>impact assessment</w:t>
      </w:r>
      <w:r>
        <w:rPr>
          <w:snapToGrid/>
          <w:lang w:val="en-GB"/>
        </w:rPr>
        <w:t xml:space="preserve"> being conducted</w:t>
      </w:r>
      <w:r w:rsidRPr="000729DD">
        <w:rPr>
          <w:snapToGrid/>
          <w:lang w:val="en-GB"/>
        </w:rPr>
        <w:t>.</w:t>
      </w:r>
    </w:p>
    <w:p w14:paraId="1BB59B0C" w14:textId="7EC169CB" w:rsidR="002D69E9" w:rsidRPr="000729DD" w:rsidRDefault="002D69E9" w:rsidP="00DE6C74">
      <w:pPr>
        <w:numPr>
          <w:ilvl w:val="0"/>
          <w:numId w:val="30"/>
        </w:numPr>
        <w:spacing w:after="240"/>
        <w:rPr>
          <w:snapToGrid/>
          <w:lang w:val="en-GB"/>
        </w:rPr>
      </w:pPr>
      <w:r>
        <w:rPr>
          <w:snapToGrid/>
          <w:lang w:val="en-GB"/>
        </w:rPr>
        <w:t>A</w:t>
      </w:r>
      <w:r w:rsidRPr="000729DD">
        <w:rPr>
          <w:snapToGrid/>
          <w:lang w:val="en-GB"/>
        </w:rPr>
        <w:t xml:space="preserve"> data ‘wish</w:t>
      </w:r>
      <w:r>
        <w:rPr>
          <w:snapToGrid/>
          <w:lang w:val="en-GB"/>
        </w:rPr>
        <w:t xml:space="preserve"> </w:t>
      </w:r>
      <w:r w:rsidRPr="000729DD">
        <w:rPr>
          <w:snapToGrid/>
          <w:lang w:val="en-GB"/>
        </w:rPr>
        <w:t>list’</w:t>
      </w:r>
      <w:r w:rsidR="004E230C">
        <w:rPr>
          <w:snapToGrid/>
          <w:lang w:val="en-GB"/>
        </w:rPr>
        <w:t xml:space="preserve"> is</w:t>
      </w:r>
      <w:r>
        <w:rPr>
          <w:snapToGrid/>
          <w:lang w:val="en-GB"/>
        </w:rPr>
        <w:t xml:space="preserve"> set out in Section </w:t>
      </w:r>
      <w:r w:rsidR="00DE12AF">
        <w:rPr>
          <w:snapToGrid/>
          <w:lang w:val="en-GB"/>
        </w:rPr>
        <w:fldChar w:fldCharType="begin"/>
      </w:r>
      <w:r w:rsidR="00DE12AF">
        <w:rPr>
          <w:snapToGrid/>
          <w:lang w:val="en-GB"/>
        </w:rPr>
        <w:instrText xml:space="preserve"> REF _Ref481687184 \n \h </w:instrText>
      </w:r>
      <w:r w:rsidR="00DE12AF">
        <w:rPr>
          <w:snapToGrid/>
          <w:lang w:val="en-GB"/>
        </w:rPr>
      </w:r>
      <w:r w:rsidR="00DE12AF">
        <w:rPr>
          <w:snapToGrid/>
          <w:lang w:val="en-GB"/>
        </w:rPr>
        <w:fldChar w:fldCharType="separate"/>
      </w:r>
      <w:r w:rsidR="009C78D7">
        <w:rPr>
          <w:snapToGrid/>
          <w:lang w:val="en-GB"/>
        </w:rPr>
        <w:t>4</w:t>
      </w:r>
      <w:r w:rsidR="00DE12AF">
        <w:rPr>
          <w:snapToGrid/>
          <w:lang w:val="en-GB"/>
        </w:rPr>
        <w:fldChar w:fldCharType="end"/>
      </w:r>
      <w:r w:rsidRPr="000729DD">
        <w:rPr>
          <w:snapToGrid/>
          <w:lang w:val="en-GB"/>
        </w:rPr>
        <w:t xml:space="preserve"> for a range of data</w:t>
      </w:r>
      <w:r w:rsidR="002E7FBA">
        <w:rPr>
          <w:snapToGrid/>
          <w:lang w:val="en-GB"/>
        </w:rPr>
        <w:t>,</w:t>
      </w:r>
      <w:r w:rsidRPr="000729DD">
        <w:rPr>
          <w:snapToGrid/>
          <w:lang w:val="en-GB"/>
        </w:rPr>
        <w:t xml:space="preserve"> </w:t>
      </w:r>
      <w:r>
        <w:rPr>
          <w:snapToGrid/>
          <w:lang w:val="en-GB"/>
        </w:rPr>
        <w:t>including unit record level data</w:t>
      </w:r>
      <w:r w:rsidR="002E7FBA">
        <w:rPr>
          <w:snapToGrid/>
          <w:lang w:val="en-GB"/>
        </w:rPr>
        <w:t>,</w:t>
      </w:r>
      <w:r>
        <w:rPr>
          <w:snapToGrid/>
          <w:lang w:val="en-GB"/>
        </w:rPr>
        <w:t xml:space="preserve"> </w:t>
      </w:r>
      <w:r w:rsidRPr="000729DD">
        <w:rPr>
          <w:snapToGrid/>
          <w:lang w:val="en-GB"/>
        </w:rPr>
        <w:t xml:space="preserve">that will support evaluation design in three key domains: pre entry into a scholarship, during scholarship participation and post scholarship completion.  PIC sought input from currently funded scholarship providers to gain insights as to whether they currently collect </w:t>
      </w:r>
      <w:r>
        <w:rPr>
          <w:snapToGrid/>
          <w:lang w:val="en-GB"/>
        </w:rPr>
        <w:t>or have the capacity to collect these data</w:t>
      </w:r>
      <w:r w:rsidRPr="000729DD">
        <w:rPr>
          <w:snapToGrid/>
          <w:lang w:val="en-GB"/>
        </w:rPr>
        <w:t>.</w:t>
      </w:r>
    </w:p>
    <w:p w14:paraId="2109E311" w14:textId="77777777" w:rsidR="002D69E9" w:rsidRDefault="002D69E9" w:rsidP="00DE6C74">
      <w:pPr>
        <w:numPr>
          <w:ilvl w:val="0"/>
          <w:numId w:val="30"/>
        </w:numPr>
        <w:spacing w:after="240"/>
        <w:rPr>
          <w:snapToGrid/>
          <w:lang w:val="en-GB"/>
        </w:rPr>
      </w:pPr>
      <w:r>
        <w:rPr>
          <w:snapToGrid/>
          <w:lang w:val="en-GB"/>
        </w:rPr>
        <w:t>S</w:t>
      </w:r>
      <w:r w:rsidRPr="000729DD">
        <w:rPr>
          <w:snapToGrid/>
          <w:lang w:val="en-GB"/>
        </w:rPr>
        <w:t>cholarship providers</w:t>
      </w:r>
      <w:r>
        <w:rPr>
          <w:snapToGrid/>
          <w:lang w:val="en-GB"/>
        </w:rPr>
        <w:t>:</w:t>
      </w:r>
    </w:p>
    <w:p w14:paraId="1358D680" w14:textId="77777777" w:rsidR="002D69E9" w:rsidRDefault="002D69E9" w:rsidP="002D69E9">
      <w:pPr>
        <w:pStyle w:val="ListBullet"/>
        <w:rPr>
          <w:snapToGrid/>
          <w:lang w:val="en-GB"/>
        </w:rPr>
      </w:pPr>
      <w:r w:rsidRPr="00D76B81">
        <w:rPr>
          <w:snapToGrid/>
          <w:lang w:val="en-GB"/>
        </w:rPr>
        <w:t>have the capacity to collect a range of relevant data to support evaluation activities but require guidance, direction and structure for this collection</w:t>
      </w:r>
    </w:p>
    <w:p w14:paraId="52299F60" w14:textId="77777777" w:rsidR="002D69E9" w:rsidRPr="0020595B" w:rsidRDefault="002D69E9" w:rsidP="002D69E9">
      <w:pPr>
        <w:pStyle w:val="ListBullet"/>
        <w:rPr>
          <w:snapToGrid/>
          <w:lang w:val="en-GB"/>
        </w:rPr>
      </w:pPr>
      <w:r w:rsidRPr="00D76B81">
        <w:rPr>
          <w:snapToGrid/>
          <w:lang w:val="en-GB"/>
        </w:rPr>
        <w:lastRenderedPageBreak/>
        <w:t xml:space="preserve">are keen to be consulted and involved in future discussions about data requirements and the development of </w:t>
      </w:r>
      <w:r w:rsidRPr="0020595B">
        <w:rPr>
          <w:snapToGrid/>
          <w:lang w:val="en-GB"/>
        </w:rPr>
        <w:t xml:space="preserve">a monitoring and evaluation framework. </w:t>
      </w:r>
    </w:p>
    <w:p w14:paraId="21D40C87" w14:textId="77777777" w:rsidR="002D69E9" w:rsidRPr="000729DD" w:rsidRDefault="002D69E9" w:rsidP="002D69E9">
      <w:pPr>
        <w:keepNext/>
        <w:keepLines/>
        <w:tabs>
          <w:tab w:val="left" w:pos="720"/>
        </w:tabs>
        <w:spacing w:after="40"/>
        <w:outlineLvl w:val="6"/>
        <w:rPr>
          <w:i/>
          <w:iCs/>
          <w:snapToGrid/>
          <w:color w:val="A32020" w:themeColor="text2"/>
          <w:sz w:val="28"/>
          <w:szCs w:val="28"/>
          <w:lang w:val="en-GB"/>
        </w:rPr>
      </w:pPr>
      <w:r w:rsidRPr="000729DD">
        <w:rPr>
          <w:i/>
          <w:iCs/>
          <w:snapToGrid/>
          <w:color w:val="A32020" w:themeColor="text2"/>
          <w:sz w:val="28"/>
          <w:szCs w:val="28"/>
          <w:lang w:val="en-GB"/>
        </w:rPr>
        <w:t>Program logic</w:t>
      </w:r>
    </w:p>
    <w:p w14:paraId="5EF16B09" w14:textId="113CC2FE" w:rsidR="002D69E9" w:rsidRPr="00D67AE0" w:rsidRDefault="002D69E9" w:rsidP="00DE6C74">
      <w:pPr>
        <w:pStyle w:val="PwCNormal"/>
        <w:numPr>
          <w:ilvl w:val="0"/>
          <w:numId w:val="30"/>
        </w:numPr>
        <w:rPr>
          <w:snapToGrid/>
          <w:lang w:val="en-GB"/>
        </w:rPr>
      </w:pPr>
      <w:r>
        <w:rPr>
          <w:snapToGrid/>
          <w:lang w:val="en-GB"/>
        </w:rPr>
        <w:t>P</w:t>
      </w:r>
      <w:r w:rsidRPr="00D67AE0">
        <w:rPr>
          <w:snapToGrid/>
          <w:lang w:val="en-GB"/>
        </w:rPr>
        <w:t xml:space="preserve">rogram logic models </w:t>
      </w:r>
      <w:r>
        <w:rPr>
          <w:snapToGrid/>
          <w:lang w:val="en-GB"/>
        </w:rPr>
        <w:t>outline the logic of fund</w:t>
      </w:r>
      <w:r w:rsidR="004E230C">
        <w:rPr>
          <w:snapToGrid/>
          <w:lang w:val="en-GB"/>
        </w:rPr>
        <w:t>ed</w:t>
      </w:r>
      <w:r>
        <w:rPr>
          <w:snapToGrid/>
          <w:lang w:val="en-GB"/>
        </w:rPr>
        <w:t xml:space="preserve"> activity</w:t>
      </w:r>
      <w:r w:rsidR="004E230C">
        <w:rPr>
          <w:snapToGrid/>
          <w:lang w:val="en-GB"/>
        </w:rPr>
        <w:t xml:space="preserve"> and</w:t>
      </w:r>
      <w:r>
        <w:rPr>
          <w:snapToGrid/>
          <w:lang w:val="en-GB"/>
        </w:rPr>
        <w:t xml:space="preserve"> </w:t>
      </w:r>
      <w:r w:rsidRPr="00D67AE0">
        <w:rPr>
          <w:snapToGrid/>
          <w:lang w:val="en-GB"/>
        </w:rPr>
        <w:t>link the activities to the aims and intended outcomes.</w:t>
      </w:r>
      <w:r>
        <w:rPr>
          <w:snapToGrid/>
          <w:lang w:val="en-GB"/>
        </w:rPr>
        <w:t xml:space="preserve">  A</w:t>
      </w:r>
      <w:r w:rsidRPr="00D67AE0">
        <w:rPr>
          <w:snapToGrid/>
          <w:lang w:val="en-GB"/>
        </w:rPr>
        <w:t xml:space="preserve"> draft program logic </w:t>
      </w:r>
      <w:r>
        <w:rPr>
          <w:snapToGrid/>
          <w:lang w:val="en-GB"/>
        </w:rPr>
        <w:t xml:space="preserve">has been developed </w:t>
      </w:r>
      <w:r w:rsidRPr="00D67AE0">
        <w:rPr>
          <w:snapToGrid/>
          <w:lang w:val="en-GB"/>
        </w:rPr>
        <w:t xml:space="preserve">for funded secondary school scholarships for Aboriginal and Torres Strait Islander students based on desktop analysis and review of grant requirements.  </w:t>
      </w:r>
    </w:p>
    <w:p w14:paraId="6EA429DC" w14:textId="60A07483" w:rsidR="002D69E9" w:rsidRPr="000729DD" w:rsidRDefault="002D69E9" w:rsidP="00DE6C74">
      <w:pPr>
        <w:numPr>
          <w:ilvl w:val="0"/>
          <w:numId w:val="30"/>
        </w:numPr>
        <w:spacing w:after="240"/>
        <w:rPr>
          <w:snapToGrid/>
          <w:lang w:val="en-GB"/>
        </w:rPr>
      </w:pPr>
      <w:r>
        <w:rPr>
          <w:snapToGrid/>
          <w:lang w:val="en-GB"/>
        </w:rPr>
        <w:t>A</w:t>
      </w:r>
      <w:r w:rsidRPr="000729DD">
        <w:rPr>
          <w:snapToGrid/>
          <w:lang w:val="en-GB"/>
        </w:rPr>
        <w:t xml:space="preserve"> key part of the development of a program logic </w:t>
      </w:r>
      <w:r w:rsidR="002E7FBA">
        <w:rPr>
          <w:snapToGrid/>
          <w:lang w:val="en-GB"/>
        </w:rPr>
        <w:t xml:space="preserve">is </w:t>
      </w:r>
      <w:r>
        <w:rPr>
          <w:snapToGrid/>
          <w:lang w:val="en-GB"/>
        </w:rPr>
        <w:t>c</w:t>
      </w:r>
      <w:r w:rsidRPr="000729DD">
        <w:rPr>
          <w:snapToGrid/>
          <w:lang w:val="en-GB"/>
        </w:rPr>
        <w:t>onsultation to ensure that there is an agreed understanding and to support ownership of the program logic</w:t>
      </w:r>
      <w:r>
        <w:rPr>
          <w:snapToGrid/>
          <w:lang w:val="en-GB"/>
        </w:rPr>
        <w:t xml:space="preserve"> amongst key stakeholders</w:t>
      </w:r>
      <w:r w:rsidRPr="000729DD">
        <w:rPr>
          <w:snapToGrid/>
          <w:lang w:val="en-GB"/>
        </w:rPr>
        <w:t xml:space="preserve">.  Further consultation on the program logic is </w:t>
      </w:r>
      <w:r>
        <w:rPr>
          <w:snapToGrid/>
          <w:lang w:val="en-GB"/>
        </w:rPr>
        <w:t>required</w:t>
      </w:r>
      <w:r w:rsidRPr="000729DD">
        <w:rPr>
          <w:snapToGrid/>
          <w:lang w:val="en-GB"/>
        </w:rPr>
        <w:t xml:space="preserve"> in the development of the monitoring </w:t>
      </w:r>
      <w:r>
        <w:rPr>
          <w:snapToGrid/>
          <w:lang w:val="en-GB"/>
        </w:rPr>
        <w:t xml:space="preserve">and evaluation </w:t>
      </w:r>
      <w:r w:rsidRPr="000729DD">
        <w:rPr>
          <w:snapToGrid/>
          <w:lang w:val="en-GB"/>
        </w:rPr>
        <w:t xml:space="preserve">framework including with funded scholarship providers.  </w:t>
      </w:r>
      <w:r>
        <w:rPr>
          <w:snapToGrid/>
          <w:lang w:val="en-GB"/>
        </w:rPr>
        <w:t>This will also support grant program funding requirements.</w:t>
      </w:r>
    </w:p>
    <w:p w14:paraId="2AE6C4D9" w14:textId="77777777" w:rsidR="002D69E9" w:rsidRPr="000729DD" w:rsidRDefault="002D69E9" w:rsidP="00DE6C74">
      <w:pPr>
        <w:numPr>
          <w:ilvl w:val="0"/>
          <w:numId w:val="30"/>
        </w:numPr>
        <w:spacing w:after="240"/>
        <w:rPr>
          <w:b/>
          <w:snapToGrid/>
          <w:lang w:val="en-GB"/>
        </w:rPr>
      </w:pPr>
      <w:r w:rsidRPr="000729DD">
        <w:rPr>
          <w:b/>
          <w:snapToGrid/>
          <w:lang w:val="en-GB"/>
        </w:rPr>
        <w:t>Recommendation</w:t>
      </w:r>
      <w:r>
        <w:rPr>
          <w:b/>
          <w:snapToGrid/>
          <w:lang w:val="en-GB"/>
        </w:rPr>
        <w:t xml:space="preserve"> 2</w:t>
      </w:r>
    </w:p>
    <w:p w14:paraId="721A9045" w14:textId="77777777" w:rsidR="002D69E9" w:rsidRPr="000729DD" w:rsidRDefault="002D69E9" w:rsidP="00DE6C74">
      <w:pPr>
        <w:numPr>
          <w:ilvl w:val="0"/>
          <w:numId w:val="30"/>
        </w:numPr>
        <w:spacing w:after="240"/>
        <w:rPr>
          <w:b/>
          <w:snapToGrid/>
          <w:lang w:val="en-GB"/>
        </w:rPr>
      </w:pPr>
      <w:r w:rsidRPr="000729DD">
        <w:rPr>
          <w:b/>
          <w:snapToGrid/>
          <w:lang w:val="en-GB"/>
        </w:rPr>
        <w:t xml:space="preserve">The </w:t>
      </w:r>
      <w:r>
        <w:rPr>
          <w:b/>
          <w:snapToGrid/>
          <w:lang w:val="en-GB"/>
        </w:rPr>
        <w:t>d</w:t>
      </w:r>
      <w:r w:rsidRPr="000729DD">
        <w:rPr>
          <w:b/>
          <w:snapToGrid/>
          <w:lang w:val="en-GB"/>
        </w:rPr>
        <w:t>epartment should consult with current scholarship providers to test, validate and refine th</w:t>
      </w:r>
      <w:r>
        <w:rPr>
          <w:b/>
          <w:snapToGrid/>
          <w:lang w:val="en-GB"/>
        </w:rPr>
        <w:t>e</w:t>
      </w:r>
      <w:r w:rsidRPr="000729DD">
        <w:rPr>
          <w:b/>
          <w:snapToGrid/>
          <w:lang w:val="en-GB"/>
        </w:rPr>
        <w:t xml:space="preserve"> draft program logic which can then be used to help guide and frame a</w:t>
      </w:r>
      <w:r>
        <w:rPr>
          <w:b/>
          <w:snapToGrid/>
          <w:lang w:val="en-GB"/>
        </w:rPr>
        <w:t xml:space="preserve"> monitoring and</w:t>
      </w:r>
      <w:r w:rsidRPr="000729DD">
        <w:rPr>
          <w:b/>
          <w:snapToGrid/>
          <w:lang w:val="en-GB"/>
        </w:rPr>
        <w:t xml:space="preserve"> evaluation framework for the funded scholarships for Aboriginal and Torres Strait Islander secondary school students.</w:t>
      </w:r>
    </w:p>
    <w:p w14:paraId="001DA64D" w14:textId="77777777" w:rsidR="002D69E9" w:rsidRPr="000729DD" w:rsidRDefault="002D69E9" w:rsidP="002D69E9">
      <w:pPr>
        <w:keepNext/>
        <w:keepLines/>
        <w:tabs>
          <w:tab w:val="left" w:pos="720"/>
        </w:tabs>
        <w:spacing w:after="40"/>
        <w:outlineLvl w:val="6"/>
        <w:rPr>
          <w:i/>
          <w:iCs/>
          <w:snapToGrid/>
          <w:color w:val="A32020" w:themeColor="text2"/>
          <w:sz w:val="28"/>
          <w:szCs w:val="28"/>
          <w:lang w:val="en-GB"/>
        </w:rPr>
      </w:pPr>
      <w:r w:rsidRPr="000729DD">
        <w:rPr>
          <w:i/>
          <w:iCs/>
          <w:snapToGrid/>
          <w:color w:val="A32020" w:themeColor="text2"/>
          <w:sz w:val="28"/>
          <w:szCs w:val="28"/>
          <w:lang w:val="en-GB"/>
        </w:rPr>
        <w:t>Monitoring and evaluation framework</w:t>
      </w:r>
    </w:p>
    <w:p w14:paraId="0C817593" w14:textId="77777777" w:rsidR="002D69E9" w:rsidRDefault="002D69E9" w:rsidP="00DE6C74">
      <w:pPr>
        <w:numPr>
          <w:ilvl w:val="0"/>
          <w:numId w:val="30"/>
        </w:numPr>
        <w:spacing w:after="240"/>
        <w:rPr>
          <w:snapToGrid/>
          <w:lang w:val="en-GB"/>
        </w:rPr>
      </w:pPr>
      <w:r w:rsidRPr="000729DD">
        <w:rPr>
          <w:snapToGrid/>
          <w:lang w:val="en-GB"/>
        </w:rPr>
        <w:t>A</w:t>
      </w:r>
      <w:r>
        <w:rPr>
          <w:snapToGrid/>
          <w:lang w:val="en-GB"/>
        </w:rPr>
        <w:t xml:space="preserve"> monitoring and </w:t>
      </w:r>
      <w:r w:rsidRPr="000729DD">
        <w:rPr>
          <w:snapToGrid/>
          <w:lang w:val="en-GB"/>
        </w:rPr>
        <w:t>evaluation framework</w:t>
      </w:r>
      <w:r>
        <w:rPr>
          <w:snapToGrid/>
          <w:lang w:val="en-GB"/>
        </w:rPr>
        <w:t xml:space="preserve"> for</w:t>
      </w:r>
      <w:r w:rsidRPr="000729DD">
        <w:rPr>
          <w:snapToGrid/>
          <w:lang w:val="en-GB"/>
        </w:rPr>
        <w:t xml:space="preserve"> funded scholarships for Aboriginal and Torres Strait Islander secondary school students is required</w:t>
      </w:r>
      <w:r>
        <w:rPr>
          <w:snapToGrid/>
          <w:lang w:val="en-GB"/>
        </w:rPr>
        <w:t>. This should:</w:t>
      </w:r>
    </w:p>
    <w:p w14:paraId="5D883236" w14:textId="77777777" w:rsidR="002D69E9" w:rsidRDefault="002D69E9" w:rsidP="002D69E9">
      <w:pPr>
        <w:pStyle w:val="ListBullet"/>
        <w:rPr>
          <w:snapToGrid/>
          <w:lang w:val="en-GB"/>
        </w:rPr>
      </w:pPr>
      <w:r>
        <w:rPr>
          <w:snapToGrid/>
          <w:lang w:val="en-GB"/>
        </w:rPr>
        <w:t xml:space="preserve">specify a </w:t>
      </w:r>
      <w:r w:rsidRPr="000729DD">
        <w:rPr>
          <w:snapToGrid/>
          <w:lang w:val="en-GB"/>
        </w:rPr>
        <w:t>minimum data set</w:t>
      </w:r>
      <w:r>
        <w:rPr>
          <w:snapToGrid/>
          <w:lang w:val="en-GB"/>
        </w:rPr>
        <w:t xml:space="preserve"> for funded activity</w:t>
      </w:r>
    </w:p>
    <w:p w14:paraId="5C8BDCCB" w14:textId="77777777" w:rsidR="002D69E9" w:rsidRPr="0020595B" w:rsidRDefault="002D69E9" w:rsidP="002D69E9">
      <w:pPr>
        <w:pStyle w:val="ListBullet"/>
        <w:rPr>
          <w:snapToGrid/>
          <w:lang w:val="en-GB"/>
        </w:rPr>
      </w:pPr>
      <w:r w:rsidRPr="00D76B81">
        <w:rPr>
          <w:snapToGrid/>
          <w:lang w:val="en-GB"/>
        </w:rPr>
        <w:t>distinguish between those items which should be routinely collected and monitored with those that can be collected for a specific purpose or to a</w:t>
      </w:r>
      <w:r w:rsidRPr="0020595B">
        <w:rPr>
          <w:snapToGrid/>
          <w:lang w:val="en-GB"/>
        </w:rPr>
        <w:t xml:space="preserve">ddress a specific evaluation question or set of questions.  </w:t>
      </w:r>
    </w:p>
    <w:p w14:paraId="7CA24EA7" w14:textId="17FE4B45" w:rsidR="002D69E9" w:rsidRPr="000729DD" w:rsidRDefault="0055011E" w:rsidP="002D69E9">
      <w:pPr>
        <w:spacing w:after="240"/>
        <w:rPr>
          <w:snapToGrid/>
          <w:lang w:val="en-GB"/>
        </w:rPr>
      </w:pPr>
      <w:r>
        <w:rPr>
          <w:snapToGrid/>
          <w:lang w:val="en-GB"/>
        </w:rPr>
        <w:t xml:space="preserve">Data collection processes across scholarship providers differ in terms of their comprehensiveness and completeness.  </w:t>
      </w:r>
      <w:r w:rsidR="004E230C">
        <w:rPr>
          <w:snapToGrid/>
          <w:lang w:val="en-GB"/>
        </w:rPr>
        <w:t xml:space="preserve">In addition to the evaluation of all funded activity the potential exists to specify a more detailed </w:t>
      </w:r>
      <w:r w:rsidR="002D69E9" w:rsidRPr="000729DD">
        <w:rPr>
          <w:snapToGrid/>
          <w:lang w:val="en-GB"/>
        </w:rPr>
        <w:t xml:space="preserve">nested outcome evaluation project which could be undertaken in partnership with one or more funded scholarship providers.  </w:t>
      </w:r>
      <w:r>
        <w:rPr>
          <w:snapToGrid/>
          <w:lang w:val="en-GB"/>
        </w:rPr>
        <w:t>This could be undertaken with those scholarship providers who have more robust data collection processes and practices.</w:t>
      </w:r>
    </w:p>
    <w:p w14:paraId="79B066FB" w14:textId="77777777" w:rsidR="002D69E9" w:rsidRPr="000729DD" w:rsidRDefault="002D69E9" w:rsidP="00DE6C74">
      <w:pPr>
        <w:numPr>
          <w:ilvl w:val="0"/>
          <w:numId w:val="30"/>
        </w:numPr>
        <w:spacing w:after="240"/>
        <w:rPr>
          <w:b/>
          <w:snapToGrid/>
          <w:lang w:val="en-GB"/>
        </w:rPr>
      </w:pPr>
      <w:r w:rsidRPr="000729DD">
        <w:rPr>
          <w:b/>
          <w:snapToGrid/>
          <w:lang w:val="en-GB"/>
        </w:rPr>
        <w:t>Recommendation</w:t>
      </w:r>
      <w:r>
        <w:rPr>
          <w:b/>
          <w:snapToGrid/>
          <w:lang w:val="en-GB"/>
        </w:rPr>
        <w:t xml:space="preserve"> 3</w:t>
      </w:r>
    </w:p>
    <w:p w14:paraId="7F6BB75F" w14:textId="77777777" w:rsidR="002D69E9" w:rsidRPr="000729DD" w:rsidRDefault="002D69E9" w:rsidP="00DE6C74">
      <w:pPr>
        <w:numPr>
          <w:ilvl w:val="0"/>
          <w:numId w:val="30"/>
        </w:numPr>
        <w:spacing w:after="240"/>
        <w:rPr>
          <w:b/>
          <w:snapToGrid/>
          <w:lang w:val="en-GB"/>
        </w:rPr>
      </w:pPr>
      <w:r w:rsidRPr="000729DD">
        <w:rPr>
          <w:b/>
          <w:snapToGrid/>
          <w:lang w:val="en-GB"/>
        </w:rPr>
        <w:t xml:space="preserve">The </w:t>
      </w:r>
      <w:r>
        <w:rPr>
          <w:b/>
          <w:snapToGrid/>
          <w:lang w:val="en-GB"/>
        </w:rPr>
        <w:t>d</w:t>
      </w:r>
      <w:r w:rsidRPr="000729DD">
        <w:rPr>
          <w:b/>
          <w:snapToGrid/>
          <w:lang w:val="en-GB"/>
        </w:rPr>
        <w:t>epartment should develop a monitoring and evaluation framework in consultation with scholarship providers which is informed by a finalised and agreed program logic</w:t>
      </w:r>
      <w:r>
        <w:rPr>
          <w:b/>
          <w:snapToGrid/>
          <w:lang w:val="en-GB"/>
        </w:rPr>
        <w:t xml:space="preserve"> and a consistent definition of success for scholarship providers</w:t>
      </w:r>
      <w:r w:rsidRPr="000729DD">
        <w:rPr>
          <w:b/>
          <w:snapToGrid/>
          <w:lang w:val="en-GB"/>
        </w:rPr>
        <w:t>.  At a minimum this monitoring and evaluation framework should:</w:t>
      </w:r>
    </w:p>
    <w:p w14:paraId="6266B205" w14:textId="77777777" w:rsidR="002D69E9" w:rsidRPr="000729DD" w:rsidRDefault="002D69E9" w:rsidP="00DE6C74">
      <w:pPr>
        <w:numPr>
          <w:ilvl w:val="0"/>
          <w:numId w:val="31"/>
        </w:numPr>
        <w:spacing w:after="240"/>
        <w:ind w:left="426" w:hanging="426"/>
        <w:rPr>
          <w:b/>
          <w:snapToGrid/>
          <w:lang w:val="en-GB"/>
        </w:rPr>
      </w:pPr>
      <w:r w:rsidRPr="000729DD">
        <w:rPr>
          <w:b/>
          <w:snapToGrid/>
          <w:lang w:val="en-GB"/>
        </w:rPr>
        <w:t>specify data collection requirements for monitoring activities and for evaluation</w:t>
      </w:r>
    </w:p>
    <w:p w14:paraId="18C8430F" w14:textId="77777777" w:rsidR="002D69E9" w:rsidRPr="000729DD" w:rsidRDefault="002D69E9" w:rsidP="00DE6C74">
      <w:pPr>
        <w:numPr>
          <w:ilvl w:val="0"/>
          <w:numId w:val="31"/>
        </w:numPr>
        <w:spacing w:after="240"/>
        <w:ind w:left="426" w:hanging="426"/>
        <w:rPr>
          <w:b/>
          <w:snapToGrid/>
          <w:lang w:val="en-GB"/>
        </w:rPr>
      </w:pPr>
      <w:r w:rsidRPr="000729DD">
        <w:rPr>
          <w:b/>
          <w:snapToGrid/>
          <w:lang w:val="en-GB"/>
        </w:rPr>
        <w:t xml:space="preserve">specify data terms in the form of a data dictionary to ensure consistency of collected information and identify data collection methods </w:t>
      </w:r>
    </w:p>
    <w:p w14:paraId="55C156BD" w14:textId="77777777" w:rsidR="002D69E9" w:rsidRDefault="002D69E9" w:rsidP="00DE6C74">
      <w:pPr>
        <w:numPr>
          <w:ilvl w:val="0"/>
          <w:numId w:val="31"/>
        </w:numPr>
        <w:spacing w:after="240"/>
        <w:ind w:left="426" w:hanging="426"/>
        <w:rPr>
          <w:b/>
          <w:snapToGrid/>
          <w:lang w:val="en-GB"/>
        </w:rPr>
      </w:pPr>
      <w:r w:rsidRPr="000729DD">
        <w:rPr>
          <w:b/>
          <w:snapToGrid/>
          <w:lang w:val="en-GB"/>
        </w:rPr>
        <w:t>articulate how data will be used and a reporting schedule for analysis</w:t>
      </w:r>
    </w:p>
    <w:p w14:paraId="752964A7" w14:textId="77777777" w:rsidR="002D69E9" w:rsidRPr="000729DD" w:rsidRDefault="002D69E9" w:rsidP="00DE6C74">
      <w:pPr>
        <w:numPr>
          <w:ilvl w:val="0"/>
          <w:numId w:val="31"/>
        </w:numPr>
        <w:spacing w:after="240"/>
        <w:ind w:left="426" w:hanging="426"/>
        <w:rPr>
          <w:b/>
          <w:snapToGrid/>
          <w:lang w:val="en-GB"/>
        </w:rPr>
      </w:pPr>
      <w:r>
        <w:rPr>
          <w:b/>
          <w:snapToGrid/>
          <w:lang w:val="en-GB"/>
        </w:rPr>
        <w:t>reflect different delivery models of scholarship providers.</w:t>
      </w:r>
    </w:p>
    <w:p w14:paraId="50074C42" w14:textId="77777777" w:rsidR="002D69E9" w:rsidRPr="000729DD" w:rsidRDefault="002D69E9" w:rsidP="002D69E9">
      <w:pPr>
        <w:keepNext/>
        <w:keepLines/>
        <w:tabs>
          <w:tab w:val="left" w:pos="720"/>
        </w:tabs>
        <w:spacing w:after="40"/>
        <w:outlineLvl w:val="6"/>
        <w:rPr>
          <w:i/>
          <w:iCs/>
          <w:snapToGrid/>
          <w:color w:val="A32020" w:themeColor="text2"/>
          <w:sz w:val="28"/>
          <w:szCs w:val="28"/>
          <w:lang w:val="en-GB"/>
        </w:rPr>
      </w:pPr>
      <w:r w:rsidRPr="000729DD">
        <w:rPr>
          <w:i/>
          <w:iCs/>
          <w:snapToGrid/>
          <w:color w:val="A32020" w:themeColor="text2"/>
          <w:sz w:val="28"/>
          <w:szCs w:val="28"/>
          <w:lang w:val="en-GB"/>
        </w:rPr>
        <w:lastRenderedPageBreak/>
        <w:t>Design data collection tools and protocols</w:t>
      </w:r>
    </w:p>
    <w:p w14:paraId="430567E7" w14:textId="77777777" w:rsidR="002D69E9" w:rsidRPr="000729DD" w:rsidRDefault="002D69E9" w:rsidP="00DE6C74">
      <w:pPr>
        <w:numPr>
          <w:ilvl w:val="0"/>
          <w:numId w:val="30"/>
        </w:numPr>
        <w:spacing w:after="240"/>
        <w:rPr>
          <w:snapToGrid/>
          <w:lang w:val="en-GB"/>
        </w:rPr>
      </w:pPr>
      <w:r>
        <w:rPr>
          <w:snapToGrid/>
          <w:lang w:val="en-GB"/>
        </w:rPr>
        <w:t>S</w:t>
      </w:r>
      <w:r w:rsidRPr="000729DD">
        <w:rPr>
          <w:snapToGrid/>
          <w:lang w:val="en-GB"/>
        </w:rPr>
        <w:t xml:space="preserve">cholarship providers have the capacity to collect a range of relevant data but require guidance, direction and structure for this collection.  At a minimum this </w:t>
      </w:r>
      <w:r>
        <w:rPr>
          <w:snapToGrid/>
          <w:lang w:val="en-GB"/>
        </w:rPr>
        <w:t xml:space="preserve">should </w:t>
      </w:r>
      <w:r w:rsidRPr="000729DD">
        <w:rPr>
          <w:snapToGrid/>
          <w:lang w:val="en-GB"/>
        </w:rPr>
        <w:t xml:space="preserve">take the form of a standardised reporting template which can facilitate data collection.  </w:t>
      </w:r>
    </w:p>
    <w:p w14:paraId="416FE049" w14:textId="77777777" w:rsidR="002D69E9" w:rsidRPr="000729DD" w:rsidRDefault="002D69E9" w:rsidP="00DE6C74">
      <w:pPr>
        <w:numPr>
          <w:ilvl w:val="0"/>
          <w:numId w:val="30"/>
        </w:numPr>
        <w:spacing w:after="240"/>
        <w:rPr>
          <w:b/>
          <w:snapToGrid/>
          <w:lang w:val="en-GB"/>
        </w:rPr>
      </w:pPr>
      <w:r w:rsidRPr="000729DD">
        <w:rPr>
          <w:b/>
          <w:snapToGrid/>
          <w:lang w:val="en-GB"/>
        </w:rPr>
        <w:t>Recommendation</w:t>
      </w:r>
      <w:r>
        <w:rPr>
          <w:b/>
          <w:snapToGrid/>
          <w:lang w:val="en-GB"/>
        </w:rPr>
        <w:t xml:space="preserve"> 4</w:t>
      </w:r>
    </w:p>
    <w:p w14:paraId="7BFC226A" w14:textId="77777777" w:rsidR="002D69E9" w:rsidRPr="000729DD" w:rsidRDefault="002D69E9" w:rsidP="00DE6C74">
      <w:pPr>
        <w:numPr>
          <w:ilvl w:val="0"/>
          <w:numId w:val="30"/>
        </w:numPr>
        <w:spacing w:after="240"/>
        <w:rPr>
          <w:b/>
          <w:snapToGrid/>
          <w:lang w:val="en-GB"/>
        </w:rPr>
      </w:pPr>
      <w:r w:rsidRPr="000729DD">
        <w:rPr>
          <w:b/>
          <w:snapToGrid/>
          <w:lang w:val="en-GB"/>
        </w:rPr>
        <w:t xml:space="preserve">The </w:t>
      </w:r>
      <w:r>
        <w:rPr>
          <w:b/>
          <w:snapToGrid/>
          <w:lang w:val="en-GB"/>
        </w:rPr>
        <w:t>d</w:t>
      </w:r>
      <w:r w:rsidRPr="000729DD">
        <w:rPr>
          <w:b/>
          <w:snapToGrid/>
          <w:lang w:val="en-GB"/>
        </w:rPr>
        <w:t xml:space="preserve">epartment should develop a standardised reporting template or spreadsheet </w:t>
      </w:r>
      <w:r>
        <w:rPr>
          <w:b/>
          <w:snapToGrid/>
          <w:lang w:val="en-GB"/>
        </w:rPr>
        <w:t xml:space="preserve">in consultation with scholarship providers </w:t>
      </w:r>
      <w:r w:rsidRPr="000729DD">
        <w:rPr>
          <w:b/>
          <w:snapToGrid/>
          <w:lang w:val="en-GB"/>
        </w:rPr>
        <w:t>to facilitate the collection of data in line with the specified minimum data set.</w:t>
      </w:r>
    </w:p>
    <w:p w14:paraId="12C12ACE" w14:textId="77777777" w:rsidR="002D69E9" w:rsidRPr="000729DD" w:rsidRDefault="002D69E9" w:rsidP="002D69E9">
      <w:pPr>
        <w:keepNext/>
        <w:keepLines/>
        <w:tabs>
          <w:tab w:val="left" w:pos="720"/>
        </w:tabs>
        <w:spacing w:after="40"/>
        <w:outlineLvl w:val="6"/>
        <w:rPr>
          <w:i/>
          <w:iCs/>
          <w:snapToGrid/>
          <w:color w:val="A32020" w:themeColor="text2"/>
          <w:sz w:val="28"/>
          <w:szCs w:val="28"/>
          <w:lang w:val="en-GB"/>
        </w:rPr>
      </w:pPr>
      <w:r w:rsidRPr="000729DD">
        <w:rPr>
          <w:i/>
          <w:iCs/>
          <w:snapToGrid/>
          <w:color w:val="A32020" w:themeColor="text2"/>
          <w:sz w:val="28"/>
          <w:szCs w:val="28"/>
          <w:lang w:val="en-GB"/>
        </w:rPr>
        <w:t xml:space="preserve">Embed new data collection </w:t>
      </w:r>
    </w:p>
    <w:p w14:paraId="1793E2B3" w14:textId="77777777" w:rsidR="002D69E9" w:rsidRPr="000729DD" w:rsidRDefault="002D69E9" w:rsidP="00DE6C74">
      <w:pPr>
        <w:numPr>
          <w:ilvl w:val="0"/>
          <w:numId w:val="30"/>
        </w:numPr>
        <w:spacing w:after="240"/>
        <w:rPr>
          <w:snapToGrid/>
          <w:lang w:val="en-GB"/>
        </w:rPr>
      </w:pPr>
      <w:r w:rsidRPr="000729DD">
        <w:rPr>
          <w:snapToGrid/>
          <w:lang w:val="en-GB"/>
        </w:rPr>
        <w:t xml:space="preserve">The </w:t>
      </w:r>
      <w:r>
        <w:rPr>
          <w:snapToGrid/>
          <w:lang w:val="en-GB"/>
        </w:rPr>
        <w:t>d</w:t>
      </w:r>
      <w:r w:rsidRPr="000729DD">
        <w:rPr>
          <w:snapToGrid/>
          <w:lang w:val="en-GB"/>
        </w:rPr>
        <w:t xml:space="preserve">epartment has significant leverage through the funding that it </w:t>
      </w:r>
      <w:r>
        <w:rPr>
          <w:snapToGrid/>
          <w:lang w:val="en-GB"/>
        </w:rPr>
        <w:t>provides for the scholarships.</w:t>
      </w:r>
    </w:p>
    <w:p w14:paraId="1F6CB9E8" w14:textId="77777777" w:rsidR="002D69E9" w:rsidRDefault="002D69E9" w:rsidP="00DE6C74">
      <w:pPr>
        <w:numPr>
          <w:ilvl w:val="0"/>
          <w:numId w:val="30"/>
        </w:numPr>
        <w:spacing w:after="240"/>
        <w:rPr>
          <w:snapToGrid/>
          <w:lang w:val="en-GB"/>
        </w:rPr>
      </w:pPr>
      <w:r w:rsidRPr="000729DD">
        <w:rPr>
          <w:snapToGrid/>
          <w:lang w:val="en-GB"/>
        </w:rPr>
        <w:t xml:space="preserve">The </w:t>
      </w:r>
      <w:r>
        <w:rPr>
          <w:snapToGrid/>
          <w:lang w:val="en-GB"/>
        </w:rPr>
        <w:t>d</w:t>
      </w:r>
      <w:r w:rsidRPr="000729DD">
        <w:rPr>
          <w:snapToGrid/>
          <w:lang w:val="en-GB"/>
        </w:rPr>
        <w:t>epartment’s funding or grant agreement</w:t>
      </w:r>
      <w:r>
        <w:rPr>
          <w:snapToGrid/>
          <w:lang w:val="en-GB"/>
        </w:rPr>
        <w:t>s</w:t>
      </w:r>
      <w:r w:rsidRPr="000729DD">
        <w:rPr>
          <w:snapToGrid/>
          <w:lang w:val="en-GB"/>
        </w:rPr>
        <w:t xml:space="preserve"> should be used to embed any new data collection requirements agreed with scholarship providers. </w:t>
      </w:r>
    </w:p>
    <w:p w14:paraId="2924BAB2" w14:textId="77777777" w:rsidR="002D69E9" w:rsidRPr="00C00129" w:rsidRDefault="002D69E9" w:rsidP="002D69E9">
      <w:pPr>
        <w:pStyle w:val="PwCNormal"/>
        <w:numPr>
          <w:ilvl w:val="0"/>
          <w:numId w:val="9"/>
        </w:numPr>
        <w:rPr>
          <w:lang w:val="en-GB"/>
        </w:rPr>
      </w:pPr>
      <w:r>
        <w:rPr>
          <w:lang w:val="en-GB"/>
        </w:rPr>
        <w:t>Some scholarship providers have invested significant resources into data collection, analysis or reporting systems.  It is therefore critical that the department consult with scholarship providers in the development of new, modified or enhanced data collection requirements.</w:t>
      </w:r>
    </w:p>
    <w:p w14:paraId="011B0819" w14:textId="77777777" w:rsidR="002D69E9" w:rsidRPr="000729DD" w:rsidRDefault="002D69E9" w:rsidP="00DE6C74">
      <w:pPr>
        <w:numPr>
          <w:ilvl w:val="0"/>
          <w:numId w:val="30"/>
        </w:numPr>
        <w:spacing w:after="240"/>
        <w:rPr>
          <w:snapToGrid/>
          <w:lang w:val="en-GB"/>
        </w:rPr>
      </w:pPr>
      <w:r w:rsidRPr="000729DD">
        <w:rPr>
          <w:snapToGrid/>
          <w:lang w:val="en-GB"/>
        </w:rPr>
        <w:t>It will be important that consideration is given to the costs and administrative burden of additional data collection requirements on scholarship providers.</w:t>
      </w:r>
    </w:p>
    <w:p w14:paraId="05125ADD" w14:textId="77777777" w:rsidR="002D69E9" w:rsidRPr="000729DD" w:rsidRDefault="002D69E9" w:rsidP="00DE6C74">
      <w:pPr>
        <w:numPr>
          <w:ilvl w:val="0"/>
          <w:numId w:val="30"/>
        </w:numPr>
        <w:spacing w:after="240"/>
        <w:rPr>
          <w:b/>
          <w:snapToGrid/>
          <w:lang w:val="en-GB"/>
        </w:rPr>
      </w:pPr>
      <w:r w:rsidRPr="000729DD">
        <w:rPr>
          <w:b/>
          <w:snapToGrid/>
          <w:lang w:val="en-GB"/>
        </w:rPr>
        <w:t>Recommendation</w:t>
      </w:r>
      <w:r>
        <w:rPr>
          <w:b/>
          <w:snapToGrid/>
          <w:lang w:val="en-GB"/>
        </w:rPr>
        <w:t xml:space="preserve"> 5</w:t>
      </w:r>
    </w:p>
    <w:p w14:paraId="2C34711B" w14:textId="77777777" w:rsidR="002D69E9" w:rsidRPr="000729DD" w:rsidRDefault="002D69E9" w:rsidP="002D69E9">
      <w:pPr>
        <w:spacing w:after="240"/>
        <w:rPr>
          <w:b/>
          <w:snapToGrid/>
          <w:lang w:val="en-GB"/>
        </w:rPr>
      </w:pPr>
      <w:r w:rsidRPr="000729DD">
        <w:rPr>
          <w:b/>
          <w:snapToGrid/>
          <w:lang w:val="en-GB"/>
        </w:rPr>
        <w:t xml:space="preserve">The </w:t>
      </w:r>
      <w:r>
        <w:rPr>
          <w:b/>
          <w:snapToGrid/>
          <w:lang w:val="en-GB"/>
        </w:rPr>
        <w:t>d</w:t>
      </w:r>
      <w:r w:rsidRPr="000729DD">
        <w:rPr>
          <w:b/>
          <w:snapToGrid/>
          <w:lang w:val="en-GB"/>
        </w:rPr>
        <w:t xml:space="preserve">epartment should embed any new, modified or enhanced data collection requirements agreed with scholarship providers in future grant agreements.  These new modified or enhanced data collection </w:t>
      </w:r>
      <w:r>
        <w:rPr>
          <w:b/>
          <w:snapToGrid/>
          <w:lang w:val="en-GB"/>
        </w:rPr>
        <w:t xml:space="preserve">requirements </w:t>
      </w:r>
      <w:r w:rsidRPr="000729DD">
        <w:rPr>
          <w:b/>
          <w:snapToGrid/>
          <w:lang w:val="en-GB"/>
        </w:rPr>
        <w:t xml:space="preserve">should be determined with reference to the cost and administrative burden on scholarship providers and education partners. </w:t>
      </w:r>
    </w:p>
    <w:p w14:paraId="72E3ED35" w14:textId="77777777" w:rsidR="002D69E9" w:rsidRPr="000729DD" w:rsidRDefault="002D69E9" w:rsidP="002D69E9">
      <w:pPr>
        <w:keepNext/>
        <w:keepLines/>
        <w:tabs>
          <w:tab w:val="left" w:pos="720"/>
        </w:tabs>
        <w:spacing w:after="40"/>
        <w:outlineLvl w:val="6"/>
        <w:rPr>
          <w:i/>
          <w:iCs/>
          <w:snapToGrid/>
          <w:color w:val="A32020" w:themeColor="text2"/>
          <w:sz w:val="28"/>
          <w:szCs w:val="28"/>
          <w:lang w:val="en-GB"/>
        </w:rPr>
      </w:pPr>
      <w:r w:rsidRPr="000729DD">
        <w:rPr>
          <w:i/>
          <w:iCs/>
          <w:snapToGrid/>
          <w:color w:val="A32020" w:themeColor="text2"/>
          <w:sz w:val="28"/>
          <w:szCs w:val="28"/>
          <w:lang w:val="en-GB"/>
        </w:rPr>
        <w:t>Implement monitoring and evaluation activities</w:t>
      </w:r>
    </w:p>
    <w:p w14:paraId="2D100759" w14:textId="6A03A8A3" w:rsidR="002D69E9" w:rsidRPr="00ED0F37" w:rsidRDefault="002D69E9" w:rsidP="00DE6C74">
      <w:pPr>
        <w:numPr>
          <w:ilvl w:val="0"/>
          <w:numId w:val="30"/>
        </w:numPr>
        <w:spacing w:after="240"/>
        <w:rPr>
          <w:snapToGrid/>
          <w:lang w:val="en-GB"/>
        </w:rPr>
      </w:pPr>
      <w:r w:rsidRPr="00ED0F37">
        <w:rPr>
          <w:snapToGrid/>
          <w:lang w:val="en-GB"/>
        </w:rPr>
        <w:t>Review and evaluation activities should be implemented in line with the agreed monitoring and evaluation framework.  Providing feedback and sharing insights from these activities will be important for the credibility of the framework</w:t>
      </w:r>
      <w:r w:rsidR="0055011E">
        <w:rPr>
          <w:snapToGrid/>
          <w:lang w:val="en-GB"/>
        </w:rPr>
        <w:t xml:space="preserve">.  This </w:t>
      </w:r>
      <w:r w:rsidRPr="00ED0F37">
        <w:rPr>
          <w:snapToGrid/>
          <w:lang w:val="en-GB"/>
        </w:rPr>
        <w:t xml:space="preserve"> will contribute to ensuring scholarship providers’ data collection efforts are recognised and evidence</w:t>
      </w:r>
      <w:r w:rsidR="0055011E">
        <w:rPr>
          <w:snapToGrid/>
          <w:lang w:val="en-GB"/>
        </w:rPr>
        <w:t xml:space="preserve"> is</w:t>
      </w:r>
      <w:r w:rsidRPr="00ED0F37">
        <w:rPr>
          <w:snapToGrid/>
          <w:lang w:val="en-GB"/>
        </w:rPr>
        <w:t xml:space="preserve"> collected on the contribution that funded scholarships for secondary school student</w:t>
      </w:r>
      <w:r w:rsidRPr="00901423">
        <w:rPr>
          <w:snapToGrid/>
          <w:lang w:val="en-GB"/>
        </w:rPr>
        <w:t>s are making to closing the gap in Year 12 or equivalent attainment by Aboriginal and Torres Strait Islander young people</w:t>
      </w:r>
      <w:r w:rsidRPr="00166496">
        <w:rPr>
          <w:snapToGrid/>
          <w:lang w:val="en-GB"/>
        </w:rPr>
        <w:t>, future economic participation and career outcomes</w:t>
      </w:r>
      <w:r w:rsidRPr="00ED0F37">
        <w:rPr>
          <w:snapToGrid/>
          <w:lang w:val="en-GB"/>
        </w:rPr>
        <w:t xml:space="preserve">.  </w:t>
      </w:r>
    </w:p>
    <w:p w14:paraId="5AF6B194" w14:textId="36CE54E4" w:rsidR="002D69E9" w:rsidRDefault="00633FF8" w:rsidP="002D69E9">
      <w:pPr>
        <w:pStyle w:val="Heading6"/>
        <w:numPr>
          <w:ilvl w:val="0"/>
          <w:numId w:val="0"/>
        </w:numPr>
        <w:ind w:left="850" w:hanging="850"/>
        <w:rPr>
          <w:lang w:val="en-GB"/>
        </w:rPr>
      </w:pPr>
      <w:r>
        <w:rPr>
          <w:lang w:val="en-GB"/>
        </w:rPr>
        <w:t>Next steps &amp; broader implications</w:t>
      </w:r>
    </w:p>
    <w:p w14:paraId="45076936" w14:textId="49CDE974" w:rsidR="002D69E9" w:rsidRDefault="002D69E9" w:rsidP="002D69E9">
      <w:pPr>
        <w:pStyle w:val="ListBullet"/>
        <w:numPr>
          <w:ilvl w:val="0"/>
          <w:numId w:val="0"/>
        </w:numPr>
        <w:rPr>
          <w:lang w:val="en-US"/>
        </w:rPr>
      </w:pPr>
      <w:r>
        <w:rPr>
          <w:lang w:val="en-US"/>
        </w:rPr>
        <w:t xml:space="preserve">The main observations that we have drawn from our analysis relate to future data improvement plan and options </w:t>
      </w:r>
      <w:r w:rsidR="004E230C">
        <w:rPr>
          <w:lang w:val="en-US"/>
        </w:rPr>
        <w:t xml:space="preserve">detailed </w:t>
      </w:r>
      <w:r>
        <w:rPr>
          <w:lang w:val="en-US"/>
        </w:rPr>
        <w:t xml:space="preserve">in the </w:t>
      </w:r>
      <w:r w:rsidR="004E230C">
        <w:rPr>
          <w:lang w:val="en-US"/>
        </w:rPr>
        <w:t xml:space="preserve">preceding </w:t>
      </w:r>
      <w:r>
        <w:rPr>
          <w:lang w:val="en-US"/>
        </w:rPr>
        <w:t xml:space="preserve">section.  </w:t>
      </w:r>
    </w:p>
    <w:p w14:paraId="485C0C6A" w14:textId="7B81E5B2" w:rsidR="002D69E9" w:rsidRDefault="002D69E9" w:rsidP="002D69E9">
      <w:pPr>
        <w:pStyle w:val="ListBullet"/>
        <w:numPr>
          <w:ilvl w:val="0"/>
          <w:numId w:val="0"/>
        </w:numPr>
        <w:rPr>
          <w:lang w:val="en-US"/>
        </w:rPr>
      </w:pPr>
      <w:r>
        <w:rPr>
          <w:lang w:val="en-US"/>
        </w:rPr>
        <w:t>While variable data quality and the limited time frame for this review precluded the formation of broader specific recommendations for the operations of the grant program there are a number of observations which are supported by our analysis and consultations with scholarship providers, education partners and the department.</w:t>
      </w:r>
    </w:p>
    <w:p w14:paraId="74262263" w14:textId="77777777" w:rsidR="002D69E9" w:rsidRPr="00414D61" w:rsidRDefault="002D69E9" w:rsidP="00F47460">
      <w:pPr>
        <w:pStyle w:val="ListBullet"/>
        <w:keepNext/>
        <w:keepLines/>
        <w:numPr>
          <w:ilvl w:val="0"/>
          <w:numId w:val="0"/>
        </w:numPr>
        <w:rPr>
          <w:b/>
          <w:i/>
          <w:color w:val="A32020" w:themeColor="accent1"/>
          <w:lang w:val="en-US"/>
        </w:rPr>
      </w:pPr>
      <w:r w:rsidRPr="00414D61">
        <w:rPr>
          <w:b/>
          <w:i/>
          <w:color w:val="A32020" w:themeColor="accent1"/>
          <w:lang w:val="en-US"/>
        </w:rPr>
        <w:lastRenderedPageBreak/>
        <w:t>Diverse service models and organisation types</w:t>
      </w:r>
    </w:p>
    <w:p w14:paraId="760218B6" w14:textId="77777777" w:rsidR="002D69E9" w:rsidRDefault="002D69E9" w:rsidP="00F47460">
      <w:pPr>
        <w:pStyle w:val="ListBullet"/>
        <w:keepNext/>
        <w:keepLines/>
        <w:numPr>
          <w:ilvl w:val="0"/>
          <w:numId w:val="0"/>
        </w:numPr>
        <w:rPr>
          <w:lang w:val="en-US"/>
        </w:rPr>
      </w:pPr>
      <w:r>
        <w:rPr>
          <w:lang w:val="en-US"/>
        </w:rPr>
        <w:t>The department funds a diverse range of scholarship providers in terms of:</w:t>
      </w:r>
    </w:p>
    <w:p w14:paraId="497AFBEC" w14:textId="4155E6B5" w:rsidR="002D69E9" w:rsidRDefault="002D69E9" w:rsidP="00F47460">
      <w:pPr>
        <w:pStyle w:val="ListBullet"/>
        <w:keepNext/>
        <w:keepLines/>
        <w:rPr>
          <w:lang w:val="en-US"/>
        </w:rPr>
      </w:pPr>
      <w:r>
        <w:rPr>
          <w:lang w:val="en-US"/>
        </w:rPr>
        <w:t>scale/size of organi</w:t>
      </w:r>
      <w:r w:rsidR="001E6CBC">
        <w:rPr>
          <w:lang w:val="en-US"/>
        </w:rPr>
        <w:t>s</w:t>
      </w:r>
      <w:r>
        <w:rPr>
          <w:lang w:val="en-US"/>
        </w:rPr>
        <w:t>ation</w:t>
      </w:r>
    </w:p>
    <w:p w14:paraId="0E1F65AD" w14:textId="3E502DD4" w:rsidR="002D69E9" w:rsidRDefault="002D69E9" w:rsidP="002D69E9">
      <w:pPr>
        <w:pStyle w:val="ListBullet"/>
        <w:rPr>
          <w:lang w:val="en-US"/>
        </w:rPr>
      </w:pPr>
      <w:r>
        <w:rPr>
          <w:lang w:val="en-US"/>
        </w:rPr>
        <w:t>organisation purpose/mission (ranging from organisations whose sole purpose is the delivery of scholarships to those for who</w:t>
      </w:r>
      <w:r w:rsidR="009A7B00">
        <w:rPr>
          <w:lang w:val="en-US"/>
        </w:rPr>
        <w:t>m</w:t>
      </w:r>
      <w:r>
        <w:rPr>
          <w:lang w:val="en-US"/>
        </w:rPr>
        <w:t xml:space="preserve"> the delivery of scholarships </w:t>
      </w:r>
      <w:r w:rsidR="009A7B00">
        <w:rPr>
          <w:lang w:val="en-US"/>
        </w:rPr>
        <w:t>forms</w:t>
      </w:r>
      <w:r>
        <w:rPr>
          <w:lang w:val="en-US"/>
        </w:rPr>
        <w:t xml:space="preserve"> one part of a broader portfolio of activities</w:t>
      </w:r>
      <w:r w:rsidR="004E230C">
        <w:rPr>
          <w:lang w:val="en-US"/>
        </w:rPr>
        <w:t>)</w:t>
      </w:r>
    </w:p>
    <w:p w14:paraId="658C68A0" w14:textId="77777777" w:rsidR="002D69E9" w:rsidRDefault="002D69E9" w:rsidP="002D69E9">
      <w:pPr>
        <w:pStyle w:val="ListBullet"/>
        <w:rPr>
          <w:lang w:val="en-US"/>
        </w:rPr>
      </w:pPr>
      <w:r>
        <w:rPr>
          <w:lang w:val="en-US"/>
        </w:rPr>
        <w:t>organisation type (including not for profit, schools and Aboriginal Community Controlled Organisations)</w:t>
      </w:r>
    </w:p>
    <w:p w14:paraId="5696A69A" w14:textId="4E494156" w:rsidR="002D69E9" w:rsidRDefault="002D69E9" w:rsidP="002D69E9">
      <w:pPr>
        <w:pStyle w:val="ListBullet"/>
        <w:rPr>
          <w:lang w:val="en-US"/>
        </w:rPr>
      </w:pPr>
      <w:r>
        <w:rPr>
          <w:lang w:val="en-US"/>
        </w:rPr>
        <w:t>service model with grant</w:t>
      </w:r>
      <w:r w:rsidR="001E6CBC">
        <w:rPr>
          <w:lang w:val="en-US"/>
        </w:rPr>
        <w:t>s</w:t>
      </w:r>
      <w:r>
        <w:rPr>
          <w:lang w:val="en-US"/>
        </w:rPr>
        <w:t xml:space="preserve"> funding two key dominant models amongst scholarship providers: the school-led model and the</w:t>
      </w:r>
      <w:r w:rsidR="0020267E">
        <w:rPr>
          <w:lang w:val="en-US"/>
        </w:rPr>
        <w:t xml:space="preserve"> community/</w:t>
      </w:r>
      <w:r>
        <w:rPr>
          <w:lang w:val="en-US"/>
        </w:rPr>
        <w:t>broker-led model</w:t>
      </w:r>
    </w:p>
    <w:p w14:paraId="6C825209" w14:textId="77777777" w:rsidR="002D69E9" w:rsidRDefault="002D69E9" w:rsidP="002D69E9">
      <w:pPr>
        <w:pStyle w:val="ListBullet"/>
        <w:numPr>
          <w:ilvl w:val="0"/>
          <w:numId w:val="0"/>
        </w:numPr>
        <w:rPr>
          <w:lang w:val="en-US"/>
        </w:rPr>
      </w:pPr>
      <w:r>
        <w:rPr>
          <w:lang w:val="en-US"/>
        </w:rPr>
        <w:t>The diversity of scholarship providers appears to be a strength of the grant funding as it:</w:t>
      </w:r>
    </w:p>
    <w:p w14:paraId="5E921948" w14:textId="77777777" w:rsidR="002D69E9" w:rsidRDefault="002D69E9" w:rsidP="002D69E9">
      <w:pPr>
        <w:pStyle w:val="ListBullet"/>
        <w:rPr>
          <w:lang w:val="en-US"/>
        </w:rPr>
      </w:pPr>
      <w:r>
        <w:rPr>
          <w:lang w:val="en-US"/>
        </w:rPr>
        <w:t>enables organisations of scale to, in some instances, achieve national reach and critical mass</w:t>
      </w:r>
    </w:p>
    <w:p w14:paraId="25E0BC4B" w14:textId="2C29C67D" w:rsidR="002D69E9" w:rsidRDefault="002D69E9" w:rsidP="002D69E9">
      <w:pPr>
        <w:pStyle w:val="ListBullet"/>
        <w:rPr>
          <w:lang w:val="en-US"/>
        </w:rPr>
      </w:pPr>
      <w:r>
        <w:rPr>
          <w:lang w:val="en-US"/>
        </w:rPr>
        <w:t>enables organisation</w:t>
      </w:r>
      <w:r w:rsidR="009A7B00">
        <w:rPr>
          <w:lang w:val="en-US"/>
        </w:rPr>
        <w:t>s</w:t>
      </w:r>
      <w:r>
        <w:rPr>
          <w:lang w:val="en-US"/>
        </w:rPr>
        <w:t xml:space="preserve"> to design programs to meet specific community needs</w:t>
      </w:r>
    </w:p>
    <w:p w14:paraId="39A45A9E" w14:textId="17809023" w:rsidR="002D69E9" w:rsidRDefault="002D69E9" w:rsidP="002D69E9">
      <w:pPr>
        <w:pStyle w:val="ListBullet"/>
        <w:rPr>
          <w:lang w:val="en-US"/>
        </w:rPr>
      </w:pPr>
      <w:r>
        <w:rPr>
          <w:lang w:val="en-US"/>
        </w:rPr>
        <w:t>provides Aboriginal families with choice of provider and scholarship which is consistent with the principle of self-determination</w:t>
      </w:r>
    </w:p>
    <w:p w14:paraId="71354346" w14:textId="0FE258B0" w:rsidR="002D69E9" w:rsidRDefault="002D69E9" w:rsidP="002D69E9">
      <w:pPr>
        <w:pStyle w:val="ListBullet"/>
        <w:rPr>
          <w:lang w:val="en-US"/>
        </w:rPr>
      </w:pPr>
      <w:r>
        <w:rPr>
          <w:lang w:val="en-US"/>
        </w:rPr>
        <w:t xml:space="preserve">supports innovation and ensures that a </w:t>
      </w:r>
      <w:r w:rsidR="004E230C">
        <w:rPr>
          <w:lang w:val="en-US"/>
        </w:rPr>
        <w:t>‘</w:t>
      </w:r>
      <w:r>
        <w:rPr>
          <w:lang w:val="en-US"/>
        </w:rPr>
        <w:t>one</w:t>
      </w:r>
      <w:r w:rsidR="004E230C">
        <w:rPr>
          <w:lang w:val="en-US"/>
        </w:rPr>
        <w:t>-</w:t>
      </w:r>
      <w:r>
        <w:rPr>
          <w:lang w:val="en-US"/>
        </w:rPr>
        <w:t>size</w:t>
      </w:r>
      <w:r w:rsidR="004E230C">
        <w:rPr>
          <w:lang w:val="en-US"/>
        </w:rPr>
        <w:t>-</w:t>
      </w:r>
      <w:r>
        <w:rPr>
          <w:lang w:val="en-US"/>
        </w:rPr>
        <w:t>fits</w:t>
      </w:r>
      <w:r w:rsidR="004E230C">
        <w:rPr>
          <w:lang w:val="en-US"/>
        </w:rPr>
        <w:t>-</w:t>
      </w:r>
      <w:r>
        <w:rPr>
          <w:lang w:val="en-US"/>
        </w:rPr>
        <w:t>all</w:t>
      </w:r>
      <w:r w:rsidR="004E230C">
        <w:rPr>
          <w:lang w:val="en-US"/>
        </w:rPr>
        <w:t>’</w:t>
      </w:r>
      <w:r>
        <w:rPr>
          <w:lang w:val="en-US"/>
        </w:rPr>
        <w:t xml:space="preserve"> approach is not imposed.  This is a key factor in ensuring that government funding provided leverages corporate and philanthropic co-contributions.</w:t>
      </w:r>
    </w:p>
    <w:p w14:paraId="2362D981" w14:textId="77777777" w:rsidR="002D69E9" w:rsidRDefault="002D69E9" w:rsidP="002D69E9">
      <w:pPr>
        <w:pStyle w:val="ListBullet"/>
        <w:numPr>
          <w:ilvl w:val="0"/>
          <w:numId w:val="0"/>
        </w:numPr>
        <w:rPr>
          <w:lang w:val="en-US"/>
        </w:rPr>
      </w:pPr>
      <w:r>
        <w:rPr>
          <w:lang w:val="en-US"/>
        </w:rPr>
        <w:t>Future questions for consideration include:</w:t>
      </w:r>
    </w:p>
    <w:p w14:paraId="223EF41F" w14:textId="79711201" w:rsidR="002D69E9" w:rsidRDefault="002D69E9" w:rsidP="002D69E9">
      <w:pPr>
        <w:pStyle w:val="ListBullet"/>
        <w:rPr>
          <w:lang w:val="en-US"/>
        </w:rPr>
      </w:pPr>
      <w:r>
        <w:rPr>
          <w:lang w:val="en-US"/>
        </w:rPr>
        <w:t>whether there are differences in outcomes achieved depending on the organisation or model types</w:t>
      </w:r>
    </w:p>
    <w:p w14:paraId="6427FCF6" w14:textId="386E8118" w:rsidR="002D69E9" w:rsidRDefault="002D69E9" w:rsidP="002D69E9">
      <w:pPr>
        <w:pStyle w:val="ListBullet"/>
        <w:rPr>
          <w:lang w:val="en-US"/>
        </w:rPr>
      </w:pPr>
      <w:r>
        <w:rPr>
          <w:lang w:val="en-US"/>
        </w:rPr>
        <w:t xml:space="preserve">whether administrative costs differ between school led and </w:t>
      </w:r>
      <w:r w:rsidR="0020267E">
        <w:rPr>
          <w:lang w:val="en-US"/>
        </w:rPr>
        <w:t>community/</w:t>
      </w:r>
      <w:r>
        <w:rPr>
          <w:lang w:val="en-US"/>
        </w:rPr>
        <w:t>broker led models or organisation type or size.</w:t>
      </w:r>
    </w:p>
    <w:p w14:paraId="6D204FF1" w14:textId="77777777" w:rsidR="002D69E9" w:rsidRPr="00414D61" w:rsidRDefault="002D69E9" w:rsidP="002D69E9">
      <w:pPr>
        <w:pStyle w:val="ListBullet"/>
        <w:numPr>
          <w:ilvl w:val="0"/>
          <w:numId w:val="0"/>
        </w:numPr>
        <w:rPr>
          <w:b/>
          <w:i/>
          <w:color w:val="A32020" w:themeColor="accent1"/>
          <w:lang w:val="en-US"/>
        </w:rPr>
      </w:pPr>
      <w:r w:rsidRPr="00414D61">
        <w:rPr>
          <w:b/>
          <w:i/>
          <w:color w:val="A32020" w:themeColor="accent1"/>
          <w:lang w:val="en-US"/>
        </w:rPr>
        <w:t xml:space="preserve">Striking the right balance between providing direction and </w:t>
      </w:r>
      <w:r>
        <w:rPr>
          <w:b/>
          <w:i/>
          <w:color w:val="A32020" w:themeColor="accent1"/>
          <w:lang w:val="en-US"/>
        </w:rPr>
        <w:t>enabling innovation</w:t>
      </w:r>
    </w:p>
    <w:p w14:paraId="0BA7C3F2" w14:textId="77777777" w:rsidR="002D69E9" w:rsidRDefault="002D69E9" w:rsidP="002D69E9">
      <w:pPr>
        <w:pStyle w:val="ListBullet"/>
        <w:numPr>
          <w:ilvl w:val="0"/>
          <w:numId w:val="0"/>
        </w:numPr>
        <w:rPr>
          <w:lang w:val="en-US"/>
        </w:rPr>
      </w:pPr>
      <w:r>
        <w:rPr>
          <w:lang w:val="en-US"/>
        </w:rPr>
        <w:t>Scholarship providers expressed a range of views around measures to provide greater clarity in the form of more consistent grant guidelines.  Views expressed included:</w:t>
      </w:r>
    </w:p>
    <w:p w14:paraId="3E14C3E6" w14:textId="01CCA7CE" w:rsidR="002D69E9" w:rsidRDefault="002D69E9" w:rsidP="002D69E9">
      <w:pPr>
        <w:pStyle w:val="ListBullet"/>
        <w:rPr>
          <w:lang w:val="en-US"/>
        </w:rPr>
      </w:pPr>
      <w:r>
        <w:rPr>
          <w:lang w:val="en-US"/>
        </w:rPr>
        <w:t xml:space="preserve">the potential </w:t>
      </w:r>
      <w:r w:rsidR="004E230C">
        <w:rPr>
          <w:lang w:val="en-US"/>
        </w:rPr>
        <w:t xml:space="preserve">for </w:t>
      </w:r>
      <w:r>
        <w:rPr>
          <w:lang w:val="en-US"/>
        </w:rPr>
        <w:t>more consistent grant guidelines to assist in monitoring and reporting and providing clarity around expectations.  This view was more commonly expressed by previously IYLP funded scholarship providers</w:t>
      </w:r>
    </w:p>
    <w:p w14:paraId="3DAC361B" w14:textId="08EC9643" w:rsidR="002D69E9" w:rsidRDefault="002D69E9" w:rsidP="002D69E9">
      <w:pPr>
        <w:pStyle w:val="ListBullet"/>
        <w:rPr>
          <w:lang w:val="en-US"/>
        </w:rPr>
      </w:pPr>
      <w:r>
        <w:rPr>
          <w:lang w:val="en-US"/>
        </w:rPr>
        <w:t xml:space="preserve">the concern that more consistent guidelines might undermine the benefits of diverse service delivery models identified above </w:t>
      </w:r>
      <w:r w:rsidR="004E230C">
        <w:rPr>
          <w:lang w:val="en-US"/>
        </w:rPr>
        <w:t xml:space="preserve">and </w:t>
      </w:r>
      <w:r>
        <w:rPr>
          <w:lang w:val="en-US"/>
        </w:rPr>
        <w:t xml:space="preserve">result in a </w:t>
      </w:r>
      <w:r w:rsidR="004E230C">
        <w:rPr>
          <w:lang w:val="en-US"/>
        </w:rPr>
        <w:t>‘</w:t>
      </w:r>
      <w:r>
        <w:rPr>
          <w:lang w:val="en-US"/>
        </w:rPr>
        <w:t>one-size-fits</w:t>
      </w:r>
      <w:r w:rsidR="004E230C">
        <w:rPr>
          <w:lang w:val="en-US"/>
        </w:rPr>
        <w:t>-</w:t>
      </w:r>
      <w:r>
        <w:rPr>
          <w:lang w:val="en-US"/>
        </w:rPr>
        <w:t>all</w:t>
      </w:r>
      <w:r w:rsidR="004E230C">
        <w:rPr>
          <w:lang w:val="en-US"/>
        </w:rPr>
        <w:t>’</w:t>
      </w:r>
      <w:r>
        <w:rPr>
          <w:lang w:val="en-US"/>
        </w:rPr>
        <w:t xml:space="preserve"> approach</w:t>
      </w:r>
    </w:p>
    <w:p w14:paraId="12A484B3" w14:textId="356EF45E" w:rsidR="002D69E9" w:rsidRDefault="002D69E9" w:rsidP="002D69E9">
      <w:pPr>
        <w:pStyle w:val="ListBullet"/>
        <w:rPr>
          <w:lang w:val="en-US"/>
        </w:rPr>
      </w:pPr>
      <w:r>
        <w:rPr>
          <w:lang w:val="en-US"/>
        </w:rPr>
        <w:t>the need to define and agree the full dimensions of what success look</w:t>
      </w:r>
      <w:r w:rsidR="009A7B00">
        <w:rPr>
          <w:lang w:val="en-US"/>
        </w:rPr>
        <w:t>s like for scholarship funding</w:t>
      </w:r>
      <w:r>
        <w:rPr>
          <w:lang w:val="en-US"/>
        </w:rPr>
        <w:t>.</w:t>
      </w:r>
    </w:p>
    <w:p w14:paraId="4C83872A" w14:textId="77777777" w:rsidR="002D69E9" w:rsidRDefault="002D69E9" w:rsidP="002D69E9">
      <w:pPr>
        <w:pStyle w:val="ListBullet"/>
        <w:numPr>
          <w:ilvl w:val="0"/>
          <w:numId w:val="0"/>
        </w:numPr>
        <w:rPr>
          <w:lang w:val="en-US"/>
        </w:rPr>
      </w:pPr>
      <w:r>
        <w:rPr>
          <w:lang w:val="en-US"/>
        </w:rPr>
        <w:t>This should be explored in future discussions the department will have with scholarship providers in line with recommendation 1.</w:t>
      </w:r>
    </w:p>
    <w:p w14:paraId="323BE0AF" w14:textId="77777777" w:rsidR="002D69E9" w:rsidRPr="00414D61" w:rsidRDefault="002D69E9" w:rsidP="003D0871">
      <w:pPr>
        <w:pStyle w:val="ListBullet"/>
        <w:keepNext/>
        <w:keepLines/>
        <w:numPr>
          <w:ilvl w:val="0"/>
          <w:numId w:val="0"/>
        </w:numPr>
        <w:rPr>
          <w:b/>
          <w:i/>
          <w:color w:val="A32020" w:themeColor="accent1"/>
          <w:lang w:val="en-US"/>
        </w:rPr>
      </w:pPr>
      <w:r w:rsidRPr="00414D61">
        <w:rPr>
          <w:b/>
          <w:i/>
          <w:color w:val="A32020" w:themeColor="accent1"/>
          <w:lang w:val="en-US"/>
        </w:rPr>
        <w:lastRenderedPageBreak/>
        <w:t>Student need</w:t>
      </w:r>
      <w:r>
        <w:rPr>
          <w:b/>
          <w:i/>
          <w:color w:val="A32020" w:themeColor="accent1"/>
          <w:lang w:val="en-US"/>
        </w:rPr>
        <w:t xml:space="preserve"> and demand</w:t>
      </w:r>
    </w:p>
    <w:p w14:paraId="3E275A8A" w14:textId="774D397D" w:rsidR="002D69E9" w:rsidRDefault="002D69E9" w:rsidP="003D0871">
      <w:pPr>
        <w:pStyle w:val="ListBullet"/>
        <w:keepNext/>
        <w:keepLines/>
        <w:numPr>
          <w:ilvl w:val="0"/>
          <w:numId w:val="0"/>
        </w:numPr>
        <w:rPr>
          <w:lang w:val="en-US"/>
        </w:rPr>
      </w:pPr>
      <w:r>
        <w:rPr>
          <w:lang w:val="en-US"/>
        </w:rPr>
        <w:t xml:space="preserve">While all scholarship providers assert they are meeting, or exceeding their obligations under funding agreements further work is needed to better understand need and demand.  </w:t>
      </w:r>
    </w:p>
    <w:p w14:paraId="06C9261F" w14:textId="77777777" w:rsidR="002D69E9" w:rsidRDefault="002D69E9" w:rsidP="002D69E9">
      <w:pPr>
        <w:pStyle w:val="ListBullet"/>
        <w:numPr>
          <w:ilvl w:val="0"/>
          <w:numId w:val="0"/>
        </w:numPr>
        <w:rPr>
          <w:lang w:val="en-US"/>
        </w:rPr>
      </w:pPr>
      <w:r>
        <w:rPr>
          <w:lang w:val="en-US"/>
        </w:rPr>
        <w:t>Determining unmet demand is challenging as:</w:t>
      </w:r>
    </w:p>
    <w:p w14:paraId="6DC81966" w14:textId="77777777" w:rsidR="002D69E9" w:rsidRDefault="002D69E9" w:rsidP="002D69E9">
      <w:pPr>
        <w:pStyle w:val="ListBullet"/>
        <w:rPr>
          <w:lang w:val="en-US"/>
        </w:rPr>
      </w:pPr>
      <w:r>
        <w:rPr>
          <w:lang w:val="en-US"/>
        </w:rPr>
        <w:t xml:space="preserve">placing students in high performing schools often requires a judgement to be made of the student’s capacity to thrive and succeed in these environments.  This is particularly the case where students are boarding.  Developing a deep understanding the pool of </w:t>
      </w:r>
      <w:r w:rsidRPr="00414D61">
        <w:rPr>
          <w:i/>
          <w:lang w:val="en-US"/>
        </w:rPr>
        <w:t>potential</w:t>
      </w:r>
      <w:r>
        <w:rPr>
          <w:lang w:val="en-US"/>
        </w:rPr>
        <w:t xml:space="preserve"> applicants is challenging due to the subjective nature of assessment processes</w:t>
      </w:r>
    </w:p>
    <w:p w14:paraId="3083495A" w14:textId="025B4479" w:rsidR="002D69E9" w:rsidRDefault="002D69E9" w:rsidP="002D69E9">
      <w:pPr>
        <w:pStyle w:val="ListBullet"/>
        <w:rPr>
          <w:lang w:val="en-US"/>
        </w:rPr>
      </w:pPr>
      <w:r>
        <w:rPr>
          <w:lang w:val="en-US"/>
        </w:rPr>
        <w:t xml:space="preserve">the school-led and the </w:t>
      </w:r>
      <w:r w:rsidR="0020267E">
        <w:rPr>
          <w:lang w:val="en-US"/>
        </w:rPr>
        <w:t>community/</w:t>
      </w:r>
      <w:r>
        <w:rPr>
          <w:lang w:val="en-US"/>
        </w:rPr>
        <w:t>broker-led models have significant differences in the direct relationship between the scholarship provider and scholarship applicants</w:t>
      </w:r>
    </w:p>
    <w:p w14:paraId="5810E133" w14:textId="68A3769B" w:rsidR="002D69E9" w:rsidRDefault="0055011E" w:rsidP="002D69E9">
      <w:pPr>
        <w:pStyle w:val="ListBullet"/>
        <w:rPr>
          <w:lang w:val="en-US"/>
        </w:rPr>
      </w:pPr>
      <w:r>
        <w:rPr>
          <w:lang w:val="en-US"/>
        </w:rPr>
        <w:t>the</w:t>
      </w:r>
      <w:r w:rsidR="002D69E9">
        <w:rPr>
          <w:lang w:val="en-US"/>
        </w:rPr>
        <w:t xml:space="preserve"> availability of places with suitable education partners including in some instances constraints on boarding facilities.</w:t>
      </w:r>
    </w:p>
    <w:p w14:paraId="1A9C3A52" w14:textId="5662A2FE" w:rsidR="002D69E9" w:rsidRDefault="002D69E9" w:rsidP="002D69E9">
      <w:pPr>
        <w:pStyle w:val="ListBullet"/>
        <w:rPr>
          <w:lang w:val="en-US"/>
        </w:rPr>
      </w:pPr>
      <w:r>
        <w:rPr>
          <w:lang w:val="en-US"/>
        </w:rPr>
        <w:t>data collection</w:t>
      </w:r>
      <w:r w:rsidR="000A58A9">
        <w:rPr>
          <w:lang w:val="en-US"/>
        </w:rPr>
        <w:t>,</w:t>
      </w:r>
      <w:r>
        <w:rPr>
          <w:lang w:val="en-US"/>
        </w:rPr>
        <w:t xml:space="preserve"> particularly of applicant data</w:t>
      </w:r>
      <w:r w:rsidR="000A58A9">
        <w:rPr>
          <w:lang w:val="en-US"/>
        </w:rPr>
        <w:t>,</w:t>
      </w:r>
      <w:r>
        <w:rPr>
          <w:lang w:val="en-US"/>
        </w:rPr>
        <w:t xml:space="preserve"> is inconsistent. </w:t>
      </w:r>
    </w:p>
    <w:p w14:paraId="767618A1" w14:textId="4939CD0F" w:rsidR="002D69E9" w:rsidRDefault="009A7B00" w:rsidP="002D69E9">
      <w:pPr>
        <w:pStyle w:val="ListBullet"/>
        <w:numPr>
          <w:ilvl w:val="0"/>
          <w:numId w:val="0"/>
        </w:numPr>
        <w:rPr>
          <w:lang w:val="en-US"/>
        </w:rPr>
      </w:pPr>
      <w:r>
        <w:rPr>
          <w:lang w:val="en-US"/>
        </w:rPr>
        <w:t>While a</w:t>
      </w:r>
      <w:r w:rsidR="002D69E9">
        <w:rPr>
          <w:lang w:val="en-US"/>
        </w:rPr>
        <w:t>necdotally some scholarship providers noted practices of no longer promoting the availability of scholarships as demand outstrips supply</w:t>
      </w:r>
      <w:r>
        <w:rPr>
          <w:lang w:val="en-US"/>
        </w:rPr>
        <w:t>, o</w:t>
      </w:r>
      <w:r w:rsidR="002D69E9">
        <w:rPr>
          <w:lang w:val="en-US"/>
        </w:rPr>
        <w:t>thers indicated that they could double the number of scholarships they provide, including leveraging corporate or philanthropic funding</w:t>
      </w:r>
      <w:r w:rsidR="004D7942">
        <w:rPr>
          <w:lang w:val="en-US"/>
        </w:rPr>
        <w:t xml:space="preserve"> dependent on additional IAS funding</w:t>
      </w:r>
      <w:r w:rsidR="004E230C">
        <w:rPr>
          <w:lang w:val="en-US"/>
        </w:rPr>
        <w:t xml:space="preserve"> being provided</w:t>
      </w:r>
      <w:r w:rsidR="002D69E9">
        <w:rPr>
          <w:lang w:val="en-US"/>
        </w:rPr>
        <w:t>.</w:t>
      </w:r>
    </w:p>
    <w:p w14:paraId="2B9BC536" w14:textId="77777777" w:rsidR="002D69E9" w:rsidRDefault="002D69E9" w:rsidP="002D69E9">
      <w:pPr>
        <w:pStyle w:val="ListBullet"/>
        <w:numPr>
          <w:ilvl w:val="0"/>
          <w:numId w:val="0"/>
        </w:numPr>
        <w:rPr>
          <w:lang w:val="en-US"/>
        </w:rPr>
      </w:pPr>
      <w:r>
        <w:rPr>
          <w:lang w:val="en-US"/>
        </w:rPr>
        <w:t>Better data is needed to support comparative analysis and to identify grant refinements.  The department should seek evidence from scholarship providers of unmet demand in order to inform decisions around funding allocation in future rounds including any potential increase to funding allocations.  This evidence should include geographic area of scholarship need and include an estimate of numbers and rationale in addition to track record of the scholarship provider in delivering, or exceeding scholarship grant requirements.</w:t>
      </w:r>
    </w:p>
    <w:p w14:paraId="11E971AD" w14:textId="77777777" w:rsidR="00F06C19" w:rsidRPr="007560B4" w:rsidRDefault="00F06C19" w:rsidP="00F06C19">
      <w:pPr>
        <w:pStyle w:val="TOCtitle"/>
        <w:rPr>
          <w:lang w:val="en-GB"/>
        </w:rPr>
        <w:sectPr w:rsidR="00F06C19" w:rsidRPr="007560B4" w:rsidSect="003A009A">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1588" w:right="1020" w:bottom="1418" w:left="2353" w:header="567" w:footer="567" w:gutter="0"/>
          <w:pgNumType w:fmt="lowerRoman" w:start="1"/>
          <w:cols w:space="227"/>
          <w:titlePg/>
          <w:docGrid w:linePitch="286"/>
        </w:sectPr>
      </w:pPr>
    </w:p>
    <w:bookmarkEnd w:id="10"/>
    <w:p w14:paraId="43BAB125" w14:textId="77777777" w:rsidR="00F06C19" w:rsidRPr="007560B4" w:rsidRDefault="00F06C19" w:rsidP="00F06C19">
      <w:pPr>
        <w:pStyle w:val="TOCtitle"/>
        <w:rPr>
          <w:lang w:val="en-GB"/>
        </w:rPr>
      </w:pPr>
      <w:r w:rsidRPr="007560B4">
        <w:rPr>
          <w:lang w:val="en-GB"/>
        </w:rPr>
        <w:lastRenderedPageBreak/>
        <w:t>Conten</w:t>
      </w:r>
      <w:bookmarkStart w:id="19" w:name="TOC"/>
      <w:bookmarkEnd w:id="19"/>
      <w:r w:rsidRPr="007560B4">
        <w:rPr>
          <w:lang w:val="en-GB"/>
        </w:rPr>
        <w:t>ts</w:t>
      </w:r>
      <w:bookmarkStart w:id="20" w:name="SmallDoc"/>
      <w:bookmarkEnd w:id="20"/>
    </w:p>
    <w:p w14:paraId="470322C0" w14:textId="77777777" w:rsidR="00D7290E" w:rsidRPr="00D7290E" w:rsidRDefault="003A009A">
      <w:pPr>
        <w:pStyle w:val="TOC2"/>
        <w:rPr>
          <w:noProof/>
          <w:lang w:val="en-GB"/>
        </w:rPr>
      </w:pPr>
      <w:r w:rsidRPr="00393C33">
        <w:rPr>
          <w:lang w:val="en-GB"/>
        </w:rPr>
        <w:fldChar w:fldCharType="begin"/>
      </w:r>
      <w:r>
        <w:rPr>
          <w:lang w:val="en-GB"/>
        </w:rPr>
        <w:instrText xml:space="preserve"> TOC \h \t "Heading 1,1,Heading 2 No spacing,2,Heading 2,2,Heading 3,3,Heading 4,4,Preface Title,2" \*Charformat </w:instrText>
      </w:r>
      <w:r w:rsidRPr="00393C33">
        <w:rPr>
          <w:lang w:val="en-GB"/>
        </w:rPr>
        <w:fldChar w:fldCharType="separate"/>
      </w:r>
      <w:hyperlink w:anchor="_Toc482974458" w:history="1">
        <w:r w:rsidR="00D7290E" w:rsidRPr="00D7290E">
          <w:rPr>
            <w:noProof/>
            <w:lang w:val="en-GB"/>
          </w:rPr>
          <w:t>Executive summary</w:t>
        </w:r>
        <w:r w:rsidR="00D7290E" w:rsidRPr="00D7290E">
          <w:rPr>
            <w:noProof/>
            <w:lang w:val="en-GB"/>
          </w:rPr>
          <w:tab/>
        </w:r>
        <w:r w:rsidR="00D7290E" w:rsidRPr="00D7290E">
          <w:rPr>
            <w:noProof/>
            <w:lang w:val="en-GB"/>
          </w:rPr>
          <w:fldChar w:fldCharType="begin"/>
        </w:r>
        <w:r w:rsidR="00D7290E" w:rsidRPr="00D7290E">
          <w:rPr>
            <w:noProof/>
            <w:lang w:val="en-GB"/>
          </w:rPr>
          <w:instrText xml:space="preserve"> PAGEREF _Toc482974458 \h </w:instrText>
        </w:r>
        <w:r w:rsidR="00D7290E" w:rsidRPr="00D7290E">
          <w:rPr>
            <w:noProof/>
            <w:lang w:val="en-GB"/>
          </w:rPr>
        </w:r>
        <w:r w:rsidR="00D7290E" w:rsidRPr="00D7290E">
          <w:rPr>
            <w:noProof/>
            <w:lang w:val="en-GB"/>
          </w:rPr>
          <w:fldChar w:fldCharType="separate"/>
        </w:r>
        <w:r w:rsidR="009C78D7">
          <w:rPr>
            <w:noProof/>
            <w:lang w:val="en-GB"/>
          </w:rPr>
          <w:t>ii</w:t>
        </w:r>
        <w:r w:rsidR="00D7290E" w:rsidRPr="00D7290E">
          <w:rPr>
            <w:noProof/>
            <w:lang w:val="en-GB"/>
          </w:rPr>
          <w:fldChar w:fldCharType="end"/>
        </w:r>
      </w:hyperlink>
    </w:p>
    <w:p w14:paraId="5E58EE33" w14:textId="77777777" w:rsidR="00D7290E" w:rsidRPr="00D7290E" w:rsidRDefault="001837BD">
      <w:pPr>
        <w:pStyle w:val="TOC2"/>
        <w:rPr>
          <w:noProof/>
          <w:lang w:val="en-GB"/>
        </w:rPr>
      </w:pPr>
      <w:hyperlink w:anchor="_Toc482974459" w:history="1">
        <w:r w:rsidR="00D7290E" w:rsidRPr="00D7290E">
          <w:rPr>
            <w:noProof/>
            <w:lang w:val="en-GB"/>
          </w:rPr>
          <w:t>1</w:t>
        </w:r>
        <w:r w:rsidR="00D7290E" w:rsidRPr="00D7290E">
          <w:rPr>
            <w:noProof/>
            <w:lang w:val="en-GB"/>
          </w:rPr>
          <w:tab/>
          <w:t>Methodology</w:t>
        </w:r>
        <w:r w:rsidR="00D7290E" w:rsidRPr="00D7290E">
          <w:rPr>
            <w:noProof/>
            <w:lang w:val="en-GB"/>
          </w:rPr>
          <w:tab/>
        </w:r>
        <w:r w:rsidR="00D7290E" w:rsidRPr="00D7290E">
          <w:rPr>
            <w:noProof/>
            <w:lang w:val="en-GB"/>
          </w:rPr>
          <w:fldChar w:fldCharType="begin"/>
        </w:r>
        <w:r w:rsidR="00D7290E" w:rsidRPr="00D7290E">
          <w:rPr>
            <w:noProof/>
            <w:lang w:val="en-GB"/>
          </w:rPr>
          <w:instrText xml:space="preserve"> PAGEREF _Toc482974459 \h </w:instrText>
        </w:r>
        <w:r w:rsidR="00D7290E" w:rsidRPr="00D7290E">
          <w:rPr>
            <w:noProof/>
            <w:lang w:val="en-GB"/>
          </w:rPr>
        </w:r>
        <w:r w:rsidR="00D7290E" w:rsidRPr="00D7290E">
          <w:rPr>
            <w:noProof/>
            <w:lang w:val="en-GB"/>
          </w:rPr>
          <w:fldChar w:fldCharType="separate"/>
        </w:r>
        <w:r w:rsidR="009C78D7">
          <w:rPr>
            <w:noProof/>
            <w:lang w:val="en-GB"/>
          </w:rPr>
          <w:t>1</w:t>
        </w:r>
        <w:r w:rsidR="00D7290E" w:rsidRPr="00D7290E">
          <w:rPr>
            <w:noProof/>
            <w:lang w:val="en-GB"/>
          </w:rPr>
          <w:fldChar w:fldCharType="end"/>
        </w:r>
      </w:hyperlink>
    </w:p>
    <w:p w14:paraId="14B6FB30" w14:textId="77777777" w:rsidR="00D7290E" w:rsidRPr="00D7290E" w:rsidRDefault="001837BD">
      <w:pPr>
        <w:pStyle w:val="TOC2"/>
        <w:rPr>
          <w:noProof/>
          <w:lang w:val="en-GB"/>
        </w:rPr>
      </w:pPr>
      <w:hyperlink w:anchor="_Toc482974460" w:history="1">
        <w:r w:rsidR="00D7290E" w:rsidRPr="00D7290E">
          <w:rPr>
            <w:noProof/>
            <w:lang w:val="en-GB"/>
          </w:rPr>
          <w:t>2</w:t>
        </w:r>
        <w:r w:rsidR="00D7290E" w:rsidRPr="00D7290E">
          <w:rPr>
            <w:noProof/>
            <w:lang w:val="en-GB"/>
          </w:rPr>
          <w:tab/>
          <w:t>Scholarship overview</w:t>
        </w:r>
        <w:r w:rsidR="00D7290E" w:rsidRPr="00D7290E">
          <w:rPr>
            <w:noProof/>
            <w:lang w:val="en-GB"/>
          </w:rPr>
          <w:tab/>
        </w:r>
        <w:r w:rsidR="00D7290E" w:rsidRPr="00D7290E">
          <w:rPr>
            <w:noProof/>
            <w:lang w:val="en-GB"/>
          </w:rPr>
          <w:fldChar w:fldCharType="begin"/>
        </w:r>
        <w:r w:rsidR="00D7290E" w:rsidRPr="00D7290E">
          <w:rPr>
            <w:noProof/>
            <w:lang w:val="en-GB"/>
          </w:rPr>
          <w:instrText xml:space="preserve"> PAGEREF _Toc482974460 \h </w:instrText>
        </w:r>
        <w:r w:rsidR="00D7290E" w:rsidRPr="00D7290E">
          <w:rPr>
            <w:noProof/>
            <w:lang w:val="en-GB"/>
          </w:rPr>
        </w:r>
        <w:r w:rsidR="00D7290E" w:rsidRPr="00D7290E">
          <w:rPr>
            <w:noProof/>
            <w:lang w:val="en-GB"/>
          </w:rPr>
          <w:fldChar w:fldCharType="separate"/>
        </w:r>
        <w:r w:rsidR="009C78D7">
          <w:rPr>
            <w:noProof/>
            <w:lang w:val="en-GB"/>
          </w:rPr>
          <w:t>4</w:t>
        </w:r>
        <w:r w:rsidR="00D7290E" w:rsidRPr="00D7290E">
          <w:rPr>
            <w:noProof/>
            <w:lang w:val="en-GB"/>
          </w:rPr>
          <w:fldChar w:fldCharType="end"/>
        </w:r>
      </w:hyperlink>
    </w:p>
    <w:p w14:paraId="4ACF200D" w14:textId="77777777" w:rsidR="00D7290E" w:rsidRPr="00D7290E" w:rsidRDefault="001837BD">
      <w:pPr>
        <w:pStyle w:val="TOC2"/>
        <w:rPr>
          <w:noProof/>
          <w:lang w:val="en-GB"/>
        </w:rPr>
      </w:pPr>
      <w:hyperlink w:anchor="_Toc482974461" w:history="1">
        <w:r w:rsidR="00D7290E" w:rsidRPr="00D7290E">
          <w:rPr>
            <w:noProof/>
            <w:lang w:val="en-GB"/>
          </w:rPr>
          <w:t>3</w:t>
        </w:r>
        <w:r w:rsidR="00D7290E" w:rsidRPr="00D7290E">
          <w:rPr>
            <w:noProof/>
            <w:lang w:val="en-GB"/>
          </w:rPr>
          <w:tab/>
          <w:t>Overview of current data holdings</w:t>
        </w:r>
        <w:r w:rsidR="00D7290E" w:rsidRPr="00D7290E">
          <w:rPr>
            <w:noProof/>
            <w:lang w:val="en-GB"/>
          </w:rPr>
          <w:tab/>
        </w:r>
        <w:r w:rsidR="00D7290E" w:rsidRPr="00D7290E">
          <w:rPr>
            <w:noProof/>
            <w:lang w:val="en-GB"/>
          </w:rPr>
          <w:fldChar w:fldCharType="begin"/>
        </w:r>
        <w:r w:rsidR="00D7290E" w:rsidRPr="00D7290E">
          <w:rPr>
            <w:noProof/>
            <w:lang w:val="en-GB"/>
          </w:rPr>
          <w:instrText xml:space="preserve"> PAGEREF _Toc482974461 \h </w:instrText>
        </w:r>
        <w:r w:rsidR="00D7290E" w:rsidRPr="00D7290E">
          <w:rPr>
            <w:noProof/>
            <w:lang w:val="en-GB"/>
          </w:rPr>
        </w:r>
        <w:r w:rsidR="00D7290E" w:rsidRPr="00D7290E">
          <w:rPr>
            <w:noProof/>
            <w:lang w:val="en-GB"/>
          </w:rPr>
          <w:fldChar w:fldCharType="separate"/>
        </w:r>
        <w:r w:rsidR="009C78D7">
          <w:rPr>
            <w:noProof/>
            <w:lang w:val="en-GB"/>
          </w:rPr>
          <w:t>17</w:t>
        </w:r>
        <w:r w:rsidR="00D7290E" w:rsidRPr="00D7290E">
          <w:rPr>
            <w:noProof/>
            <w:lang w:val="en-GB"/>
          </w:rPr>
          <w:fldChar w:fldCharType="end"/>
        </w:r>
      </w:hyperlink>
    </w:p>
    <w:p w14:paraId="070D74BC" w14:textId="77777777" w:rsidR="00D7290E" w:rsidRPr="00D7290E" w:rsidRDefault="001837BD">
      <w:pPr>
        <w:pStyle w:val="TOC2"/>
        <w:rPr>
          <w:noProof/>
          <w:lang w:val="en-GB"/>
        </w:rPr>
      </w:pPr>
      <w:hyperlink w:anchor="_Toc482974462" w:history="1">
        <w:r w:rsidR="00D7290E" w:rsidRPr="00D7290E">
          <w:rPr>
            <w:noProof/>
            <w:lang w:val="en-GB"/>
          </w:rPr>
          <w:t>4</w:t>
        </w:r>
        <w:r w:rsidR="00D7290E" w:rsidRPr="00D7290E">
          <w:rPr>
            <w:noProof/>
            <w:lang w:val="en-GB"/>
          </w:rPr>
          <w:tab/>
          <w:t>Future data improvement plan and options</w:t>
        </w:r>
        <w:r w:rsidR="00D7290E" w:rsidRPr="00D7290E">
          <w:rPr>
            <w:noProof/>
            <w:lang w:val="en-GB"/>
          </w:rPr>
          <w:tab/>
        </w:r>
        <w:r w:rsidR="00D7290E" w:rsidRPr="00D7290E">
          <w:rPr>
            <w:noProof/>
            <w:lang w:val="en-GB"/>
          </w:rPr>
          <w:fldChar w:fldCharType="begin"/>
        </w:r>
        <w:r w:rsidR="00D7290E" w:rsidRPr="00D7290E">
          <w:rPr>
            <w:noProof/>
            <w:lang w:val="en-GB"/>
          </w:rPr>
          <w:instrText xml:space="preserve"> PAGEREF _Toc482974462 \h </w:instrText>
        </w:r>
        <w:r w:rsidR="00D7290E" w:rsidRPr="00D7290E">
          <w:rPr>
            <w:noProof/>
            <w:lang w:val="en-GB"/>
          </w:rPr>
        </w:r>
        <w:r w:rsidR="00D7290E" w:rsidRPr="00D7290E">
          <w:rPr>
            <w:noProof/>
            <w:lang w:val="en-GB"/>
          </w:rPr>
          <w:fldChar w:fldCharType="separate"/>
        </w:r>
        <w:r w:rsidR="009C78D7">
          <w:rPr>
            <w:noProof/>
            <w:lang w:val="en-GB"/>
          </w:rPr>
          <w:t>33</w:t>
        </w:r>
        <w:r w:rsidR="00D7290E" w:rsidRPr="00D7290E">
          <w:rPr>
            <w:noProof/>
            <w:lang w:val="en-GB"/>
          </w:rPr>
          <w:fldChar w:fldCharType="end"/>
        </w:r>
      </w:hyperlink>
    </w:p>
    <w:p w14:paraId="2A43F3E4" w14:textId="77777777" w:rsidR="00D7290E" w:rsidRPr="00D7290E" w:rsidRDefault="001837BD">
      <w:pPr>
        <w:pStyle w:val="TOC2"/>
        <w:rPr>
          <w:noProof/>
          <w:lang w:val="en-GB"/>
        </w:rPr>
      </w:pPr>
      <w:hyperlink w:anchor="_Toc482974463" w:history="1">
        <w:r w:rsidR="00D7290E" w:rsidRPr="00D7290E">
          <w:rPr>
            <w:noProof/>
            <w:lang w:val="en-GB"/>
          </w:rPr>
          <w:t>5</w:t>
        </w:r>
        <w:r w:rsidR="00D7290E" w:rsidRPr="00D7290E">
          <w:rPr>
            <w:noProof/>
            <w:lang w:val="en-GB"/>
          </w:rPr>
          <w:tab/>
          <w:t>Next steps &amp; broader implications</w:t>
        </w:r>
        <w:r w:rsidR="00D7290E" w:rsidRPr="00D7290E">
          <w:rPr>
            <w:noProof/>
            <w:lang w:val="en-GB"/>
          </w:rPr>
          <w:tab/>
        </w:r>
        <w:r w:rsidR="00D7290E" w:rsidRPr="00D7290E">
          <w:rPr>
            <w:noProof/>
            <w:lang w:val="en-GB"/>
          </w:rPr>
          <w:fldChar w:fldCharType="begin"/>
        </w:r>
        <w:r w:rsidR="00D7290E" w:rsidRPr="00D7290E">
          <w:rPr>
            <w:noProof/>
            <w:lang w:val="en-GB"/>
          </w:rPr>
          <w:instrText xml:space="preserve"> PAGEREF _Toc482974463 \h </w:instrText>
        </w:r>
        <w:r w:rsidR="00D7290E" w:rsidRPr="00D7290E">
          <w:rPr>
            <w:noProof/>
            <w:lang w:val="en-GB"/>
          </w:rPr>
        </w:r>
        <w:r w:rsidR="00D7290E" w:rsidRPr="00D7290E">
          <w:rPr>
            <w:noProof/>
            <w:lang w:val="en-GB"/>
          </w:rPr>
          <w:fldChar w:fldCharType="separate"/>
        </w:r>
        <w:r w:rsidR="009C78D7">
          <w:rPr>
            <w:noProof/>
            <w:lang w:val="en-GB"/>
          </w:rPr>
          <w:t>42</w:t>
        </w:r>
        <w:r w:rsidR="00D7290E" w:rsidRPr="00D7290E">
          <w:rPr>
            <w:noProof/>
            <w:lang w:val="en-GB"/>
          </w:rPr>
          <w:fldChar w:fldCharType="end"/>
        </w:r>
      </w:hyperlink>
    </w:p>
    <w:p w14:paraId="7640B312" w14:textId="338F9C8C" w:rsidR="00F06C19" w:rsidRPr="00393C33" w:rsidRDefault="003A009A" w:rsidP="001E6CBC">
      <w:pPr>
        <w:pStyle w:val="PwCNormal"/>
        <w:kinsoku/>
        <w:overflowPunct/>
        <w:autoSpaceDE/>
        <w:autoSpaceDN/>
        <w:adjustRightInd/>
        <w:snapToGrid/>
        <w:rPr>
          <w:lang w:val="en-GB"/>
        </w:rPr>
      </w:pPr>
      <w:r w:rsidRPr="00393C33">
        <w:rPr>
          <w:lang w:val="en-GB"/>
        </w:rPr>
        <w:fldChar w:fldCharType="end"/>
      </w:r>
    </w:p>
    <w:p w14:paraId="2B22AD4E" w14:textId="77777777" w:rsidR="00F06C19" w:rsidRPr="007560B4" w:rsidRDefault="00F06C19" w:rsidP="00F06C19">
      <w:pPr>
        <w:pStyle w:val="Coverpulloutframe"/>
        <w:framePr w:wrap="notBeside"/>
        <w:sectPr w:rsidR="00F06C19" w:rsidRPr="007560B4" w:rsidSect="003A009A">
          <w:headerReference w:type="even" r:id="rId25"/>
          <w:headerReference w:type="default" r:id="rId26"/>
          <w:footerReference w:type="even" r:id="rId27"/>
          <w:footerReference w:type="default" r:id="rId28"/>
          <w:headerReference w:type="first" r:id="rId29"/>
          <w:footerReference w:type="first" r:id="rId30"/>
          <w:type w:val="oddPage"/>
          <w:pgSz w:w="11907" w:h="16840" w:code="9"/>
          <w:pgMar w:top="1588" w:right="1020" w:bottom="1418" w:left="2353" w:header="567" w:footer="567" w:gutter="0"/>
          <w:pgNumType w:fmt="lowerRoman" w:start="1"/>
          <w:cols w:space="720"/>
          <w:titlePg/>
          <w:docGrid w:linePitch="286"/>
        </w:sectPr>
      </w:pPr>
    </w:p>
    <w:p w14:paraId="6C5F553C" w14:textId="77777777" w:rsidR="00F06C19" w:rsidRPr="002D69E9" w:rsidRDefault="002D69E9" w:rsidP="00DE6C74">
      <w:pPr>
        <w:pStyle w:val="Heading2"/>
        <w:numPr>
          <w:ilvl w:val="1"/>
          <w:numId w:val="36"/>
        </w:numPr>
        <w:rPr>
          <w:lang w:val="en-GB"/>
        </w:rPr>
      </w:pPr>
      <w:bookmarkStart w:id="21" w:name="_Toc482974459"/>
      <w:r w:rsidRPr="002D69E9">
        <w:rPr>
          <w:lang w:val="en-GB"/>
        </w:rPr>
        <w:lastRenderedPageBreak/>
        <w:t>Methodology</w:t>
      </w:r>
      <w:bookmarkEnd w:id="21"/>
    </w:p>
    <w:p w14:paraId="2055DF14" w14:textId="77777777" w:rsidR="002D69E9" w:rsidRPr="00DD6FB1" w:rsidRDefault="002D69E9" w:rsidP="002D69E9">
      <w:pPr>
        <w:pStyle w:val="Heading6"/>
        <w:tabs>
          <w:tab w:val="clear" w:pos="850"/>
          <w:tab w:val="num" w:pos="4395"/>
        </w:tabs>
        <w:ind w:left="851" w:hanging="851"/>
        <w:rPr>
          <w:lang w:val="en-GB"/>
        </w:rPr>
      </w:pPr>
      <w:r>
        <w:rPr>
          <w:lang w:val="en-GB"/>
        </w:rPr>
        <w:t>Our approach in summary</w:t>
      </w:r>
    </w:p>
    <w:p w14:paraId="195BB48C" w14:textId="77777777" w:rsidR="002D69E9" w:rsidRDefault="002D69E9" w:rsidP="002D69E9">
      <w:pPr>
        <w:pStyle w:val="PwCNormal"/>
        <w:numPr>
          <w:ilvl w:val="0"/>
          <w:numId w:val="0"/>
        </w:numPr>
        <w:rPr>
          <w:lang w:val="en-GB"/>
        </w:rPr>
      </w:pPr>
      <w:r>
        <w:rPr>
          <w:lang w:val="en-GB"/>
        </w:rPr>
        <w:t xml:space="preserve">Our approach consisted of five stages across the two project phases as outlined in </w:t>
      </w:r>
      <w:r>
        <w:rPr>
          <w:lang w:val="en-GB"/>
        </w:rPr>
        <w:fldChar w:fldCharType="begin"/>
      </w:r>
      <w:r>
        <w:rPr>
          <w:lang w:val="en-GB"/>
        </w:rPr>
        <w:instrText xml:space="preserve"> REF _Ref476157150 \h </w:instrText>
      </w:r>
      <w:r>
        <w:rPr>
          <w:lang w:val="en-GB"/>
        </w:rPr>
      </w:r>
      <w:r>
        <w:rPr>
          <w:lang w:val="en-GB"/>
        </w:rPr>
        <w:fldChar w:fldCharType="separate"/>
      </w:r>
      <w:r w:rsidR="009C78D7">
        <w:t xml:space="preserve">Figure </w:t>
      </w:r>
      <w:r w:rsidR="009C78D7">
        <w:rPr>
          <w:noProof/>
        </w:rPr>
        <w:t>7</w:t>
      </w:r>
      <w:r>
        <w:rPr>
          <w:lang w:val="en-GB"/>
        </w:rPr>
        <w:fldChar w:fldCharType="end"/>
      </w:r>
      <w:r>
        <w:rPr>
          <w:lang w:val="en-GB"/>
        </w:rPr>
        <w:t>.</w:t>
      </w:r>
    </w:p>
    <w:p w14:paraId="6E2A0DC3" w14:textId="6C501C16" w:rsidR="002D69E9" w:rsidRDefault="002D69E9" w:rsidP="002D69E9">
      <w:pPr>
        <w:pStyle w:val="Caption"/>
        <w:rPr>
          <w:lang w:val="en-GB"/>
        </w:rPr>
      </w:pPr>
      <w:bookmarkStart w:id="22" w:name="_Ref476157150"/>
      <w:r>
        <w:t xml:space="preserve">Figure </w:t>
      </w:r>
      <w:fldSimple w:instr=" SEQ Figure \* ARABIC ">
        <w:r w:rsidR="009C78D7">
          <w:rPr>
            <w:noProof/>
          </w:rPr>
          <w:t>7</w:t>
        </w:r>
      </w:fldSimple>
      <w:bookmarkEnd w:id="22"/>
      <w:r>
        <w:t xml:space="preserve"> Overview of project approach</w:t>
      </w:r>
    </w:p>
    <w:p w14:paraId="5E5EE6CD" w14:textId="77777777" w:rsidR="002D69E9" w:rsidRDefault="002D69E9" w:rsidP="002D69E9">
      <w:pPr>
        <w:pStyle w:val="PwCNormal"/>
        <w:numPr>
          <w:ilvl w:val="0"/>
          <w:numId w:val="0"/>
        </w:numPr>
        <w:rPr>
          <w:lang w:val="en-GB"/>
        </w:rPr>
      </w:pPr>
      <w:r w:rsidRPr="00901423">
        <w:rPr>
          <w:noProof/>
          <w:lang w:eastAsia="en-AU"/>
        </w:rPr>
        <w:drawing>
          <wp:inline distT="0" distB="0" distL="0" distR="0" wp14:anchorId="4EE6FC22" wp14:editId="48E8B914">
            <wp:extent cx="5419090" cy="772282"/>
            <wp:effectExtent l="0" t="0" r="0" b="8890"/>
            <wp:docPr id="289" name="Picture 289" descr="This diagram summarises the core methodoloogy presented in more detail in this section of the report." title="Overview of projec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419090" cy="772282"/>
                    </a:xfrm>
                    <a:prstGeom prst="rect">
                      <a:avLst/>
                    </a:prstGeom>
                    <a:noFill/>
                    <a:ln>
                      <a:noFill/>
                    </a:ln>
                  </pic:spPr>
                </pic:pic>
              </a:graphicData>
            </a:graphic>
          </wp:inline>
        </w:drawing>
      </w:r>
    </w:p>
    <w:p w14:paraId="79C93523" w14:textId="497C8ED7" w:rsidR="002D69E9" w:rsidRDefault="002D69E9" w:rsidP="002D69E9">
      <w:pPr>
        <w:pStyle w:val="PwCNormal"/>
        <w:numPr>
          <w:ilvl w:val="0"/>
          <w:numId w:val="0"/>
        </w:numPr>
        <w:rPr>
          <w:lang w:val="en-GB"/>
        </w:rPr>
      </w:pPr>
      <w:r>
        <w:rPr>
          <w:lang w:val="en-GB"/>
        </w:rPr>
        <w:t>The core methodological elements of our review include</w:t>
      </w:r>
      <w:r w:rsidR="004E230C">
        <w:rPr>
          <w:lang w:val="en-GB"/>
        </w:rPr>
        <w:t>d</w:t>
      </w:r>
      <w:r>
        <w:rPr>
          <w:lang w:val="en-GB"/>
        </w:rPr>
        <w:t>:</w:t>
      </w:r>
    </w:p>
    <w:p w14:paraId="37088AC8" w14:textId="77777777" w:rsidR="002D69E9" w:rsidRPr="004D6D93" w:rsidRDefault="002D69E9" w:rsidP="00DE6C74">
      <w:pPr>
        <w:pStyle w:val="ListBullet"/>
        <w:numPr>
          <w:ilvl w:val="0"/>
          <w:numId w:val="34"/>
        </w:numPr>
        <w:spacing w:before="240"/>
      </w:pPr>
      <w:r>
        <w:t>d</w:t>
      </w:r>
      <w:r w:rsidRPr="004D6D93">
        <w:t xml:space="preserve">esktop review and </w:t>
      </w:r>
      <w:r>
        <w:t xml:space="preserve">development of a draft </w:t>
      </w:r>
      <w:r w:rsidRPr="004D6D93">
        <w:t>program logic</w:t>
      </w:r>
    </w:p>
    <w:p w14:paraId="5DC0F94A" w14:textId="77777777" w:rsidR="002D69E9" w:rsidRPr="004D6D93" w:rsidRDefault="002D69E9" w:rsidP="00DE6C74">
      <w:pPr>
        <w:pStyle w:val="ListBullet"/>
        <w:numPr>
          <w:ilvl w:val="0"/>
          <w:numId w:val="34"/>
        </w:numPr>
        <w:spacing w:before="240"/>
      </w:pPr>
      <w:r>
        <w:t>d</w:t>
      </w:r>
      <w:r w:rsidRPr="004D6D93">
        <w:t>ata collection and analysis</w:t>
      </w:r>
      <w:r w:rsidRPr="007E3454">
        <w:t xml:space="preserve"> </w:t>
      </w:r>
      <w:r>
        <w:t>and w</w:t>
      </w:r>
      <w:r w:rsidRPr="004D6D93">
        <w:t>orkshop facilitation</w:t>
      </w:r>
      <w:r>
        <w:t xml:space="preserve"> on future data requirements</w:t>
      </w:r>
    </w:p>
    <w:p w14:paraId="4F287588" w14:textId="4AC58155" w:rsidR="002D69E9" w:rsidRPr="004D6D93" w:rsidRDefault="002D69E9" w:rsidP="00DE6C74">
      <w:pPr>
        <w:pStyle w:val="ListBullet"/>
        <w:numPr>
          <w:ilvl w:val="0"/>
          <w:numId w:val="34"/>
        </w:numPr>
        <w:spacing w:before="240"/>
      </w:pPr>
      <w:r>
        <w:t>s</w:t>
      </w:r>
      <w:r w:rsidRPr="004D6D93">
        <w:t>takeholder consultation</w:t>
      </w:r>
      <w:r>
        <w:t xml:space="preserve"> with a particular focus on funded scholarship providers</w:t>
      </w:r>
      <w:r w:rsidR="009A7B00">
        <w:t xml:space="preserve"> and education partners</w:t>
      </w:r>
      <w:r>
        <w:t>.</w:t>
      </w:r>
    </w:p>
    <w:p w14:paraId="5E31C097" w14:textId="77777777" w:rsidR="002D69E9" w:rsidRPr="00DD6FB1" w:rsidRDefault="002D69E9" w:rsidP="002D69E9">
      <w:pPr>
        <w:pStyle w:val="Heading6"/>
        <w:tabs>
          <w:tab w:val="clear" w:pos="850"/>
          <w:tab w:val="num" w:pos="4395"/>
        </w:tabs>
        <w:ind w:left="851" w:hanging="851"/>
        <w:rPr>
          <w:lang w:val="en-GB"/>
        </w:rPr>
      </w:pPr>
      <w:r w:rsidRPr="00DD6FB1">
        <w:rPr>
          <w:lang w:val="en-GB"/>
        </w:rPr>
        <w:t>Desktop review</w:t>
      </w:r>
      <w:r>
        <w:rPr>
          <w:lang w:val="en-GB"/>
        </w:rPr>
        <w:t xml:space="preserve"> and program logic</w:t>
      </w:r>
    </w:p>
    <w:p w14:paraId="35B6470F" w14:textId="77777777" w:rsidR="002D69E9" w:rsidRDefault="002D69E9" w:rsidP="002D69E9">
      <w:pPr>
        <w:pStyle w:val="ListBullet"/>
        <w:numPr>
          <w:ilvl w:val="0"/>
          <w:numId w:val="0"/>
        </w:numPr>
      </w:pPr>
      <w:r>
        <w:t xml:space="preserve">In addition to reviewing publically available information in relation to the IAS, PIC’s </w:t>
      </w:r>
      <w:r w:rsidRPr="00E51CD8">
        <w:t xml:space="preserve">desktop review </w:t>
      </w:r>
      <w:r>
        <w:t xml:space="preserve">focused primarily on analysing </w:t>
      </w:r>
      <w:r w:rsidRPr="00E51CD8">
        <w:t xml:space="preserve">the large number of grant agreements between the </w:t>
      </w:r>
      <w:r>
        <w:t>d</w:t>
      </w:r>
      <w:r w:rsidRPr="00E51CD8">
        <w:t>epartment and scholarship providers.</w:t>
      </w:r>
    </w:p>
    <w:p w14:paraId="2CD0DB00" w14:textId="77777777" w:rsidR="002D69E9" w:rsidRDefault="002D69E9" w:rsidP="002D69E9">
      <w:pPr>
        <w:pStyle w:val="ListBullet"/>
        <w:numPr>
          <w:ilvl w:val="0"/>
          <w:numId w:val="0"/>
        </w:numPr>
      </w:pPr>
      <w:r>
        <w:t>While grant agreements vary in the detail specified they may include:</w:t>
      </w:r>
    </w:p>
    <w:p w14:paraId="636E4C97" w14:textId="77777777" w:rsidR="002D69E9" w:rsidRDefault="002D69E9" w:rsidP="00DE6C74">
      <w:pPr>
        <w:pStyle w:val="ListBullet"/>
        <w:numPr>
          <w:ilvl w:val="0"/>
          <w:numId w:val="34"/>
        </w:numPr>
        <w:spacing w:before="240"/>
      </w:pPr>
      <w:r>
        <w:t>details of funding provided including the uses to which funding can be put together with payment schedules</w:t>
      </w:r>
    </w:p>
    <w:p w14:paraId="197D2289" w14:textId="77777777" w:rsidR="002D69E9" w:rsidRDefault="002D69E9" w:rsidP="00DE6C74">
      <w:pPr>
        <w:pStyle w:val="ListBullet"/>
        <w:numPr>
          <w:ilvl w:val="0"/>
          <w:numId w:val="34"/>
        </w:numPr>
        <w:spacing w:before="240"/>
      </w:pPr>
      <w:r>
        <w:t>requirements for scholar application and selection processes</w:t>
      </w:r>
    </w:p>
    <w:p w14:paraId="70A2A7E6" w14:textId="77777777" w:rsidR="002D69E9" w:rsidRDefault="002D69E9" w:rsidP="00DE6C74">
      <w:pPr>
        <w:pStyle w:val="ListBullet"/>
        <w:numPr>
          <w:ilvl w:val="0"/>
          <w:numId w:val="34"/>
        </w:numPr>
        <w:spacing w:before="240"/>
      </w:pPr>
      <w:r>
        <w:t>performance metrics and reporting requirements</w:t>
      </w:r>
    </w:p>
    <w:p w14:paraId="47330401" w14:textId="77777777" w:rsidR="004E230C" w:rsidRDefault="002D69E9" w:rsidP="00DE6C74">
      <w:pPr>
        <w:pStyle w:val="ListBullet"/>
        <w:numPr>
          <w:ilvl w:val="0"/>
          <w:numId w:val="34"/>
        </w:numPr>
        <w:spacing w:before="240"/>
      </w:pPr>
      <w:r>
        <w:t xml:space="preserve">specification of </w:t>
      </w:r>
      <w:r w:rsidR="004E230C">
        <w:t xml:space="preserve">the </w:t>
      </w:r>
      <w:r>
        <w:t>minimum number of scholarships that the provider must deliver</w:t>
      </w:r>
    </w:p>
    <w:p w14:paraId="2B10235C" w14:textId="4FC10A8D" w:rsidR="002D69E9" w:rsidRDefault="002D69E9" w:rsidP="00DE6C74">
      <w:pPr>
        <w:pStyle w:val="ListBullet"/>
        <w:numPr>
          <w:ilvl w:val="0"/>
          <w:numId w:val="34"/>
        </w:numPr>
        <w:spacing w:before="240"/>
      </w:pPr>
      <w:r>
        <w:t>for some grant types the proportion of scholarship recipients from specific Accessibility/Remoteness Index of Australia (ARIA) Geographic Locations</w:t>
      </w:r>
    </w:p>
    <w:p w14:paraId="25293D31" w14:textId="77777777" w:rsidR="002D69E9" w:rsidRDefault="002D69E9" w:rsidP="00DE6C74">
      <w:pPr>
        <w:pStyle w:val="ListBullet"/>
        <w:numPr>
          <w:ilvl w:val="0"/>
          <w:numId w:val="34"/>
        </w:numPr>
        <w:spacing w:before="240"/>
      </w:pPr>
      <w:r>
        <w:t>other requirements such as:</w:t>
      </w:r>
    </w:p>
    <w:p w14:paraId="3A1D4031" w14:textId="77777777" w:rsidR="002D69E9" w:rsidRDefault="002D69E9" w:rsidP="00DE6C74">
      <w:pPr>
        <w:pStyle w:val="ListBullet"/>
        <w:numPr>
          <w:ilvl w:val="1"/>
          <w:numId w:val="35"/>
        </w:numPr>
      </w:pPr>
      <w:r>
        <w:t>key characteristics of education providers</w:t>
      </w:r>
    </w:p>
    <w:p w14:paraId="0F3464E8" w14:textId="77777777" w:rsidR="002D69E9" w:rsidRDefault="002D69E9" w:rsidP="00DE6C74">
      <w:pPr>
        <w:pStyle w:val="ListBullet"/>
        <w:numPr>
          <w:ilvl w:val="1"/>
          <w:numId w:val="35"/>
        </w:numPr>
      </w:pPr>
      <w:r>
        <w:t>requirements to access other funding including ABSTUDY, parental contributions, industry partners, philanthropic organisations, individuals, schools and families.</w:t>
      </w:r>
    </w:p>
    <w:p w14:paraId="680FC83C" w14:textId="77777777" w:rsidR="002D69E9" w:rsidRPr="00B30B42" w:rsidRDefault="002D69E9" w:rsidP="002D69E9">
      <w:pPr>
        <w:pStyle w:val="ListBullet"/>
        <w:numPr>
          <w:ilvl w:val="0"/>
          <w:numId w:val="0"/>
        </w:numPr>
      </w:pPr>
      <w:r w:rsidRPr="00B30B42">
        <w:t xml:space="preserve">While the </w:t>
      </w:r>
      <w:r w:rsidRPr="009C0C89">
        <w:rPr>
          <w:i/>
        </w:rPr>
        <w:t>Indigenous Education (Targeted Assistance) Act 2000 Indigenous Youth Leadership Programme Guidelines 2014</w:t>
      </w:r>
      <w:r w:rsidRPr="00B30B42">
        <w:t xml:space="preserve"> are referred to in Carry Over Scholarship agreements these have </w:t>
      </w:r>
      <w:r>
        <w:t>not been</w:t>
      </w:r>
      <w:r w:rsidRPr="00B30B42">
        <w:t xml:space="preserve"> reviewed by PIC</w:t>
      </w:r>
      <w:r>
        <w:t>.</w:t>
      </w:r>
    </w:p>
    <w:p w14:paraId="4081893A" w14:textId="3BBE9AAA" w:rsidR="002D69E9" w:rsidRDefault="002D69E9" w:rsidP="002D69E9">
      <w:pPr>
        <w:pStyle w:val="ListBullet"/>
        <w:numPr>
          <w:ilvl w:val="0"/>
          <w:numId w:val="0"/>
        </w:numPr>
      </w:pPr>
      <w:r>
        <w:lastRenderedPageBreak/>
        <w:t xml:space="preserve">On the basis of this desktop review </w:t>
      </w:r>
      <w:r w:rsidRPr="00B30B42">
        <w:t xml:space="preserve">PIC developed a draft program logic for </w:t>
      </w:r>
      <w:r>
        <w:t>IAS funded</w:t>
      </w:r>
      <w:r w:rsidRPr="00B30B42">
        <w:t xml:space="preserve"> scholarship</w:t>
      </w:r>
      <w:r>
        <w:t>s</w:t>
      </w:r>
      <w:r w:rsidRPr="00B30B42">
        <w:t xml:space="preserve"> and aligned </w:t>
      </w:r>
      <w:r>
        <w:t xml:space="preserve">this program logic to </w:t>
      </w:r>
      <w:r w:rsidRPr="00B30B42">
        <w:t xml:space="preserve">the core lines of inquiry </w:t>
      </w:r>
      <w:r>
        <w:t>specified by the department</w:t>
      </w:r>
      <w:r w:rsidR="004E230C">
        <w:t xml:space="preserve"> for this review</w:t>
      </w:r>
      <w:r w:rsidRPr="00B30B42">
        <w:t>.</w:t>
      </w:r>
      <w:r>
        <w:t xml:space="preserve">  </w:t>
      </w:r>
    </w:p>
    <w:p w14:paraId="447A5155" w14:textId="77777777" w:rsidR="002D69E9" w:rsidRDefault="002D69E9" w:rsidP="002D69E9">
      <w:pPr>
        <w:pStyle w:val="ListBullet"/>
        <w:numPr>
          <w:ilvl w:val="0"/>
          <w:numId w:val="0"/>
        </w:numPr>
      </w:pPr>
      <w:r w:rsidRPr="00B30B42">
        <w:t>The program logic, once agreed, will</w:t>
      </w:r>
      <w:r>
        <w:t xml:space="preserve"> provide</w:t>
      </w:r>
      <w:r w:rsidRPr="00B30B42">
        <w:t xml:space="preserve"> </w:t>
      </w:r>
      <w:r w:rsidRPr="003153A6">
        <w:t xml:space="preserve">a </w:t>
      </w:r>
      <w:r>
        <w:t>useful</w:t>
      </w:r>
      <w:r w:rsidRPr="003153A6">
        <w:t xml:space="preserve"> foundation for building a</w:t>
      </w:r>
      <w:r>
        <w:t xml:space="preserve"> comprehensive monitoring and evaluation </w:t>
      </w:r>
      <w:r w:rsidRPr="003153A6">
        <w:t>framework to assess progress towards specific targets while also measuring impact.</w:t>
      </w:r>
      <w:r>
        <w:t xml:space="preserve">  The conceptual framework for the program logic approach is set out in </w:t>
      </w:r>
      <w:r>
        <w:fldChar w:fldCharType="begin"/>
      </w:r>
      <w:r>
        <w:instrText xml:space="preserve"> REF _Ref476157287 \h </w:instrText>
      </w:r>
      <w:r>
        <w:fldChar w:fldCharType="separate"/>
      </w:r>
      <w:r w:rsidR="009C78D7">
        <w:t xml:space="preserve">Figure </w:t>
      </w:r>
      <w:r w:rsidR="009C78D7">
        <w:rPr>
          <w:noProof/>
        </w:rPr>
        <w:t>8</w:t>
      </w:r>
      <w:r>
        <w:fldChar w:fldCharType="end"/>
      </w:r>
      <w:r>
        <w:t>.</w:t>
      </w:r>
    </w:p>
    <w:p w14:paraId="238F0CDC" w14:textId="7EED8F10" w:rsidR="002D69E9" w:rsidRDefault="002D69E9" w:rsidP="002D69E9">
      <w:pPr>
        <w:pStyle w:val="Caption"/>
      </w:pPr>
      <w:bookmarkStart w:id="23" w:name="_Ref476157287"/>
      <w:r>
        <w:t xml:space="preserve">Figure </w:t>
      </w:r>
      <w:fldSimple w:instr=" SEQ Figure \* ARABIC ">
        <w:r w:rsidR="009C78D7">
          <w:rPr>
            <w:noProof/>
          </w:rPr>
          <w:t>8</w:t>
        </w:r>
      </w:fldSimple>
      <w:bookmarkEnd w:id="23"/>
      <w:r>
        <w:t xml:space="preserve"> Program logic design and links to core review and evaluation questions</w:t>
      </w:r>
    </w:p>
    <w:p w14:paraId="41ED2BBD" w14:textId="77777777" w:rsidR="002D69E9" w:rsidRPr="00B30B42" w:rsidRDefault="002D69E9" w:rsidP="002D69E9">
      <w:pPr>
        <w:pStyle w:val="ListBullet"/>
        <w:numPr>
          <w:ilvl w:val="0"/>
          <w:numId w:val="0"/>
        </w:numPr>
      </w:pPr>
      <w:r w:rsidRPr="00270AAA">
        <w:rPr>
          <w:noProof/>
          <w:lang w:eastAsia="en-AU"/>
        </w:rPr>
        <w:drawing>
          <wp:inline distT="0" distB="0" distL="0" distR="0" wp14:anchorId="1C31955A" wp14:editId="26DC4C50">
            <wp:extent cx="5419090" cy="1084111"/>
            <wp:effectExtent l="0" t="0" r="0" b="0"/>
            <wp:docPr id="31" name="Picture 31" descr="This diagram outlines the five components of a typical program logic and links these to core evaluation questions of appropriateness/sustainability, efficiency and effectiveness." title="Program logic design and links to core review and evalua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419090" cy="1084111"/>
                    </a:xfrm>
                    <a:prstGeom prst="rect">
                      <a:avLst/>
                    </a:prstGeom>
                    <a:noFill/>
                    <a:ln>
                      <a:noFill/>
                    </a:ln>
                  </pic:spPr>
                </pic:pic>
              </a:graphicData>
            </a:graphic>
          </wp:inline>
        </w:drawing>
      </w:r>
    </w:p>
    <w:p w14:paraId="42B3C701" w14:textId="77777777" w:rsidR="002D69E9" w:rsidRPr="00DD6FB1" w:rsidRDefault="002D69E9" w:rsidP="002D69E9">
      <w:pPr>
        <w:pStyle w:val="Heading6"/>
        <w:tabs>
          <w:tab w:val="clear" w:pos="850"/>
          <w:tab w:val="num" w:pos="4395"/>
        </w:tabs>
        <w:ind w:left="851" w:hanging="851"/>
      </w:pPr>
      <w:r w:rsidRPr="00DD6FB1">
        <w:t>Data collection</w:t>
      </w:r>
      <w:r>
        <w:t>, analysis and workshop</w:t>
      </w:r>
    </w:p>
    <w:p w14:paraId="05E646EF" w14:textId="7BE576AB" w:rsidR="002D69E9" w:rsidRPr="009C0C89" w:rsidRDefault="00997DD3" w:rsidP="002D69E9">
      <w:pPr>
        <w:pStyle w:val="ListBullet"/>
        <w:numPr>
          <w:ilvl w:val="0"/>
          <w:numId w:val="0"/>
        </w:numPr>
        <w:spacing w:before="240"/>
      </w:pPr>
      <w:r>
        <w:t>Data</w:t>
      </w:r>
      <w:r w:rsidR="002D69E9" w:rsidRPr="009C0C89">
        <w:t xml:space="preserve"> held by the </w:t>
      </w:r>
      <w:r w:rsidR="002D69E9">
        <w:t>d</w:t>
      </w:r>
      <w:r w:rsidR="002D69E9" w:rsidRPr="009C0C89">
        <w:t xml:space="preserve">epartment collected through </w:t>
      </w:r>
      <w:r w:rsidR="002D69E9">
        <w:t xml:space="preserve">the </w:t>
      </w:r>
      <w:r w:rsidR="002D69E9" w:rsidRPr="009C0C89">
        <w:t>INDIGO data base was</w:t>
      </w:r>
      <w:r w:rsidR="002D69E9">
        <w:t>,</w:t>
      </w:r>
      <w:r w:rsidR="002D69E9" w:rsidRPr="009C0C89">
        <w:t xml:space="preserve"> on advice from the </w:t>
      </w:r>
      <w:r w:rsidR="002D69E9">
        <w:t>d</w:t>
      </w:r>
      <w:r w:rsidR="002D69E9" w:rsidRPr="009C0C89">
        <w:t>epartment</w:t>
      </w:r>
      <w:r w:rsidR="002D69E9">
        <w:t>,</w:t>
      </w:r>
      <w:r w:rsidR="002D69E9" w:rsidRPr="009C0C89">
        <w:t xml:space="preserve"> excluded from the review analysis on the basis that:</w:t>
      </w:r>
    </w:p>
    <w:p w14:paraId="6E3C02EE" w14:textId="77777777" w:rsidR="002D69E9" w:rsidRPr="009C0C89" w:rsidRDefault="002D69E9" w:rsidP="00DE6C74">
      <w:pPr>
        <w:pStyle w:val="ListBullet"/>
        <w:numPr>
          <w:ilvl w:val="0"/>
          <w:numId w:val="34"/>
        </w:numPr>
        <w:spacing w:before="240"/>
      </w:pPr>
      <w:r>
        <w:t>t</w:t>
      </w:r>
      <w:r w:rsidRPr="009C0C89">
        <w:t xml:space="preserve">hese data are incomplete as the INDIGO data base has been decommissioned </w:t>
      </w:r>
    </w:p>
    <w:p w14:paraId="0F4968F0" w14:textId="77777777" w:rsidR="002D69E9" w:rsidRPr="009C0C89" w:rsidRDefault="002D69E9" w:rsidP="00DE6C74">
      <w:pPr>
        <w:pStyle w:val="ListBullet"/>
        <w:numPr>
          <w:ilvl w:val="0"/>
          <w:numId w:val="34"/>
        </w:numPr>
        <w:spacing w:before="240"/>
      </w:pPr>
      <w:r>
        <w:t>there are concerns about data integrity and errors</w:t>
      </w:r>
      <w:r w:rsidRPr="009C0C89">
        <w:t>.</w:t>
      </w:r>
    </w:p>
    <w:p w14:paraId="0E4B7810" w14:textId="499548E5" w:rsidR="002D69E9" w:rsidRPr="009C0C89" w:rsidRDefault="002D69E9" w:rsidP="002D69E9">
      <w:pPr>
        <w:pStyle w:val="ListBullet"/>
        <w:numPr>
          <w:ilvl w:val="0"/>
          <w:numId w:val="0"/>
        </w:numPr>
        <w:spacing w:before="240"/>
      </w:pPr>
      <w:r w:rsidRPr="009C0C89">
        <w:t>PIC developed a detailed information request of scholarship providers</w:t>
      </w:r>
      <w:r>
        <w:t xml:space="preserve"> (refer to </w:t>
      </w:r>
      <w:r w:rsidR="00197BBC">
        <w:t>Appendix D</w:t>
      </w:r>
      <w:r w:rsidRPr="0060219B">
        <w:t>)</w:t>
      </w:r>
      <w:r w:rsidRPr="009C0C89">
        <w:t xml:space="preserve">.  This detailed information request was developed in consultation with the </w:t>
      </w:r>
      <w:r>
        <w:t>d</w:t>
      </w:r>
      <w:r w:rsidRPr="009C0C89">
        <w:t xml:space="preserve">epartment and issued to scholarship providers on </w:t>
      </w:r>
      <w:r>
        <w:t>15</w:t>
      </w:r>
      <w:r w:rsidRPr="009C0C89">
        <w:t xml:space="preserve"> February</w:t>
      </w:r>
      <w:r>
        <w:t xml:space="preserve"> 2017</w:t>
      </w:r>
      <w:r w:rsidRPr="009C0C89">
        <w:t>.</w:t>
      </w:r>
    </w:p>
    <w:p w14:paraId="0049AC1F" w14:textId="2E9571F0" w:rsidR="002D69E9" w:rsidRPr="009C0C89" w:rsidRDefault="002D69E9" w:rsidP="002D69E9">
      <w:pPr>
        <w:pStyle w:val="ListBullet"/>
        <w:numPr>
          <w:ilvl w:val="0"/>
          <w:numId w:val="0"/>
        </w:numPr>
        <w:spacing w:before="240"/>
      </w:pPr>
      <w:r w:rsidRPr="009C0C89">
        <w:t>PIC develop</w:t>
      </w:r>
      <w:r>
        <w:t>ed</w:t>
      </w:r>
      <w:r w:rsidRPr="009C0C89">
        <w:t xml:space="preserve"> a model data set based on the review lines of inquiry</w:t>
      </w:r>
      <w:r>
        <w:t xml:space="preserve"> and identified the key gaps in this data set to inform future data collection and evaluation plans.</w:t>
      </w:r>
      <w:r w:rsidR="009A7B00">
        <w:t xml:space="preserve">  PIC also analys</w:t>
      </w:r>
      <w:r w:rsidR="004E230C">
        <w:t>ed</w:t>
      </w:r>
      <w:r w:rsidR="009A7B00">
        <w:t xml:space="preserve"> quantitative data reported by scholarship providers to the department.</w:t>
      </w:r>
    </w:p>
    <w:p w14:paraId="255CDE7B" w14:textId="77777777" w:rsidR="002D69E9" w:rsidRDefault="002D69E9" w:rsidP="002D69E9">
      <w:pPr>
        <w:pStyle w:val="ListBullet"/>
        <w:numPr>
          <w:ilvl w:val="0"/>
          <w:numId w:val="0"/>
        </w:numPr>
        <w:spacing w:before="240"/>
      </w:pPr>
      <w:r>
        <w:t xml:space="preserve">As part of Phase Two of this project we facilitated a workshop with the department to determine future solutions to data capabilities.  </w:t>
      </w:r>
    </w:p>
    <w:p w14:paraId="76CFD785" w14:textId="77777777" w:rsidR="002D69E9" w:rsidRPr="00DD6FB1" w:rsidRDefault="002D69E9" w:rsidP="002D69E9">
      <w:pPr>
        <w:pStyle w:val="Heading6"/>
        <w:tabs>
          <w:tab w:val="clear" w:pos="850"/>
          <w:tab w:val="num" w:pos="4395"/>
        </w:tabs>
        <w:ind w:left="851" w:hanging="851"/>
        <w:rPr>
          <w:lang w:val="en-GB"/>
        </w:rPr>
      </w:pPr>
      <w:r w:rsidRPr="00DD6FB1">
        <w:rPr>
          <w:lang w:val="en-GB"/>
        </w:rPr>
        <w:t>Stakeholder consultations</w:t>
      </w:r>
    </w:p>
    <w:p w14:paraId="1E8BF271" w14:textId="77777777" w:rsidR="002D69E9" w:rsidRDefault="002D69E9" w:rsidP="002D69E9">
      <w:pPr>
        <w:pStyle w:val="PwCNormal"/>
        <w:numPr>
          <w:ilvl w:val="0"/>
          <w:numId w:val="0"/>
        </w:numPr>
        <w:rPr>
          <w:lang w:val="en-GB"/>
        </w:rPr>
      </w:pPr>
      <w:r>
        <w:rPr>
          <w:lang w:val="en-GB"/>
        </w:rPr>
        <w:t xml:space="preserve">A key component of the review involved consultation with scholarship providers.  To provide a framework for our semi-structured interviews we developed a consultation guide anchored in the five core lines of inquiry. </w:t>
      </w:r>
    </w:p>
    <w:p w14:paraId="79E0ACE4" w14:textId="77777777" w:rsidR="002D69E9" w:rsidRDefault="002D69E9" w:rsidP="002D69E9">
      <w:pPr>
        <w:pStyle w:val="PwCNormal"/>
        <w:numPr>
          <w:ilvl w:val="0"/>
          <w:numId w:val="0"/>
        </w:numPr>
        <w:rPr>
          <w:lang w:val="en-GB"/>
        </w:rPr>
      </w:pPr>
      <w:r>
        <w:rPr>
          <w:lang w:val="en-GB"/>
        </w:rPr>
        <w:t xml:space="preserve">Consultation with all scholarship providers occurred as set out in </w:t>
      </w:r>
      <w:r>
        <w:rPr>
          <w:lang w:val="en-GB"/>
        </w:rPr>
        <w:fldChar w:fldCharType="begin"/>
      </w:r>
      <w:r>
        <w:rPr>
          <w:lang w:val="en-GB"/>
        </w:rPr>
        <w:instrText xml:space="preserve"> REF _Ref476156189 \h </w:instrText>
      </w:r>
      <w:r>
        <w:rPr>
          <w:lang w:val="en-GB"/>
        </w:rPr>
      </w:r>
      <w:r>
        <w:rPr>
          <w:lang w:val="en-GB"/>
        </w:rPr>
        <w:fldChar w:fldCharType="separate"/>
      </w:r>
      <w:r w:rsidR="009C78D7">
        <w:t xml:space="preserve">Table </w:t>
      </w:r>
      <w:r w:rsidR="009C78D7">
        <w:rPr>
          <w:noProof/>
        </w:rPr>
        <w:t>3</w:t>
      </w:r>
      <w:r>
        <w:rPr>
          <w:lang w:val="en-GB"/>
        </w:rPr>
        <w:fldChar w:fldCharType="end"/>
      </w:r>
      <w:r>
        <w:rPr>
          <w:lang w:val="en-GB"/>
        </w:rPr>
        <w:t xml:space="preserve">.  </w:t>
      </w:r>
    </w:p>
    <w:p w14:paraId="3B55B0D9" w14:textId="77777777" w:rsidR="002D69E9" w:rsidRDefault="002D69E9" w:rsidP="002D69E9">
      <w:pPr>
        <w:pStyle w:val="Caption"/>
        <w:rPr>
          <w:lang w:val="en-GB"/>
        </w:rPr>
      </w:pPr>
      <w:bookmarkStart w:id="24" w:name="_Ref476156189"/>
      <w:r>
        <w:t xml:space="preserve">Table </w:t>
      </w:r>
      <w:fldSimple w:instr=" SEQ Table \* ARABIC ">
        <w:r w:rsidR="009C78D7">
          <w:rPr>
            <w:noProof/>
          </w:rPr>
          <w:t>3</w:t>
        </w:r>
      </w:fldSimple>
      <w:bookmarkEnd w:id="24"/>
      <w:r>
        <w:t xml:space="preserve"> Completed consultations with scholarship providers</w:t>
      </w:r>
    </w:p>
    <w:tbl>
      <w:tblPr>
        <w:tblStyle w:val="Tables-APBase"/>
        <w:tblW w:w="5000" w:type="pct"/>
        <w:tblLook w:val="04A0" w:firstRow="1" w:lastRow="0" w:firstColumn="1" w:lastColumn="0" w:noHBand="0" w:noVBand="1"/>
        <w:tblCaption w:val="Table 3 Completed consultation with scholarship providers"/>
        <w:tblDescription w:val="21/02, QLD, Cape York institute, Face to Face&#10;22/02, NSW, Australian Indigenous Education Foundation, Face to Face&#10;23/02, NSW, Dubbo College Senior Campus, Teleconference&#10;23/02, WA, Presbyterian Ladies’ College, Teleconference&#10;27/02, SA, The Smith Family, Face to Face&#10;27/02, VIC, MADEC Australia, Face to Face&#10;28/02, QLD, Townsville Catholic Education Office, Teleconference&#10;28/02, WA, Wunan Foundation Inc, Teleconference&#10;28/02, WA, MADALAH Limited, Teleconference&#10;2/03, QLD, Yalari Limited"/>
      </w:tblPr>
      <w:tblGrid>
        <w:gridCol w:w="1072"/>
        <w:gridCol w:w="967"/>
        <w:gridCol w:w="4502"/>
        <w:gridCol w:w="1983"/>
      </w:tblGrid>
      <w:tr w:rsidR="002D69E9" w:rsidRPr="00093FBD" w14:paraId="5B5762E4" w14:textId="77777777" w:rsidTr="00B54A8B">
        <w:trPr>
          <w:cnfStyle w:val="100000000000" w:firstRow="1" w:lastRow="0" w:firstColumn="0" w:lastColumn="0" w:oddVBand="0" w:evenVBand="0" w:oddHBand="0" w:evenHBand="0" w:firstRowFirstColumn="0" w:firstRowLastColumn="0" w:lastRowFirstColumn="0" w:lastRowLastColumn="0"/>
          <w:trHeight w:val="315"/>
        </w:trPr>
        <w:tc>
          <w:tcPr>
            <w:cnfStyle w:val="000000000100" w:firstRow="0" w:lastRow="0" w:firstColumn="0" w:lastColumn="0" w:oddVBand="0" w:evenVBand="0" w:oddHBand="0" w:evenHBand="0" w:firstRowFirstColumn="1" w:firstRowLastColumn="0" w:lastRowFirstColumn="0" w:lastRowLastColumn="0"/>
            <w:tcW w:w="629" w:type="pct"/>
            <w:shd w:val="clear" w:color="auto" w:fill="A32020" w:themeFill="text2"/>
          </w:tcPr>
          <w:p w14:paraId="616E3EC9" w14:textId="77777777" w:rsidR="002D69E9" w:rsidRPr="006B5F77" w:rsidRDefault="002D69E9" w:rsidP="00B54A8B">
            <w:pPr>
              <w:keepNext/>
              <w:keepLines/>
              <w:spacing w:before="80" w:after="80"/>
              <w:rPr>
                <w:b/>
                <w:color w:val="FFFFFF" w:themeColor="background1"/>
              </w:rPr>
            </w:pPr>
            <w:r w:rsidRPr="006B5F77">
              <w:rPr>
                <w:b/>
                <w:color w:val="FFFFFF" w:themeColor="background1"/>
              </w:rPr>
              <w:t>Date</w:t>
            </w:r>
          </w:p>
        </w:tc>
        <w:tc>
          <w:tcPr>
            <w:tcW w:w="567" w:type="pct"/>
            <w:shd w:val="clear" w:color="auto" w:fill="A32020" w:themeFill="text2"/>
          </w:tcPr>
          <w:p w14:paraId="5D6B8992" w14:textId="77777777" w:rsidR="002D69E9" w:rsidRPr="006B5F77" w:rsidRDefault="002D69E9" w:rsidP="00B54A8B">
            <w:pPr>
              <w:keepNext/>
              <w:keepLines/>
              <w:spacing w:before="80" w:after="80"/>
              <w:cnfStyle w:val="100000000000" w:firstRow="1" w:lastRow="0" w:firstColumn="0" w:lastColumn="0" w:oddVBand="0" w:evenVBand="0" w:oddHBand="0" w:evenHBand="0" w:firstRowFirstColumn="0" w:firstRowLastColumn="0" w:lastRowFirstColumn="0" w:lastRowLastColumn="0"/>
              <w:rPr>
                <w:b/>
                <w:color w:val="FFFFFF" w:themeColor="background1"/>
              </w:rPr>
            </w:pPr>
            <w:r w:rsidRPr="006B5F77">
              <w:rPr>
                <w:b/>
                <w:color w:val="FFFFFF" w:themeColor="background1"/>
              </w:rPr>
              <w:t>State</w:t>
            </w:r>
          </w:p>
        </w:tc>
        <w:tc>
          <w:tcPr>
            <w:tcW w:w="2641" w:type="pct"/>
            <w:shd w:val="clear" w:color="auto" w:fill="A32020" w:themeFill="text2"/>
          </w:tcPr>
          <w:p w14:paraId="01899D1B" w14:textId="77777777" w:rsidR="002D69E9" w:rsidRPr="006B5F77" w:rsidRDefault="002D69E9" w:rsidP="00B54A8B">
            <w:pPr>
              <w:keepNext/>
              <w:keepLines/>
              <w:spacing w:before="80" w:after="80"/>
              <w:cnfStyle w:val="100000000000" w:firstRow="1" w:lastRow="0" w:firstColumn="0" w:lastColumn="0" w:oddVBand="0" w:evenVBand="0" w:oddHBand="0" w:evenHBand="0" w:firstRowFirstColumn="0" w:firstRowLastColumn="0" w:lastRowFirstColumn="0" w:lastRowLastColumn="0"/>
              <w:rPr>
                <w:b/>
                <w:color w:val="FFFFFF" w:themeColor="background1"/>
              </w:rPr>
            </w:pPr>
            <w:r w:rsidRPr="006B5F77">
              <w:rPr>
                <w:b/>
                <w:color w:val="FFFFFF" w:themeColor="background1"/>
              </w:rPr>
              <w:t>Scholarship provider</w:t>
            </w:r>
          </w:p>
        </w:tc>
        <w:tc>
          <w:tcPr>
            <w:tcW w:w="1163" w:type="pct"/>
            <w:shd w:val="clear" w:color="auto" w:fill="A32020" w:themeFill="text2"/>
          </w:tcPr>
          <w:p w14:paraId="175CB9FA" w14:textId="77777777" w:rsidR="002D69E9" w:rsidRPr="006B5F77" w:rsidRDefault="002D69E9" w:rsidP="00B54A8B">
            <w:pPr>
              <w:keepNext/>
              <w:keepLines/>
              <w:spacing w:before="80" w:after="80"/>
              <w:cnfStyle w:val="100000000000" w:firstRow="1" w:lastRow="0" w:firstColumn="0" w:lastColumn="0" w:oddVBand="0" w:evenVBand="0" w:oddHBand="0" w:evenHBand="0" w:firstRowFirstColumn="0" w:firstRowLastColumn="0" w:lastRowFirstColumn="0" w:lastRowLastColumn="0"/>
              <w:rPr>
                <w:b/>
                <w:color w:val="FFFFFF" w:themeColor="background1"/>
              </w:rPr>
            </w:pPr>
            <w:r w:rsidRPr="006B5F77">
              <w:rPr>
                <w:b/>
                <w:color w:val="FFFFFF" w:themeColor="background1"/>
              </w:rPr>
              <w:t xml:space="preserve">Method </w:t>
            </w:r>
          </w:p>
        </w:tc>
      </w:tr>
      <w:tr w:rsidR="002D69E9" w:rsidRPr="00FA113F" w14:paraId="73DA84E9" w14:textId="77777777" w:rsidTr="00B54A8B">
        <w:trPr>
          <w:trHeight w:val="387"/>
        </w:trPr>
        <w:tc>
          <w:tcPr>
            <w:tcW w:w="629" w:type="pct"/>
          </w:tcPr>
          <w:p w14:paraId="4279BD93" w14:textId="77777777" w:rsidR="002D69E9" w:rsidRPr="009A6207" w:rsidRDefault="002D69E9" w:rsidP="00B54A8B">
            <w:pPr>
              <w:spacing w:before="80" w:after="80"/>
            </w:pPr>
            <w:r>
              <w:t>21/02</w:t>
            </w:r>
          </w:p>
        </w:tc>
        <w:tc>
          <w:tcPr>
            <w:tcW w:w="567" w:type="pct"/>
          </w:tcPr>
          <w:p w14:paraId="536A9268" w14:textId="77777777" w:rsidR="002D69E9" w:rsidRPr="009A6207" w:rsidRDefault="002D69E9" w:rsidP="00B54A8B">
            <w:pPr>
              <w:spacing w:before="80" w:after="80"/>
            </w:pPr>
            <w:r>
              <w:t>QLD</w:t>
            </w:r>
          </w:p>
        </w:tc>
        <w:tc>
          <w:tcPr>
            <w:tcW w:w="2641" w:type="pct"/>
            <w:shd w:val="clear" w:color="auto" w:fill="FFFFFF" w:themeFill="background1"/>
          </w:tcPr>
          <w:p w14:paraId="3A7F9019" w14:textId="77777777" w:rsidR="002D69E9" w:rsidRPr="00FC29C3" w:rsidRDefault="002D69E9" w:rsidP="00B54A8B">
            <w:pPr>
              <w:pStyle w:val="PwCNormal"/>
              <w:numPr>
                <w:ilvl w:val="0"/>
                <w:numId w:val="0"/>
              </w:numPr>
              <w:spacing w:before="80" w:after="80"/>
            </w:pPr>
            <w:r w:rsidRPr="00FC29C3">
              <w:t>Cape York Institute</w:t>
            </w:r>
          </w:p>
        </w:tc>
        <w:tc>
          <w:tcPr>
            <w:tcW w:w="1163" w:type="pct"/>
          </w:tcPr>
          <w:p w14:paraId="4AC7F3A3" w14:textId="77777777" w:rsidR="002D69E9" w:rsidRPr="00FA113F" w:rsidRDefault="002D69E9" w:rsidP="00B54A8B">
            <w:pPr>
              <w:spacing w:before="80" w:after="80"/>
            </w:pPr>
            <w:r>
              <w:t>Face to Face</w:t>
            </w:r>
          </w:p>
        </w:tc>
      </w:tr>
      <w:tr w:rsidR="002D69E9" w:rsidRPr="00FA113F" w14:paraId="39CBDD61" w14:textId="77777777" w:rsidTr="00B54A8B">
        <w:trPr>
          <w:trHeight w:val="387"/>
        </w:trPr>
        <w:tc>
          <w:tcPr>
            <w:tcW w:w="629" w:type="pct"/>
          </w:tcPr>
          <w:p w14:paraId="2129D08A" w14:textId="77777777" w:rsidR="002D69E9" w:rsidRDefault="002D69E9" w:rsidP="00B54A8B">
            <w:pPr>
              <w:spacing w:before="80" w:after="80"/>
            </w:pPr>
            <w:r>
              <w:t>22/02</w:t>
            </w:r>
          </w:p>
        </w:tc>
        <w:tc>
          <w:tcPr>
            <w:tcW w:w="567" w:type="pct"/>
          </w:tcPr>
          <w:p w14:paraId="5C31F534" w14:textId="77777777" w:rsidR="002D69E9" w:rsidRPr="00FA113F" w:rsidRDefault="002D69E9" w:rsidP="00B54A8B">
            <w:pPr>
              <w:spacing w:before="80" w:after="80"/>
            </w:pPr>
            <w:r>
              <w:t>NSW</w:t>
            </w:r>
          </w:p>
        </w:tc>
        <w:tc>
          <w:tcPr>
            <w:tcW w:w="2641" w:type="pct"/>
            <w:shd w:val="clear" w:color="auto" w:fill="FFFFFF" w:themeFill="background1"/>
          </w:tcPr>
          <w:p w14:paraId="0398B924" w14:textId="77777777" w:rsidR="002D69E9" w:rsidRPr="00FC29C3" w:rsidRDefault="002D69E9" w:rsidP="00B54A8B">
            <w:pPr>
              <w:pStyle w:val="PwCNormal"/>
              <w:numPr>
                <w:ilvl w:val="0"/>
                <w:numId w:val="0"/>
              </w:numPr>
              <w:spacing w:before="80" w:after="80"/>
            </w:pPr>
            <w:r w:rsidRPr="00FC29C3">
              <w:t>Australian Indigenous Education Foundation</w:t>
            </w:r>
            <w:r>
              <w:t xml:space="preserve"> </w:t>
            </w:r>
          </w:p>
        </w:tc>
        <w:tc>
          <w:tcPr>
            <w:tcW w:w="1163" w:type="pct"/>
          </w:tcPr>
          <w:p w14:paraId="1503471D" w14:textId="77777777" w:rsidR="002D69E9" w:rsidRPr="00FA113F" w:rsidRDefault="002D69E9" w:rsidP="00B54A8B">
            <w:pPr>
              <w:spacing w:before="80" w:after="80"/>
            </w:pPr>
            <w:r>
              <w:t>Face to Face</w:t>
            </w:r>
          </w:p>
        </w:tc>
      </w:tr>
      <w:tr w:rsidR="002D69E9" w:rsidRPr="00FA113F" w14:paraId="01F66DD5" w14:textId="77777777" w:rsidTr="00B54A8B">
        <w:trPr>
          <w:trHeight w:val="387"/>
        </w:trPr>
        <w:tc>
          <w:tcPr>
            <w:tcW w:w="629" w:type="pct"/>
          </w:tcPr>
          <w:p w14:paraId="5CF8B4C4" w14:textId="77777777" w:rsidR="002D69E9" w:rsidRPr="00C210A8" w:rsidRDefault="002D69E9" w:rsidP="00B54A8B">
            <w:pPr>
              <w:spacing w:before="80" w:after="80"/>
            </w:pPr>
            <w:r>
              <w:t>23/02</w:t>
            </w:r>
          </w:p>
        </w:tc>
        <w:tc>
          <w:tcPr>
            <w:tcW w:w="567" w:type="pct"/>
          </w:tcPr>
          <w:p w14:paraId="4C3BBDEF" w14:textId="77777777" w:rsidR="002D69E9" w:rsidRPr="00C210A8" w:rsidRDefault="002D69E9" w:rsidP="00B54A8B">
            <w:pPr>
              <w:spacing w:before="80" w:after="80"/>
            </w:pPr>
            <w:r>
              <w:t>NSW</w:t>
            </w:r>
          </w:p>
        </w:tc>
        <w:tc>
          <w:tcPr>
            <w:tcW w:w="2641" w:type="pct"/>
            <w:shd w:val="clear" w:color="auto" w:fill="FFFFFF" w:themeFill="background1"/>
          </w:tcPr>
          <w:p w14:paraId="2AF267E5" w14:textId="77777777" w:rsidR="002D69E9" w:rsidRPr="00FC29C3" w:rsidRDefault="002D69E9" w:rsidP="00B54A8B">
            <w:pPr>
              <w:pStyle w:val="PwCNormal"/>
              <w:numPr>
                <w:ilvl w:val="0"/>
                <w:numId w:val="0"/>
              </w:numPr>
              <w:spacing w:before="80" w:after="80"/>
            </w:pPr>
            <w:r w:rsidRPr="00FC29C3">
              <w:t>Dubbo College Senior Campus</w:t>
            </w:r>
            <w:r>
              <w:t xml:space="preserve"> </w:t>
            </w:r>
          </w:p>
        </w:tc>
        <w:tc>
          <w:tcPr>
            <w:tcW w:w="1163" w:type="pct"/>
          </w:tcPr>
          <w:p w14:paraId="30888F83" w14:textId="77777777" w:rsidR="002D69E9" w:rsidRPr="00FA113F" w:rsidRDefault="002D69E9" w:rsidP="00B54A8B">
            <w:pPr>
              <w:spacing w:before="80" w:after="80"/>
            </w:pPr>
            <w:r>
              <w:t>Teleconference</w:t>
            </w:r>
          </w:p>
        </w:tc>
      </w:tr>
      <w:tr w:rsidR="002D69E9" w:rsidRPr="00FA113F" w14:paraId="1F9BDE2D" w14:textId="77777777" w:rsidTr="00B54A8B">
        <w:trPr>
          <w:trHeight w:val="387"/>
        </w:trPr>
        <w:tc>
          <w:tcPr>
            <w:tcW w:w="629" w:type="pct"/>
          </w:tcPr>
          <w:p w14:paraId="65E044AA" w14:textId="77777777" w:rsidR="002D69E9" w:rsidRPr="00C210A8" w:rsidRDefault="002D69E9" w:rsidP="00B54A8B">
            <w:pPr>
              <w:spacing w:before="80" w:after="80"/>
            </w:pPr>
            <w:r>
              <w:t>23/02</w:t>
            </w:r>
          </w:p>
        </w:tc>
        <w:tc>
          <w:tcPr>
            <w:tcW w:w="567" w:type="pct"/>
          </w:tcPr>
          <w:p w14:paraId="67B7281E" w14:textId="77777777" w:rsidR="002D69E9" w:rsidRPr="00C210A8" w:rsidRDefault="002D69E9" w:rsidP="00B54A8B">
            <w:pPr>
              <w:spacing w:before="80" w:after="80"/>
            </w:pPr>
            <w:r>
              <w:t>WA</w:t>
            </w:r>
          </w:p>
        </w:tc>
        <w:tc>
          <w:tcPr>
            <w:tcW w:w="2641" w:type="pct"/>
            <w:shd w:val="clear" w:color="auto" w:fill="FFFFFF" w:themeFill="background1"/>
          </w:tcPr>
          <w:p w14:paraId="788AE920" w14:textId="77777777" w:rsidR="002D69E9" w:rsidRPr="00FC29C3" w:rsidRDefault="002D69E9" w:rsidP="00B54A8B">
            <w:pPr>
              <w:pStyle w:val="PwCNormal"/>
              <w:numPr>
                <w:ilvl w:val="0"/>
                <w:numId w:val="0"/>
              </w:numPr>
              <w:spacing w:before="80" w:after="80"/>
            </w:pPr>
            <w:r w:rsidRPr="00FC29C3">
              <w:t>Pres</w:t>
            </w:r>
            <w:r>
              <w:t xml:space="preserve">byterian Ladies' College </w:t>
            </w:r>
          </w:p>
        </w:tc>
        <w:tc>
          <w:tcPr>
            <w:tcW w:w="1163" w:type="pct"/>
          </w:tcPr>
          <w:p w14:paraId="041E75DA" w14:textId="77777777" w:rsidR="002D69E9" w:rsidRPr="00FA113F" w:rsidRDefault="002D69E9" w:rsidP="00B54A8B">
            <w:pPr>
              <w:spacing w:before="80" w:after="80"/>
            </w:pPr>
            <w:r>
              <w:t>Teleconference</w:t>
            </w:r>
          </w:p>
        </w:tc>
      </w:tr>
      <w:tr w:rsidR="002D69E9" w:rsidRPr="00FA113F" w14:paraId="23D71D1D" w14:textId="77777777" w:rsidTr="00B54A8B">
        <w:trPr>
          <w:trHeight w:val="387"/>
        </w:trPr>
        <w:tc>
          <w:tcPr>
            <w:tcW w:w="629" w:type="pct"/>
            <w:shd w:val="clear" w:color="auto" w:fill="FFFFFF" w:themeFill="background1"/>
          </w:tcPr>
          <w:p w14:paraId="39A71DBE" w14:textId="77777777" w:rsidR="002D69E9" w:rsidRDefault="002D69E9" w:rsidP="00B54A8B">
            <w:pPr>
              <w:spacing w:before="80" w:after="80"/>
            </w:pPr>
            <w:r>
              <w:t>27/02</w:t>
            </w:r>
          </w:p>
        </w:tc>
        <w:tc>
          <w:tcPr>
            <w:tcW w:w="567" w:type="pct"/>
            <w:shd w:val="clear" w:color="auto" w:fill="FFFFFF" w:themeFill="background1"/>
          </w:tcPr>
          <w:p w14:paraId="5B2CE11B" w14:textId="77777777" w:rsidR="002D69E9" w:rsidRDefault="002D69E9" w:rsidP="00B54A8B">
            <w:pPr>
              <w:spacing w:before="80" w:after="80"/>
            </w:pPr>
            <w:r>
              <w:t>SA</w:t>
            </w:r>
          </w:p>
        </w:tc>
        <w:tc>
          <w:tcPr>
            <w:tcW w:w="2641" w:type="pct"/>
            <w:shd w:val="clear" w:color="auto" w:fill="FFFFFF" w:themeFill="background1"/>
          </w:tcPr>
          <w:p w14:paraId="63C4B5E7" w14:textId="77777777" w:rsidR="002D69E9" w:rsidRPr="00FC29C3" w:rsidRDefault="002D69E9" w:rsidP="00B54A8B">
            <w:pPr>
              <w:pStyle w:val="PwCNormal"/>
              <w:numPr>
                <w:ilvl w:val="0"/>
                <w:numId w:val="0"/>
              </w:numPr>
              <w:spacing w:before="80" w:after="80"/>
            </w:pPr>
            <w:r w:rsidRPr="00FC29C3">
              <w:t xml:space="preserve">The Smith Family </w:t>
            </w:r>
          </w:p>
        </w:tc>
        <w:tc>
          <w:tcPr>
            <w:tcW w:w="1163" w:type="pct"/>
            <w:shd w:val="clear" w:color="auto" w:fill="FFFFFF" w:themeFill="background1"/>
          </w:tcPr>
          <w:p w14:paraId="0C834ABE" w14:textId="77777777" w:rsidR="002D69E9" w:rsidRPr="00FA113F" w:rsidRDefault="002D69E9" w:rsidP="00B54A8B">
            <w:pPr>
              <w:spacing w:before="80" w:after="80"/>
            </w:pPr>
            <w:r>
              <w:t>Face to Face</w:t>
            </w:r>
          </w:p>
        </w:tc>
      </w:tr>
      <w:tr w:rsidR="002D69E9" w:rsidRPr="005C5A1C" w14:paraId="7AFF5842" w14:textId="77777777" w:rsidTr="00B54A8B">
        <w:trPr>
          <w:trHeight w:val="387"/>
        </w:trPr>
        <w:tc>
          <w:tcPr>
            <w:tcW w:w="629" w:type="pct"/>
          </w:tcPr>
          <w:p w14:paraId="0E849CF5" w14:textId="77777777" w:rsidR="002D69E9" w:rsidRDefault="002D69E9" w:rsidP="00B54A8B">
            <w:pPr>
              <w:spacing w:before="80" w:after="80"/>
            </w:pPr>
            <w:r>
              <w:lastRenderedPageBreak/>
              <w:t>27/02</w:t>
            </w:r>
          </w:p>
        </w:tc>
        <w:tc>
          <w:tcPr>
            <w:tcW w:w="567" w:type="pct"/>
          </w:tcPr>
          <w:p w14:paraId="1086180E" w14:textId="77777777" w:rsidR="002D69E9" w:rsidRDefault="002D69E9" w:rsidP="00B54A8B">
            <w:pPr>
              <w:spacing w:before="80" w:after="80"/>
            </w:pPr>
            <w:r>
              <w:t>VIC</w:t>
            </w:r>
          </w:p>
        </w:tc>
        <w:tc>
          <w:tcPr>
            <w:tcW w:w="2641" w:type="pct"/>
          </w:tcPr>
          <w:p w14:paraId="03559BA5" w14:textId="77777777" w:rsidR="002D69E9" w:rsidRPr="00FC29C3" w:rsidRDefault="002D69E9" w:rsidP="00B54A8B">
            <w:pPr>
              <w:pStyle w:val="PwCNormal"/>
              <w:numPr>
                <w:ilvl w:val="0"/>
                <w:numId w:val="0"/>
              </w:numPr>
              <w:spacing w:before="80" w:after="80"/>
            </w:pPr>
            <w:r w:rsidRPr="00FC29C3">
              <w:t>MADEC Australia</w:t>
            </w:r>
          </w:p>
        </w:tc>
        <w:tc>
          <w:tcPr>
            <w:tcW w:w="1163" w:type="pct"/>
          </w:tcPr>
          <w:p w14:paraId="0640B228" w14:textId="77777777" w:rsidR="002D69E9" w:rsidRPr="005C5A1C" w:rsidRDefault="002D69E9" w:rsidP="00B54A8B">
            <w:pPr>
              <w:spacing w:before="80" w:after="80"/>
            </w:pPr>
            <w:r>
              <w:t>Face to Face</w:t>
            </w:r>
          </w:p>
        </w:tc>
      </w:tr>
      <w:tr w:rsidR="002D69E9" w:rsidRPr="00012582" w14:paraId="2AB88989" w14:textId="77777777" w:rsidTr="00B54A8B">
        <w:trPr>
          <w:trHeight w:val="387"/>
        </w:trPr>
        <w:tc>
          <w:tcPr>
            <w:tcW w:w="629" w:type="pct"/>
          </w:tcPr>
          <w:p w14:paraId="30E9D0DE" w14:textId="77777777" w:rsidR="002D69E9" w:rsidRDefault="002D69E9" w:rsidP="00B54A8B">
            <w:pPr>
              <w:spacing w:before="80" w:after="80"/>
            </w:pPr>
            <w:r>
              <w:t>28/02</w:t>
            </w:r>
          </w:p>
        </w:tc>
        <w:tc>
          <w:tcPr>
            <w:tcW w:w="567" w:type="pct"/>
          </w:tcPr>
          <w:p w14:paraId="14FE95EA" w14:textId="77777777" w:rsidR="002D69E9" w:rsidRDefault="002D69E9" w:rsidP="00B54A8B">
            <w:pPr>
              <w:spacing w:before="80" w:after="80"/>
            </w:pPr>
            <w:r>
              <w:t>QLD</w:t>
            </w:r>
          </w:p>
        </w:tc>
        <w:tc>
          <w:tcPr>
            <w:tcW w:w="2641" w:type="pct"/>
          </w:tcPr>
          <w:p w14:paraId="05C9ED81" w14:textId="77777777" w:rsidR="002D69E9" w:rsidRDefault="002D69E9" w:rsidP="00B54A8B">
            <w:pPr>
              <w:pStyle w:val="PwCNormal"/>
              <w:numPr>
                <w:ilvl w:val="0"/>
                <w:numId w:val="0"/>
              </w:numPr>
              <w:spacing w:before="80" w:after="80"/>
            </w:pPr>
            <w:r w:rsidRPr="00245F32">
              <w:t>Townsville Catholic Education Office</w:t>
            </w:r>
            <w:r>
              <w:t xml:space="preserve"> </w:t>
            </w:r>
          </w:p>
        </w:tc>
        <w:tc>
          <w:tcPr>
            <w:tcW w:w="1163" w:type="pct"/>
          </w:tcPr>
          <w:p w14:paraId="2EA929E2" w14:textId="77777777" w:rsidR="002D69E9" w:rsidRPr="00012582" w:rsidRDefault="002D69E9" w:rsidP="00B54A8B">
            <w:pPr>
              <w:spacing w:before="80" w:after="80"/>
            </w:pPr>
            <w:r>
              <w:t>Teleconference</w:t>
            </w:r>
          </w:p>
        </w:tc>
      </w:tr>
      <w:tr w:rsidR="002D69E9" w:rsidRPr="00FC29C3" w14:paraId="1ADE8B5A" w14:textId="77777777" w:rsidTr="00B54A8B">
        <w:trPr>
          <w:trHeight w:val="387"/>
        </w:trPr>
        <w:tc>
          <w:tcPr>
            <w:tcW w:w="629" w:type="pct"/>
          </w:tcPr>
          <w:p w14:paraId="04811CB9" w14:textId="77777777" w:rsidR="002D69E9" w:rsidRDefault="002D69E9" w:rsidP="00B54A8B">
            <w:pPr>
              <w:spacing w:before="80" w:after="80"/>
            </w:pPr>
            <w:r>
              <w:t>28/02</w:t>
            </w:r>
          </w:p>
        </w:tc>
        <w:tc>
          <w:tcPr>
            <w:tcW w:w="567" w:type="pct"/>
          </w:tcPr>
          <w:p w14:paraId="6837916A" w14:textId="77777777" w:rsidR="002D69E9" w:rsidRDefault="002D69E9" w:rsidP="00B54A8B">
            <w:pPr>
              <w:spacing w:before="80" w:after="80"/>
            </w:pPr>
            <w:r>
              <w:t>WA</w:t>
            </w:r>
          </w:p>
        </w:tc>
        <w:tc>
          <w:tcPr>
            <w:tcW w:w="2641" w:type="pct"/>
          </w:tcPr>
          <w:p w14:paraId="36D26FCB" w14:textId="77777777" w:rsidR="002D69E9" w:rsidRPr="00FC29C3" w:rsidRDefault="002D69E9" w:rsidP="00B54A8B">
            <w:pPr>
              <w:pStyle w:val="PwCNormal"/>
              <w:numPr>
                <w:ilvl w:val="0"/>
                <w:numId w:val="0"/>
              </w:numPr>
              <w:spacing w:before="80" w:after="80"/>
            </w:pPr>
            <w:r w:rsidRPr="00FC29C3">
              <w:t>Wunan Foundation Inc</w:t>
            </w:r>
          </w:p>
        </w:tc>
        <w:tc>
          <w:tcPr>
            <w:tcW w:w="1163" w:type="pct"/>
          </w:tcPr>
          <w:p w14:paraId="421781E2" w14:textId="77777777" w:rsidR="002D69E9" w:rsidRPr="00FC29C3" w:rsidRDefault="002D69E9" w:rsidP="00B54A8B">
            <w:pPr>
              <w:spacing w:before="80" w:after="80"/>
            </w:pPr>
            <w:r>
              <w:t>Teleconference</w:t>
            </w:r>
          </w:p>
        </w:tc>
      </w:tr>
      <w:tr w:rsidR="002D69E9" w:rsidRPr="00FA113F" w14:paraId="6C796017" w14:textId="77777777" w:rsidTr="00B54A8B">
        <w:trPr>
          <w:trHeight w:val="387"/>
        </w:trPr>
        <w:tc>
          <w:tcPr>
            <w:tcW w:w="629" w:type="pct"/>
          </w:tcPr>
          <w:p w14:paraId="6694C3C6" w14:textId="77777777" w:rsidR="002D69E9" w:rsidRDefault="002D69E9" w:rsidP="00B54A8B">
            <w:pPr>
              <w:spacing w:before="80" w:after="80"/>
            </w:pPr>
            <w:r>
              <w:t>28/02</w:t>
            </w:r>
          </w:p>
        </w:tc>
        <w:tc>
          <w:tcPr>
            <w:tcW w:w="567" w:type="pct"/>
          </w:tcPr>
          <w:p w14:paraId="74277917" w14:textId="77777777" w:rsidR="002D69E9" w:rsidRDefault="002D69E9" w:rsidP="00B54A8B">
            <w:pPr>
              <w:spacing w:before="80" w:after="80"/>
            </w:pPr>
            <w:r>
              <w:t>WA</w:t>
            </w:r>
          </w:p>
        </w:tc>
        <w:tc>
          <w:tcPr>
            <w:tcW w:w="2641" w:type="pct"/>
          </w:tcPr>
          <w:p w14:paraId="295D525B" w14:textId="77777777" w:rsidR="002D69E9" w:rsidRPr="00FC29C3" w:rsidRDefault="002D69E9" w:rsidP="00B54A8B">
            <w:pPr>
              <w:pStyle w:val="PwCNormal"/>
              <w:numPr>
                <w:ilvl w:val="0"/>
                <w:numId w:val="0"/>
              </w:numPr>
              <w:spacing w:before="80" w:after="80"/>
            </w:pPr>
            <w:r>
              <w:t>MADALAH</w:t>
            </w:r>
            <w:r w:rsidRPr="00FC29C3">
              <w:t xml:space="preserve"> Limited</w:t>
            </w:r>
            <w:r>
              <w:t xml:space="preserve"> </w:t>
            </w:r>
          </w:p>
        </w:tc>
        <w:tc>
          <w:tcPr>
            <w:tcW w:w="1163" w:type="pct"/>
          </w:tcPr>
          <w:p w14:paraId="7C2D2F38" w14:textId="77777777" w:rsidR="002D69E9" w:rsidRPr="00FA113F" w:rsidRDefault="002D69E9" w:rsidP="00B54A8B">
            <w:pPr>
              <w:spacing w:before="80" w:after="80"/>
            </w:pPr>
            <w:r>
              <w:t>Teleconference</w:t>
            </w:r>
          </w:p>
        </w:tc>
      </w:tr>
      <w:tr w:rsidR="002D69E9" w:rsidRPr="00012582" w14:paraId="5648A2D6" w14:textId="77777777" w:rsidTr="00B54A8B">
        <w:trPr>
          <w:trHeight w:val="387"/>
        </w:trPr>
        <w:tc>
          <w:tcPr>
            <w:tcW w:w="629" w:type="pct"/>
          </w:tcPr>
          <w:p w14:paraId="0768502A" w14:textId="77777777" w:rsidR="002D69E9" w:rsidRDefault="002D69E9" w:rsidP="00B54A8B">
            <w:pPr>
              <w:spacing w:before="80" w:after="80"/>
            </w:pPr>
            <w:r>
              <w:t>2/03</w:t>
            </w:r>
          </w:p>
        </w:tc>
        <w:tc>
          <w:tcPr>
            <w:tcW w:w="567" w:type="pct"/>
          </w:tcPr>
          <w:p w14:paraId="47D80DD6" w14:textId="77777777" w:rsidR="002D69E9" w:rsidRDefault="002D69E9" w:rsidP="00B54A8B">
            <w:pPr>
              <w:spacing w:before="80" w:after="80"/>
            </w:pPr>
            <w:r>
              <w:t>QLD</w:t>
            </w:r>
          </w:p>
        </w:tc>
        <w:tc>
          <w:tcPr>
            <w:tcW w:w="2641" w:type="pct"/>
          </w:tcPr>
          <w:p w14:paraId="46979585" w14:textId="77777777" w:rsidR="002D69E9" w:rsidRPr="00245F32" w:rsidRDefault="002D69E9" w:rsidP="00B54A8B">
            <w:pPr>
              <w:pStyle w:val="PwCNormal"/>
              <w:numPr>
                <w:ilvl w:val="0"/>
                <w:numId w:val="0"/>
              </w:numPr>
              <w:spacing w:before="80" w:after="80"/>
            </w:pPr>
            <w:r w:rsidRPr="00FC29C3">
              <w:t>Yalari Limited</w:t>
            </w:r>
            <w:r>
              <w:t xml:space="preserve"> </w:t>
            </w:r>
          </w:p>
        </w:tc>
        <w:tc>
          <w:tcPr>
            <w:tcW w:w="1163" w:type="pct"/>
          </w:tcPr>
          <w:p w14:paraId="404FF3CC" w14:textId="77777777" w:rsidR="002D69E9" w:rsidRPr="00012582" w:rsidRDefault="002D69E9" w:rsidP="00B54A8B">
            <w:pPr>
              <w:spacing w:before="80" w:after="80"/>
            </w:pPr>
            <w:r>
              <w:t>Face to Face</w:t>
            </w:r>
          </w:p>
        </w:tc>
      </w:tr>
    </w:tbl>
    <w:p w14:paraId="3B9BE1C1" w14:textId="77777777" w:rsidR="002D69E9" w:rsidRDefault="002D69E9" w:rsidP="002D69E9">
      <w:pPr>
        <w:pStyle w:val="PwCNormal"/>
        <w:numPr>
          <w:ilvl w:val="0"/>
          <w:numId w:val="0"/>
        </w:numPr>
        <w:rPr>
          <w:lang w:val="en-GB"/>
        </w:rPr>
      </w:pPr>
    </w:p>
    <w:p w14:paraId="6630862C" w14:textId="4D700B7E" w:rsidR="002D69E9" w:rsidRDefault="002D69E9" w:rsidP="002D69E9">
      <w:pPr>
        <w:pStyle w:val="PwCNormal"/>
        <w:numPr>
          <w:ilvl w:val="0"/>
          <w:numId w:val="0"/>
        </w:numPr>
        <w:rPr>
          <w:lang w:val="en-GB"/>
        </w:rPr>
      </w:pPr>
      <w:r>
        <w:rPr>
          <w:lang w:val="en-GB"/>
        </w:rPr>
        <w:t xml:space="preserve">Detailed service provider profiles are provided at </w:t>
      </w:r>
      <w:r w:rsidR="00197BBC">
        <w:rPr>
          <w:lang w:val="en-GB"/>
        </w:rPr>
        <w:t>Appendix A</w:t>
      </w:r>
      <w:r w:rsidR="003D0871">
        <w:rPr>
          <w:lang w:val="en-GB"/>
        </w:rPr>
        <w:t>.</w:t>
      </w:r>
    </w:p>
    <w:p w14:paraId="6E9836C0" w14:textId="77777777" w:rsidR="002D69E9" w:rsidRPr="00DD6FB1" w:rsidRDefault="002D69E9" w:rsidP="002D69E9">
      <w:pPr>
        <w:pStyle w:val="Heading6"/>
        <w:rPr>
          <w:lang w:val="en-GB"/>
        </w:rPr>
      </w:pPr>
      <w:r>
        <w:rPr>
          <w:lang w:val="en-GB"/>
        </w:rPr>
        <w:t>Education partner survey and consul</w:t>
      </w:r>
      <w:r w:rsidRPr="00DD6FB1">
        <w:rPr>
          <w:lang w:val="en-GB"/>
        </w:rPr>
        <w:t>tations</w:t>
      </w:r>
    </w:p>
    <w:p w14:paraId="60794BC0" w14:textId="6E090CF3" w:rsidR="002D69E9" w:rsidRDefault="002D69E9" w:rsidP="002D69E9">
      <w:pPr>
        <w:pStyle w:val="PwCNormal"/>
        <w:numPr>
          <w:ilvl w:val="0"/>
          <w:numId w:val="0"/>
        </w:numPr>
        <w:spacing w:before="120" w:after="120"/>
      </w:pPr>
      <w:r>
        <w:t xml:space="preserve">To understand the views and experiences of education partners associated with the scholarship program, an online survey was designed </w:t>
      </w:r>
      <w:r w:rsidR="004E230C">
        <w:t>framed around</w:t>
      </w:r>
      <w:r>
        <w:t xml:space="preserve"> the key lines of inquiry.</w:t>
      </w:r>
    </w:p>
    <w:p w14:paraId="285BE316" w14:textId="6C42BFCF" w:rsidR="002D69E9" w:rsidRDefault="002D69E9" w:rsidP="002D69E9">
      <w:pPr>
        <w:pStyle w:val="PwCNormal"/>
        <w:numPr>
          <w:ilvl w:val="0"/>
          <w:numId w:val="0"/>
        </w:numPr>
        <w:spacing w:before="120" w:after="120"/>
      </w:pPr>
      <w:r>
        <w:t xml:space="preserve">The survey was </w:t>
      </w:r>
      <w:r w:rsidR="009A7B00">
        <w:t>delivered</w:t>
      </w:r>
      <w:r>
        <w:t xml:space="preserve"> using an online platform</w:t>
      </w:r>
      <w:r w:rsidR="009A7B00">
        <w:t xml:space="preserve"> and </w:t>
      </w:r>
      <w:r>
        <w:t>compris</w:t>
      </w:r>
      <w:r w:rsidR="009A7B00">
        <w:t>ed</w:t>
      </w:r>
      <w:r>
        <w:t xml:space="preserve"> 26 questions, including a series of multiple choice and free text options </w:t>
      </w:r>
      <w:r w:rsidR="004E230C">
        <w:t xml:space="preserve">for respondents to provide </w:t>
      </w:r>
      <w:r>
        <w:t xml:space="preserve">more detailed comments.  </w:t>
      </w:r>
      <w:r w:rsidR="00F47460">
        <w:t>The survey was received by 90 education partners with a</w:t>
      </w:r>
      <w:r>
        <w:t xml:space="preserve"> total of 53 </w:t>
      </w:r>
      <w:r w:rsidR="00F47460">
        <w:t>completing</w:t>
      </w:r>
      <w:r>
        <w:t xml:space="preserve"> the survey</w:t>
      </w:r>
      <w:r w:rsidR="00F47460">
        <w:t xml:space="preserve"> (i.e.</w:t>
      </w:r>
      <w:r>
        <w:t xml:space="preserve"> </w:t>
      </w:r>
      <w:r w:rsidR="00F47460">
        <w:t>a response rate of 59%).</w:t>
      </w:r>
    </w:p>
    <w:p w14:paraId="682390C4" w14:textId="77777777" w:rsidR="002D69E9" w:rsidRDefault="002D69E9" w:rsidP="002D69E9">
      <w:pPr>
        <w:pStyle w:val="PwCNormal"/>
        <w:numPr>
          <w:ilvl w:val="0"/>
          <w:numId w:val="0"/>
        </w:numPr>
        <w:spacing w:before="120" w:after="120"/>
      </w:pPr>
      <w:r>
        <w:t xml:space="preserve">De-identified data were analysed using descriptive statistics, providing findings to each of the questions.  The findings also captured both quantitative and </w:t>
      </w:r>
      <w:r w:rsidRPr="00151B48">
        <w:t xml:space="preserve">qualitative data.  The open free text questions were analysed using content analysis. </w:t>
      </w:r>
    </w:p>
    <w:p w14:paraId="02CCD747" w14:textId="77777777" w:rsidR="00B35E1A" w:rsidRDefault="002D69E9" w:rsidP="00B35E1A">
      <w:pPr>
        <w:pStyle w:val="PwCNormal"/>
        <w:numPr>
          <w:ilvl w:val="0"/>
          <w:numId w:val="0"/>
        </w:numPr>
        <w:spacing w:before="120" w:after="120"/>
      </w:pPr>
      <w:r>
        <w:t>In addition</w:t>
      </w:r>
      <w:r w:rsidRPr="00151B48">
        <w:t xml:space="preserve">, a series of consultations were held with a five education providers </w:t>
      </w:r>
      <w:r>
        <w:t xml:space="preserve">over the period </w:t>
      </w:r>
      <w:r w:rsidRPr="00151B48">
        <w:t xml:space="preserve">from 28 April to 4 May.  </w:t>
      </w:r>
      <w:r w:rsidR="00B35E1A">
        <w:t xml:space="preserve">The consultation questions were based on the review lines of inquiry. </w:t>
      </w:r>
    </w:p>
    <w:p w14:paraId="7603EF02" w14:textId="57C55A04" w:rsidR="00B35E1A" w:rsidRDefault="002D69E9" w:rsidP="002D69E9">
      <w:pPr>
        <w:pStyle w:val="PwCNormal"/>
        <w:numPr>
          <w:ilvl w:val="0"/>
          <w:numId w:val="0"/>
        </w:numPr>
        <w:spacing w:before="120" w:after="120"/>
      </w:pPr>
      <w:r w:rsidRPr="00151B48">
        <w:t>The education providers were selected at random</w:t>
      </w:r>
      <w:r>
        <w:t xml:space="preserve">, each </w:t>
      </w:r>
      <w:r w:rsidRPr="00151B48">
        <w:t xml:space="preserve">representative of one of the five school </w:t>
      </w:r>
      <w:r w:rsidR="00B35E1A" w:rsidRPr="00151B48">
        <w:t>categories</w:t>
      </w:r>
      <w:r w:rsidR="00B35E1A">
        <w:t>:</w:t>
      </w:r>
    </w:p>
    <w:p w14:paraId="5C27D4A6" w14:textId="30F4059C" w:rsidR="00B35E1A" w:rsidRDefault="00B35E1A" w:rsidP="00DE3F7E">
      <w:pPr>
        <w:pStyle w:val="PwCNormal"/>
        <w:numPr>
          <w:ilvl w:val="0"/>
          <w:numId w:val="92"/>
        </w:numPr>
        <w:spacing w:before="120" w:after="120"/>
      </w:pPr>
      <w:r>
        <w:t xml:space="preserve">single </w:t>
      </w:r>
      <w:r w:rsidR="002D69E9">
        <w:t xml:space="preserve">sex </w:t>
      </w:r>
      <w:r w:rsidR="002D69E9" w:rsidRPr="00151B48">
        <w:t>independent school</w:t>
      </w:r>
    </w:p>
    <w:p w14:paraId="260F1F86" w14:textId="1C880093" w:rsidR="00B35E1A" w:rsidRDefault="002D69E9" w:rsidP="00DE3F7E">
      <w:pPr>
        <w:pStyle w:val="PwCNormal"/>
        <w:numPr>
          <w:ilvl w:val="0"/>
          <w:numId w:val="92"/>
        </w:numPr>
        <w:spacing w:before="120" w:after="120"/>
      </w:pPr>
      <w:r>
        <w:t>co-educational independent school</w:t>
      </w:r>
      <w:r w:rsidRPr="00151B48">
        <w:t>,</w:t>
      </w:r>
    </w:p>
    <w:p w14:paraId="2E447508" w14:textId="288AC525" w:rsidR="00B35E1A" w:rsidRDefault="002D69E9" w:rsidP="00DE3F7E">
      <w:pPr>
        <w:pStyle w:val="PwCNormal"/>
        <w:numPr>
          <w:ilvl w:val="0"/>
          <w:numId w:val="92"/>
        </w:numPr>
        <w:spacing w:before="120" w:after="120"/>
      </w:pPr>
      <w:r w:rsidRPr="00151B48">
        <w:t>government school</w:t>
      </w:r>
    </w:p>
    <w:p w14:paraId="4AAD5D30" w14:textId="6EB9E9B1" w:rsidR="00B35E1A" w:rsidRDefault="002D69E9" w:rsidP="00DE3F7E">
      <w:pPr>
        <w:pStyle w:val="PwCNormal"/>
        <w:numPr>
          <w:ilvl w:val="0"/>
          <w:numId w:val="92"/>
        </w:numPr>
        <w:spacing w:before="120" w:after="120"/>
      </w:pPr>
      <w:r>
        <w:t>school in remote area</w:t>
      </w:r>
    </w:p>
    <w:p w14:paraId="363658B7" w14:textId="5A2C95EC" w:rsidR="002D69E9" w:rsidRDefault="002D69E9" w:rsidP="00DE3F7E">
      <w:pPr>
        <w:pStyle w:val="PwCNormal"/>
        <w:numPr>
          <w:ilvl w:val="0"/>
          <w:numId w:val="92"/>
        </w:numPr>
        <w:spacing w:before="120" w:after="120"/>
      </w:pPr>
      <w:r>
        <w:t>school engaged with more than one scholarship provider.</w:t>
      </w:r>
    </w:p>
    <w:p w14:paraId="4B79992F" w14:textId="77777777" w:rsidR="00F06C19" w:rsidRPr="007560B4" w:rsidRDefault="00F06C19" w:rsidP="00F06C19">
      <w:pPr>
        <w:pStyle w:val="PwCNormal"/>
        <w:numPr>
          <w:ilvl w:val="0"/>
          <w:numId w:val="0"/>
        </w:numPr>
        <w:rPr>
          <w:lang w:val="en-GB"/>
        </w:rPr>
      </w:pPr>
    </w:p>
    <w:p w14:paraId="12F67E43" w14:textId="77777777" w:rsidR="002D69E9" w:rsidRDefault="002D69E9" w:rsidP="002D69E9">
      <w:pPr>
        <w:pStyle w:val="PwCNormal"/>
        <w:rPr>
          <w:lang w:val="en-GB"/>
        </w:rPr>
        <w:sectPr w:rsidR="002D69E9" w:rsidSect="003A009A">
          <w:headerReference w:type="even" r:id="rId33"/>
          <w:headerReference w:type="default" r:id="rId34"/>
          <w:footerReference w:type="even" r:id="rId35"/>
          <w:footerReference w:type="default" r:id="rId36"/>
          <w:headerReference w:type="first" r:id="rId37"/>
          <w:footerReference w:type="first" r:id="rId38"/>
          <w:type w:val="oddPage"/>
          <w:pgSz w:w="11907" w:h="16840" w:code="9"/>
          <w:pgMar w:top="1588" w:right="1020" w:bottom="1418" w:left="2353" w:header="567" w:footer="567" w:gutter="0"/>
          <w:pgNumType w:start="1"/>
          <w:cols w:space="227"/>
          <w:titlePg/>
          <w:docGrid w:linePitch="360"/>
        </w:sectPr>
      </w:pPr>
    </w:p>
    <w:p w14:paraId="1556902F" w14:textId="77777777" w:rsidR="002D69E9" w:rsidRDefault="002D69E9" w:rsidP="002D69E9">
      <w:pPr>
        <w:pStyle w:val="Heading2"/>
        <w:rPr>
          <w:lang w:val="en-GB"/>
        </w:rPr>
      </w:pPr>
      <w:bookmarkStart w:id="26" w:name="_Toc482974460"/>
      <w:r>
        <w:rPr>
          <w:lang w:val="en-GB"/>
        </w:rPr>
        <w:lastRenderedPageBreak/>
        <w:t>Scholarship overview</w:t>
      </w:r>
      <w:bookmarkEnd w:id="26"/>
    </w:p>
    <w:p w14:paraId="34E60543" w14:textId="77777777" w:rsidR="002D69E9" w:rsidRDefault="002D69E9" w:rsidP="002D69E9">
      <w:pPr>
        <w:pStyle w:val="Heading6"/>
        <w:tabs>
          <w:tab w:val="clear" w:pos="850"/>
          <w:tab w:val="num" w:pos="4395"/>
        </w:tabs>
        <w:ind w:left="851" w:hanging="851"/>
        <w:rPr>
          <w:lang w:val="en-GB"/>
        </w:rPr>
      </w:pPr>
      <w:r>
        <w:rPr>
          <w:lang w:val="en-GB"/>
        </w:rPr>
        <w:t>Background to IAS funded scholarships</w:t>
      </w:r>
    </w:p>
    <w:p w14:paraId="05A162ED" w14:textId="055F2F66" w:rsidR="00407065" w:rsidRDefault="00407065" w:rsidP="00407065">
      <w:pPr>
        <w:pStyle w:val="PwCNormal"/>
        <w:numPr>
          <w:ilvl w:val="0"/>
          <w:numId w:val="0"/>
        </w:numPr>
        <w:rPr>
          <w:lang w:val="en-GB"/>
        </w:rPr>
      </w:pPr>
      <w:r>
        <w:rPr>
          <w:lang w:val="en-GB"/>
        </w:rPr>
        <w:t xml:space="preserve">A range of scholarships </w:t>
      </w:r>
      <w:r w:rsidR="009A7B00">
        <w:rPr>
          <w:lang w:val="en-GB"/>
        </w:rPr>
        <w:t>is</w:t>
      </w:r>
      <w:r>
        <w:rPr>
          <w:lang w:val="en-GB"/>
        </w:rPr>
        <w:t xml:space="preserve"> funded by the IAS.  Funded scholarship providers implement a range of scholarship models.</w:t>
      </w:r>
    </w:p>
    <w:p w14:paraId="1B5CBF5E" w14:textId="77777777" w:rsidR="00407065" w:rsidRDefault="00407065" w:rsidP="00407065">
      <w:pPr>
        <w:pStyle w:val="PwCNormal"/>
        <w:numPr>
          <w:ilvl w:val="0"/>
          <w:numId w:val="0"/>
        </w:numPr>
        <w:rPr>
          <w:lang w:val="en-GB"/>
        </w:rPr>
      </w:pPr>
      <w:r>
        <w:rPr>
          <w:lang w:val="en-GB"/>
        </w:rPr>
        <w:t xml:space="preserve">Commencing in 2006, the Indigenous Youth Leadership Programme (IYLP) was a program operated, with Commonwealth funding, by the Foundation for Young Australians (FYA) providing secondary school scholarships and leadership development opportunities to Indigenous students particularly in rural and remote areas.  </w:t>
      </w:r>
    </w:p>
    <w:p w14:paraId="50264580" w14:textId="77777777" w:rsidR="00407065" w:rsidRDefault="00407065" w:rsidP="00407065">
      <w:pPr>
        <w:pStyle w:val="PwCNormal"/>
        <w:numPr>
          <w:ilvl w:val="0"/>
          <w:numId w:val="0"/>
        </w:numPr>
        <w:rPr>
          <w:lang w:val="en-GB"/>
        </w:rPr>
      </w:pPr>
      <w:r>
        <w:rPr>
          <w:lang w:val="en-GB"/>
        </w:rPr>
        <w:t>In 2009 the decision was taken to open the IYLP to a competitive process for scholarship providers.  We understand that the FYA did not make an application to this process.  Following this process the following scholarship providers were appointed:</w:t>
      </w:r>
    </w:p>
    <w:p w14:paraId="67451CDC" w14:textId="77777777" w:rsidR="00407065" w:rsidRDefault="00407065" w:rsidP="00407065">
      <w:pPr>
        <w:pStyle w:val="PwCNormal"/>
        <w:numPr>
          <w:ilvl w:val="0"/>
          <w:numId w:val="37"/>
        </w:numPr>
        <w:rPr>
          <w:lang w:val="en-GB"/>
        </w:rPr>
      </w:pPr>
      <w:r>
        <w:rPr>
          <w:lang w:val="en-GB"/>
        </w:rPr>
        <w:t>Cape York Institute</w:t>
      </w:r>
    </w:p>
    <w:p w14:paraId="61710A33" w14:textId="77777777" w:rsidR="00407065" w:rsidRDefault="00407065" w:rsidP="00407065">
      <w:pPr>
        <w:pStyle w:val="PwCNormal"/>
        <w:numPr>
          <w:ilvl w:val="0"/>
          <w:numId w:val="37"/>
        </w:numPr>
        <w:rPr>
          <w:lang w:val="en-GB"/>
        </w:rPr>
      </w:pPr>
      <w:r>
        <w:rPr>
          <w:lang w:val="en-GB"/>
        </w:rPr>
        <w:t>Dubbo College Senior Campus</w:t>
      </w:r>
    </w:p>
    <w:p w14:paraId="48A11E0B" w14:textId="77777777" w:rsidR="00407065" w:rsidRDefault="00407065" w:rsidP="00407065">
      <w:pPr>
        <w:pStyle w:val="PwCNormal"/>
        <w:numPr>
          <w:ilvl w:val="0"/>
          <w:numId w:val="37"/>
        </w:numPr>
        <w:rPr>
          <w:lang w:val="en-GB"/>
        </w:rPr>
      </w:pPr>
      <w:r>
        <w:rPr>
          <w:lang w:val="en-GB"/>
        </w:rPr>
        <w:t>MADALAH Limited</w:t>
      </w:r>
    </w:p>
    <w:p w14:paraId="680A6BD4" w14:textId="77777777" w:rsidR="00407065" w:rsidRDefault="00407065" w:rsidP="00407065">
      <w:pPr>
        <w:pStyle w:val="PwCNormal"/>
        <w:numPr>
          <w:ilvl w:val="0"/>
          <w:numId w:val="37"/>
        </w:numPr>
        <w:rPr>
          <w:lang w:val="en-GB"/>
        </w:rPr>
      </w:pPr>
      <w:r>
        <w:rPr>
          <w:lang w:val="en-GB"/>
        </w:rPr>
        <w:t>MADEC Australia</w:t>
      </w:r>
    </w:p>
    <w:p w14:paraId="72D78A11" w14:textId="77777777" w:rsidR="00407065" w:rsidRDefault="00407065" w:rsidP="00407065">
      <w:pPr>
        <w:pStyle w:val="PwCNormal"/>
        <w:numPr>
          <w:ilvl w:val="0"/>
          <w:numId w:val="37"/>
        </w:numPr>
        <w:rPr>
          <w:lang w:val="en-GB"/>
        </w:rPr>
      </w:pPr>
      <w:r>
        <w:rPr>
          <w:lang w:val="en-GB"/>
        </w:rPr>
        <w:t>Presbyterian Ladies’ College (Perth)</w:t>
      </w:r>
    </w:p>
    <w:p w14:paraId="51D89726" w14:textId="77777777" w:rsidR="00407065" w:rsidRDefault="00407065" w:rsidP="00407065">
      <w:pPr>
        <w:pStyle w:val="PwCNormal"/>
        <w:numPr>
          <w:ilvl w:val="0"/>
          <w:numId w:val="37"/>
        </w:numPr>
        <w:rPr>
          <w:lang w:val="en-GB"/>
        </w:rPr>
      </w:pPr>
      <w:r>
        <w:rPr>
          <w:lang w:val="en-GB"/>
        </w:rPr>
        <w:t>Townsville Catholic Education Office</w:t>
      </w:r>
    </w:p>
    <w:p w14:paraId="7D2B7913" w14:textId="77777777" w:rsidR="00407065" w:rsidRDefault="00407065" w:rsidP="00407065">
      <w:pPr>
        <w:pStyle w:val="PwCNormal"/>
        <w:numPr>
          <w:ilvl w:val="0"/>
          <w:numId w:val="37"/>
        </w:numPr>
        <w:rPr>
          <w:lang w:val="en-GB"/>
        </w:rPr>
      </w:pPr>
      <w:r>
        <w:rPr>
          <w:lang w:val="en-GB"/>
        </w:rPr>
        <w:t>The Smith Family</w:t>
      </w:r>
    </w:p>
    <w:p w14:paraId="07D0B9CE" w14:textId="4F2C66F9" w:rsidR="00407065" w:rsidRDefault="00407065" w:rsidP="00407065">
      <w:pPr>
        <w:pStyle w:val="PwCNormal"/>
        <w:numPr>
          <w:ilvl w:val="0"/>
          <w:numId w:val="37"/>
        </w:numPr>
        <w:rPr>
          <w:lang w:val="en-GB"/>
        </w:rPr>
      </w:pPr>
      <w:r>
        <w:rPr>
          <w:lang w:val="en-GB"/>
        </w:rPr>
        <w:t>Yalari Limited</w:t>
      </w:r>
      <w:r w:rsidR="002E7FBA">
        <w:rPr>
          <w:lang w:val="en-GB"/>
        </w:rPr>
        <w:t>.</w:t>
      </w:r>
    </w:p>
    <w:p w14:paraId="318B36B4" w14:textId="4C53BA35" w:rsidR="00407065" w:rsidRDefault="00407065" w:rsidP="00407065">
      <w:pPr>
        <w:pStyle w:val="PwCNormal"/>
        <w:numPr>
          <w:ilvl w:val="0"/>
          <w:numId w:val="0"/>
        </w:numPr>
        <w:rPr>
          <w:lang w:val="en-GB"/>
        </w:rPr>
      </w:pPr>
      <w:r>
        <w:rPr>
          <w:lang w:val="en-GB"/>
        </w:rPr>
        <w:t>In 2015 responsibility for the administration of the IYLP was transferred through machinery of government changes</w:t>
      </w:r>
      <w:r w:rsidR="00B35E1A">
        <w:rPr>
          <w:lang w:val="en-GB"/>
        </w:rPr>
        <w:t xml:space="preserve"> from the Department of Education, Employment and Workplace Relations</w:t>
      </w:r>
      <w:r>
        <w:rPr>
          <w:lang w:val="en-GB"/>
        </w:rPr>
        <w:t xml:space="preserve"> to the Department of the Prime Minister and Cabinet.</w:t>
      </w:r>
    </w:p>
    <w:p w14:paraId="44BE7354" w14:textId="77777777" w:rsidR="00407065" w:rsidRDefault="00407065" w:rsidP="00407065">
      <w:pPr>
        <w:pStyle w:val="PwCNormal"/>
        <w:numPr>
          <w:ilvl w:val="0"/>
          <w:numId w:val="0"/>
        </w:numPr>
        <w:rPr>
          <w:lang w:val="en-GB"/>
        </w:rPr>
      </w:pPr>
      <w:r>
        <w:rPr>
          <w:lang w:val="en-GB"/>
        </w:rPr>
        <w:t xml:space="preserve">Scholarship funding now forms part of </w:t>
      </w:r>
      <w:r w:rsidRPr="00EA13DD">
        <w:rPr>
          <w:lang w:val="en-GB"/>
        </w:rPr>
        <w:t xml:space="preserve">the </w:t>
      </w:r>
      <w:r>
        <w:rPr>
          <w:lang w:val="en-GB"/>
        </w:rPr>
        <w:t xml:space="preserve">IAS </w:t>
      </w:r>
      <w:r w:rsidRPr="00EA13DD">
        <w:rPr>
          <w:lang w:val="en-GB"/>
        </w:rPr>
        <w:t xml:space="preserve">Children and Schooling Programme.  </w:t>
      </w:r>
    </w:p>
    <w:p w14:paraId="595B327C" w14:textId="77777777" w:rsidR="00407065" w:rsidRDefault="00407065" w:rsidP="00407065">
      <w:pPr>
        <w:pStyle w:val="PwCNormal"/>
        <w:numPr>
          <w:ilvl w:val="0"/>
          <w:numId w:val="0"/>
        </w:numPr>
        <w:rPr>
          <w:lang w:val="en-GB"/>
        </w:rPr>
      </w:pPr>
      <w:r>
        <w:rPr>
          <w:lang w:val="en-GB"/>
        </w:rPr>
        <w:t>Three scholarship providers (The Smith Family, MADALAH and Townsville Catholic Education Office) had unspent funds identified through the 2012 acquittal process.  Approval was provided in 2015 for these scholarship providers to apply these unspent funds as part of the Carry Over scholarship programme.</w:t>
      </w:r>
    </w:p>
    <w:p w14:paraId="1AAC9824" w14:textId="77777777" w:rsidR="00407065" w:rsidRDefault="00407065" w:rsidP="00407065">
      <w:pPr>
        <w:pStyle w:val="PwCNormal"/>
        <w:numPr>
          <w:ilvl w:val="0"/>
          <w:numId w:val="0"/>
        </w:numPr>
        <w:rPr>
          <w:lang w:val="en-GB"/>
        </w:rPr>
      </w:pPr>
      <w:r>
        <w:rPr>
          <w:lang w:val="en-GB"/>
        </w:rPr>
        <w:t xml:space="preserve">In 2015 an IYLP Legacy Project was created to enable scholars who commenced studies under the initial contract to complete their studies and attain Year 12 or equivalent.  </w:t>
      </w:r>
    </w:p>
    <w:p w14:paraId="6A554F6D" w14:textId="77777777" w:rsidR="00407065" w:rsidRDefault="00407065" w:rsidP="00407065">
      <w:pPr>
        <w:pStyle w:val="PwCNormal"/>
        <w:numPr>
          <w:ilvl w:val="0"/>
          <w:numId w:val="0"/>
        </w:numPr>
        <w:rPr>
          <w:lang w:val="en-GB"/>
        </w:rPr>
      </w:pPr>
      <w:r>
        <w:rPr>
          <w:lang w:val="en-GB"/>
        </w:rPr>
        <w:t>In 2015, a new IAS funding round was held.  This round was not based on prescriptive input requirements and as a result there is a reasonable degree of variation in the approaches that different scholarship providers are implementing to achieve the outcome of improving Year 12 or equivalent attainment.  A</w:t>
      </w:r>
      <w:r w:rsidRPr="00EA13DD">
        <w:rPr>
          <w:lang w:val="en-GB"/>
        </w:rPr>
        <w:t xml:space="preserve"> </w:t>
      </w:r>
      <w:r>
        <w:rPr>
          <w:lang w:val="en-GB"/>
        </w:rPr>
        <w:t>limited</w:t>
      </w:r>
      <w:r w:rsidRPr="00EA13DD">
        <w:rPr>
          <w:lang w:val="en-GB"/>
        </w:rPr>
        <w:t xml:space="preserve"> number of tertiary scholarships are also delivered by some scholarship providers</w:t>
      </w:r>
      <w:r>
        <w:rPr>
          <w:lang w:val="en-GB"/>
        </w:rPr>
        <w:t xml:space="preserve"> with IAS funding</w:t>
      </w:r>
      <w:r w:rsidRPr="00EA13DD">
        <w:rPr>
          <w:lang w:val="en-GB"/>
        </w:rPr>
        <w:t>.</w:t>
      </w:r>
      <w:r>
        <w:rPr>
          <w:lang w:val="en-GB"/>
        </w:rPr>
        <w:t xml:space="preserve">  In this round all existing IYLP scholarship providers were successful in securing funding with the exception of Dubbo College Senior Campus.</w:t>
      </w:r>
    </w:p>
    <w:p w14:paraId="65D50B32" w14:textId="236C4E87" w:rsidR="00407065" w:rsidRDefault="00407065" w:rsidP="00407065">
      <w:pPr>
        <w:pStyle w:val="PwCNormal"/>
        <w:numPr>
          <w:ilvl w:val="0"/>
          <w:numId w:val="0"/>
        </w:numPr>
        <w:rPr>
          <w:lang w:val="en-GB"/>
        </w:rPr>
      </w:pPr>
      <w:r>
        <w:rPr>
          <w:lang w:val="en-GB"/>
        </w:rPr>
        <w:t xml:space="preserve">The Wunan Foundation and AIEF were at this time also brought under the IAS umbrella. The Wunan Foundation’s scholarship program was self-funded prior to the IAS. As outlined in </w:t>
      </w:r>
      <w:r w:rsidR="00694F0D">
        <w:rPr>
          <w:lang w:val="en-GB"/>
        </w:rPr>
        <w:lastRenderedPageBreak/>
        <w:t>Appendix A</w:t>
      </w:r>
      <w:r>
        <w:rPr>
          <w:lang w:val="en-GB"/>
        </w:rPr>
        <w:t>, prior to the IAS funding round in 2015, AIEF relied on a mixture of private sector investment and funding provided by the Australian Government.</w:t>
      </w:r>
    </w:p>
    <w:p w14:paraId="391B6E02" w14:textId="77777777" w:rsidR="00407065" w:rsidRDefault="00407065" w:rsidP="00407065">
      <w:pPr>
        <w:pStyle w:val="PwCNormal"/>
        <w:numPr>
          <w:ilvl w:val="0"/>
          <w:numId w:val="0"/>
        </w:numPr>
        <w:rPr>
          <w:lang w:val="en-GB"/>
        </w:rPr>
      </w:pPr>
      <w:r>
        <w:rPr>
          <w:lang w:val="en-GB"/>
        </w:rPr>
        <w:t>With the exception of the AIEF all existing scholarship providers’ existing grant agreements cease at the end of 2017.</w:t>
      </w:r>
    </w:p>
    <w:p w14:paraId="6C580B54" w14:textId="77777777" w:rsidR="00407065" w:rsidRDefault="00407065" w:rsidP="00407065">
      <w:pPr>
        <w:pStyle w:val="Heading6"/>
        <w:rPr>
          <w:lang w:val="en-GB"/>
        </w:rPr>
      </w:pPr>
      <w:r>
        <w:rPr>
          <w:lang w:val="en-GB"/>
        </w:rPr>
        <w:t>Models of delivery</w:t>
      </w:r>
    </w:p>
    <w:p w14:paraId="17DCC67F" w14:textId="0D0D4559" w:rsidR="00694F0D" w:rsidRPr="008A046F" w:rsidRDefault="00694F0D">
      <w:pPr>
        <w:pStyle w:val="NormalWeb"/>
        <w:spacing w:before="0" w:beforeAutospacing="0" w:after="240" w:afterAutospacing="0"/>
        <w:rPr>
          <w:rFonts w:asciiTheme="majorHAnsi" w:eastAsiaTheme="minorEastAsia" w:hAnsiTheme="majorHAnsi" w:cstheme="minorBidi"/>
          <w:color w:val="000000" w:themeColor="text1"/>
          <w:kern w:val="24"/>
          <w:sz w:val="20"/>
          <w:szCs w:val="20"/>
        </w:rPr>
      </w:pPr>
      <w:r w:rsidRPr="008A046F">
        <w:rPr>
          <w:rFonts w:asciiTheme="majorHAnsi" w:hAnsiTheme="majorHAnsi"/>
          <w:sz w:val="20"/>
          <w:szCs w:val="20"/>
        </w:rPr>
        <w:t xml:space="preserve">As outlined above, the department provides funds to ten secondary school scholarship providers in order </w:t>
      </w:r>
      <w:r w:rsidRPr="008A046F">
        <w:rPr>
          <w:rFonts w:asciiTheme="majorHAnsi" w:eastAsiaTheme="minorEastAsia" w:hAnsiTheme="majorHAnsi" w:cstheme="minorBidi"/>
          <w:color w:val="000000" w:themeColor="text1"/>
          <w:kern w:val="24"/>
          <w:sz w:val="20"/>
          <w:szCs w:val="20"/>
        </w:rPr>
        <w:t>to enable Indigenous students to attend high performing schools (i.e. education partners) across the country. In addition to high performing secondary schools, some scholarship providers have established education partnerships with Registered Training Organisations (RTOs), TAFEs and other tertiary institutions. However, unless otherwise stated, any reference to ‘education partners’ throughout this report refers to the high performing secondary schools which have existing partnerships with the IAS funded scholarship providers.</w:t>
      </w:r>
    </w:p>
    <w:p w14:paraId="08B79619" w14:textId="2493FEBB" w:rsidR="00407065" w:rsidRPr="008A046F" w:rsidRDefault="00407065" w:rsidP="00407065">
      <w:pPr>
        <w:pStyle w:val="NormalWeb"/>
        <w:spacing w:before="0" w:beforeAutospacing="0" w:after="240" w:afterAutospacing="0"/>
        <w:rPr>
          <w:rFonts w:asciiTheme="majorHAnsi" w:eastAsiaTheme="minorEastAsia" w:hAnsiTheme="majorHAnsi" w:cstheme="minorBidi"/>
          <w:color w:val="000000" w:themeColor="text1"/>
          <w:kern w:val="24"/>
          <w:sz w:val="20"/>
          <w:szCs w:val="20"/>
        </w:rPr>
      </w:pPr>
      <w:r w:rsidRPr="008A046F">
        <w:rPr>
          <w:rFonts w:asciiTheme="majorHAnsi" w:eastAsiaTheme="minorEastAsia" w:hAnsiTheme="majorHAnsi" w:cstheme="minorBidi"/>
          <w:color w:val="000000" w:themeColor="text1"/>
          <w:kern w:val="24"/>
          <w:sz w:val="20"/>
          <w:szCs w:val="20"/>
        </w:rPr>
        <w:t xml:space="preserve">From our consultations and discussions with scholarship providers there are appear to be two dominant operating models – school-led and </w:t>
      </w:r>
      <w:r w:rsidR="0020267E">
        <w:rPr>
          <w:rFonts w:asciiTheme="majorHAnsi" w:eastAsiaTheme="minorEastAsia" w:hAnsiTheme="majorHAnsi" w:cstheme="minorBidi"/>
          <w:color w:val="000000" w:themeColor="text1"/>
          <w:kern w:val="24"/>
          <w:sz w:val="20"/>
          <w:szCs w:val="20"/>
        </w:rPr>
        <w:t>community/</w:t>
      </w:r>
      <w:r w:rsidRPr="008A046F">
        <w:rPr>
          <w:rFonts w:asciiTheme="majorHAnsi" w:eastAsiaTheme="minorEastAsia" w:hAnsiTheme="majorHAnsi" w:cstheme="minorBidi"/>
          <w:color w:val="000000" w:themeColor="text1"/>
          <w:kern w:val="24"/>
          <w:sz w:val="20"/>
          <w:szCs w:val="20"/>
        </w:rPr>
        <w:t xml:space="preserve">broker led. </w:t>
      </w:r>
      <w:r w:rsidRPr="008A046F">
        <w:rPr>
          <w:rFonts w:asciiTheme="majorHAnsi" w:eastAsiaTheme="minorEastAsia" w:hAnsiTheme="majorHAnsi" w:cstheme="minorBidi"/>
          <w:color w:val="000000" w:themeColor="text1"/>
          <w:kern w:val="24"/>
          <w:sz w:val="20"/>
          <w:szCs w:val="20"/>
        </w:rPr>
        <w:fldChar w:fldCharType="begin"/>
      </w:r>
      <w:r w:rsidRPr="008A046F">
        <w:rPr>
          <w:rFonts w:asciiTheme="majorHAnsi" w:eastAsiaTheme="minorEastAsia" w:hAnsiTheme="majorHAnsi" w:cstheme="minorBidi"/>
          <w:color w:val="000000" w:themeColor="text1"/>
          <w:kern w:val="24"/>
          <w:sz w:val="20"/>
          <w:szCs w:val="20"/>
        </w:rPr>
        <w:instrText xml:space="preserve"> REF _Ref478660763 \h </w:instrText>
      </w:r>
      <w:r w:rsidR="00F47460" w:rsidRPr="008A046F">
        <w:rPr>
          <w:rFonts w:asciiTheme="majorHAnsi" w:eastAsiaTheme="minorEastAsia" w:hAnsiTheme="majorHAnsi" w:cstheme="minorBidi"/>
          <w:color w:val="000000" w:themeColor="text1"/>
          <w:kern w:val="24"/>
          <w:sz w:val="20"/>
          <w:szCs w:val="20"/>
        </w:rPr>
        <w:instrText xml:space="preserve"> \* MERGEFORMAT </w:instrText>
      </w:r>
      <w:r w:rsidRPr="008A046F">
        <w:rPr>
          <w:rFonts w:asciiTheme="majorHAnsi" w:eastAsiaTheme="minorEastAsia" w:hAnsiTheme="majorHAnsi" w:cstheme="minorBidi"/>
          <w:color w:val="000000" w:themeColor="text1"/>
          <w:kern w:val="24"/>
          <w:sz w:val="20"/>
          <w:szCs w:val="20"/>
        </w:rPr>
      </w:r>
      <w:r w:rsidRPr="008A046F">
        <w:rPr>
          <w:rFonts w:asciiTheme="majorHAnsi" w:eastAsiaTheme="minorEastAsia" w:hAnsiTheme="majorHAnsi" w:cstheme="minorBidi"/>
          <w:color w:val="000000" w:themeColor="text1"/>
          <w:kern w:val="24"/>
          <w:sz w:val="20"/>
          <w:szCs w:val="20"/>
        </w:rPr>
        <w:fldChar w:fldCharType="separate"/>
      </w:r>
      <w:r w:rsidR="009C78D7" w:rsidRPr="009C78D7">
        <w:rPr>
          <w:rFonts w:asciiTheme="majorHAnsi" w:hAnsiTheme="majorHAnsi"/>
          <w:sz w:val="20"/>
          <w:szCs w:val="20"/>
        </w:rPr>
        <w:t xml:space="preserve">Figure </w:t>
      </w:r>
      <w:r w:rsidR="009C78D7" w:rsidRPr="009C78D7">
        <w:rPr>
          <w:rFonts w:asciiTheme="majorHAnsi" w:hAnsiTheme="majorHAnsi"/>
          <w:noProof/>
          <w:sz w:val="20"/>
          <w:szCs w:val="20"/>
        </w:rPr>
        <w:t>9</w:t>
      </w:r>
      <w:r w:rsidRPr="008A046F">
        <w:rPr>
          <w:rFonts w:asciiTheme="majorHAnsi" w:eastAsiaTheme="minorEastAsia" w:hAnsiTheme="majorHAnsi" w:cstheme="minorBidi"/>
          <w:color w:val="000000" w:themeColor="text1"/>
          <w:kern w:val="24"/>
          <w:sz w:val="20"/>
          <w:szCs w:val="20"/>
        </w:rPr>
        <w:fldChar w:fldCharType="end"/>
      </w:r>
      <w:r w:rsidRPr="008A046F">
        <w:rPr>
          <w:rFonts w:asciiTheme="majorHAnsi" w:eastAsiaTheme="minorEastAsia" w:hAnsiTheme="majorHAnsi" w:cstheme="minorBidi"/>
          <w:color w:val="000000" w:themeColor="text1"/>
          <w:kern w:val="24"/>
          <w:sz w:val="20"/>
          <w:szCs w:val="20"/>
        </w:rPr>
        <w:t xml:space="preserve"> displays the characteristics of each of the models.</w:t>
      </w:r>
    </w:p>
    <w:p w14:paraId="0605E4DF" w14:textId="01F386DD" w:rsidR="00407065" w:rsidRPr="008A046F" w:rsidRDefault="00407065" w:rsidP="00407065">
      <w:pPr>
        <w:pStyle w:val="NormalWeb"/>
        <w:spacing w:before="0" w:beforeAutospacing="0" w:after="240" w:afterAutospacing="0"/>
        <w:rPr>
          <w:rFonts w:asciiTheme="majorHAnsi" w:eastAsiaTheme="minorEastAsia" w:hAnsiTheme="majorHAnsi" w:cstheme="minorBidi"/>
          <w:color w:val="000000" w:themeColor="text1"/>
          <w:kern w:val="24"/>
          <w:sz w:val="20"/>
          <w:szCs w:val="20"/>
        </w:rPr>
      </w:pPr>
      <w:r w:rsidRPr="008A046F">
        <w:rPr>
          <w:rFonts w:asciiTheme="majorHAnsi" w:eastAsiaTheme="minorEastAsia" w:hAnsiTheme="majorHAnsi" w:cstheme="minorBidi"/>
          <w:color w:val="000000" w:themeColor="text1"/>
          <w:kern w:val="24"/>
          <w:sz w:val="20"/>
          <w:szCs w:val="20"/>
        </w:rPr>
        <w:t xml:space="preserve">AIEF, MADALAH and PLC operate a school-led model.  Whilst MADEC Australia, Cape York Institute, Dubbo College Senior Campus, The Smith Family, TCEO, Wunan and Yalari all operate a </w:t>
      </w:r>
      <w:r w:rsidR="00FD01B1">
        <w:rPr>
          <w:rFonts w:asciiTheme="majorHAnsi" w:eastAsiaTheme="minorEastAsia" w:hAnsiTheme="majorHAnsi" w:cstheme="minorBidi"/>
          <w:color w:val="000000" w:themeColor="text1"/>
          <w:kern w:val="24"/>
          <w:sz w:val="20"/>
          <w:szCs w:val="20"/>
        </w:rPr>
        <w:t>community/</w:t>
      </w:r>
      <w:r w:rsidRPr="008A046F">
        <w:rPr>
          <w:rFonts w:asciiTheme="majorHAnsi" w:eastAsiaTheme="minorEastAsia" w:hAnsiTheme="majorHAnsi" w:cstheme="minorBidi"/>
          <w:color w:val="000000" w:themeColor="text1"/>
          <w:kern w:val="24"/>
          <w:sz w:val="20"/>
          <w:szCs w:val="20"/>
        </w:rPr>
        <w:t>broker</w:t>
      </w:r>
      <w:r w:rsidR="0020267E">
        <w:rPr>
          <w:rFonts w:asciiTheme="majorHAnsi" w:eastAsiaTheme="minorEastAsia" w:hAnsiTheme="majorHAnsi" w:cstheme="minorBidi"/>
          <w:color w:val="000000" w:themeColor="text1"/>
          <w:kern w:val="24"/>
          <w:sz w:val="20"/>
          <w:szCs w:val="20"/>
        </w:rPr>
        <w:t>-</w:t>
      </w:r>
      <w:r w:rsidRPr="008A046F">
        <w:rPr>
          <w:rFonts w:asciiTheme="majorHAnsi" w:eastAsiaTheme="minorEastAsia" w:hAnsiTheme="majorHAnsi" w:cstheme="minorBidi"/>
          <w:color w:val="000000" w:themeColor="text1"/>
          <w:kern w:val="24"/>
          <w:sz w:val="20"/>
          <w:szCs w:val="20"/>
        </w:rPr>
        <w:t>led model.  Yalari adopts some elements of the school-led model.</w:t>
      </w:r>
    </w:p>
    <w:p w14:paraId="2B2A03CC" w14:textId="6F6DB214" w:rsidR="00407065" w:rsidRDefault="00407065" w:rsidP="00407065">
      <w:pPr>
        <w:pStyle w:val="Caption"/>
        <w:rPr>
          <w:rFonts w:cs="Times New Roman"/>
          <w:snapToGrid/>
        </w:rPr>
      </w:pPr>
      <w:bookmarkStart w:id="27" w:name="_Ref478660763"/>
      <w:r>
        <w:t xml:space="preserve">Figure </w:t>
      </w:r>
      <w:fldSimple w:instr=" SEQ Figure \* ARABIC ">
        <w:r w:rsidR="009C78D7">
          <w:rPr>
            <w:noProof/>
          </w:rPr>
          <w:t>9</w:t>
        </w:r>
      </w:fldSimple>
      <w:bookmarkEnd w:id="27"/>
      <w:r>
        <w:t xml:space="preserve">: Characteristics of the school –led and </w:t>
      </w:r>
      <w:r w:rsidR="0020267E">
        <w:t>community/</w:t>
      </w:r>
      <w:r>
        <w:t xml:space="preserve">broker-led models </w:t>
      </w:r>
    </w:p>
    <w:p w14:paraId="05E07936" w14:textId="16D80CDD" w:rsidR="00407065" w:rsidRDefault="0020267E" w:rsidP="00407065">
      <w:r w:rsidRPr="0020267E">
        <w:rPr>
          <w:noProof/>
          <w:lang w:eastAsia="en-AU"/>
        </w:rPr>
        <w:drawing>
          <wp:inline distT="0" distB="0" distL="0" distR="0" wp14:anchorId="7F445042" wp14:editId="4C77BCCA">
            <wp:extent cx="5419090" cy="3568204"/>
            <wp:effectExtent l="0" t="0" r="0" b="0"/>
            <wp:docPr id="58" name="Picture 58" descr="School-led&#10;- Students are required to enrol in the secondary school prior to seeking scholarship&#10;- Schools responsible for identifying, assessing and enrolling students as well as assessing applications and conducting interviews&#10;- Students accepted to schools based on their own merit&#10;- Schools responsible for pastoral care, mentoring and wellbeing of students&#10;- Staff primarily have an administrative role in delivering the scholarships program&#10;- Schools are the custodians of the data, responsible for sharing with the scholarship provider&#10;- Scholarship provider provides financial support and other resources to education providers&#10;&#10;Australian Indigenous Education Foundation&#10;MADALAH&#10;Presbyterian Ladies College&#10;&#10;Community/Broker-led&#10;- Potential scholarship recipients are sought from communities&#10;- Identifies education providers to provide scholarships&#10;- Lead role in identifying, assessing, interviewing and matching students with potential education providers&#10;- Pre-qualified students provided to education providers&#10;- Responsible for pastoral care and wellbeing of students&#10;- Custodian of the data, with staff responsible for the collection and storage&#10;- More direct communications and contact with families and communities&#10;- Staff primarily have a management/co-ordination role in delivering the scholarship program&#10;&#10;MADEC Australia&#10;Cape York institute&#10;Dubbo College Senior Campus&#10;The Smith Family&#10;Townsville Catholic Education Office&#10;Wunan&#10;Yalari*&#10;* Yalari also has some elements of the school-led model" title="Figure 9: Characteristics of the school – led and community/broker-led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9090" cy="3568204"/>
                    </a:xfrm>
                    <a:prstGeom prst="rect">
                      <a:avLst/>
                    </a:prstGeom>
                    <a:noFill/>
                    <a:ln>
                      <a:noFill/>
                    </a:ln>
                  </pic:spPr>
                </pic:pic>
              </a:graphicData>
            </a:graphic>
          </wp:inline>
        </w:drawing>
      </w:r>
    </w:p>
    <w:p w14:paraId="0F96C6C4" w14:textId="24C0F01B" w:rsidR="00407065" w:rsidRPr="00F47460" w:rsidRDefault="00B35E1A" w:rsidP="00407065">
      <w:pPr>
        <w:pStyle w:val="NormalWeb"/>
        <w:spacing w:before="0" w:beforeAutospacing="0" w:after="240" w:afterAutospacing="0"/>
        <w:rPr>
          <w:rFonts w:ascii="Georgia" w:eastAsiaTheme="minorEastAsia" w:hAnsi="Georgia" w:cstheme="minorBidi"/>
          <w:color w:val="000000" w:themeColor="text1"/>
          <w:kern w:val="24"/>
          <w:sz w:val="20"/>
          <w:szCs w:val="22"/>
        </w:rPr>
      </w:pPr>
      <w:r>
        <w:rPr>
          <w:rFonts w:ascii="Georgia" w:eastAsiaTheme="minorEastAsia" w:hAnsi="Georgia" w:cstheme="minorBidi"/>
          <w:color w:val="000000" w:themeColor="text1"/>
          <w:kern w:val="24"/>
          <w:sz w:val="20"/>
          <w:szCs w:val="22"/>
        </w:rPr>
        <w:t>While w</w:t>
      </w:r>
      <w:r w:rsidR="00407065" w:rsidRPr="00F47460">
        <w:rPr>
          <w:rFonts w:ascii="Georgia" w:eastAsiaTheme="minorEastAsia" w:hAnsi="Georgia" w:cstheme="minorBidi"/>
          <w:color w:val="000000" w:themeColor="text1"/>
          <w:kern w:val="24"/>
          <w:sz w:val="20"/>
          <w:szCs w:val="22"/>
        </w:rPr>
        <w:t xml:space="preserve">e have identified two dominant operating models with common characteristics, it should be noted that each scholarship provider has unique characteristics and qualities in the delivery of their programs. Further details are explored in the detailed scholarship provider profiles at </w:t>
      </w:r>
      <w:r w:rsidR="00197BBC">
        <w:rPr>
          <w:rFonts w:ascii="Georgia" w:eastAsiaTheme="minorEastAsia" w:hAnsi="Georgia" w:cstheme="minorBidi"/>
          <w:color w:val="000000" w:themeColor="text1"/>
          <w:kern w:val="24"/>
          <w:sz w:val="20"/>
          <w:szCs w:val="22"/>
        </w:rPr>
        <w:t>Appendix A</w:t>
      </w:r>
      <w:r w:rsidR="003D0871">
        <w:rPr>
          <w:rFonts w:ascii="Georgia" w:eastAsiaTheme="minorEastAsia" w:hAnsi="Georgia" w:cstheme="minorBidi"/>
          <w:color w:val="000000" w:themeColor="text1"/>
          <w:kern w:val="24"/>
          <w:sz w:val="20"/>
          <w:szCs w:val="22"/>
        </w:rPr>
        <w:t>.</w:t>
      </w:r>
    </w:p>
    <w:p w14:paraId="7F65E7FC" w14:textId="77777777" w:rsidR="00407065" w:rsidRDefault="00407065" w:rsidP="00407065">
      <w:pPr>
        <w:pStyle w:val="Heading6"/>
        <w:tabs>
          <w:tab w:val="clear" w:pos="850"/>
          <w:tab w:val="num" w:pos="4395"/>
        </w:tabs>
        <w:ind w:left="851" w:hanging="851"/>
        <w:rPr>
          <w:lang w:val="en-GB"/>
        </w:rPr>
      </w:pPr>
      <w:bookmarkStart w:id="28" w:name="_Ref478571442"/>
      <w:r>
        <w:rPr>
          <w:lang w:val="en-GB"/>
        </w:rPr>
        <w:t>Program logic</w:t>
      </w:r>
      <w:bookmarkEnd w:id="28"/>
    </w:p>
    <w:p w14:paraId="03819E1E" w14:textId="639E3FDF" w:rsidR="00407065" w:rsidRPr="00F47460" w:rsidRDefault="00407065" w:rsidP="00407065">
      <w:pPr>
        <w:pStyle w:val="PwCNormal"/>
        <w:numPr>
          <w:ilvl w:val="0"/>
          <w:numId w:val="0"/>
        </w:numPr>
        <w:rPr>
          <w:szCs w:val="22"/>
          <w:lang w:val="en-GB"/>
        </w:rPr>
      </w:pPr>
      <w:r w:rsidRPr="00C00129">
        <w:rPr>
          <w:sz w:val="22"/>
          <w:szCs w:val="22"/>
          <w:lang w:val="en-GB"/>
        </w:rPr>
        <w:t xml:space="preserve">A </w:t>
      </w:r>
      <w:r w:rsidRPr="00F47460">
        <w:rPr>
          <w:szCs w:val="22"/>
          <w:lang w:val="en-GB"/>
        </w:rPr>
        <w:t xml:space="preserve">draft program logic has been developed for discussion purposes and is provided in </w:t>
      </w:r>
      <w:r w:rsidRPr="00F47460">
        <w:rPr>
          <w:szCs w:val="22"/>
          <w:lang w:val="en-GB"/>
        </w:rPr>
        <w:fldChar w:fldCharType="begin"/>
      </w:r>
      <w:r w:rsidRPr="00F47460">
        <w:rPr>
          <w:szCs w:val="22"/>
          <w:lang w:val="en-GB"/>
        </w:rPr>
        <w:instrText xml:space="preserve"> REF _Ref476164620 \h  \* MERGEFORMAT </w:instrText>
      </w:r>
      <w:r w:rsidRPr="00F47460">
        <w:rPr>
          <w:szCs w:val="22"/>
          <w:lang w:val="en-GB"/>
        </w:rPr>
      </w:r>
      <w:r w:rsidRPr="00F47460">
        <w:rPr>
          <w:szCs w:val="22"/>
          <w:lang w:val="en-GB"/>
        </w:rPr>
        <w:fldChar w:fldCharType="separate"/>
      </w:r>
      <w:r w:rsidR="009C78D7" w:rsidRPr="009C78D7">
        <w:rPr>
          <w:szCs w:val="22"/>
        </w:rPr>
        <w:t xml:space="preserve">Figure </w:t>
      </w:r>
      <w:r w:rsidR="009C78D7" w:rsidRPr="009C78D7">
        <w:rPr>
          <w:noProof/>
          <w:szCs w:val="22"/>
        </w:rPr>
        <w:t>10</w:t>
      </w:r>
      <w:r w:rsidRPr="00F47460">
        <w:rPr>
          <w:szCs w:val="22"/>
          <w:lang w:val="en-GB"/>
        </w:rPr>
        <w:fldChar w:fldCharType="end"/>
      </w:r>
      <w:r w:rsidRPr="00F47460">
        <w:rPr>
          <w:szCs w:val="22"/>
          <w:lang w:val="en-GB"/>
        </w:rPr>
        <w:t xml:space="preserve">.  This high level program logic attempts to distil the core components which appear to be common across the scholarship components and providers regardless of the model of </w:t>
      </w:r>
      <w:r w:rsidRPr="00F47460">
        <w:rPr>
          <w:szCs w:val="22"/>
          <w:lang w:val="en-GB"/>
        </w:rPr>
        <w:lastRenderedPageBreak/>
        <w:t>implementation.   It will be important that consultation occurs on the draft program logic with scholarship providers.</w:t>
      </w:r>
      <w:r w:rsidR="00957516">
        <w:rPr>
          <w:szCs w:val="22"/>
          <w:lang w:val="en-GB"/>
        </w:rPr>
        <w:t xml:space="preserve">  This draft program logic has been prepared as a starting point only to support these discussions.</w:t>
      </w:r>
    </w:p>
    <w:p w14:paraId="1E9BAA36" w14:textId="77777777" w:rsidR="00407065" w:rsidRPr="00F47460" w:rsidRDefault="00407065" w:rsidP="00407065">
      <w:pPr>
        <w:pStyle w:val="PwCNormal"/>
        <w:numPr>
          <w:ilvl w:val="0"/>
          <w:numId w:val="0"/>
        </w:numPr>
        <w:rPr>
          <w:szCs w:val="22"/>
          <w:lang w:val="en-GB"/>
        </w:rPr>
      </w:pPr>
      <w:r w:rsidRPr="00F47460">
        <w:rPr>
          <w:szCs w:val="22"/>
          <w:lang w:val="en-GB"/>
        </w:rPr>
        <w:t>The five key components of the program logic approach are:</w:t>
      </w:r>
    </w:p>
    <w:p w14:paraId="54DD8DC4" w14:textId="77777777" w:rsidR="00407065" w:rsidRPr="00F47460" w:rsidRDefault="00407065" w:rsidP="00407065">
      <w:pPr>
        <w:pStyle w:val="ChapterNumberedList1"/>
        <w:rPr>
          <w:szCs w:val="22"/>
        </w:rPr>
      </w:pPr>
      <w:r w:rsidRPr="00F47460">
        <w:rPr>
          <w:b/>
          <w:szCs w:val="22"/>
        </w:rPr>
        <w:t>Need</w:t>
      </w:r>
      <w:r w:rsidRPr="00F47460">
        <w:rPr>
          <w:szCs w:val="22"/>
        </w:rPr>
        <w:t xml:space="preserve">: what issues the scholarships are attempting to influence?  </w:t>
      </w:r>
    </w:p>
    <w:p w14:paraId="5294823A" w14:textId="77777777" w:rsidR="00407065" w:rsidRPr="00F47460" w:rsidRDefault="00407065" w:rsidP="00407065">
      <w:pPr>
        <w:pStyle w:val="ChapterNumberedList1"/>
        <w:rPr>
          <w:szCs w:val="22"/>
        </w:rPr>
      </w:pPr>
      <w:r w:rsidRPr="00F47460">
        <w:rPr>
          <w:b/>
          <w:szCs w:val="22"/>
        </w:rPr>
        <w:t>Objectives</w:t>
      </w:r>
      <w:r w:rsidRPr="00F47460">
        <w:rPr>
          <w:szCs w:val="22"/>
        </w:rPr>
        <w:t>: what are the specific aims of the scholarships?</w:t>
      </w:r>
    </w:p>
    <w:p w14:paraId="2654C5BC" w14:textId="77777777" w:rsidR="00407065" w:rsidRPr="00F47460" w:rsidRDefault="00407065" w:rsidP="00407065">
      <w:pPr>
        <w:pStyle w:val="ChapterNumberedList1"/>
        <w:rPr>
          <w:szCs w:val="22"/>
        </w:rPr>
      </w:pPr>
      <w:r w:rsidRPr="00F47460">
        <w:rPr>
          <w:b/>
          <w:szCs w:val="22"/>
        </w:rPr>
        <w:t>Inputs</w:t>
      </w:r>
      <w:r w:rsidRPr="00F47460">
        <w:rPr>
          <w:szCs w:val="22"/>
        </w:rPr>
        <w:t xml:space="preserve">: what is required to make the scholarships successful? </w:t>
      </w:r>
    </w:p>
    <w:p w14:paraId="1D328EE5" w14:textId="77777777" w:rsidR="00407065" w:rsidRPr="00F47460" w:rsidRDefault="00407065" w:rsidP="00407065">
      <w:pPr>
        <w:pStyle w:val="ChapterNumberedList1"/>
        <w:rPr>
          <w:szCs w:val="22"/>
        </w:rPr>
      </w:pPr>
      <w:r w:rsidRPr="00F47460">
        <w:rPr>
          <w:b/>
          <w:szCs w:val="22"/>
        </w:rPr>
        <w:t>Outputs</w:t>
      </w:r>
      <w:r w:rsidRPr="00F47460">
        <w:rPr>
          <w:szCs w:val="22"/>
        </w:rPr>
        <w:t>: what is delivered?  What do scholars receive?</w:t>
      </w:r>
    </w:p>
    <w:p w14:paraId="37A0B99D" w14:textId="77777777" w:rsidR="00407065" w:rsidRPr="00F47460" w:rsidRDefault="00407065" w:rsidP="00407065">
      <w:pPr>
        <w:pStyle w:val="ChapterNumberedList1"/>
        <w:rPr>
          <w:szCs w:val="22"/>
        </w:rPr>
      </w:pPr>
      <w:r w:rsidRPr="00F47460">
        <w:rPr>
          <w:b/>
          <w:szCs w:val="22"/>
        </w:rPr>
        <w:t>Outcomes</w:t>
      </w:r>
      <w:r w:rsidRPr="00F47460">
        <w:rPr>
          <w:szCs w:val="22"/>
        </w:rPr>
        <w:t>: what are the desired changes over the short, medium and longer term?</w:t>
      </w:r>
    </w:p>
    <w:p w14:paraId="1CFF3503" w14:textId="339D9680" w:rsidR="00407065" w:rsidRDefault="00407065" w:rsidP="00407065">
      <w:pPr>
        <w:pStyle w:val="PwCNormal"/>
        <w:rPr>
          <w:lang w:val="en-GB"/>
        </w:rPr>
      </w:pPr>
    </w:p>
    <w:p w14:paraId="0FA16E7D" w14:textId="77777777" w:rsidR="00407065" w:rsidRDefault="00407065" w:rsidP="00407065">
      <w:pPr>
        <w:pStyle w:val="PwCNormal"/>
        <w:rPr>
          <w:lang w:val="en-GB"/>
        </w:rPr>
        <w:sectPr w:rsidR="00407065" w:rsidSect="002D69E9">
          <w:headerReference w:type="even" r:id="rId40"/>
          <w:headerReference w:type="default" r:id="rId41"/>
          <w:footerReference w:type="even" r:id="rId42"/>
          <w:footerReference w:type="default" r:id="rId43"/>
          <w:headerReference w:type="first" r:id="rId44"/>
          <w:footerReference w:type="first" r:id="rId45"/>
          <w:pgSz w:w="11907" w:h="16840" w:code="9"/>
          <w:pgMar w:top="1588" w:right="1020" w:bottom="1418" w:left="2353" w:header="567" w:footer="567" w:gutter="0"/>
          <w:cols w:space="227"/>
          <w:titlePg/>
          <w:docGrid w:linePitch="360"/>
        </w:sectPr>
      </w:pPr>
    </w:p>
    <w:p w14:paraId="0D67BEB2" w14:textId="28AD3254" w:rsidR="00407065" w:rsidRDefault="00407065" w:rsidP="00407065">
      <w:pPr>
        <w:pStyle w:val="Caption"/>
      </w:pPr>
      <w:bookmarkStart w:id="29" w:name="_Ref476164620"/>
      <w:r>
        <w:lastRenderedPageBreak/>
        <w:t xml:space="preserve">Figure </w:t>
      </w:r>
      <w:fldSimple w:instr=" SEQ Figure \* ARABIC ">
        <w:r w:rsidR="009C78D7">
          <w:rPr>
            <w:noProof/>
          </w:rPr>
          <w:t>10</w:t>
        </w:r>
      </w:fldSimple>
      <w:bookmarkEnd w:id="29"/>
      <w:r>
        <w:t xml:space="preserve"> Draft Program Logic: IAS funded secondary school scholarships </w:t>
      </w:r>
    </w:p>
    <w:p w14:paraId="600B6431" w14:textId="77777777" w:rsidR="00407065" w:rsidRDefault="00407065" w:rsidP="00407065">
      <w:pPr>
        <w:pStyle w:val="PwCNormal"/>
        <w:rPr>
          <w:lang w:val="en-GB"/>
        </w:rPr>
      </w:pPr>
      <w:r w:rsidRPr="00BA1932">
        <w:rPr>
          <w:noProof/>
          <w:lang w:eastAsia="en-AU"/>
        </w:rPr>
        <w:drawing>
          <wp:inline distT="0" distB="0" distL="0" distR="0" wp14:anchorId="300F881D" wp14:editId="1D05920C">
            <wp:extent cx="6847007" cy="5101076"/>
            <wp:effectExtent l="0" t="0" r="0" b="4445"/>
            <wp:docPr id="112" name="Picture 112" descr="This diagram sets a draft program logic." title="Draft program logic: IAS funded secondary school schola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6849355" cy="5102825"/>
                    </a:xfrm>
                    <a:prstGeom prst="rect">
                      <a:avLst/>
                    </a:prstGeom>
                    <a:noFill/>
                    <a:ln>
                      <a:noFill/>
                    </a:ln>
                  </pic:spPr>
                </pic:pic>
              </a:graphicData>
            </a:graphic>
          </wp:inline>
        </w:drawing>
      </w:r>
    </w:p>
    <w:p w14:paraId="268B0F7B" w14:textId="5AF614CF" w:rsidR="00407065" w:rsidRPr="00F03B38" w:rsidRDefault="00407065" w:rsidP="00407065">
      <w:pPr>
        <w:pStyle w:val="PwCNormal"/>
        <w:rPr>
          <w:lang w:val="en-GB"/>
        </w:rPr>
      </w:pPr>
      <w:r>
        <w:rPr>
          <w:lang w:val="en-GB"/>
        </w:rPr>
        <w:lastRenderedPageBreak/>
        <w:t xml:space="preserve">The development of a program logic provides a potential structure for anchoring a future program design and evaluation and monitoring approach.  The core lines of inquiry for this review align relatively neatly to the components of the program logic framework as set out in </w:t>
      </w:r>
      <w:r w:rsidRPr="00F03B38">
        <w:rPr>
          <w:lang w:val="en-GB"/>
        </w:rPr>
        <w:fldChar w:fldCharType="begin"/>
      </w:r>
      <w:r w:rsidRPr="00F03B38">
        <w:rPr>
          <w:lang w:val="en-GB"/>
        </w:rPr>
        <w:instrText xml:space="preserve"> REF _Ref476157447 \h </w:instrText>
      </w:r>
      <w:r w:rsidR="00F03B38" w:rsidRPr="00F03B38">
        <w:rPr>
          <w:lang w:val="en-GB"/>
        </w:rPr>
        <w:instrText xml:space="preserve"> \* MERGEFORMAT </w:instrText>
      </w:r>
      <w:r w:rsidRPr="00F03B38">
        <w:rPr>
          <w:lang w:val="en-GB"/>
        </w:rPr>
      </w:r>
      <w:r w:rsidRPr="00F03B38">
        <w:rPr>
          <w:lang w:val="en-GB"/>
        </w:rPr>
        <w:fldChar w:fldCharType="separate"/>
      </w:r>
      <w:r w:rsidR="009C78D7" w:rsidRPr="009C78D7">
        <w:t xml:space="preserve">Figure </w:t>
      </w:r>
      <w:r w:rsidR="009C78D7" w:rsidRPr="009C78D7">
        <w:rPr>
          <w:noProof/>
        </w:rPr>
        <w:t>11</w:t>
      </w:r>
      <w:r w:rsidRPr="00F03B38">
        <w:rPr>
          <w:lang w:val="en-GB"/>
        </w:rPr>
        <w:fldChar w:fldCharType="end"/>
      </w:r>
      <w:r w:rsidRPr="00F03B38">
        <w:rPr>
          <w:lang w:val="en-GB"/>
        </w:rPr>
        <w:t>.</w:t>
      </w:r>
    </w:p>
    <w:p w14:paraId="3FDDA99D" w14:textId="0D144502" w:rsidR="00407065" w:rsidRPr="00DE12AF" w:rsidRDefault="00407065" w:rsidP="00407065">
      <w:pPr>
        <w:pStyle w:val="PwCNormal"/>
        <w:rPr>
          <w:b/>
          <w:color w:val="A32020" w:themeColor="text2"/>
        </w:rPr>
      </w:pPr>
      <w:bookmarkStart w:id="30" w:name="_Ref476157447"/>
      <w:r w:rsidRPr="00DE12AF">
        <w:rPr>
          <w:b/>
          <w:color w:val="A32020" w:themeColor="text2"/>
        </w:rPr>
        <w:t xml:space="preserve">Figure </w:t>
      </w:r>
      <w:r w:rsidR="0032106D">
        <w:rPr>
          <w:b/>
          <w:color w:val="A32020" w:themeColor="text2"/>
        </w:rPr>
        <w:fldChar w:fldCharType="begin"/>
      </w:r>
      <w:r w:rsidR="0032106D">
        <w:rPr>
          <w:b/>
          <w:color w:val="A32020" w:themeColor="text2"/>
        </w:rPr>
        <w:instrText xml:space="preserve"> SEQ Figure \* ARABIC </w:instrText>
      </w:r>
      <w:r w:rsidR="0032106D">
        <w:rPr>
          <w:b/>
          <w:color w:val="A32020" w:themeColor="text2"/>
        </w:rPr>
        <w:fldChar w:fldCharType="separate"/>
      </w:r>
      <w:r w:rsidR="009C78D7">
        <w:rPr>
          <w:b/>
          <w:noProof/>
          <w:color w:val="A32020" w:themeColor="text2"/>
        </w:rPr>
        <w:t>11</w:t>
      </w:r>
      <w:r w:rsidR="0032106D">
        <w:rPr>
          <w:b/>
          <w:color w:val="A32020" w:themeColor="text2"/>
        </w:rPr>
        <w:fldChar w:fldCharType="end"/>
      </w:r>
      <w:bookmarkEnd w:id="30"/>
      <w:r w:rsidRPr="00DE12AF">
        <w:rPr>
          <w:b/>
          <w:color w:val="A32020" w:themeColor="text2"/>
        </w:rPr>
        <w:t xml:space="preserve"> Linking review lines of inquiry to program logic elements</w:t>
      </w:r>
    </w:p>
    <w:p w14:paraId="35C0D443" w14:textId="77777777" w:rsidR="00407065" w:rsidRPr="006F39BA" w:rsidRDefault="00407065" w:rsidP="00407065">
      <w:pPr>
        <w:pStyle w:val="PwCNormal"/>
      </w:pPr>
      <w:r w:rsidRPr="00A56FDD">
        <w:rPr>
          <w:noProof/>
          <w:lang w:eastAsia="en-AU"/>
        </w:rPr>
        <w:drawing>
          <wp:inline distT="0" distB="0" distL="0" distR="0" wp14:anchorId="1335B4C2" wp14:editId="0FE45F53">
            <wp:extent cx="6962775" cy="3726180"/>
            <wp:effectExtent l="0" t="0" r="0" b="7620"/>
            <wp:docPr id="48" name="Picture 48" descr="This diagram aligns the core specified lines of inquiry for this review to the core elements of the program logic (that is need, inputs, impact and outcomes)." title="Linking review lines of inquiry to program logic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6971308" cy="3730746"/>
                    </a:xfrm>
                    <a:prstGeom prst="rect">
                      <a:avLst/>
                    </a:prstGeom>
                    <a:noFill/>
                    <a:ln>
                      <a:noFill/>
                    </a:ln>
                  </pic:spPr>
                </pic:pic>
              </a:graphicData>
            </a:graphic>
          </wp:inline>
        </w:drawing>
      </w:r>
    </w:p>
    <w:p w14:paraId="58DEC8DB" w14:textId="419BDB37" w:rsidR="00407065" w:rsidRDefault="00407065" w:rsidP="00407065">
      <w:pPr>
        <w:pStyle w:val="PwCNormal"/>
        <w:rPr>
          <w:lang w:val="en-GB"/>
        </w:rPr>
      </w:pPr>
      <w:r>
        <w:rPr>
          <w:lang w:val="en-GB"/>
        </w:rPr>
        <w:t>The draft program logic may be an input into the future development of a monitoring and evaluation framework.  Direct attribution of the contribution of scholarships to the outcome of improved Year 12 or equivalent completion and ongoing engagement in training, education or employment beyond school will require a more robust data collection than is currently the case</w:t>
      </w:r>
    </w:p>
    <w:p w14:paraId="20C0541E" w14:textId="77777777" w:rsidR="00407065" w:rsidRDefault="00407065" w:rsidP="00407065">
      <w:pPr>
        <w:pStyle w:val="PwCNormal"/>
        <w:numPr>
          <w:ilvl w:val="0"/>
          <w:numId w:val="0"/>
        </w:numPr>
        <w:rPr>
          <w:lang w:val="en-GB"/>
        </w:rPr>
      </w:pPr>
    </w:p>
    <w:p w14:paraId="0F97E5DA" w14:textId="7D2A3FCE" w:rsidR="00407065" w:rsidRDefault="00407065" w:rsidP="00407065">
      <w:pPr>
        <w:pStyle w:val="PwCNormal"/>
        <w:numPr>
          <w:ilvl w:val="0"/>
          <w:numId w:val="0"/>
        </w:numPr>
        <w:rPr>
          <w:lang w:val="en-GB"/>
        </w:rPr>
        <w:sectPr w:rsidR="00407065" w:rsidSect="00407065">
          <w:headerReference w:type="even" r:id="rId48"/>
          <w:headerReference w:type="default" r:id="rId49"/>
          <w:footerReference w:type="even" r:id="rId50"/>
          <w:footerReference w:type="default" r:id="rId51"/>
          <w:headerReference w:type="first" r:id="rId52"/>
          <w:footerReference w:type="first" r:id="rId53"/>
          <w:pgSz w:w="16840" w:h="11907" w:orient="landscape" w:code="9"/>
          <w:pgMar w:top="1644" w:right="1020" w:bottom="1417" w:left="2353" w:header="567" w:footer="567" w:gutter="0"/>
          <w:cols w:space="227"/>
          <w:docGrid w:linePitch="360"/>
        </w:sectPr>
      </w:pPr>
    </w:p>
    <w:p w14:paraId="515ECABD" w14:textId="77777777" w:rsidR="009F1FA3" w:rsidRDefault="009F1FA3" w:rsidP="009F1FA3">
      <w:pPr>
        <w:pStyle w:val="Heading6"/>
        <w:tabs>
          <w:tab w:val="clear" w:pos="850"/>
          <w:tab w:val="num" w:pos="851"/>
        </w:tabs>
        <w:ind w:left="851" w:hanging="851"/>
        <w:rPr>
          <w:lang w:val="en-GB"/>
        </w:rPr>
      </w:pPr>
      <w:r>
        <w:rPr>
          <w:lang w:val="en-GB"/>
        </w:rPr>
        <w:lastRenderedPageBreak/>
        <w:t>Need</w:t>
      </w:r>
    </w:p>
    <w:p w14:paraId="3C94994A" w14:textId="435816E3" w:rsidR="009F1FA3" w:rsidRPr="00E67716" w:rsidRDefault="009F1FA3" w:rsidP="009F1FA3">
      <w:pPr>
        <w:pStyle w:val="PwCNormal"/>
        <w:numPr>
          <w:ilvl w:val="0"/>
          <w:numId w:val="9"/>
        </w:numPr>
        <w:rPr>
          <w:snapToGrid/>
          <w:lang w:val="en-GB"/>
        </w:rPr>
      </w:pPr>
      <w:r w:rsidRPr="00C57024">
        <w:rPr>
          <w:lang w:val="en-GB"/>
        </w:rPr>
        <w:t xml:space="preserve">It is widely documented that the Year 12 or equivalent attainment rates for Indigenous young people </w:t>
      </w:r>
      <w:r w:rsidR="009A7B00">
        <w:rPr>
          <w:lang w:val="en-GB"/>
        </w:rPr>
        <w:t>are</w:t>
      </w:r>
      <w:r w:rsidRPr="00C57024">
        <w:rPr>
          <w:lang w:val="en-GB"/>
        </w:rPr>
        <w:t xml:space="preserve"> significantly lower than their non-Indigenous counterparts.  </w:t>
      </w:r>
      <w:r w:rsidR="00957516">
        <w:rPr>
          <w:lang w:val="en-GB"/>
        </w:rPr>
        <w:t>While t</w:t>
      </w:r>
      <w:r w:rsidRPr="00C57024">
        <w:rPr>
          <w:lang w:val="en-GB"/>
        </w:rPr>
        <w:t xml:space="preserve">his is particularly acute for individuals living in remote and rural areas </w:t>
      </w:r>
      <w:r w:rsidR="00B35E1A">
        <w:rPr>
          <w:lang w:val="en-GB"/>
        </w:rPr>
        <w:t>who</w:t>
      </w:r>
      <w:r w:rsidR="00B35E1A" w:rsidRPr="00C57024">
        <w:rPr>
          <w:lang w:val="en-GB"/>
        </w:rPr>
        <w:t xml:space="preserve"> </w:t>
      </w:r>
      <w:r w:rsidRPr="00C57024">
        <w:rPr>
          <w:lang w:val="en-GB"/>
        </w:rPr>
        <w:t>often have less access to secondary schools and tertiary education</w:t>
      </w:r>
      <w:r w:rsidR="00957516">
        <w:rPr>
          <w:lang w:val="en-GB"/>
        </w:rPr>
        <w:t xml:space="preserve"> Indigenous secondary school students in regional and urban settings may also lack access to high performing schools</w:t>
      </w:r>
      <w:r w:rsidRPr="00C57024">
        <w:rPr>
          <w:lang w:val="en-GB"/>
        </w:rPr>
        <w:t>.</w:t>
      </w:r>
    </w:p>
    <w:p w14:paraId="2BC9838D" w14:textId="77777777" w:rsidR="009F1FA3" w:rsidRDefault="009F1FA3" w:rsidP="009F1FA3">
      <w:pPr>
        <w:pStyle w:val="PwCNormal"/>
        <w:numPr>
          <w:ilvl w:val="0"/>
          <w:numId w:val="0"/>
        </w:numPr>
        <w:rPr>
          <w:lang w:val="en-GB"/>
        </w:rPr>
      </w:pPr>
      <w:r w:rsidRPr="00A56FDD">
        <w:rPr>
          <w:lang w:val="en-GB"/>
        </w:rPr>
        <w:t xml:space="preserve">The Council of Australian Governments (COAG) </w:t>
      </w:r>
      <w:r>
        <w:rPr>
          <w:lang w:val="en-GB"/>
        </w:rPr>
        <w:t xml:space="preserve">has agreed to a set of national Closing the Gap targets.  Of direct relevance to this review is the target to halve the gap for Indigenous students in Year 12 attainment rates by 2020 and employment targets. </w:t>
      </w:r>
    </w:p>
    <w:p w14:paraId="6CC87FA0" w14:textId="77777777" w:rsidR="009F1FA3" w:rsidRDefault="009F1FA3" w:rsidP="009F1FA3">
      <w:pPr>
        <w:pStyle w:val="ListBullet"/>
        <w:numPr>
          <w:ilvl w:val="0"/>
          <w:numId w:val="0"/>
        </w:numPr>
        <w:rPr>
          <w:lang w:val="en-US"/>
        </w:rPr>
      </w:pPr>
      <w:r>
        <w:rPr>
          <w:lang w:val="en-US"/>
        </w:rPr>
        <w:t>Determining unmet demand is challenging as:</w:t>
      </w:r>
    </w:p>
    <w:p w14:paraId="62D5214C" w14:textId="77777777" w:rsidR="009F1FA3" w:rsidRDefault="009F1FA3" w:rsidP="009F1FA3">
      <w:pPr>
        <w:pStyle w:val="ListBullet"/>
        <w:rPr>
          <w:lang w:val="en-US"/>
        </w:rPr>
      </w:pPr>
      <w:r>
        <w:rPr>
          <w:lang w:val="en-US"/>
        </w:rPr>
        <w:t xml:space="preserve">placing students in high performing schools often requires a judgement to be made of the student’s capacity to thrive and succeed in these environments.  This is particularly the case where students are boarding.  Developing a deep understanding the pool of </w:t>
      </w:r>
      <w:r w:rsidRPr="00414D61">
        <w:rPr>
          <w:i/>
          <w:lang w:val="en-US"/>
        </w:rPr>
        <w:t>potential</w:t>
      </w:r>
      <w:r>
        <w:rPr>
          <w:lang w:val="en-US"/>
        </w:rPr>
        <w:t xml:space="preserve"> applicants is challenging due to the subjective nature of assessment processes</w:t>
      </w:r>
    </w:p>
    <w:p w14:paraId="256B4A56" w14:textId="7F3E5F55" w:rsidR="009F1FA3" w:rsidRDefault="009F1FA3" w:rsidP="009F1FA3">
      <w:pPr>
        <w:pStyle w:val="ListBullet"/>
        <w:rPr>
          <w:lang w:val="en-US"/>
        </w:rPr>
      </w:pPr>
      <w:r>
        <w:rPr>
          <w:lang w:val="en-US"/>
        </w:rPr>
        <w:t xml:space="preserve">the school-led and the </w:t>
      </w:r>
      <w:r w:rsidR="0020267E">
        <w:rPr>
          <w:lang w:val="en-US"/>
        </w:rPr>
        <w:t>community/</w:t>
      </w:r>
      <w:r>
        <w:rPr>
          <w:lang w:val="en-US"/>
        </w:rPr>
        <w:t>broker-led models have significant differences in the direct relationship between the scholarship provider and scholarship applicants</w:t>
      </w:r>
    </w:p>
    <w:p w14:paraId="0E4908FE" w14:textId="0DE8B61F" w:rsidR="009F1FA3" w:rsidRDefault="00B35E1A" w:rsidP="009F1FA3">
      <w:pPr>
        <w:pStyle w:val="ListBullet"/>
        <w:rPr>
          <w:lang w:val="en-US"/>
        </w:rPr>
      </w:pPr>
      <w:r>
        <w:rPr>
          <w:lang w:val="en-US"/>
        </w:rPr>
        <w:t xml:space="preserve">supply factors such as the </w:t>
      </w:r>
      <w:r w:rsidR="009F1FA3">
        <w:rPr>
          <w:lang w:val="en-US"/>
        </w:rPr>
        <w:t xml:space="preserve">availability of places with suitable education partners including </w:t>
      </w:r>
      <w:r>
        <w:rPr>
          <w:lang w:val="en-US"/>
        </w:rPr>
        <w:t>where required</w:t>
      </w:r>
      <w:r w:rsidR="009F1FA3">
        <w:rPr>
          <w:lang w:val="en-US"/>
        </w:rPr>
        <w:t xml:space="preserve"> boarding facilities</w:t>
      </w:r>
      <w:r>
        <w:rPr>
          <w:lang w:val="en-US"/>
        </w:rPr>
        <w:t xml:space="preserve"> may be a constraint</w:t>
      </w:r>
    </w:p>
    <w:p w14:paraId="22EAA2D6" w14:textId="4B76D01A" w:rsidR="009F1FA3" w:rsidRDefault="009F1FA3" w:rsidP="009F1FA3">
      <w:pPr>
        <w:pStyle w:val="ListBullet"/>
        <w:rPr>
          <w:lang w:val="en-US"/>
        </w:rPr>
      </w:pPr>
      <w:r>
        <w:rPr>
          <w:lang w:val="en-US"/>
        </w:rPr>
        <w:t>data collection</w:t>
      </w:r>
      <w:r w:rsidR="00B35E1A">
        <w:rPr>
          <w:lang w:val="en-US"/>
        </w:rPr>
        <w:t>,</w:t>
      </w:r>
      <w:r>
        <w:rPr>
          <w:lang w:val="en-US"/>
        </w:rPr>
        <w:t xml:space="preserve"> particularly of applicant data</w:t>
      </w:r>
      <w:r w:rsidR="00B35E1A">
        <w:rPr>
          <w:lang w:val="en-US"/>
        </w:rPr>
        <w:t>,</w:t>
      </w:r>
      <w:r>
        <w:rPr>
          <w:lang w:val="en-US"/>
        </w:rPr>
        <w:t xml:space="preserve"> is inconsistent. </w:t>
      </w:r>
    </w:p>
    <w:p w14:paraId="1E75A5D0" w14:textId="281A49E4" w:rsidR="009F1FA3" w:rsidRDefault="009A7B00" w:rsidP="009F1FA3">
      <w:pPr>
        <w:pStyle w:val="ListBullet"/>
        <w:numPr>
          <w:ilvl w:val="0"/>
          <w:numId w:val="0"/>
        </w:numPr>
        <w:rPr>
          <w:lang w:val="en-US"/>
        </w:rPr>
      </w:pPr>
      <w:r>
        <w:rPr>
          <w:lang w:val="en-US"/>
        </w:rPr>
        <w:t>While a</w:t>
      </w:r>
      <w:r w:rsidR="009F1FA3">
        <w:rPr>
          <w:lang w:val="en-US"/>
        </w:rPr>
        <w:t>necdotally some scholarship providers noted practices of no longer promoting the availability of scholarships as demand outstrips supply</w:t>
      </w:r>
      <w:r>
        <w:rPr>
          <w:lang w:val="en-US"/>
        </w:rPr>
        <w:t>, o</w:t>
      </w:r>
      <w:r w:rsidR="009F1FA3">
        <w:rPr>
          <w:lang w:val="en-US"/>
        </w:rPr>
        <w:t>thers indicated that they could double the number of scholarships they provide, including leveraging corporate or philanthropic funding</w:t>
      </w:r>
      <w:r w:rsidR="00B35E1A">
        <w:rPr>
          <w:lang w:val="en-US"/>
        </w:rPr>
        <w:t xml:space="preserve"> provided IAS funding is also available</w:t>
      </w:r>
      <w:r w:rsidR="009F1FA3">
        <w:rPr>
          <w:lang w:val="en-US"/>
        </w:rPr>
        <w:t>.</w:t>
      </w:r>
    </w:p>
    <w:p w14:paraId="2266EDA3" w14:textId="77777777" w:rsidR="009F1FA3" w:rsidRDefault="009F1FA3" w:rsidP="009F1FA3">
      <w:pPr>
        <w:pStyle w:val="PwCNormal"/>
        <w:numPr>
          <w:ilvl w:val="0"/>
          <w:numId w:val="0"/>
        </w:numPr>
        <w:rPr>
          <w:lang w:val="en-GB"/>
        </w:rPr>
      </w:pPr>
      <w:r w:rsidRPr="00C00129">
        <w:rPr>
          <w:lang w:val="en-US"/>
        </w:rPr>
        <w:t>Education partner sur</w:t>
      </w:r>
      <w:r>
        <w:rPr>
          <w:lang w:val="en-GB"/>
        </w:rPr>
        <w:t>vey respondent’s views in relation to demand included:</w:t>
      </w:r>
    </w:p>
    <w:p w14:paraId="61B74E38" w14:textId="77777777" w:rsidR="009F1FA3" w:rsidRPr="00C00129" w:rsidRDefault="009F1FA3" w:rsidP="009F1FA3">
      <w:pPr>
        <w:pStyle w:val="ListBullet"/>
        <w:rPr>
          <w:lang w:val="en-US"/>
        </w:rPr>
      </w:pPr>
      <w:r>
        <w:t>56.6</w:t>
      </w:r>
      <w:r w:rsidRPr="00C00129">
        <w:rPr>
          <w:lang w:val="en-US"/>
        </w:rPr>
        <w:t xml:space="preserve">% of respondents indicated that the number of scholarship do not meet the demand. </w:t>
      </w:r>
    </w:p>
    <w:p w14:paraId="5040A989" w14:textId="77777777" w:rsidR="009F1FA3" w:rsidRPr="00C00129" w:rsidRDefault="009F1FA3" w:rsidP="009F1FA3">
      <w:pPr>
        <w:pStyle w:val="ListBullet"/>
        <w:rPr>
          <w:lang w:val="en-US"/>
        </w:rPr>
      </w:pPr>
      <w:r w:rsidRPr="00C00129">
        <w:rPr>
          <w:lang w:val="en-US"/>
        </w:rPr>
        <w:t xml:space="preserve">83% of respondents believe there will be a ‘Higher’ anticipated future demand for scholarships funded by scholarship providers.  </w:t>
      </w:r>
    </w:p>
    <w:p w14:paraId="5BB4DBE3" w14:textId="77777777" w:rsidR="009F1FA3" w:rsidRDefault="009F1FA3" w:rsidP="009F1FA3">
      <w:pPr>
        <w:pStyle w:val="PwCNormal"/>
        <w:numPr>
          <w:ilvl w:val="0"/>
          <w:numId w:val="0"/>
        </w:numPr>
      </w:pPr>
      <w:r>
        <w:t>The limited consultations undertaken with education providers also confirmed that the current number of scholarships at each of the schools does not meet demand and interest in scholarships.</w:t>
      </w:r>
    </w:p>
    <w:p w14:paraId="44647B9D" w14:textId="068CCE7E" w:rsidR="009F1FA3" w:rsidRDefault="009F1FA3" w:rsidP="009F1FA3">
      <w:pPr>
        <w:pStyle w:val="PwCNormal"/>
        <w:numPr>
          <w:ilvl w:val="0"/>
          <w:numId w:val="0"/>
        </w:numPr>
      </w:pPr>
      <w:r>
        <w:t xml:space="preserve">Of respondents, 49.1% indicated that they are constrained by supply factors in the number of scholarships offered to Indigenous students including enrolment capacity and balancing enrolments to ensure Indigenous students are provided with adequate care.  Respondents also indicated that limited boarding places were a significant supply </w:t>
      </w:r>
      <w:r w:rsidR="00B35E1A">
        <w:t>constraint</w:t>
      </w:r>
      <w:r>
        <w:t xml:space="preserve">. </w:t>
      </w:r>
    </w:p>
    <w:p w14:paraId="5DE7224E" w14:textId="70CFC23B" w:rsidR="009F1FA3" w:rsidRDefault="009F1FA3" w:rsidP="009F1FA3">
      <w:pPr>
        <w:pStyle w:val="PwCNormal"/>
        <w:numPr>
          <w:ilvl w:val="0"/>
          <w:numId w:val="0"/>
        </w:numPr>
      </w:pPr>
      <w:r>
        <w:t xml:space="preserve">Overall, both survey respondents and consultations with education </w:t>
      </w:r>
      <w:r w:rsidR="00B35E1A">
        <w:t xml:space="preserve">partners </w:t>
      </w:r>
      <w:r>
        <w:t>believed that scholarships funded by the scholarship providers are targeting students in most need</w:t>
      </w:r>
      <w:r w:rsidR="00B35E1A">
        <w:t xml:space="preserve">.  Survey respondents indicated that </w:t>
      </w:r>
      <w:r w:rsidR="00EE4788">
        <w:t>scholarships</w:t>
      </w:r>
      <w:r w:rsidR="00B35E1A">
        <w:t xml:space="preserve"> are meeting need</w:t>
      </w:r>
      <w:r>
        <w:t xml:space="preserve"> to a ‘Great Extent’ (39.6%) and ‘Some Extent’ (39.6%).  </w:t>
      </w:r>
    </w:p>
    <w:p w14:paraId="071BF63D" w14:textId="77777777" w:rsidR="009F1FA3" w:rsidRDefault="009F1FA3" w:rsidP="009F1FA3">
      <w:pPr>
        <w:pStyle w:val="Heading6"/>
        <w:tabs>
          <w:tab w:val="clear" w:pos="850"/>
          <w:tab w:val="num" w:pos="851"/>
        </w:tabs>
        <w:ind w:left="851" w:hanging="851"/>
        <w:rPr>
          <w:lang w:val="en-GB"/>
        </w:rPr>
      </w:pPr>
      <w:r>
        <w:rPr>
          <w:lang w:val="en-GB"/>
        </w:rPr>
        <w:t>Inputs</w:t>
      </w:r>
    </w:p>
    <w:p w14:paraId="56C224DA" w14:textId="77777777" w:rsidR="009F1FA3" w:rsidRDefault="009F1FA3" w:rsidP="009F1FA3">
      <w:pPr>
        <w:pStyle w:val="Heading7"/>
        <w:rPr>
          <w:lang w:val="en-GB"/>
        </w:rPr>
      </w:pPr>
      <w:r>
        <w:rPr>
          <w:lang w:val="en-GB"/>
        </w:rPr>
        <w:t>Scholarship funding</w:t>
      </w:r>
    </w:p>
    <w:p w14:paraId="710C9CDA" w14:textId="77777777" w:rsidR="009F1FA3" w:rsidRDefault="009F1FA3" w:rsidP="009F1FA3">
      <w:pPr>
        <w:pStyle w:val="PwCNormal"/>
        <w:numPr>
          <w:ilvl w:val="0"/>
          <w:numId w:val="0"/>
        </w:numPr>
        <w:rPr>
          <w:lang w:val="en-GB"/>
        </w:rPr>
      </w:pPr>
      <w:r>
        <w:rPr>
          <w:lang w:val="en-GB"/>
        </w:rPr>
        <w:t>IAS funding supports 10 scholarship providers who each have their own service model.  However, at a high level it is possible to identify some broadly consistent components of scholarship funding:</w:t>
      </w:r>
    </w:p>
    <w:p w14:paraId="0BEA5959" w14:textId="77777777" w:rsidR="009F1FA3" w:rsidRDefault="009F1FA3" w:rsidP="009F1FA3">
      <w:pPr>
        <w:pStyle w:val="ListBullet"/>
        <w:rPr>
          <w:lang w:val="en-GB"/>
        </w:rPr>
      </w:pPr>
      <w:r>
        <w:rPr>
          <w:lang w:val="en-GB"/>
        </w:rPr>
        <w:lastRenderedPageBreak/>
        <w:t>IAS scholarship funding typically provides:</w:t>
      </w:r>
    </w:p>
    <w:p w14:paraId="38727271" w14:textId="77777777" w:rsidR="009F1FA3" w:rsidRDefault="009F1FA3" w:rsidP="00DE3F7E">
      <w:pPr>
        <w:pStyle w:val="ListBullet2"/>
        <w:rPr>
          <w:lang w:val="en-GB"/>
        </w:rPr>
      </w:pPr>
      <w:r>
        <w:rPr>
          <w:lang w:val="en-GB"/>
        </w:rPr>
        <w:t>core funding to offset the costs of tuition at high performing schools</w:t>
      </w:r>
    </w:p>
    <w:p w14:paraId="199D1AFE" w14:textId="77777777" w:rsidR="009F1FA3" w:rsidRDefault="009F1FA3" w:rsidP="00DE3F7E">
      <w:pPr>
        <w:pStyle w:val="ListBullet2"/>
        <w:rPr>
          <w:lang w:val="en-GB"/>
        </w:rPr>
      </w:pPr>
      <w:r>
        <w:rPr>
          <w:lang w:val="en-GB"/>
        </w:rPr>
        <w:t>the capacity to provide some level of support and pastoral care</w:t>
      </w:r>
    </w:p>
    <w:p w14:paraId="3B212FC1" w14:textId="77777777" w:rsidR="009F1FA3" w:rsidRDefault="009F1FA3" w:rsidP="00DE3F7E">
      <w:pPr>
        <w:pStyle w:val="ListBullet2"/>
        <w:rPr>
          <w:lang w:val="en-GB"/>
        </w:rPr>
      </w:pPr>
      <w:r>
        <w:rPr>
          <w:lang w:val="en-GB"/>
        </w:rPr>
        <w:t>funding to support administration</w:t>
      </w:r>
    </w:p>
    <w:p w14:paraId="0331E2C6" w14:textId="6D5B3550" w:rsidR="009F1FA3" w:rsidRDefault="009F1FA3" w:rsidP="009F1FA3">
      <w:pPr>
        <w:pStyle w:val="ListBullet"/>
        <w:rPr>
          <w:lang w:val="en-GB"/>
        </w:rPr>
      </w:pPr>
      <w:r>
        <w:rPr>
          <w:lang w:val="en-GB"/>
        </w:rPr>
        <w:t xml:space="preserve">ABSTUDY forms an important component </w:t>
      </w:r>
      <w:r w:rsidR="00B35E1A">
        <w:rPr>
          <w:lang w:val="en-GB"/>
        </w:rPr>
        <w:t>and</w:t>
      </w:r>
      <w:r>
        <w:rPr>
          <w:lang w:val="en-GB"/>
        </w:rPr>
        <w:t xml:space="preserve"> typically contributes to the cost of travel and boarding for scholars</w:t>
      </w:r>
    </w:p>
    <w:p w14:paraId="2BD5695F" w14:textId="4DB108E6" w:rsidR="009F1FA3" w:rsidRDefault="009F1FA3" w:rsidP="009F1FA3">
      <w:pPr>
        <w:pStyle w:val="ListBullet"/>
        <w:rPr>
          <w:lang w:val="en-GB"/>
        </w:rPr>
      </w:pPr>
      <w:r>
        <w:rPr>
          <w:lang w:val="en-GB"/>
        </w:rPr>
        <w:t xml:space="preserve">Funding shortfalls following application of the IAS scholarship funding and ABSTUDY </w:t>
      </w:r>
      <w:r w:rsidR="00B35E1A">
        <w:rPr>
          <w:lang w:val="en-GB"/>
        </w:rPr>
        <w:t>are</w:t>
      </w:r>
      <w:r>
        <w:rPr>
          <w:lang w:val="en-GB"/>
        </w:rPr>
        <w:t xml:space="preserve"> met from an alternative source which may include family contributions in the form of fees, philanthropic funding</w:t>
      </w:r>
      <w:r w:rsidR="00B35E1A">
        <w:rPr>
          <w:lang w:val="en-GB"/>
        </w:rPr>
        <w:t>, corporate</w:t>
      </w:r>
      <w:r>
        <w:rPr>
          <w:lang w:val="en-GB"/>
        </w:rPr>
        <w:t xml:space="preserve"> sponsorship, partner school contribution and state government contributions.</w:t>
      </w:r>
    </w:p>
    <w:p w14:paraId="35383822" w14:textId="44B4C6FD" w:rsidR="009F1FA3" w:rsidRPr="002A18EC" w:rsidRDefault="009F1FA3" w:rsidP="009F1FA3">
      <w:pPr>
        <w:pStyle w:val="ListBullet2"/>
        <w:numPr>
          <w:ilvl w:val="0"/>
          <w:numId w:val="0"/>
        </w:numPr>
      </w:pPr>
      <w:r w:rsidRPr="002A18EC">
        <w:t>All scholarship provide</w:t>
      </w:r>
      <w:r>
        <w:t>r</w:t>
      </w:r>
      <w:r w:rsidRPr="002A18EC">
        <w:t xml:space="preserve">s indicated that the IAS funded scholarships covered at least 42 percent of the total schooling costs per annum, with only </w:t>
      </w:r>
      <w:r>
        <w:t xml:space="preserve">one </w:t>
      </w:r>
      <w:r w:rsidRPr="002A18EC">
        <w:t xml:space="preserve">scholarship provider </w:t>
      </w:r>
      <w:r>
        <w:t xml:space="preserve">indicating that </w:t>
      </w:r>
      <w:r w:rsidRPr="002A18EC">
        <w:t xml:space="preserve">IAS funding typically covers all costs. </w:t>
      </w:r>
      <w:r>
        <w:t>In addition to ABSTUDY, c</w:t>
      </w:r>
      <w:r w:rsidRPr="002A18EC">
        <w:t xml:space="preserve">ommon </w:t>
      </w:r>
      <w:r w:rsidR="009A7B00">
        <w:t>additional</w:t>
      </w:r>
      <w:r w:rsidRPr="002A18EC">
        <w:t xml:space="preserve"> sources of funding include:</w:t>
      </w:r>
    </w:p>
    <w:p w14:paraId="48CE39EE" w14:textId="77777777" w:rsidR="009F1FA3" w:rsidRPr="002A18EC" w:rsidRDefault="009F1FA3" w:rsidP="009F1FA3">
      <w:pPr>
        <w:pStyle w:val="ListBullet"/>
      </w:pPr>
      <w:r w:rsidRPr="002A18EC">
        <w:rPr>
          <w:rFonts w:cs="Times New Roman"/>
          <w:lang w:val="en-GB"/>
        </w:rPr>
        <w:t>school contributions</w:t>
      </w:r>
    </w:p>
    <w:p w14:paraId="2A91478A" w14:textId="77777777" w:rsidR="009F1FA3" w:rsidRPr="002A18EC" w:rsidRDefault="009F1FA3" w:rsidP="009F1FA3">
      <w:pPr>
        <w:pStyle w:val="ListBullet"/>
      </w:pPr>
      <w:r w:rsidRPr="002A18EC">
        <w:rPr>
          <w:rFonts w:cs="Times New Roman"/>
          <w:lang w:val="en-GB"/>
        </w:rPr>
        <w:t>contributions from private foundations</w:t>
      </w:r>
      <w:r>
        <w:rPr>
          <w:rFonts w:cs="Times New Roman"/>
          <w:lang w:val="en-GB"/>
        </w:rPr>
        <w:t>, corporates and philanthropy</w:t>
      </w:r>
    </w:p>
    <w:p w14:paraId="22723813" w14:textId="77777777" w:rsidR="009F1FA3" w:rsidRPr="00633399" w:rsidRDefault="009F1FA3" w:rsidP="009F1FA3">
      <w:pPr>
        <w:pStyle w:val="ListBullet"/>
      </w:pPr>
      <w:r>
        <w:rPr>
          <w:rFonts w:cs="Times New Roman"/>
          <w:lang w:val="en-GB"/>
        </w:rPr>
        <w:t xml:space="preserve">other </w:t>
      </w:r>
      <w:r w:rsidRPr="002A18EC">
        <w:rPr>
          <w:rFonts w:cs="Times New Roman"/>
          <w:lang w:val="en-GB"/>
        </w:rPr>
        <w:t>family contributions</w:t>
      </w:r>
      <w:r>
        <w:rPr>
          <w:rFonts w:cs="Times New Roman"/>
          <w:lang w:val="en-GB"/>
        </w:rPr>
        <w:t>.</w:t>
      </w:r>
    </w:p>
    <w:p w14:paraId="12DDFA8F" w14:textId="77777777" w:rsidR="009F1FA3" w:rsidRPr="000E7003" w:rsidRDefault="009F1FA3" w:rsidP="009F1FA3">
      <w:pPr>
        <w:pStyle w:val="ListBullet"/>
        <w:numPr>
          <w:ilvl w:val="0"/>
          <w:numId w:val="0"/>
        </w:numPr>
      </w:pPr>
      <w:r>
        <w:rPr>
          <w:rFonts w:cs="Times New Roman"/>
          <w:lang w:val="en-GB"/>
        </w:rPr>
        <w:t>This was supported by the responses to the education partner survey.</w:t>
      </w:r>
    </w:p>
    <w:p w14:paraId="68E208A1" w14:textId="77777777" w:rsidR="009F1FA3" w:rsidRDefault="009F1FA3" w:rsidP="009F1FA3">
      <w:pPr>
        <w:pStyle w:val="PwCNormal"/>
        <w:numPr>
          <w:ilvl w:val="0"/>
          <w:numId w:val="0"/>
        </w:numPr>
        <w:rPr>
          <w:lang w:val="en-GB"/>
        </w:rPr>
      </w:pPr>
      <w:r>
        <w:rPr>
          <w:lang w:val="en-GB"/>
        </w:rPr>
        <w:fldChar w:fldCharType="begin"/>
      </w:r>
      <w:r>
        <w:rPr>
          <w:lang w:val="en-GB"/>
        </w:rPr>
        <w:instrText xml:space="preserve"> REF _Ref476161885 \h </w:instrText>
      </w:r>
      <w:r>
        <w:rPr>
          <w:lang w:val="en-GB"/>
        </w:rPr>
      </w:r>
      <w:r>
        <w:rPr>
          <w:lang w:val="en-GB"/>
        </w:rPr>
        <w:fldChar w:fldCharType="separate"/>
      </w:r>
      <w:r w:rsidR="009C78D7">
        <w:t xml:space="preserve">Figure </w:t>
      </w:r>
      <w:r w:rsidR="009C78D7">
        <w:rPr>
          <w:noProof/>
        </w:rPr>
        <w:t>12</w:t>
      </w:r>
      <w:r>
        <w:rPr>
          <w:lang w:val="en-GB"/>
        </w:rPr>
        <w:fldChar w:fldCharType="end"/>
      </w:r>
      <w:r>
        <w:rPr>
          <w:lang w:val="en-GB"/>
        </w:rPr>
        <w:t xml:space="preserve"> illustrates at a high level the components of the typical funding model.  </w:t>
      </w:r>
    </w:p>
    <w:p w14:paraId="4271E9AC" w14:textId="2527626C" w:rsidR="009F1FA3" w:rsidRDefault="009F1FA3" w:rsidP="009F1FA3">
      <w:pPr>
        <w:pStyle w:val="Caption"/>
        <w:rPr>
          <w:lang w:val="en-GB"/>
        </w:rPr>
      </w:pPr>
      <w:bookmarkStart w:id="31" w:name="_Ref476161885"/>
      <w:r>
        <w:t xml:space="preserve">Figure </w:t>
      </w:r>
      <w:fldSimple w:instr=" SEQ Figure \* ARABIC ">
        <w:r w:rsidR="009C78D7">
          <w:rPr>
            <w:noProof/>
          </w:rPr>
          <w:t>12</w:t>
        </w:r>
      </w:fldSimple>
      <w:bookmarkEnd w:id="31"/>
      <w:r>
        <w:t xml:space="preserve"> Scholarship Funding: high level conceptual map</w:t>
      </w:r>
    </w:p>
    <w:p w14:paraId="288154B0" w14:textId="4F90859A" w:rsidR="001E6EBC" w:rsidRDefault="00F47460" w:rsidP="009F1FA3">
      <w:pPr>
        <w:pStyle w:val="PwCNormal"/>
        <w:numPr>
          <w:ilvl w:val="0"/>
          <w:numId w:val="0"/>
        </w:numPr>
        <w:rPr>
          <w:lang w:val="en-GB"/>
        </w:rPr>
      </w:pPr>
      <w:r w:rsidRPr="00901423">
        <w:rPr>
          <w:noProof/>
          <w:lang w:eastAsia="en-AU"/>
        </w:rPr>
        <w:drawing>
          <wp:inline distT="0" distB="0" distL="0" distR="0" wp14:anchorId="76623C3C" wp14:editId="56A1509C">
            <wp:extent cx="5419090" cy="2802890"/>
            <wp:effectExtent l="0" t="0" r="0" b="0"/>
            <wp:docPr id="290" name="Picture 290" descr="This diagram summarises the components of typical scholarship funding discussed in more detail in text above." title="Scholarship funding: high level conceptu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419090" cy="2802890"/>
                    </a:xfrm>
                    <a:prstGeom prst="rect">
                      <a:avLst/>
                    </a:prstGeom>
                    <a:noFill/>
                    <a:ln>
                      <a:noFill/>
                    </a:ln>
                  </pic:spPr>
                </pic:pic>
              </a:graphicData>
            </a:graphic>
          </wp:inline>
        </w:drawing>
      </w:r>
    </w:p>
    <w:p w14:paraId="4CF7CE1D" w14:textId="2CFEC170" w:rsidR="009F1FA3" w:rsidRDefault="009F1FA3" w:rsidP="009F1FA3">
      <w:pPr>
        <w:pStyle w:val="PwCNormal"/>
        <w:numPr>
          <w:ilvl w:val="0"/>
          <w:numId w:val="0"/>
        </w:numPr>
        <w:rPr>
          <w:lang w:val="en-GB"/>
        </w:rPr>
      </w:pPr>
      <w:r>
        <w:rPr>
          <w:lang w:val="en-GB"/>
        </w:rPr>
        <w:t xml:space="preserve">A summary of the IAS secondary scholarship providers currently funded by the department is provided in </w:t>
      </w:r>
      <w:r w:rsidRPr="00F03B38">
        <w:rPr>
          <w:lang w:val="en-GB"/>
        </w:rPr>
        <w:fldChar w:fldCharType="begin"/>
      </w:r>
      <w:r w:rsidRPr="00F03B38">
        <w:rPr>
          <w:lang w:val="en-GB"/>
        </w:rPr>
        <w:instrText xml:space="preserve"> REF _Ref476327107 \h </w:instrText>
      </w:r>
      <w:r w:rsidR="00F03B38" w:rsidRPr="00F03B38">
        <w:rPr>
          <w:lang w:val="en-GB"/>
        </w:rPr>
        <w:instrText xml:space="preserve"> \* MERGEFORMAT </w:instrText>
      </w:r>
      <w:r w:rsidRPr="00F03B38">
        <w:rPr>
          <w:lang w:val="en-GB"/>
        </w:rPr>
      </w:r>
      <w:r w:rsidRPr="00F03B38">
        <w:rPr>
          <w:lang w:val="en-GB"/>
        </w:rPr>
        <w:fldChar w:fldCharType="separate"/>
      </w:r>
      <w:r w:rsidR="009C78D7" w:rsidRPr="009C78D7">
        <w:t xml:space="preserve">Table </w:t>
      </w:r>
      <w:r w:rsidR="009C78D7" w:rsidRPr="009C78D7">
        <w:rPr>
          <w:noProof/>
        </w:rPr>
        <w:t>4</w:t>
      </w:r>
      <w:r w:rsidRPr="00F03B38">
        <w:rPr>
          <w:lang w:val="en-GB"/>
        </w:rPr>
        <w:fldChar w:fldCharType="end"/>
      </w:r>
      <w:r w:rsidRPr="00F03B38">
        <w:rPr>
          <w:lang w:val="en-GB"/>
        </w:rPr>
        <w:t>.</w:t>
      </w:r>
      <w:r w:rsidR="005F3B4B">
        <w:rPr>
          <w:lang w:val="en-GB"/>
        </w:rPr>
        <w:t xml:space="preserve"> Generally, the department reports funding in GST exclusive terms. For completeness, in the following</w:t>
      </w:r>
      <w:r w:rsidR="00AC52F5">
        <w:rPr>
          <w:lang w:val="en-GB"/>
        </w:rPr>
        <w:t xml:space="preserve"> table</w:t>
      </w:r>
      <w:r w:rsidR="005F3B4B">
        <w:rPr>
          <w:lang w:val="en-GB"/>
        </w:rPr>
        <w:t xml:space="preserve"> the funding amounts are provided in GST exclusive and GST inclusive terms.</w:t>
      </w:r>
    </w:p>
    <w:p w14:paraId="5DEE481B" w14:textId="77777777" w:rsidR="001E6EBC" w:rsidRDefault="001E6EBC" w:rsidP="001E6EBC">
      <w:pPr>
        <w:pStyle w:val="PwCNormal"/>
        <w:rPr>
          <w:lang w:val="en-GB"/>
        </w:rPr>
        <w:sectPr w:rsidR="001E6EBC" w:rsidSect="00407065">
          <w:headerReference w:type="even" r:id="rId55"/>
          <w:headerReference w:type="default" r:id="rId56"/>
          <w:footerReference w:type="even" r:id="rId57"/>
          <w:footerReference w:type="default" r:id="rId58"/>
          <w:headerReference w:type="first" r:id="rId59"/>
          <w:footerReference w:type="first" r:id="rId60"/>
          <w:pgSz w:w="11907" w:h="16840" w:code="9"/>
          <w:pgMar w:top="1588" w:right="1020" w:bottom="1418" w:left="2353" w:header="567" w:footer="567" w:gutter="0"/>
          <w:cols w:space="227"/>
          <w:docGrid w:linePitch="360"/>
        </w:sectPr>
      </w:pPr>
    </w:p>
    <w:p w14:paraId="773670F4" w14:textId="77777777" w:rsidR="001E6EBC" w:rsidRPr="00F47460" w:rsidRDefault="001E6EBC" w:rsidP="001E6EBC">
      <w:pPr>
        <w:pStyle w:val="PwCNormal"/>
        <w:rPr>
          <w:b/>
          <w:color w:val="A32020" w:themeColor="text2"/>
        </w:rPr>
      </w:pPr>
      <w:bookmarkStart w:id="32" w:name="_Ref476327107"/>
      <w:r w:rsidRPr="00F47460">
        <w:rPr>
          <w:b/>
          <w:color w:val="A32020" w:themeColor="text2"/>
        </w:rPr>
        <w:lastRenderedPageBreak/>
        <w:t xml:space="preserve">Table </w:t>
      </w:r>
      <w:r w:rsidR="00DE40EE" w:rsidRPr="00F47460">
        <w:rPr>
          <w:b/>
          <w:color w:val="A32020" w:themeColor="text2"/>
        </w:rPr>
        <w:fldChar w:fldCharType="begin"/>
      </w:r>
      <w:r w:rsidR="00DE40EE" w:rsidRPr="00F47460">
        <w:rPr>
          <w:b/>
          <w:color w:val="A32020" w:themeColor="text2"/>
        </w:rPr>
        <w:instrText xml:space="preserve"> SEQ Table \* ARABIC </w:instrText>
      </w:r>
      <w:r w:rsidR="00DE40EE" w:rsidRPr="00F47460">
        <w:rPr>
          <w:b/>
          <w:color w:val="A32020" w:themeColor="text2"/>
        </w:rPr>
        <w:fldChar w:fldCharType="separate"/>
      </w:r>
      <w:r w:rsidR="009C78D7">
        <w:rPr>
          <w:b/>
          <w:noProof/>
          <w:color w:val="A32020" w:themeColor="text2"/>
        </w:rPr>
        <w:t>4</w:t>
      </w:r>
      <w:r w:rsidR="00DE40EE" w:rsidRPr="00F47460">
        <w:rPr>
          <w:b/>
          <w:noProof/>
          <w:color w:val="A32020" w:themeColor="text2"/>
        </w:rPr>
        <w:fldChar w:fldCharType="end"/>
      </w:r>
      <w:bookmarkEnd w:id="32"/>
      <w:r w:rsidRPr="00F47460">
        <w:rPr>
          <w:b/>
          <w:color w:val="A32020" w:themeColor="text2"/>
        </w:rPr>
        <w:t>: Summary of the IAS funded secondary school scholarships 2015-2017 (minimum requirements)</w:t>
      </w:r>
      <w:r w:rsidRPr="00F47460">
        <w:rPr>
          <w:rStyle w:val="FootnoteReference"/>
          <w:b/>
          <w:color w:val="A32020" w:themeColor="text2"/>
        </w:rPr>
        <w:footnoteReference w:id="3"/>
      </w:r>
    </w:p>
    <w:p w14:paraId="7E98342D" w14:textId="0D3AFE3B" w:rsidR="001E6EBC" w:rsidRDefault="006B7274" w:rsidP="006B7274">
      <w:pPr>
        <w:pStyle w:val="PwCNormal"/>
        <w:rPr>
          <w:lang w:val="en-GB"/>
        </w:rPr>
      </w:pPr>
      <w:r w:rsidRPr="006B7274">
        <w:rPr>
          <w:noProof/>
          <w:lang w:eastAsia="en-AU"/>
        </w:rPr>
        <w:drawing>
          <wp:inline distT="0" distB="0" distL="0" distR="0" wp14:anchorId="26B9FA88" wp14:editId="22D9E6BB">
            <wp:extent cx="8551545" cy="3417714"/>
            <wp:effectExtent l="0" t="0" r="1905" b="0"/>
            <wp:docPr id="21" name="Picture 21" descr="Table detailing IAS funded scholarship providers (IYLP Legacy project and IAS funding round: IYLP)&#10;Including 2015 to 2017 Number of secondary school scholars, 2015 to 2017 Transition scholars, 2015 to 2017 tertiary scholars, 2015 to 2017 Funding GST inclusive/exclusive." title="Table 4: Summary of the IAS funded secondary school scholarships 2015-2017 (minimum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8551545" cy="3417714"/>
                    </a:xfrm>
                    <a:prstGeom prst="rect">
                      <a:avLst/>
                    </a:prstGeom>
                    <a:noFill/>
                    <a:ln>
                      <a:noFill/>
                    </a:ln>
                  </pic:spPr>
                </pic:pic>
              </a:graphicData>
            </a:graphic>
          </wp:inline>
        </w:drawing>
      </w:r>
    </w:p>
    <w:p w14:paraId="68CC0DB3" w14:textId="77777777" w:rsidR="001E6EBC" w:rsidRDefault="001E6EBC" w:rsidP="001E6EBC">
      <w:pPr>
        <w:pStyle w:val="PwCNormal"/>
        <w:numPr>
          <w:ilvl w:val="0"/>
          <w:numId w:val="0"/>
        </w:numPr>
        <w:rPr>
          <w:lang w:val="en-GB"/>
        </w:rPr>
      </w:pPr>
    </w:p>
    <w:p w14:paraId="50146640" w14:textId="6FF6CBCA" w:rsidR="001E6EBC" w:rsidRDefault="001E6EBC" w:rsidP="001E6EBC">
      <w:pPr>
        <w:pStyle w:val="PwCNormal"/>
        <w:numPr>
          <w:ilvl w:val="0"/>
          <w:numId w:val="0"/>
        </w:numPr>
        <w:rPr>
          <w:lang w:val="en-GB"/>
        </w:rPr>
        <w:sectPr w:rsidR="001E6EBC" w:rsidSect="001E6EBC">
          <w:headerReference w:type="even" r:id="rId62"/>
          <w:headerReference w:type="default" r:id="rId63"/>
          <w:footerReference w:type="even" r:id="rId64"/>
          <w:footerReference w:type="default" r:id="rId65"/>
          <w:headerReference w:type="first" r:id="rId66"/>
          <w:footerReference w:type="first" r:id="rId67"/>
          <w:pgSz w:w="16840" w:h="11907" w:orient="landscape" w:code="9"/>
          <w:pgMar w:top="1644" w:right="1020" w:bottom="1417" w:left="2353" w:header="567" w:footer="567" w:gutter="0"/>
          <w:cols w:space="227"/>
          <w:docGrid w:linePitch="360"/>
        </w:sectPr>
      </w:pPr>
    </w:p>
    <w:p w14:paraId="78C5A905" w14:textId="77777777" w:rsidR="001E6EBC" w:rsidRPr="00B56E2F" w:rsidRDefault="001E6EBC" w:rsidP="001E6EBC">
      <w:pPr>
        <w:pStyle w:val="Heading6"/>
        <w:tabs>
          <w:tab w:val="clear" w:pos="850"/>
          <w:tab w:val="num" w:pos="4395"/>
        </w:tabs>
        <w:ind w:left="851" w:hanging="851"/>
      </w:pPr>
      <w:bookmarkStart w:id="33" w:name="_Ref478713936"/>
      <w:r>
        <w:lastRenderedPageBreak/>
        <w:t>Consultation themes</w:t>
      </w:r>
    </w:p>
    <w:p w14:paraId="51F21954" w14:textId="77777777" w:rsidR="001E6EBC" w:rsidRDefault="001E6EBC" w:rsidP="001E6EBC">
      <w:pPr>
        <w:pStyle w:val="PwCNormal"/>
        <w:numPr>
          <w:ilvl w:val="0"/>
          <w:numId w:val="0"/>
        </w:numPr>
        <w:rPr>
          <w:lang w:val="en-GB"/>
        </w:rPr>
      </w:pPr>
      <w:r w:rsidRPr="00060E94">
        <w:rPr>
          <w:lang w:val="en-GB"/>
        </w:rPr>
        <w:t xml:space="preserve">A key component of the review involved consultation with scholarship providers.  </w:t>
      </w:r>
      <w:r>
        <w:rPr>
          <w:lang w:val="en-GB"/>
        </w:rPr>
        <w:t>The key themes from these consultations have been presented thematically based on the five core lines of inquiry for the review:</w:t>
      </w:r>
    </w:p>
    <w:p w14:paraId="4FC296BD" w14:textId="77777777" w:rsidR="001E6EBC" w:rsidRDefault="001E6EBC" w:rsidP="001E6EBC">
      <w:pPr>
        <w:pStyle w:val="PwCNormal"/>
        <w:numPr>
          <w:ilvl w:val="0"/>
          <w:numId w:val="39"/>
        </w:numPr>
        <w:rPr>
          <w:lang w:val="en-GB"/>
        </w:rPr>
      </w:pPr>
      <w:r>
        <w:rPr>
          <w:lang w:val="en-GB"/>
        </w:rPr>
        <w:t xml:space="preserve">administration and delivery </w:t>
      </w:r>
    </w:p>
    <w:p w14:paraId="771DA7B9" w14:textId="77777777" w:rsidR="001E6EBC" w:rsidRDefault="001E6EBC" w:rsidP="001E6EBC">
      <w:pPr>
        <w:pStyle w:val="PwCNormal"/>
        <w:numPr>
          <w:ilvl w:val="0"/>
          <w:numId w:val="39"/>
        </w:numPr>
        <w:rPr>
          <w:lang w:val="en-GB"/>
        </w:rPr>
      </w:pPr>
      <w:r>
        <w:rPr>
          <w:lang w:val="en-GB"/>
        </w:rPr>
        <w:t>student application and selection</w:t>
      </w:r>
    </w:p>
    <w:p w14:paraId="47B866F5" w14:textId="77777777" w:rsidR="001E6EBC" w:rsidRDefault="001E6EBC" w:rsidP="001E6EBC">
      <w:pPr>
        <w:pStyle w:val="PwCNormal"/>
        <w:numPr>
          <w:ilvl w:val="0"/>
          <w:numId w:val="39"/>
        </w:numPr>
        <w:rPr>
          <w:lang w:val="en-GB"/>
        </w:rPr>
      </w:pPr>
      <w:r>
        <w:rPr>
          <w:lang w:val="en-GB"/>
        </w:rPr>
        <w:t>current and future need</w:t>
      </w:r>
    </w:p>
    <w:p w14:paraId="08529D7F" w14:textId="77777777" w:rsidR="001E6EBC" w:rsidRDefault="001E6EBC" w:rsidP="001E6EBC">
      <w:pPr>
        <w:pStyle w:val="PwCNormal"/>
        <w:numPr>
          <w:ilvl w:val="0"/>
          <w:numId w:val="39"/>
        </w:numPr>
        <w:rPr>
          <w:lang w:val="en-GB"/>
        </w:rPr>
      </w:pPr>
      <w:r>
        <w:rPr>
          <w:lang w:val="en-GB"/>
        </w:rPr>
        <w:t>costs and value for money</w:t>
      </w:r>
    </w:p>
    <w:p w14:paraId="6470D877" w14:textId="6501EBE6" w:rsidR="001E6EBC" w:rsidRDefault="001E6EBC" w:rsidP="001E6EBC">
      <w:pPr>
        <w:pStyle w:val="PwCNormal"/>
        <w:numPr>
          <w:ilvl w:val="0"/>
          <w:numId w:val="39"/>
        </w:numPr>
        <w:rPr>
          <w:lang w:val="en-GB"/>
        </w:rPr>
      </w:pPr>
      <w:r>
        <w:rPr>
          <w:lang w:val="en-GB"/>
        </w:rPr>
        <w:t>impact and outcomes</w:t>
      </w:r>
      <w:r w:rsidR="00EE4788">
        <w:rPr>
          <w:lang w:val="en-GB"/>
        </w:rPr>
        <w:t>.</w:t>
      </w:r>
    </w:p>
    <w:bookmarkEnd w:id="33"/>
    <w:p w14:paraId="6816382A" w14:textId="0615036F" w:rsidR="00F72984" w:rsidRDefault="00F72984" w:rsidP="00F72984">
      <w:pPr>
        <w:pStyle w:val="Caption"/>
      </w:pPr>
      <w:r>
        <w:t xml:space="preserve">Table </w:t>
      </w:r>
      <w:fldSimple w:instr=" SEQ Table \* ARABIC ">
        <w:r w:rsidR="009C78D7">
          <w:rPr>
            <w:noProof/>
          </w:rPr>
          <w:t>5</w:t>
        </w:r>
      </w:fldSimple>
      <w:r>
        <w:t>: The key themes from consultations</w:t>
      </w:r>
    </w:p>
    <w:tbl>
      <w:tblPr>
        <w:tblStyle w:val="Tables-APBase"/>
        <w:tblW w:w="0" w:type="auto"/>
        <w:tblLook w:val="04A0" w:firstRow="1" w:lastRow="0" w:firstColumn="1" w:lastColumn="0" w:noHBand="0" w:noVBand="1"/>
        <w:tblCaption w:val="Table 5: The key themes from consultations"/>
        <w:tblDescription w:val="Administration and delivery&#10;• Uncertainty around funding beyond 2017 is a significant concern for providers. Providers articulated a keen interest in obtaining clarity as soon as possible about funding arrangements beyond the current agreement terms to enable:&#10;o current scholarship recipients who have yet to complete their studies to continue their academic career&#10;o scholarship providers, education providers and applicants to confidently enter future scholarships rounds which, depending on availability of Government funding, might be available to commence in calendar year 2018.  Scholarship rounds typically open in late Term 1/early Term 2 in the year preceding the commencement year for the scholarship&#10;o future planning around resources, particularly with regards to staffing associated with the scholarship program, to ensure staff remain engaged and retained and schools remain engaged and committed. &#10;• A number of scholarship providers who were funded under the previous IYLP model noted challenges in administration processes in the transition from the DEEWR IYLP model to the IAS with particular reference to:&#10;o reporting requirements&#10;o information flow especially in the early stages of machinery of government changes with a number of  scholarship providers noting communications from department providers was ad hoc&#10;o loss of knowledge and data and challenges in capturing and retaining corporate memory.&#10;• The time limited nature of the contracts creates a challenging environment between scholarship providers and education partners and also between scholarship providers and families.  In the main contract terms are three years.&#10;• Scholarship providers funded under the IYLP and IAS noted administrative challenges in funding agreement requirements when one is calendar year and the other is financial year.&#10;• The timing of reporting under the funding agreements can be challenging for some providers particularly where this coincides with the start of the school year.&#10;• Some scholarship providers indicated that the proportion of administrative funding is not sufficient.  They reported administrative costs are generally being absorbed by the scholarship providers or education partners as part of the wider budget or with other sources of funding, such as philanthropic funds. &#10;• A majority of scholarship providers indicated that the IAS funding agreement has afforded greater flexibility in the administration of scholarships which has provided a more responsive and adaptive program to meet students’ needs and requests from education providers.  This includes being able to customise the implementation of funded scholarships to align with the organisational mission and operating model of the auspice organisation and leverage corporate and philanthropic co-contribution and sponsorship.&#10;• All scholarship providers indicated that the relationships with department grant managers were positive and that queries from scholarship providers are answered promptly by the department. &#10;• 60.4% of respondents to the education partner survey indicated the administration of scholarships by scholarship providers to support recipients to complete their education was done ‘Very well’, with a further 30.2% of respondents nominating ‘Well’. This view was also widely supported during the consultation with education partners.  &#10;&#10;Student application and selection&#10;• Through consultations we identified two dominant models of delivery – school-led and community/broker led – with similarities of each model across the scholarship providers. However, each provider has unique characteristics, elements. &#10;• For those scholarship providers funded under the previous IYLP many follow, or have adapted the original IYLP guidelines as a basis for the selection of Indigenous students.  Criteria for scholarships can differ by region and the student’s home/community location. &#10;• Despite different models of delivery, providers have adopted relatively consistent selection processes for awarding scholarships: promotion; application (online) with supporting documents; short listing; interview face to face; decision against a criteria; offer to successful applicants. &#10;• Some scholarship providers balance a range of considerations in allocating scholarships: remoteness category of students’ home community, their academic and leadership ability, and their capacity to meet academic standards at the school (often cited as ‘setting students up to succeed, not fail’). &#10;• Scholarship providers often described having a dedicated position or staff to undertake, administer and manage the student application and selection process.&#10;• One provider indicated that many of the challenges are eliminated in the school-led as schools undertake this function.&#10;• Education partners indicated that scholarships funded by the scholarship providers are targeting students in most need to a ‘Great Extent’ (39.6%) and ‘Some Extent’ (39.6%)&#10;&#10;Current and future need&#10;• In instances where applications are gathered by scholarship providers, all indicated that the scholarships are often oversubscribed.  &#10;• Most providers seek additional contributors for their scholarship programs, such as private sponsorship. This requires a significant amount of relationship building between providers and potential investors.&#10;• Given the remoteness of many scholarship applicants, access to secondary education does not always exist within their community.  Therefore, the decision to grant a scholarship can be challenging for some scholarship providers as in some cases the decision may influence whether a child commences secondary education or not. &#10;• Students who are unable to complete their schooling in their own community have to travel away from home.  This can be challenging and pastoral support is required to ensure their continued engagement in the education program and to ensure that they maintain their connection to culture and home.  &#10;• Whilst funding can be a limiting factor in awarding scholarships, the availability of boarding accommodation can limit the number of available places.&#10;• A number of providers argued that grant funding delivers strong value for money leveraging significant co-funding from corporate and philanthropic funding.&#10;• According to the education partner survey, 83% of respondents believe there will be a ‘Higher’ anticipated future demand for scholarships funded by scholarship providers.&#10;&#10;Costs and value for money&#10;• Funding awarded to each scholarship recipient can vary based on the funding source (ie. IYLP Legacy agreement or IAS funding agreement), individual circumstances (such as ABSTUDY component) and the school and associated fees.&#10;• Most scholarship providers require a parental/guardian contribution based on income levels. &#10;• Government funding provided for scholarships leverages significant corporate and philanthropic co-contributions helping achieve a value for money outcome from the Government’s investment.&#10;• Scholarships vary in terms of what is provided or included but all include core components of tuition and a range of additional supports.  Optional items are generally at the discretion of the school or scholarship provider staff. These include leadership camps and higher education transition programs.&#10;• According to the education partner survey, funding provided by scholarship providers generally was allocated to boarding and tuition fees (15.9%) and uniforms, text books, IT requirements (14.6%).  56.6% of respondents agreed that the current funding provided to education providers from scholarship providers is sufficient to support recipients to complete their education to a ‘Great Extent’. &#10;• 54.7% of respondents to the education partner survey did not agree that the scholarships funded by the scholarship providers cover the full cost of a student’s education at the respective school. In order to cover the gap between the costs of the student’s education and the value of the scholarship funded by the scholarship provider, survey respondents predominately sought funding from school foundation (or equivalent) (25.5%) and private donations to the school (23.5%).&#10;&#10;Impact and outcomes&#10;• Scholarships provide Aboriginal and Torres Strait Islander students with opportunities to access and enhance their educational opportunities.&#10;• Many scholarship providers indicated that success of scholarships should not be measured in terms of educational outcomes alone.  Other factors that should be considered included personal growth, development and leadership and employment destination including career outcomes.  A number of scholarship providers argued for a consistent definition of success of IAS funded scholarships.&#10;• Scholarship providers indicated that scholarships have a range of flow on effects such as students becoming role models for other young Indigenous people in their communities.&#10;• Scholarship providers report that scholarships have provided an opportunity to promote culture, reconciliation and connections with community stakeholders and the wider school environment.  Examples include students promoting and organising NAIDOC and Reconciliation week events, establishment of traditional dance groups, cultural awareness sessions and Indigenous guest speakers.  &#10;• A number of scholarship providers identified that there is currently a lack of a systematic approach to capture the long term outcomes of the scholarship students. &#10;• According to the education partner survey, 62.3% of respondents agreed that the scholarships funded by the scholarship providers have assisted recipients to complete Year 12 to a ‘Great Extent’, whilst 26.4% of respondents agreed to ‘Some Extent’."/>
      </w:tblPr>
      <w:tblGrid>
        <w:gridCol w:w="2096"/>
        <w:gridCol w:w="6428"/>
      </w:tblGrid>
      <w:tr w:rsidR="002D69E9" w:rsidRPr="005438A7" w14:paraId="43D9427C" w14:textId="77777777" w:rsidTr="00B54A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2" w:type="dxa"/>
            <w:tcBorders>
              <w:right w:val="dotted" w:sz="4" w:space="0" w:color="A32020" w:themeColor="accent1"/>
            </w:tcBorders>
          </w:tcPr>
          <w:p w14:paraId="00618D29" w14:textId="77777777" w:rsidR="002D69E9" w:rsidRPr="005438A7" w:rsidRDefault="002D69E9" w:rsidP="00B54A8B">
            <w:pPr>
              <w:pStyle w:val="PwCNormal"/>
              <w:numPr>
                <w:ilvl w:val="0"/>
                <w:numId w:val="0"/>
              </w:numPr>
              <w:jc w:val="center"/>
              <w:rPr>
                <w:b/>
                <w:color w:val="A32020" w:themeColor="accent1"/>
              </w:rPr>
            </w:pPr>
            <w:r w:rsidRPr="005438A7">
              <w:rPr>
                <w:b/>
                <w:color w:val="A32020" w:themeColor="accent1"/>
              </w:rPr>
              <w:t>Line of inquiry</w:t>
            </w:r>
          </w:p>
        </w:tc>
        <w:tc>
          <w:tcPr>
            <w:tcW w:w="6627" w:type="dxa"/>
            <w:tcBorders>
              <w:left w:val="dotted" w:sz="4" w:space="0" w:color="A32020" w:themeColor="accent1"/>
            </w:tcBorders>
          </w:tcPr>
          <w:p w14:paraId="39711FAF" w14:textId="77777777" w:rsidR="002D69E9" w:rsidRPr="005438A7" w:rsidRDefault="002D69E9" w:rsidP="00B54A8B">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color w:val="A32020" w:themeColor="accent1"/>
              </w:rPr>
            </w:pPr>
            <w:r>
              <w:rPr>
                <w:b/>
                <w:color w:val="A32020" w:themeColor="accent1"/>
              </w:rPr>
              <w:t xml:space="preserve">Common themes from </w:t>
            </w:r>
            <w:r w:rsidRPr="005438A7">
              <w:rPr>
                <w:b/>
                <w:color w:val="A32020" w:themeColor="accent1"/>
              </w:rPr>
              <w:t>consultation</w:t>
            </w:r>
            <w:r>
              <w:rPr>
                <w:b/>
                <w:color w:val="A32020" w:themeColor="accent1"/>
              </w:rPr>
              <w:t>s</w:t>
            </w:r>
          </w:p>
        </w:tc>
      </w:tr>
      <w:tr w:rsidR="002D69E9" w14:paraId="0C17ADE9" w14:textId="77777777" w:rsidTr="00B54A8B">
        <w:trPr>
          <w:trHeight w:val="639"/>
        </w:trPr>
        <w:tc>
          <w:tcPr>
            <w:tcW w:w="2122" w:type="dxa"/>
            <w:tcBorders>
              <w:right w:val="dotted" w:sz="4" w:space="0" w:color="A32020" w:themeColor="accent1"/>
            </w:tcBorders>
          </w:tcPr>
          <w:p w14:paraId="00D862F9" w14:textId="77777777" w:rsidR="002D69E9" w:rsidRDefault="002D69E9" w:rsidP="00B54A8B">
            <w:pPr>
              <w:pStyle w:val="PwCNormal"/>
              <w:numPr>
                <w:ilvl w:val="0"/>
                <w:numId w:val="0"/>
              </w:numPr>
            </w:pPr>
            <w:r>
              <w:t>Administration and delivery</w:t>
            </w:r>
          </w:p>
        </w:tc>
        <w:tc>
          <w:tcPr>
            <w:tcW w:w="6627" w:type="dxa"/>
            <w:tcBorders>
              <w:left w:val="dotted" w:sz="4" w:space="0" w:color="A32020" w:themeColor="accent1"/>
            </w:tcBorders>
          </w:tcPr>
          <w:p w14:paraId="0859885B" w14:textId="77777777" w:rsidR="002D69E9" w:rsidRDefault="002D69E9" w:rsidP="00DE6C74">
            <w:pPr>
              <w:pStyle w:val="PwCNormal"/>
              <w:numPr>
                <w:ilvl w:val="0"/>
                <w:numId w:val="34"/>
              </w:numPr>
              <w:spacing w:before="240"/>
            </w:pPr>
            <w:r>
              <w:t>Uncertainty around funding beyond 2017 is a significant concern for providers. Providers</w:t>
            </w:r>
            <w:r w:rsidRPr="0042779C">
              <w:t xml:space="preserve"> </w:t>
            </w:r>
            <w:r>
              <w:t>articulated a keen interest in obtaining clarity as soon as possible about funding arrangements beyond the current agreement terms to enable:</w:t>
            </w:r>
          </w:p>
          <w:p w14:paraId="6DD0D0BE" w14:textId="77777777" w:rsidR="002D69E9" w:rsidRDefault="002D69E9" w:rsidP="00DE6C74">
            <w:pPr>
              <w:pStyle w:val="ListBullet"/>
              <w:numPr>
                <w:ilvl w:val="1"/>
                <w:numId w:val="34"/>
              </w:numPr>
              <w:spacing w:before="240"/>
            </w:pPr>
            <w:r>
              <w:t>current scholarship recipients who have yet to complete their studies to continue their academic career</w:t>
            </w:r>
          </w:p>
          <w:p w14:paraId="7EE4EB83" w14:textId="77777777" w:rsidR="002D69E9" w:rsidRDefault="002D69E9" w:rsidP="00DE6C74">
            <w:pPr>
              <w:pStyle w:val="ListBullet"/>
              <w:numPr>
                <w:ilvl w:val="1"/>
                <w:numId w:val="34"/>
              </w:numPr>
              <w:spacing w:before="240"/>
            </w:pPr>
            <w:r>
              <w:t>scholarship providers, education providers and applicants to confidently enter future scholarships rounds which, depending on availability of Government funding, might be available to commence in calendar year 2018.  Scholarship rounds typically open in late Term 1/early Term 2 in the year preceding the commencement year for the scholarship</w:t>
            </w:r>
          </w:p>
          <w:p w14:paraId="2F2C0B22" w14:textId="77777777" w:rsidR="002D69E9" w:rsidRPr="00B56E2F" w:rsidRDefault="002D69E9" w:rsidP="00DE6C74">
            <w:pPr>
              <w:pStyle w:val="ListBullet"/>
              <w:numPr>
                <w:ilvl w:val="1"/>
                <w:numId w:val="34"/>
              </w:numPr>
              <w:spacing w:before="240"/>
            </w:pPr>
            <w:r>
              <w:t xml:space="preserve">future planning around resources, particularly with regards to staffing associated with the scholarship program, to ensure staff remain engaged and retained and schools remain engaged and committed. </w:t>
            </w:r>
          </w:p>
          <w:p w14:paraId="47B3EBA5" w14:textId="77777777" w:rsidR="002D69E9" w:rsidRDefault="002D69E9" w:rsidP="00DE6C74">
            <w:pPr>
              <w:pStyle w:val="PwCNormal"/>
              <w:numPr>
                <w:ilvl w:val="0"/>
                <w:numId w:val="34"/>
              </w:numPr>
            </w:pPr>
            <w:r>
              <w:t>A number of scholarship providers who were funded under the previous IYLP model noted challenges in administration processes in the transition from the DEEWR IYLP model to the IAS with particular reference to:</w:t>
            </w:r>
          </w:p>
          <w:p w14:paraId="5C64000B" w14:textId="77777777" w:rsidR="002D69E9" w:rsidRDefault="002D69E9" w:rsidP="00DE6C74">
            <w:pPr>
              <w:pStyle w:val="PwCNormal"/>
              <w:numPr>
                <w:ilvl w:val="1"/>
                <w:numId w:val="34"/>
              </w:numPr>
            </w:pPr>
            <w:r>
              <w:t>reporting requirements</w:t>
            </w:r>
          </w:p>
          <w:p w14:paraId="03627D71" w14:textId="77777777" w:rsidR="002D69E9" w:rsidRDefault="002D69E9" w:rsidP="00DE6C74">
            <w:pPr>
              <w:pStyle w:val="PwCNormal"/>
              <w:numPr>
                <w:ilvl w:val="1"/>
                <w:numId w:val="34"/>
              </w:numPr>
            </w:pPr>
            <w:r>
              <w:t>information flow especially in the early stages of machinery of government changes with a number of  scholarship providers noting communications from department providers was ad hoc</w:t>
            </w:r>
          </w:p>
          <w:p w14:paraId="74730A8D" w14:textId="77777777" w:rsidR="002D69E9" w:rsidRDefault="002D69E9" w:rsidP="00DE6C74">
            <w:pPr>
              <w:pStyle w:val="ListParagraph"/>
              <w:numPr>
                <w:ilvl w:val="1"/>
                <w:numId w:val="34"/>
              </w:numPr>
            </w:pPr>
            <w:r w:rsidRPr="00667924">
              <w:t xml:space="preserve">loss of knowledge and data </w:t>
            </w:r>
            <w:r>
              <w:t xml:space="preserve">and challenges in </w:t>
            </w:r>
            <w:r w:rsidRPr="00667924">
              <w:t>captur</w:t>
            </w:r>
            <w:r>
              <w:t>ing and retaining corporate memory.</w:t>
            </w:r>
          </w:p>
          <w:p w14:paraId="7C68AD65" w14:textId="77777777" w:rsidR="002D69E9" w:rsidRPr="00667924" w:rsidRDefault="002D69E9" w:rsidP="00B54A8B">
            <w:pPr>
              <w:ind w:left="720"/>
            </w:pPr>
          </w:p>
          <w:p w14:paraId="56D0E45D" w14:textId="77777777" w:rsidR="002D69E9" w:rsidRDefault="002D69E9" w:rsidP="00DE6C74">
            <w:pPr>
              <w:pStyle w:val="PwCNormal"/>
              <w:numPr>
                <w:ilvl w:val="0"/>
                <w:numId w:val="34"/>
              </w:numPr>
            </w:pPr>
            <w:r>
              <w:t xml:space="preserve">The time limited nature of the contracts creates a challenging environment between scholarship providers and education </w:t>
            </w:r>
            <w:r>
              <w:lastRenderedPageBreak/>
              <w:t>partners and also between scholarship providers and families.  In the main contract terms are three years.</w:t>
            </w:r>
          </w:p>
          <w:p w14:paraId="26D5BA8C" w14:textId="018306F8" w:rsidR="002D69E9" w:rsidRDefault="002D69E9" w:rsidP="00DE6C74">
            <w:pPr>
              <w:pStyle w:val="ListBullet"/>
              <w:numPr>
                <w:ilvl w:val="0"/>
                <w:numId w:val="34"/>
              </w:numPr>
              <w:spacing w:before="240"/>
            </w:pPr>
            <w:r>
              <w:t>Scholarship providers funded under the IYLP and IAS noted administrative challenges in funding agreement requirements whe</w:t>
            </w:r>
            <w:r w:rsidR="00B35E1A">
              <w:t>n</w:t>
            </w:r>
            <w:r>
              <w:t xml:space="preserve"> one is calendar year and the other is financial year.</w:t>
            </w:r>
          </w:p>
          <w:p w14:paraId="706262E0" w14:textId="77777777" w:rsidR="002D69E9" w:rsidRDefault="002D69E9" w:rsidP="00DE6C74">
            <w:pPr>
              <w:pStyle w:val="ListBullet"/>
              <w:numPr>
                <w:ilvl w:val="0"/>
                <w:numId w:val="34"/>
              </w:numPr>
              <w:spacing w:before="240"/>
            </w:pPr>
            <w:r>
              <w:t>The timing of reporting under the funding agreements can be challenging for some providers particularly where this coincides with the start of the school year.</w:t>
            </w:r>
          </w:p>
          <w:p w14:paraId="0978194C" w14:textId="4A137DED" w:rsidR="002D69E9" w:rsidRDefault="002D69E9" w:rsidP="00DE6C74">
            <w:pPr>
              <w:pStyle w:val="ListBullet"/>
              <w:numPr>
                <w:ilvl w:val="0"/>
                <w:numId w:val="34"/>
              </w:numPr>
              <w:spacing w:before="240"/>
            </w:pPr>
            <w:r>
              <w:t>Some scholarship providers indicated that the proportion of administrative funding is not sufficient</w:t>
            </w:r>
            <w:r w:rsidR="00B35E1A">
              <w:t xml:space="preserve">.  They reported </w:t>
            </w:r>
            <w:r>
              <w:t xml:space="preserve">administrative costs </w:t>
            </w:r>
            <w:r w:rsidR="00B35E1A">
              <w:t xml:space="preserve">are </w:t>
            </w:r>
            <w:r>
              <w:t xml:space="preserve">generally being absorbed by the scholarship providers or education </w:t>
            </w:r>
            <w:r w:rsidR="00B35E1A">
              <w:t xml:space="preserve">partners </w:t>
            </w:r>
            <w:r>
              <w:t xml:space="preserve">as part of the wider budget or with other sources of funding, such as philanthropic funds. </w:t>
            </w:r>
          </w:p>
          <w:p w14:paraId="5F6F3E11" w14:textId="784DB095" w:rsidR="002D69E9" w:rsidRDefault="002D69E9" w:rsidP="00DE6C74">
            <w:pPr>
              <w:pStyle w:val="ListBullet"/>
              <w:numPr>
                <w:ilvl w:val="0"/>
                <w:numId w:val="34"/>
              </w:numPr>
              <w:spacing w:before="240"/>
            </w:pPr>
            <w:r>
              <w:t>A majority of scholarship providers indicated that the IAS funding agreement has afforded greater flexibility in the administration of scholarship</w:t>
            </w:r>
            <w:r w:rsidR="00B35E1A">
              <w:t>s</w:t>
            </w:r>
            <w:r>
              <w:t xml:space="preserve"> which has provided a more responsive and adaptive program to meet students’ needs and requests from education providers.  This includes being able to customise the implementation of funded scholarships to align with the organisational mission and operating model of the auspice organisation and leverage corporate and philanthropic co-contribution and sponsorship.</w:t>
            </w:r>
          </w:p>
          <w:p w14:paraId="7F91EC8E" w14:textId="77777777" w:rsidR="002D69E9" w:rsidRDefault="002D69E9" w:rsidP="00DE6C74">
            <w:pPr>
              <w:pStyle w:val="ListBullet"/>
              <w:numPr>
                <w:ilvl w:val="0"/>
                <w:numId w:val="34"/>
              </w:numPr>
              <w:spacing w:before="240"/>
            </w:pPr>
            <w:r>
              <w:t xml:space="preserve">All scholarship providers indicated that the relationships with department grant managers were positive and that queries from scholarship providers are answered promptly by the department. </w:t>
            </w:r>
          </w:p>
          <w:p w14:paraId="49ACFAA0" w14:textId="22607C0C" w:rsidR="00572210" w:rsidRDefault="00572210">
            <w:pPr>
              <w:pStyle w:val="ListBullet"/>
              <w:numPr>
                <w:ilvl w:val="0"/>
                <w:numId w:val="34"/>
              </w:numPr>
              <w:spacing w:before="240"/>
            </w:pPr>
            <w:r>
              <w:t xml:space="preserve">60.4% of respondents </w:t>
            </w:r>
            <w:r w:rsidR="00B35E1A">
              <w:t xml:space="preserve">to the education partner survey indicated </w:t>
            </w:r>
            <w:r>
              <w:t xml:space="preserve">the administration of scholarships by scholarship providers to support recipients to complete their education was done ‘Very well’, with a further 30.2% of respondents nominating ‘Well’. This view was also widely supported during the consultation with education </w:t>
            </w:r>
            <w:r w:rsidR="00B35E1A">
              <w:t>partners</w:t>
            </w:r>
            <w:r>
              <w:t xml:space="preserve">.  </w:t>
            </w:r>
          </w:p>
        </w:tc>
      </w:tr>
      <w:tr w:rsidR="002D69E9" w14:paraId="2F4B9335" w14:textId="77777777" w:rsidTr="00B54A8B">
        <w:tc>
          <w:tcPr>
            <w:tcW w:w="2122" w:type="dxa"/>
            <w:tcBorders>
              <w:right w:val="dotted" w:sz="4" w:space="0" w:color="A32020" w:themeColor="accent1"/>
            </w:tcBorders>
          </w:tcPr>
          <w:p w14:paraId="037778B3" w14:textId="77777777" w:rsidR="002D69E9" w:rsidRDefault="002D69E9" w:rsidP="00B54A8B">
            <w:pPr>
              <w:pStyle w:val="PwCNormal"/>
              <w:numPr>
                <w:ilvl w:val="0"/>
                <w:numId w:val="0"/>
              </w:numPr>
            </w:pPr>
            <w:r>
              <w:lastRenderedPageBreak/>
              <w:t>Student application and selection</w:t>
            </w:r>
          </w:p>
        </w:tc>
        <w:tc>
          <w:tcPr>
            <w:tcW w:w="6627" w:type="dxa"/>
            <w:tcBorders>
              <w:left w:val="dotted" w:sz="4" w:space="0" w:color="A32020" w:themeColor="accent1"/>
            </w:tcBorders>
          </w:tcPr>
          <w:p w14:paraId="195E0F38" w14:textId="6A83A3F6" w:rsidR="002D69E9" w:rsidRDefault="002D69E9" w:rsidP="00DE6C74">
            <w:pPr>
              <w:pStyle w:val="ListBullet"/>
              <w:numPr>
                <w:ilvl w:val="0"/>
                <w:numId w:val="38"/>
              </w:numPr>
              <w:spacing w:before="240"/>
            </w:pPr>
            <w:r>
              <w:t xml:space="preserve">Through consultations we identified two dominant models of delivery – school-led and community/broker led – with similarities of each model across the scholarship providers. However, each provider has unique characteristics, elements. </w:t>
            </w:r>
          </w:p>
          <w:p w14:paraId="487AA6EB" w14:textId="77777777" w:rsidR="002D69E9" w:rsidRDefault="002D69E9" w:rsidP="00DE6C74">
            <w:pPr>
              <w:pStyle w:val="ListBullet"/>
              <w:numPr>
                <w:ilvl w:val="0"/>
                <w:numId w:val="38"/>
              </w:numPr>
              <w:spacing w:before="240"/>
            </w:pPr>
            <w:r>
              <w:t xml:space="preserve">For those scholarship providers funded under the previous IYLP many follow, or have adapted the original IYLP guidelines as a basis for the selection of Indigenous students.  Criteria for scholarships can differ by region and the student’s home/community location. </w:t>
            </w:r>
          </w:p>
          <w:p w14:paraId="24625B77" w14:textId="77777777" w:rsidR="002D69E9" w:rsidRDefault="002D69E9" w:rsidP="00DE6C74">
            <w:pPr>
              <w:pStyle w:val="ListBullet"/>
              <w:numPr>
                <w:ilvl w:val="0"/>
                <w:numId w:val="38"/>
              </w:numPr>
              <w:spacing w:before="240"/>
            </w:pPr>
            <w:r>
              <w:t xml:space="preserve">Despite different models of delivery, providers have adopted relatively consistent selection processes for awarding scholarships: promotion; application (online) with supporting documents; short listing; interview face to face; decision against a criteria; offer to successful applicants. </w:t>
            </w:r>
          </w:p>
          <w:p w14:paraId="6C5BB2C1" w14:textId="77777777" w:rsidR="002D69E9" w:rsidRDefault="002D69E9" w:rsidP="00DE6C74">
            <w:pPr>
              <w:pStyle w:val="ListBullet"/>
              <w:numPr>
                <w:ilvl w:val="0"/>
                <w:numId w:val="38"/>
              </w:numPr>
              <w:spacing w:before="240"/>
            </w:pPr>
            <w:r>
              <w:lastRenderedPageBreak/>
              <w:t xml:space="preserve">Some scholarship providers balance a range of considerations in allocating scholarships: remoteness category of students’ home community, their academic and leadership ability, and their capacity to meet academic standards at the school (often cited as ‘setting students up to succeed, not fail’). </w:t>
            </w:r>
          </w:p>
          <w:p w14:paraId="14E57DBE" w14:textId="19A17608" w:rsidR="002D69E9" w:rsidRDefault="002D69E9" w:rsidP="00DE6C74">
            <w:pPr>
              <w:pStyle w:val="ListBullet"/>
              <w:numPr>
                <w:ilvl w:val="0"/>
                <w:numId w:val="38"/>
              </w:numPr>
              <w:spacing w:before="240"/>
            </w:pPr>
            <w:r w:rsidRPr="0080622D">
              <w:t>Scholarship providers often described having a dedicated position or staff to undertake, administer and manage the student application and selection process</w:t>
            </w:r>
            <w:r w:rsidR="009A7B00">
              <w:t>.</w:t>
            </w:r>
          </w:p>
          <w:p w14:paraId="0F0CF555" w14:textId="77777777" w:rsidR="002D69E9" w:rsidRDefault="002D69E9" w:rsidP="00DE6C74">
            <w:pPr>
              <w:pStyle w:val="ListBullet"/>
              <w:numPr>
                <w:ilvl w:val="0"/>
                <w:numId w:val="38"/>
              </w:numPr>
              <w:spacing w:before="240"/>
            </w:pPr>
            <w:r>
              <w:t>One provider indicated that many of the challenges are eliminated in the school-led as schools undertake this function.</w:t>
            </w:r>
          </w:p>
          <w:p w14:paraId="43159D97" w14:textId="381FCB91" w:rsidR="00572210" w:rsidRDefault="00572210" w:rsidP="00DE6C74">
            <w:pPr>
              <w:pStyle w:val="ListBullet"/>
              <w:numPr>
                <w:ilvl w:val="0"/>
                <w:numId w:val="38"/>
              </w:numPr>
              <w:spacing w:before="240"/>
            </w:pPr>
            <w:r>
              <w:t>Education partners indicated that scholarships funded by the scholarship providers are targeting students in most need to a ‘Great Extent’ (39.6%) and ‘Some Extent’ (39.6%)</w:t>
            </w:r>
          </w:p>
        </w:tc>
      </w:tr>
      <w:tr w:rsidR="002D69E9" w14:paraId="25719290" w14:textId="77777777" w:rsidTr="00B54A8B">
        <w:tc>
          <w:tcPr>
            <w:tcW w:w="2122" w:type="dxa"/>
            <w:tcBorders>
              <w:right w:val="dotted" w:sz="4" w:space="0" w:color="A32020" w:themeColor="accent1"/>
            </w:tcBorders>
          </w:tcPr>
          <w:p w14:paraId="015B1A92" w14:textId="77777777" w:rsidR="002D69E9" w:rsidRDefault="002D69E9" w:rsidP="00B54A8B">
            <w:pPr>
              <w:pStyle w:val="PwCNormal"/>
              <w:numPr>
                <w:ilvl w:val="0"/>
                <w:numId w:val="0"/>
              </w:numPr>
            </w:pPr>
            <w:r>
              <w:lastRenderedPageBreak/>
              <w:t>Current and future need</w:t>
            </w:r>
          </w:p>
        </w:tc>
        <w:tc>
          <w:tcPr>
            <w:tcW w:w="6627" w:type="dxa"/>
            <w:tcBorders>
              <w:left w:val="dotted" w:sz="4" w:space="0" w:color="A32020" w:themeColor="accent1"/>
            </w:tcBorders>
          </w:tcPr>
          <w:p w14:paraId="1F16FD00" w14:textId="77777777" w:rsidR="002D69E9" w:rsidRDefault="002D69E9" w:rsidP="00DE6C74">
            <w:pPr>
              <w:pStyle w:val="ListBullet"/>
              <w:numPr>
                <w:ilvl w:val="0"/>
                <w:numId w:val="38"/>
              </w:numPr>
              <w:spacing w:before="240"/>
            </w:pPr>
            <w:r>
              <w:t xml:space="preserve">In instances where applications are gathered by scholarship providers, all indicated that the scholarships are often oversubscribed.  </w:t>
            </w:r>
          </w:p>
          <w:p w14:paraId="4FF4B80D" w14:textId="4C9586B1" w:rsidR="002D69E9" w:rsidRDefault="002D69E9" w:rsidP="00DE6C74">
            <w:pPr>
              <w:pStyle w:val="ListBullet"/>
              <w:numPr>
                <w:ilvl w:val="0"/>
                <w:numId w:val="38"/>
              </w:numPr>
              <w:spacing w:before="240"/>
            </w:pPr>
            <w:r>
              <w:t>Most providers seek additional contributors for their scholarship programs, such as private sponsorship. This requir</w:t>
            </w:r>
            <w:r w:rsidR="009A7B00">
              <w:t>es</w:t>
            </w:r>
            <w:r>
              <w:t xml:space="preserve"> a significant amount of relationship building between providers and potential investors.</w:t>
            </w:r>
          </w:p>
          <w:p w14:paraId="7A45A1E6" w14:textId="77777777" w:rsidR="002D69E9" w:rsidRDefault="002D69E9" w:rsidP="00DE6C74">
            <w:pPr>
              <w:pStyle w:val="ListBullet"/>
              <w:numPr>
                <w:ilvl w:val="0"/>
                <w:numId w:val="38"/>
              </w:numPr>
              <w:spacing w:before="240"/>
            </w:pPr>
            <w:r w:rsidRPr="00622160">
              <w:t>Given the remoteness of many scholarship applicants, access to secondary education does not always exist within their community.  Therefore</w:t>
            </w:r>
            <w:r>
              <w:t>,</w:t>
            </w:r>
            <w:r w:rsidRPr="00622160">
              <w:t xml:space="preserve"> the decision </w:t>
            </w:r>
            <w:r>
              <w:t>to grant a</w:t>
            </w:r>
            <w:r w:rsidRPr="00622160">
              <w:t xml:space="preserve"> scholarship can be challenging for </w:t>
            </w:r>
            <w:r>
              <w:t xml:space="preserve">some scholarship providers </w:t>
            </w:r>
            <w:r w:rsidRPr="00622160">
              <w:t xml:space="preserve">as in some cases the decision </w:t>
            </w:r>
            <w:r>
              <w:t xml:space="preserve">may influence </w:t>
            </w:r>
            <w:r w:rsidRPr="00622160">
              <w:t xml:space="preserve">whether a child commences secondary education or not. </w:t>
            </w:r>
          </w:p>
          <w:p w14:paraId="5C60EE89" w14:textId="729141E0" w:rsidR="002D69E9" w:rsidRPr="00700646" w:rsidRDefault="002D69E9" w:rsidP="00DE6C74">
            <w:pPr>
              <w:pStyle w:val="ListBullet"/>
              <w:numPr>
                <w:ilvl w:val="0"/>
                <w:numId w:val="38"/>
              </w:numPr>
              <w:spacing w:before="240"/>
            </w:pPr>
            <w:r w:rsidRPr="00700646">
              <w:rPr>
                <w:lang w:val="en-GB"/>
              </w:rPr>
              <w:t xml:space="preserve">Students who are unable to complete their schooling in their own community have to travel </w:t>
            </w:r>
            <w:r w:rsidR="00B35E1A">
              <w:rPr>
                <w:lang w:val="en-GB"/>
              </w:rPr>
              <w:t>away from home</w:t>
            </w:r>
            <w:r w:rsidRPr="00700646">
              <w:rPr>
                <w:lang w:val="en-GB"/>
              </w:rPr>
              <w:t xml:space="preserve">. </w:t>
            </w:r>
            <w:r>
              <w:rPr>
                <w:lang w:val="en-GB"/>
              </w:rPr>
              <w:t xml:space="preserve"> This can be challenging and pastoral support is required to ensure their continued engagement in the education program and to ensure that they maintain their connection to culture and home.  </w:t>
            </w:r>
          </w:p>
          <w:p w14:paraId="0DABF2E3" w14:textId="6E8F9CFD" w:rsidR="002D69E9" w:rsidRDefault="002D69E9" w:rsidP="00DE6C74">
            <w:pPr>
              <w:pStyle w:val="ListBullet"/>
              <w:numPr>
                <w:ilvl w:val="0"/>
                <w:numId w:val="38"/>
              </w:numPr>
              <w:spacing w:before="240"/>
            </w:pPr>
            <w:r>
              <w:t xml:space="preserve">Whilst funding can be a limiting factor in awarding scholarships, the availability of boarding accommodation can </w:t>
            </w:r>
            <w:r w:rsidR="00B35E1A">
              <w:t>l</w:t>
            </w:r>
            <w:r>
              <w:t xml:space="preserve">imit the number of </w:t>
            </w:r>
            <w:r w:rsidR="00B35E1A">
              <w:t>available places</w:t>
            </w:r>
            <w:r>
              <w:t>.</w:t>
            </w:r>
          </w:p>
          <w:p w14:paraId="3C29B6A1" w14:textId="2E38785B" w:rsidR="00572210" w:rsidRDefault="002D69E9" w:rsidP="00572210">
            <w:pPr>
              <w:pStyle w:val="ListBullet"/>
              <w:numPr>
                <w:ilvl w:val="0"/>
                <w:numId w:val="38"/>
              </w:numPr>
              <w:spacing w:before="240"/>
            </w:pPr>
            <w:r>
              <w:t xml:space="preserve">A number of providers argued that grant funding delivers strong value for money </w:t>
            </w:r>
            <w:r w:rsidR="00B35E1A">
              <w:t>leveraging</w:t>
            </w:r>
            <w:r>
              <w:t xml:space="preserve"> significant co-funding from corporate and philanthropic funding.</w:t>
            </w:r>
          </w:p>
          <w:p w14:paraId="18919E46" w14:textId="36D13A6A" w:rsidR="00572210" w:rsidRDefault="00572210" w:rsidP="00572210">
            <w:pPr>
              <w:pStyle w:val="ListBullet"/>
              <w:numPr>
                <w:ilvl w:val="0"/>
                <w:numId w:val="38"/>
              </w:numPr>
              <w:spacing w:before="240"/>
            </w:pPr>
            <w:r>
              <w:t xml:space="preserve">According to the education partner survey, 83% of respondents believe there will be a ‘Higher’ anticipated future demand for scholarships funded by scholarship providers. </w:t>
            </w:r>
          </w:p>
        </w:tc>
      </w:tr>
      <w:tr w:rsidR="002D69E9" w14:paraId="04DBE137" w14:textId="77777777" w:rsidTr="00B54A8B">
        <w:tc>
          <w:tcPr>
            <w:tcW w:w="2122" w:type="dxa"/>
            <w:tcBorders>
              <w:right w:val="dotted" w:sz="4" w:space="0" w:color="A32020" w:themeColor="accent1"/>
            </w:tcBorders>
          </w:tcPr>
          <w:p w14:paraId="11105B75" w14:textId="77777777" w:rsidR="002D69E9" w:rsidRDefault="002D69E9" w:rsidP="00B54A8B">
            <w:pPr>
              <w:pStyle w:val="PwCNormal"/>
              <w:numPr>
                <w:ilvl w:val="0"/>
                <w:numId w:val="0"/>
              </w:numPr>
            </w:pPr>
            <w:r>
              <w:t>Costs and value for money</w:t>
            </w:r>
          </w:p>
        </w:tc>
        <w:tc>
          <w:tcPr>
            <w:tcW w:w="6627" w:type="dxa"/>
            <w:tcBorders>
              <w:left w:val="dotted" w:sz="4" w:space="0" w:color="A32020" w:themeColor="accent1"/>
            </w:tcBorders>
          </w:tcPr>
          <w:p w14:paraId="3B91535F" w14:textId="77777777" w:rsidR="002D69E9" w:rsidRDefault="002D69E9" w:rsidP="00DE6C74">
            <w:pPr>
              <w:pStyle w:val="ListBullet"/>
              <w:numPr>
                <w:ilvl w:val="0"/>
                <w:numId w:val="38"/>
              </w:numPr>
              <w:spacing w:before="240"/>
            </w:pPr>
            <w:r>
              <w:t xml:space="preserve">Funding awarded to each scholarship recipient can vary based on the funding source (ie. IYLP Legacy agreement or IAS funding </w:t>
            </w:r>
            <w:r>
              <w:lastRenderedPageBreak/>
              <w:t>agreement), individual circumstances (such as ABSTUDY component) and the school and associated fees.</w:t>
            </w:r>
          </w:p>
          <w:p w14:paraId="5138425F" w14:textId="476E09CF" w:rsidR="002D69E9" w:rsidRDefault="002D69E9" w:rsidP="00DE6C74">
            <w:pPr>
              <w:pStyle w:val="ListBullet"/>
              <w:numPr>
                <w:ilvl w:val="0"/>
                <w:numId w:val="38"/>
              </w:numPr>
              <w:spacing w:before="240"/>
            </w:pPr>
            <w:r>
              <w:t xml:space="preserve">Most scholarship providers require a parental/guardian contribution based on income levels. </w:t>
            </w:r>
          </w:p>
          <w:p w14:paraId="76219397" w14:textId="0E3FEE65" w:rsidR="00510F92" w:rsidRDefault="00510F92" w:rsidP="008A046F">
            <w:pPr>
              <w:pStyle w:val="ListParagraph"/>
              <w:numPr>
                <w:ilvl w:val="0"/>
                <w:numId w:val="38"/>
              </w:numPr>
              <w:spacing w:before="240"/>
            </w:pPr>
            <w:r>
              <w:t xml:space="preserve">Government funding provided for scholarships leverages significant </w:t>
            </w:r>
            <w:r w:rsidRPr="00510F92">
              <w:t>corporate and philanthropic co-contributions</w:t>
            </w:r>
            <w:r>
              <w:t xml:space="preserve"> help</w:t>
            </w:r>
            <w:r w:rsidR="00366805">
              <w:t xml:space="preserve">ing achieve </w:t>
            </w:r>
            <w:r>
              <w:t>a value for money outcome from the Government’s investment</w:t>
            </w:r>
            <w:r w:rsidRPr="00510F92">
              <w:t>.</w:t>
            </w:r>
          </w:p>
          <w:p w14:paraId="02F72C9D" w14:textId="551AF615" w:rsidR="00572210" w:rsidRDefault="002D69E9" w:rsidP="00572210">
            <w:pPr>
              <w:pStyle w:val="ListBullet"/>
              <w:numPr>
                <w:ilvl w:val="0"/>
                <w:numId w:val="38"/>
              </w:numPr>
              <w:spacing w:before="240"/>
            </w:pPr>
            <w:r>
              <w:t>Scholarships vary in terms of what is provided or included but all include core components of tuition and a range of additional supports.  Optional items are generally at the discretion of the school or scholarship provider staff. These include leadership camps and higher education transition programs.</w:t>
            </w:r>
          </w:p>
          <w:p w14:paraId="4D54C499" w14:textId="065F65DD" w:rsidR="00572210" w:rsidRDefault="00572210" w:rsidP="00572210">
            <w:pPr>
              <w:pStyle w:val="ListBullet"/>
              <w:numPr>
                <w:ilvl w:val="0"/>
                <w:numId w:val="38"/>
              </w:numPr>
              <w:spacing w:before="240"/>
            </w:pPr>
            <w:r>
              <w:t>According to the education partner survey, funding provided by scholarship providers generally was allocated to boarding and tuition fees (15.9%) and uniforms, text books, IT requirements (14.6%).</w:t>
            </w:r>
            <w:r w:rsidR="00B35E1A">
              <w:t xml:space="preserve"> </w:t>
            </w:r>
            <w:r>
              <w:t xml:space="preserve"> 56.6% of respondents agreed that the current funding provided to education providers from scholarship providers is sufficient to support recipients to complete their education to a ‘Great Extent’. </w:t>
            </w:r>
          </w:p>
          <w:p w14:paraId="76570EB3" w14:textId="2572EAC4" w:rsidR="00572210" w:rsidRDefault="00572210" w:rsidP="00510F92">
            <w:pPr>
              <w:pStyle w:val="ListBullet"/>
              <w:numPr>
                <w:ilvl w:val="0"/>
                <w:numId w:val="38"/>
              </w:numPr>
              <w:spacing w:before="240"/>
            </w:pPr>
            <w:r>
              <w:t xml:space="preserve">54.7% of respondents to the education partner survey did not agree that the scholarships funded by the scholarship providers cover the full cost of a student’s education at the respective school. </w:t>
            </w:r>
            <w:r w:rsidR="00510F92">
              <w:t>I</w:t>
            </w:r>
            <w:r>
              <w:t xml:space="preserve">n order to cover the gap between the costs of the student’s education and the value of the scholarship funded by the scholarship provider, survey respondents predominately sought funding from school foundation (or equivalent) (25.5%) and private donations to the school (23.5%). </w:t>
            </w:r>
          </w:p>
        </w:tc>
      </w:tr>
      <w:tr w:rsidR="002D69E9" w14:paraId="426A6BB9" w14:textId="77777777" w:rsidTr="00572210">
        <w:trPr>
          <w:trHeight w:val="787"/>
        </w:trPr>
        <w:tc>
          <w:tcPr>
            <w:tcW w:w="2122" w:type="dxa"/>
            <w:tcBorders>
              <w:right w:val="dotted" w:sz="4" w:space="0" w:color="A32020" w:themeColor="accent1"/>
            </w:tcBorders>
          </w:tcPr>
          <w:p w14:paraId="025BBBF3" w14:textId="77777777" w:rsidR="002D69E9" w:rsidRDefault="002D69E9" w:rsidP="00B54A8B">
            <w:pPr>
              <w:pStyle w:val="PwCNormal"/>
              <w:numPr>
                <w:ilvl w:val="0"/>
                <w:numId w:val="0"/>
              </w:numPr>
            </w:pPr>
            <w:r>
              <w:lastRenderedPageBreak/>
              <w:t xml:space="preserve">Impact and outcomes </w:t>
            </w:r>
          </w:p>
        </w:tc>
        <w:tc>
          <w:tcPr>
            <w:tcW w:w="6627" w:type="dxa"/>
            <w:tcBorders>
              <w:left w:val="dotted" w:sz="4" w:space="0" w:color="A32020" w:themeColor="accent1"/>
            </w:tcBorders>
          </w:tcPr>
          <w:p w14:paraId="1445F8E6" w14:textId="14D387C9" w:rsidR="002D69E9" w:rsidRDefault="002D69E9" w:rsidP="00DE6C74">
            <w:pPr>
              <w:pStyle w:val="ListBullet"/>
              <w:numPr>
                <w:ilvl w:val="0"/>
                <w:numId w:val="38"/>
              </w:numPr>
              <w:spacing w:before="240"/>
            </w:pPr>
            <w:r w:rsidRPr="00C00129">
              <w:t>Scholarships provide Aboriginal and Torres Strait Islander students with opportunities to access and enhance their educational opportunities.</w:t>
            </w:r>
          </w:p>
          <w:p w14:paraId="5B6A5C0F" w14:textId="7B583A93" w:rsidR="002D69E9" w:rsidRDefault="002D69E9" w:rsidP="00DE6C74">
            <w:pPr>
              <w:pStyle w:val="ListBullet"/>
              <w:numPr>
                <w:ilvl w:val="0"/>
                <w:numId w:val="38"/>
              </w:numPr>
              <w:spacing w:before="240"/>
            </w:pPr>
            <w:r>
              <w:t>Many scholarship providers indicated that success of scholarships should not be measured in terms of educational outcomes alone.  Other factors that should be considered included personal growth, development and leadership and employment destination</w:t>
            </w:r>
            <w:r w:rsidR="00957516">
              <w:t xml:space="preserve"> including career outcomes</w:t>
            </w:r>
            <w:r>
              <w:t>.  A number of scholarship providers argued for a consistent definition of success of IAS funded scholarships.</w:t>
            </w:r>
          </w:p>
          <w:p w14:paraId="1A5A8764" w14:textId="44291EFF" w:rsidR="002D69E9" w:rsidRPr="001709EE" w:rsidRDefault="002D69E9" w:rsidP="00DE6C74">
            <w:pPr>
              <w:pStyle w:val="ListBullet"/>
              <w:numPr>
                <w:ilvl w:val="0"/>
                <w:numId w:val="38"/>
              </w:numPr>
              <w:spacing w:before="240"/>
            </w:pPr>
            <w:r>
              <w:t xml:space="preserve">Scholarship providers indicated that scholarships have a range of flow </w:t>
            </w:r>
            <w:r w:rsidRPr="00C00129">
              <w:t>on effects such as students becoming role models for other young Indigenous people in their communities</w:t>
            </w:r>
            <w:r w:rsidR="00B35E1A">
              <w:t>.</w:t>
            </w:r>
          </w:p>
          <w:p w14:paraId="1E08B5F0" w14:textId="7896E29E" w:rsidR="002D69E9" w:rsidRPr="00FD6AF9" w:rsidRDefault="002D69E9" w:rsidP="00DE6C74">
            <w:pPr>
              <w:pStyle w:val="ListBullet"/>
              <w:numPr>
                <w:ilvl w:val="0"/>
                <w:numId w:val="38"/>
              </w:numPr>
              <w:spacing w:before="240"/>
            </w:pPr>
            <w:r>
              <w:t>Scholarship providers report that s</w:t>
            </w:r>
            <w:r w:rsidRPr="00FD6AF9">
              <w:t>cholarships have provided an opportunity to promote culture, reconciliation and connections with community stakeholders</w:t>
            </w:r>
            <w:r>
              <w:t xml:space="preserve"> and the wider school environment.  </w:t>
            </w:r>
            <w:r w:rsidRPr="00C00129">
              <w:t xml:space="preserve">Examples include students promoting and organising NAIDOC and Reconciliation week events, establishment of traditional </w:t>
            </w:r>
            <w:r w:rsidRPr="00C00129">
              <w:lastRenderedPageBreak/>
              <w:t>dance groups, cultural awareness sessions and Indigenous guest speakers.  </w:t>
            </w:r>
          </w:p>
          <w:p w14:paraId="08736816" w14:textId="77777777" w:rsidR="00572210" w:rsidRDefault="002D69E9" w:rsidP="00572210">
            <w:pPr>
              <w:pStyle w:val="ListBullet"/>
              <w:numPr>
                <w:ilvl w:val="0"/>
                <w:numId w:val="38"/>
              </w:numPr>
              <w:spacing w:before="240"/>
            </w:pPr>
            <w:r>
              <w:t xml:space="preserve">A number of scholarship providers identified that there is currently a lack of a systematic approach to capture the long term outcomes of the scholarship students. </w:t>
            </w:r>
          </w:p>
          <w:p w14:paraId="4F386AEA" w14:textId="6590D95B" w:rsidR="00572210" w:rsidRDefault="00572210" w:rsidP="00572210">
            <w:pPr>
              <w:pStyle w:val="ListBullet"/>
              <w:numPr>
                <w:ilvl w:val="0"/>
                <w:numId w:val="38"/>
              </w:numPr>
              <w:spacing w:before="240"/>
            </w:pPr>
            <w:r>
              <w:t xml:space="preserve">According to the education partner survey, 62.3% of respondents agreed that the scholarships funded by the scholarship providers have assisted recipients to complete Year 12 to a ‘Great Extent’, whilst 26.4% of respondents agreed to ‘Some Extent’. </w:t>
            </w:r>
          </w:p>
        </w:tc>
      </w:tr>
    </w:tbl>
    <w:p w14:paraId="07B37473" w14:textId="77777777" w:rsidR="002D69E9" w:rsidRDefault="002D69E9" w:rsidP="002D69E9">
      <w:pPr>
        <w:pStyle w:val="PwCNormal"/>
        <w:numPr>
          <w:ilvl w:val="0"/>
          <w:numId w:val="0"/>
        </w:numPr>
        <w:rPr>
          <w:highlight w:val="yellow"/>
          <w:lang w:val="en-GB"/>
        </w:rPr>
      </w:pPr>
    </w:p>
    <w:p w14:paraId="0A8703E5" w14:textId="77777777" w:rsidR="002D69E9" w:rsidRDefault="002D69E9" w:rsidP="002D69E9">
      <w:pPr>
        <w:pStyle w:val="Heading6"/>
        <w:tabs>
          <w:tab w:val="clear" w:pos="850"/>
          <w:tab w:val="num" w:pos="851"/>
        </w:tabs>
        <w:ind w:left="851" w:hanging="851"/>
        <w:rPr>
          <w:lang w:val="en-GB"/>
        </w:rPr>
      </w:pPr>
      <w:r>
        <w:rPr>
          <w:lang w:val="en-GB"/>
        </w:rPr>
        <w:t>Scholarship provider profiles</w:t>
      </w:r>
    </w:p>
    <w:p w14:paraId="78AD30CB" w14:textId="77777777" w:rsidR="002D69E9" w:rsidRPr="00C32EE4" w:rsidRDefault="002D69E9" w:rsidP="002D69E9">
      <w:pPr>
        <w:pStyle w:val="PwCNormal"/>
        <w:numPr>
          <w:ilvl w:val="0"/>
          <w:numId w:val="9"/>
        </w:numPr>
        <w:rPr>
          <w:snapToGrid/>
          <w:lang w:val="en-GB"/>
        </w:rPr>
      </w:pPr>
      <w:r>
        <w:rPr>
          <w:lang w:val="en-GB"/>
        </w:rPr>
        <w:t>Following our desktop review, consultation and data analysis we have assembled detailed profiles for each funded scholarship provider.</w:t>
      </w:r>
    </w:p>
    <w:p w14:paraId="2735DC53" w14:textId="77777777" w:rsidR="002D69E9" w:rsidRPr="00C32EE4" w:rsidRDefault="002D69E9" w:rsidP="002D69E9">
      <w:pPr>
        <w:pStyle w:val="PwCNormal"/>
        <w:numPr>
          <w:ilvl w:val="0"/>
          <w:numId w:val="9"/>
        </w:numPr>
        <w:rPr>
          <w:snapToGrid/>
          <w:lang w:val="en-GB"/>
        </w:rPr>
      </w:pPr>
      <w:r>
        <w:rPr>
          <w:lang w:val="en-GB"/>
        </w:rPr>
        <w:t>For each scholarship provider the profile provides:</w:t>
      </w:r>
    </w:p>
    <w:p w14:paraId="58522A4D" w14:textId="77777777" w:rsidR="002D69E9" w:rsidRPr="00C32EE4" w:rsidRDefault="002D69E9" w:rsidP="00DE6C74">
      <w:pPr>
        <w:pStyle w:val="PwCNormal"/>
        <w:numPr>
          <w:ilvl w:val="0"/>
          <w:numId w:val="32"/>
        </w:numPr>
        <w:rPr>
          <w:snapToGrid/>
          <w:lang w:val="en-GB"/>
        </w:rPr>
      </w:pPr>
      <w:r>
        <w:rPr>
          <w:lang w:val="en-GB"/>
        </w:rPr>
        <w:t>an organisation overview</w:t>
      </w:r>
    </w:p>
    <w:p w14:paraId="632DB71E" w14:textId="77777777" w:rsidR="002D69E9" w:rsidRPr="00C32EE4" w:rsidRDefault="002D69E9" w:rsidP="00DE6C74">
      <w:pPr>
        <w:pStyle w:val="PwCNormal"/>
        <w:numPr>
          <w:ilvl w:val="0"/>
          <w:numId w:val="32"/>
        </w:numPr>
        <w:rPr>
          <w:snapToGrid/>
          <w:lang w:val="en-GB"/>
        </w:rPr>
      </w:pPr>
      <w:r>
        <w:rPr>
          <w:lang w:val="en-GB"/>
        </w:rPr>
        <w:t>background and context</w:t>
      </w:r>
    </w:p>
    <w:p w14:paraId="6BD6F05C" w14:textId="77777777" w:rsidR="002D69E9" w:rsidRPr="00C32EE4" w:rsidRDefault="002D69E9" w:rsidP="00DE6C74">
      <w:pPr>
        <w:pStyle w:val="PwCNormal"/>
        <w:numPr>
          <w:ilvl w:val="0"/>
          <w:numId w:val="32"/>
        </w:numPr>
        <w:rPr>
          <w:snapToGrid/>
          <w:lang w:val="en-GB"/>
        </w:rPr>
      </w:pPr>
      <w:r>
        <w:rPr>
          <w:lang w:val="en-GB"/>
        </w:rPr>
        <w:t>an overview of current practice:</w:t>
      </w:r>
    </w:p>
    <w:p w14:paraId="2FCFD9EE" w14:textId="77777777" w:rsidR="002D69E9" w:rsidRPr="00C32EE4" w:rsidRDefault="002D69E9" w:rsidP="00DE6C74">
      <w:pPr>
        <w:pStyle w:val="PwCNormal"/>
        <w:numPr>
          <w:ilvl w:val="1"/>
          <w:numId w:val="33"/>
        </w:numPr>
        <w:tabs>
          <w:tab w:val="left" w:pos="993"/>
        </w:tabs>
        <w:rPr>
          <w:snapToGrid/>
          <w:lang w:val="en-GB"/>
        </w:rPr>
      </w:pPr>
      <w:r>
        <w:rPr>
          <w:lang w:val="en-GB"/>
        </w:rPr>
        <w:t>administration and delivery</w:t>
      </w:r>
    </w:p>
    <w:p w14:paraId="53E85780" w14:textId="77777777" w:rsidR="002D69E9" w:rsidRPr="00C32EE4" w:rsidRDefault="002D69E9" w:rsidP="00DE6C74">
      <w:pPr>
        <w:pStyle w:val="PwCNormal"/>
        <w:numPr>
          <w:ilvl w:val="1"/>
          <w:numId w:val="33"/>
        </w:numPr>
        <w:tabs>
          <w:tab w:val="left" w:pos="993"/>
        </w:tabs>
        <w:rPr>
          <w:snapToGrid/>
          <w:lang w:val="en-GB"/>
        </w:rPr>
      </w:pPr>
      <w:r>
        <w:rPr>
          <w:lang w:val="en-GB"/>
        </w:rPr>
        <w:t>costs and value</w:t>
      </w:r>
    </w:p>
    <w:p w14:paraId="1371B3C0" w14:textId="77777777" w:rsidR="002D69E9" w:rsidRPr="00C32EE4" w:rsidRDefault="002D69E9" w:rsidP="00DE6C74">
      <w:pPr>
        <w:pStyle w:val="PwCNormal"/>
        <w:numPr>
          <w:ilvl w:val="1"/>
          <w:numId w:val="33"/>
        </w:numPr>
        <w:tabs>
          <w:tab w:val="left" w:pos="993"/>
        </w:tabs>
        <w:rPr>
          <w:snapToGrid/>
          <w:lang w:val="en-GB"/>
        </w:rPr>
      </w:pPr>
      <w:r>
        <w:rPr>
          <w:lang w:val="en-GB"/>
        </w:rPr>
        <w:t>current and future need</w:t>
      </w:r>
    </w:p>
    <w:p w14:paraId="0C0995F5" w14:textId="77777777" w:rsidR="002D69E9" w:rsidRPr="00C32EE4" w:rsidRDefault="002D69E9" w:rsidP="00DE6C74">
      <w:pPr>
        <w:pStyle w:val="PwCNormal"/>
        <w:numPr>
          <w:ilvl w:val="1"/>
          <w:numId w:val="33"/>
        </w:numPr>
        <w:tabs>
          <w:tab w:val="left" w:pos="993"/>
        </w:tabs>
        <w:rPr>
          <w:snapToGrid/>
          <w:lang w:val="en-GB"/>
        </w:rPr>
      </w:pPr>
      <w:r>
        <w:rPr>
          <w:lang w:val="en-GB"/>
        </w:rPr>
        <w:t>impact and outcomes</w:t>
      </w:r>
    </w:p>
    <w:p w14:paraId="66CA9D3C" w14:textId="77777777" w:rsidR="002D69E9" w:rsidRPr="00C32EE4" w:rsidRDefault="002D69E9" w:rsidP="00DE6C74">
      <w:pPr>
        <w:pStyle w:val="PwCNormal"/>
        <w:numPr>
          <w:ilvl w:val="0"/>
          <w:numId w:val="32"/>
        </w:numPr>
        <w:rPr>
          <w:snapToGrid/>
          <w:lang w:val="en-GB"/>
        </w:rPr>
      </w:pPr>
      <w:r>
        <w:rPr>
          <w:lang w:val="en-GB"/>
        </w:rPr>
        <w:t>other notable funding;</w:t>
      </w:r>
    </w:p>
    <w:p w14:paraId="05FF00B6" w14:textId="231B3F38" w:rsidR="002D69E9" w:rsidRDefault="002D69E9" w:rsidP="002D69E9">
      <w:pPr>
        <w:pStyle w:val="PwCNormal"/>
        <w:numPr>
          <w:ilvl w:val="0"/>
          <w:numId w:val="0"/>
        </w:numPr>
        <w:rPr>
          <w:lang w:val="en-GB"/>
        </w:rPr>
      </w:pPr>
      <w:r>
        <w:rPr>
          <w:snapToGrid/>
          <w:lang w:val="en-GB"/>
        </w:rPr>
        <w:t xml:space="preserve">Detailed scholarship provider profiles are provided at </w:t>
      </w:r>
      <w:r w:rsidR="00197BBC">
        <w:rPr>
          <w:snapToGrid/>
          <w:lang w:val="en-GB"/>
        </w:rPr>
        <w:t>Appendix A.</w:t>
      </w:r>
    </w:p>
    <w:p w14:paraId="22CAE78A" w14:textId="77777777" w:rsidR="002D69E9" w:rsidRDefault="002D69E9" w:rsidP="002D69E9">
      <w:pPr>
        <w:pStyle w:val="PwCNormal"/>
        <w:rPr>
          <w:lang w:val="en-GB"/>
        </w:rPr>
      </w:pPr>
    </w:p>
    <w:p w14:paraId="5D214D0F" w14:textId="77777777" w:rsidR="002D69E9" w:rsidRDefault="002D69E9" w:rsidP="002D69E9">
      <w:pPr>
        <w:pStyle w:val="PwCNormal"/>
        <w:rPr>
          <w:lang w:val="en-GB"/>
        </w:rPr>
        <w:sectPr w:rsidR="002D69E9" w:rsidSect="001E6EBC">
          <w:headerReference w:type="even" r:id="rId68"/>
          <w:headerReference w:type="default" r:id="rId69"/>
          <w:footerReference w:type="even" r:id="rId70"/>
          <w:footerReference w:type="default" r:id="rId71"/>
          <w:headerReference w:type="first" r:id="rId72"/>
          <w:footerReference w:type="first" r:id="rId73"/>
          <w:pgSz w:w="11907" w:h="16840" w:code="9"/>
          <w:pgMar w:top="1588" w:right="1020" w:bottom="1418" w:left="2353" w:header="567" w:footer="567" w:gutter="0"/>
          <w:cols w:space="227"/>
          <w:docGrid w:linePitch="360"/>
        </w:sectPr>
      </w:pPr>
    </w:p>
    <w:p w14:paraId="61960D91" w14:textId="77777777" w:rsidR="002D69E9" w:rsidRDefault="002D69E9" w:rsidP="002D69E9">
      <w:pPr>
        <w:pStyle w:val="Heading2"/>
        <w:rPr>
          <w:lang w:val="en-GB"/>
        </w:rPr>
      </w:pPr>
      <w:bookmarkStart w:id="34" w:name="_Ref481687164"/>
      <w:bookmarkStart w:id="35" w:name="_Ref481687397"/>
      <w:bookmarkStart w:id="36" w:name="_Toc482974461"/>
      <w:r>
        <w:rPr>
          <w:lang w:val="en-GB"/>
        </w:rPr>
        <w:lastRenderedPageBreak/>
        <w:t>Overview of current data holdings</w:t>
      </w:r>
      <w:bookmarkEnd w:id="34"/>
      <w:bookmarkEnd w:id="35"/>
      <w:bookmarkEnd w:id="36"/>
    </w:p>
    <w:p w14:paraId="4ADA8381" w14:textId="187687B7" w:rsidR="00DF33CB" w:rsidRDefault="00DF33CB" w:rsidP="00DF33CB">
      <w:pPr>
        <w:pStyle w:val="PwCNormal"/>
        <w:numPr>
          <w:ilvl w:val="0"/>
          <w:numId w:val="9"/>
        </w:numPr>
        <w:rPr>
          <w:lang w:val="en-GB"/>
        </w:rPr>
      </w:pPr>
      <w:r>
        <w:rPr>
          <w:lang w:val="en-GB"/>
        </w:rPr>
        <w:t xml:space="preserve">This section provides a snapshot of the departmental held data relating to the IAS funded secondary school scholarships, and also provides an overview of the current data holdings provided by each scholarship provider. It outlines the responses of each scholarship provider to the data request; the key strengths, gaps and limitations in that data that have been collated; and provides an assessment of </w:t>
      </w:r>
      <w:r w:rsidR="003B75D7">
        <w:rPr>
          <w:lang w:val="en-GB"/>
        </w:rPr>
        <w:t xml:space="preserve">data </w:t>
      </w:r>
      <w:r>
        <w:rPr>
          <w:lang w:val="en-GB"/>
        </w:rPr>
        <w:t>availab</w:t>
      </w:r>
      <w:r w:rsidR="008F7378">
        <w:rPr>
          <w:lang w:val="en-GB"/>
        </w:rPr>
        <w:t>ility and quality.</w:t>
      </w:r>
    </w:p>
    <w:p w14:paraId="3BF3D5AA" w14:textId="72801817" w:rsidR="00DF33CB" w:rsidRPr="007D6176" w:rsidRDefault="00DF33CB" w:rsidP="007D6176">
      <w:pPr>
        <w:pStyle w:val="PwCNormal"/>
        <w:numPr>
          <w:ilvl w:val="0"/>
          <w:numId w:val="9"/>
        </w:numPr>
        <w:rPr>
          <w:lang w:val="en-GB"/>
        </w:rPr>
      </w:pPr>
      <w:r w:rsidRPr="000229DC">
        <w:rPr>
          <w:lang w:val="en-GB"/>
        </w:rPr>
        <w:t>From our engagement with each scholarship provider throughout the review, it is apparent that they have access to diverse data points which are not currently collected or reported on in a consistent manner. Although no scholarship provider was able to fulfil all aspects of the data request, all scholarship providers were highly engaged in the review process</w:t>
      </w:r>
      <w:r>
        <w:rPr>
          <w:lang w:val="en-GB"/>
        </w:rPr>
        <w:t xml:space="preserve">. </w:t>
      </w:r>
      <w:r w:rsidR="007D6176">
        <w:rPr>
          <w:lang w:val="en-GB"/>
        </w:rPr>
        <w:t xml:space="preserve">In some instances, the data gaps relate to the service model adopted by each scholarship provider. </w:t>
      </w:r>
      <w:r w:rsidRPr="007D6176">
        <w:rPr>
          <w:lang w:val="en-GB"/>
        </w:rPr>
        <w:t>It is clear that many have the capability to construct more complete data sets if they had greater clarity on the data they are expected to collect as well as consistent data reporting mechanisms and infrastructures (assuming adequate administrative funding is provided).</w:t>
      </w:r>
    </w:p>
    <w:p w14:paraId="1458A085" w14:textId="77777777" w:rsidR="00DF33CB" w:rsidRDefault="00DF33CB" w:rsidP="00DF33CB">
      <w:pPr>
        <w:pStyle w:val="Heading6"/>
        <w:spacing w:after="240"/>
        <w:ind w:left="851" w:hanging="851"/>
        <w:rPr>
          <w:lang w:val="en-GB"/>
        </w:rPr>
      </w:pPr>
      <w:bookmarkStart w:id="37" w:name="_Ref482212491"/>
      <w:r>
        <w:rPr>
          <w:lang w:val="en-GB"/>
        </w:rPr>
        <w:t>Snapshot of the IAS funded secondary school scholarships</w:t>
      </w:r>
      <w:bookmarkEnd w:id="37"/>
    </w:p>
    <w:p w14:paraId="232D8412" w14:textId="532FBB9F" w:rsidR="007E25B6" w:rsidRDefault="007E25B6" w:rsidP="004D7942">
      <w:pPr>
        <w:pStyle w:val="PwCNormal"/>
        <w:rPr>
          <w:lang w:val="en-GB"/>
        </w:rPr>
      </w:pPr>
      <w:r w:rsidRPr="007E25B6">
        <w:rPr>
          <w:lang w:val="en-GB"/>
        </w:rPr>
        <w:t>Although the INDIGO database has been decommissioned, all IAS funded scholarship providers are currently required to report on their activities and outcomes</w:t>
      </w:r>
      <w:r w:rsidR="00777EFF">
        <w:rPr>
          <w:lang w:val="en-GB"/>
        </w:rPr>
        <w:t>.</w:t>
      </w:r>
      <w:r w:rsidR="004D7942" w:rsidRPr="004D7942">
        <w:rPr>
          <w:lang w:val="en-GB"/>
        </w:rPr>
        <w:t xml:space="preserve"> Providers complete reporting which </w:t>
      </w:r>
      <w:r w:rsidR="003B75D7">
        <w:rPr>
          <w:lang w:val="en-GB"/>
        </w:rPr>
        <w:t>is</w:t>
      </w:r>
      <w:r w:rsidR="004D7942" w:rsidRPr="004D7942">
        <w:rPr>
          <w:lang w:val="en-GB"/>
        </w:rPr>
        <w:t xml:space="preserve"> then enter</w:t>
      </w:r>
      <w:r w:rsidR="004D7942">
        <w:rPr>
          <w:lang w:val="en-GB"/>
        </w:rPr>
        <w:t>ed</w:t>
      </w:r>
      <w:r w:rsidR="004D7942" w:rsidRPr="004D7942">
        <w:rPr>
          <w:lang w:val="en-GB"/>
        </w:rPr>
        <w:t xml:space="preserve"> into FOFM</w:t>
      </w:r>
      <w:r w:rsidR="00777EFF">
        <w:rPr>
          <w:lang w:val="en-GB"/>
        </w:rPr>
        <w:t>S, the department’s grant management system,</w:t>
      </w:r>
      <w:r w:rsidR="004D7942" w:rsidRPr="004D7942">
        <w:rPr>
          <w:lang w:val="en-GB"/>
        </w:rPr>
        <w:t xml:space="preserve"> internally</w:t>
      </w:r>
      <w:r w:rsidR="004D7942">
        <w:rPr>
          <w:lang w:val="en-GB"/>
        </w:rPr>
        <w:t>.  In addition</w:t>
      </w:r>
      <w:r w:rsidR="00777EFF">
        <w:rPr>
          <w:lang w:val="en-GB"/>
        </w:rPr>
        <w:t>,</w:t>
      </w:r>
      <w:r w:rsidR="004D7942">
        <w:rPr>
          <w:lang w:val="en-GB"/>
        </w:rPr>
        <w:t xml:space="preserve"> </w:t>
      </w:r>
      <w:r w:rsidR="004D7942" w:rsidRPr="004D7942">
        <w:rPr>
          <w:lang w:val="en-GB"/>
        </w:rPr>
        <w:t>AIEF has its own reporting documentation and requirements, which are entirely outside of FOFM</w:t>
      </w:r>
      <w:r w:rsidR="005D7AB5">
        <w:rPr>
          <w:lang w:val="en-GB"/>
        </w:rPr>
        <w:t>S</w:t>
      </w:r>
      <w:r w:rsidR="004D7942" w:rsidRPr="004D7942">
        <w:rPr>
          <w:lang w:val="en-GB"/>
        </w:rPr>
        <w:t>.</w:t>
      </w:r>
      <w:r w:rsidRPr="007E25B6">
        <w:rPr>
          <w:lang w:val="en-GB"/>
        </w:rPr>
        <w:t xml:space="preserve"> </w:t>
      </w:r>
      <w:r w:rsidR="004D7942">
        <w:rPr>
          <w:lang w:val="en-GB"/>
        </w:rPr>
        <w:t xml:space="preserve"> </w:t>
      </w:r>
      <w:r w:rsidRPr="007E25B6">
        <w:rPr>
          <w:lang w:val="en-GB"/>
        </w:rPr>
        <w:t>Using the data held by the department, this section provides a snapshot of the IAS funded secondary school scholarships</w:t>
      </w:r>
      <w:r w:rsidR="00291666">
        <w:rPr>
          <w:lang w:val="en-GB"/>
        </w:rPr>
        <w:t xml:space="preserve"> as they are currently delivered</w:t>
      </w:r>
      <w:r w:rsidRPr="007E25B6">
        <w:rPr>
          <w:lang w:val="en-GB"/>
        </w:rPr>
        <w:t>.</w:t>
      </w:r>
    </w:p>
    <w:p w14:paraId="372925D7" w14:textId="1A30F575" w:rsidR="007D6176" w:rsidRDefault="007D6176" w:rsidP="00974303">
      <w:pPr>
        <w:pStyle w:val="PwCNormal"/>
        <w:numPr>
          <w:ilvl w:val="0"/>
          <w:numId w:val="9"/>
        </w:numPr>
        <w:rPr>
          <w:lang w:val="en-GB"/>
        </w:rPr>
      </w:pPr>
      <w:r>
        <w:rPr>
          <w:lang w:val="en-GB"/>
        </w:rPr>
        <w:t>The department held data relating to the IAS funded secondary school scholarships consists of:</w:t>
      </w:r>
    </w:p>
    <w:p w14:paraId="72ECE739" w14:textId="588F22A9" w:rsidR="007D6176" w:rsidRDefault="007D6176" w:rsidP="007D6176">
      <w:pPr>
        <w:pStyle w:val="ListBullet"/>
        <w:rPr>
          <w:snapToGrid/>
        </w:rPr>
      </w:pPr>
      <w:r>
        <w:t>annual performance reports and self-assessment by each provider for IAS, Legacy and COS funding</w:t>
      </w:r>
    </w:p>
    <w:p w14:paraId="056F6E1F" w14:textId="32B7BB3B" w:rsidR="007D6176" w:rsidRDefault="007D6176" w:rsidP="007D6176">
      <w:pPr>
        <w:pStyle w:val="ListBullet"/>
      </w:pPr>
      <w:r>
        <w:t>Excel spreadsheets showing a range of information for most scholarship providers, including information relating to scholarship recipients’ age, gender, home location, scholarship level, secondary school name/location, school type/category, and the expected end date of the scholarship.</w:t>
      </w:r>
    </w:p>
    <w:p w14:paraId="1EE04AD8" w14:textId="77777777" w:rsidR="007D6176" w:rsidRDefault="007D6176" w:rsidP="007D6176">
      <w:pPr>
        <w:pStyle w:val="ListBullet"/>
      </w:pPr>
      <w:r>
        <w:t>case studies of scholar success stories</w:t>
      </w:r>
    </w:p>
    <w:p w14:paraId="1DA4010F" w14:textId="77777777" w:rsidR="007D6176" w:rsidRDefault="007D6176" w:rsidP="007D6176">
      <w:pPr>
        <w:pStyle w:val="ListBullet"/>
      </w:pPr>
      <w:r>
        <w:t>photographs and other miscellaneous material.</w:t>
      </w:r>
    </w:p>
    <w:p w14:paraId="490022C7" w14:textId="09424C29" w:rsidR="005D7648" w:rsidRPr="007E25B6" w:rsidRDefault="005D7648" w:rsidP="005D7648">
      <w:pPr>
        <w:pStyle w:val="PwCNormal"/>
        <w:numPr>
          <w:ilvl w:val="0"/>
          <w:numId w:val="9"/>
        </w:numPr>
        <w:rPr>
          <w:lang w:val="en-GB"/>
        </w:rPr>
      </w:pPr>
      <w:r>
        <w:rPr>
          <w:lang w:val="en-GB"/>
        </w:rPr>
        <w:t>T</w:t>
      </w:r>
      <w:r w:rsidR="007E25B6" w:rsidRPr="007E25B6">
        <w:rPr>
          <w:lang w:val="en-GB"/>
        </w:rPr>
        <w:t xml:space="preserve">he department provided </w:t>
      </w:r>
      <w:r w:rsidR="00291666">
        <w:rPr>
          <w:lang w:val="en-GB"/>
        </w:rPr>
        <w:t xml:space="preserve">PIC with </w:t>
      </w:r>
      <w:r w:rsidR="007E25B6" w:rsidRPr="007E25B6">
        <w:rPr>
          <w:lang w:val="en-GB"/>
        </w:rPr>
        <w:t>data for eight out of the ten scholarship pr</w:t>
      </w:r>
      <w:r>
        <w:rPr>
          <w:lang w:val="en-GB"/>
        </w:rPr>
        <w:t>oviders</w:t>
      </w:r>
      <w:r w:rsidR="00145368">
        <w:rPr>
          <w:lang w:val="en-GB"/>
        </w:rPr>
        <w:t xml:space="preserve"> in an Excel format</w:t>
      </w:r>
      <w:r>
        <w:rPr>
          <w:lang w:val="en-GB"/>
        </w:rPr>
        <w:t xml:space="preserve">. PIC engaged with the other two </w:t>
      </w:r>
      <w:r w:rsidR="007E25B6" w:rsidRPr="007E25B6">
        <w:rPr>
          <w:lang w:val="en-GB"/>
        </w:rPr>
        <w:t xml:space="preserve">scholarship providers and </w:t>
      </w:r>
      <w:r w:rsidR="003B75D7">
        <w:rPr>
          <w:lang w:val="en-GB"/>
        </w:rPr>
        <w:t>was</w:t>
      </w:r>
      <w:r w:rsidR="003B75D7" w:rsidRPr="007E25B6">
        <w:rPr>
          <w:lang w:val="en-GB"/>
        </w:rPr>
        <w:t xml:space="preserve"> </w:t>
      </w:r>
      <w:r w:rsidR="007E25B6" w:rsidRPr="007E25B6">
        <w:rPr>
          <w:lang w:val="en-GB"/>
        </w:rPr>
        <w:t>able to obtain a comprehensive data response from</w:t>
      </w:r>
      <w:r w:rsidR="00291666">
        <w:rPr>
          <w:lang w:val="en-GB"/>
        </w:rPr>
        <w:t xml:space="preserve"> </w:t>
      </w:r>
      <w:r w:rsidR="007E25B6" w:rsidRPr="007E25B6">
        <w:rPr>
          <w:lang w:val="en-GB"/>
        </w:rPr>
        <w:t>one of these organisations. The following snapshot includes data from nine out of the ten scholarship providers.</w:t>
      </w:r>
      <w:r>
        <w:rPr>
          <w:lang w:val="en-GB"/>
        </w:rPr>
        <w:t xml:space="preserve"> For the purposes of providing a snapshot of the IAS funded secondary school scholarships as they are currently delivered, the following overview is based on 2016 data held by the department as </w:t>
      </w:r>
      <w:r w:rsidR="00145368">
        <w:rPr>
          <w:lang w:val="en-GB"/>
        </w:rPr>
        <w:t>this</w:t>
      </w:r>
      <w:r>
        <w:rPr>
          <w:lang w:val="en-GB"/>
        </w:rPr>
        <w:t xml:space="preserve"> was provided in the most consistent manner by scholarship providers.</w:t>
      </w:r>
    </w:p>
    <w:p w14:paraId="7C60B7A9" w14:textId="3C5CA3AE" w:rsidR="007E25B6" w:rsidRPr="007E25B6" w:rsidRDefault="007E25B6" w:rsidP="007E25B6">
      <w:pPr>
        <w:pStyle w:val="PwCNormal"/>
        <w:numPr>
          <w:ilvl w:val="0"/>
          <w:numId w:val="0"/>
        </w:numPr>
        <w:rPr>
          <w:lang w:val="en-GB"/>
        </w:rPr>
      </w:pPr>
    </w:p>
    <w:p w14:paraId="3F726807" w14:textId="642F0086" w:rsidR="0032106D" w:rsidRDefault="0032106D" w:rsidP="0032106D">
      <w:pPr>
        <w:pStyle w:val="Caption"/>
      </w:pPr>
      <w:bookmarkStart w:id="38" w:name="_Ref482214002"/>
      <w:r>
        <w:lastRenderedPageBreak/>
        <w:t xml:space="preserve">Figure </w:t>
      </w:r>
      <w:fldSimple w:instr=" SEQ Figure \* ARABIC ">
        <w:r w:rsidR="009C78D7">
          <w:rPr>
            <w:noProof/>
          </w:rPr>
          <w:t>13</w:t>
        </w:r>
      </w:fldSimple>
      <w:bookmarkEnd w:id="38"/>
      <w:r>
        <w:t>: The</w:t>
      </w:r>
      <w:r w:rsidRPr="003573AE">
        <w:t xml:space="preserve"> IAS funded secondary school scholarship recipients in 2016</w:t>
      </w:r>
    </w:p>
    <w:p w14:paraId="39285524" w14:textId="18FF74CC" w:rsidR="0032106D" w:rsidRDefault="0032106D" w:rsidP="00F57041">
      <w:pPr>
        <w:pStyle w:val="PwCNormal"/>
        <w:jc w:val="center"/>
      </w:pPr>
      <w:r w:rsidRPr="0032106D">
        <w:rPr>
          <w:noProof/>
          <w:lang w:eastAsia="en-AU"/>
        </w:rPr>
        <w:drawing>
          <wp:inline distT="0" distB="0" distL="0" distR="0" wp14:anchorId="3340D283" wp14:editId="18BC9AA9">
            <wp:extent cx="3300046" cy="2233966"/>
            <wp:effectExtent l="0" t="0" r="0" b="0"/>
            <wp:docPr id="47" name="Picture 47" descr="This diagram sets out the gender balance of the 1418 scholarship recipients in 2016 based on data provided by the department for eight providers supplemented by data from one additional provider." title="The IAS funded secondary school scholarship recipients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3302131" cy="2235378"/>
                    </a:xfrm>
                    <a:prstGeom prst="rect">
                      <a:avLst/>
                    </a:prstGeom>
                    <a:noFill/>
                    <a:ln>
                      <a:noFill/>
                    </a:ln>
                  </pic:spPr>
                </pic:pic>
              </a:graphicData>
            </a:graphic>
          </wp:inline>
        </w:drawing>
      </w:r>
    </w:p>
    <w:p w14:paraId="64B86AB0" w14:textId="54DD9929" w:rsidR="0032106D" w:rsidRPr="00F57041" w:rsidRDefault="0032106D" w:rsidP="0032106D">
      <w:pPr>
        <w:pStyle w:val="PwCNormal"/>
        <w:rPr>
          <w:i/>
        </w:rPr>
      </w:pPr>
      <w:r w:rsidRPr="00F57041">
        <w:rPr>
          <w:b/>
          <w:i/>
        </w:rPr>
        <w:t>Note:</w:t>
      </w:r>
      <w:r w:rsidRPr="00F57041">
        <w:rPr>
          <w:i/>
        </w:rPr>
        <w:t xml:space="preserve"> Based on data held by the department for nine out of the ten scholarship providers. </w:t>
      </w:r>
      <w:r w:rsidR="00F03B38">
        <w:rPr>
          <w:i/>
        </w:rPr>
        <w:t>T</w:t>
      </w:r>
      <w:r w:rsidRPr="00F57041">
        <w:rPr>
          <w:i/>
        </w:rPr>
        <w:t xml:space="preserve">he gender of 2.7% of recipients </w:t>
      </w:r>
      <w:r w:rsidR="00F03B38">
        <w:rPr>
          <w:i/>
        </w:rPr>
        <w:t>i</w:t>
      </w:r>
      <w:r w:rsidRPr="00F57041">
        <w:rPr>
          <w:i/>
        </w:rPr>
        <w:t xml:space="preserve">s </w:t>
      </w:r>
      <w:r w:rsidR="00F03B38">
        <w:rPr>
          <w:i/>
        </w:rPr>
        <w:t>not stated.</w:t>
      </w:r>
    </w:p>
    <w:p w14:paraId="05B142EA" w14:textId="2DE3BE4F" w:rsidR="007E25B6" w:rsidRPr="0032106D" w:rsidRDefault="007E25B6" w:rsidP="00DF33CB">
      <w:pPr>
        <w:pStyle w:val="PwCNormal"/>
        <w:numPr>
          <w:ilvl w:val="0"/>
          <w:numId w:val="9"/>
        </w:numPr>
        <w:rPr>
          <w:lang w:val="en-GB"/>
        </w:rPr>
      </w:pPr>
      <w:r w:rsidRPr="0032106D">
        <w:rPr>
          <w:lang w:val="en-GB"/>
        </w:rPr>
        <w:t xml:space="preserve">As illustrated in </w:t>
      </w:r>
      <w:r w:rsidR="0032106D" w:rsidRPr="0032106D">
        <w:rPr>
          <w:lang w:val="en-GB"/>
        </w:rPr>
        <w:fldChar w:fldCharType="begin"/>
      </w:r>
      <w:r w:rsidR="0032106D" w:rsidRPr="0032106D">
        <w:rPr>
          <w:lang w:val="en-GB"/>
        </w:rPr>
        <w:instrText xml:space="preserve"> REF _Ref482214002 \h </w:instrText>
      </w:r>
      <w:r w:rsidR="0032106D">
        <w:rPr>
          <w:lang w:val="en-GB"/>
        </w:rPr>
        <w:instrText xml:space="preserve"> \* MERGEFORMAT </w:instrText>
      </w:r>
      <w:r w:rsidR="0032106D" w:rsidRPr="0032106D">
        <w:rPr>
          <w:lang w:val="en-GB"/>
        </w:rPr>
      </w:r>
      <w:r w:rsidR="0032106D" w:rsidRPr="0032106D">
        <w:rPr>
          <w:lang w:val="en-GB"/>
        </w:rPr>
        <w:fldChar w:fldCharType="separate"/>
      </w:r>
      <w:r w:rsidR="009C78D7">
        <w:t xml:space="preserve">Figure </w:t>
      </w:r>
      <w:r w:rsidR="009C78D7">
        <w:rPr>
          <w:noProof/>
        </w:rPr>
        <w:t>13</w:t>
      </w:r>
      <w:r w:rsidR="0032106D" w:rsidRPr="0032106D">
        <w:rPr>
          <w:lang w:val="en-GB"/>
        </w:rPr>
        <w:fldChar w:fldCharType="end"/>
      </w:r>
      <w:r w:rsidRPr="0032106D">
        <w:rPr>
          <w:lang w:val="en-GB"/>
        </w:rPr>
        <w:t xml:space="preserve">, based on the data held by the department, in 2016 1,418 Aboriginal and Torres Strait Islander young people were recipients of an IAS funded secondary school scholarship. Of the recipients, 52.0% </w:t>
      </w:r>
      <w:r w:rsidR="00291666">
        <w:rPr>
          <w:lang w:val="en-GB"/>
        </w:rPr>
        <w:t xml:space="preserve">of the recipients were male </w:t>
      </w:r>
      <w:r w:rsidRPr="0032106D">
        <w:rPr>
          <w:lang w:val="en-GB"/>
        </w:rPr>
        <w:t>(i.e. 737 scholars)</w:t>
      </w:r>
      <w:r w:rsidR="00291666">
        <w:rPr>
          <w:lang w:val="en-GB"/>
        </w:rPr>
        <w:t xml:space="preserve"> and</w:t>
      </w:r>
      <w:r w:rsidR="000B1E15" w:rsidRPr="0032106D">
        <w:rPr>
          <w:lang w:val="en-GB"/>
        </w:rPr>
        <w:t xml:space="preserve"> 45.3%</w:t>
      </w:r>
      <w:r w:rsidRPr="0032106D">
        <w:rPr>
          <w:lang w:val="en-GB"/>
        </w:rPr>
        <w:t xml:space="preserve"> (</w:t>
      </w:r>
      <w:r w:rsidR="000B1E15" w:rsidRPr="0032106D">
        <w:rPr>
          <w:lang w:val="en-GB"/>
        </w:rPr>
        <w:t>i.e. 643 scholars</w:t>
      </w:r>
      <w:r w:rsidRPr="0032106D">
        <w:rPr>
          <w:lang w:val="en-GB"/>
        </w:rPr>
        <w:t>) were female</w:t>
      </w:r>
      <w:r w:rsidR="00291666">
        <w:rPr>
          <w:lang w:val="en-GB"/>
        </w:rPr>
        <w:t xml:space="preserve">. The </w:t>
      </w:r>
      <w:r w:rsidR="000B1E15" w:rsidRPr="0032106D">
        <w:rPr>
          <w:lang w:val="en-GB"/>
        </w:rPr>
        <w:t xml:space="preserve">gender of 2.7% of scholarship recipients </w:t>
      </w:r>
      <w:r w:rsidR="00291666">
        <w:rPr>
          <w:lang w:val="en-GB"/>
        </w:rPr>
        <w:t xml:space="preserve">(i.e. 38 scholars) </w:t>
      </w:r>
      <w:r w:rsidR="000B1E15" w:rsidRPr="0032106D">
        <w:rPr>
          <w:lang w:val="en-GB"/>
        </w:rPr>
        <w:t>was not stated</w:t>
      </w:r>
      <w:r w:rsidRPr="0032106D">
        <w:rPr>
          <w:lang w:val="en-GB"/>
        </w:rPr>
        <w:t>.</w:t>
      </w:r>
    </w:p>
    <w:p w14:paraId="091AEBF1" w14:textId="0A0F098F" w:rsidR="00D14054" w:rsidRDefault="00D14054" w:rsidP="00D14054">
      <w:pPr>
        <w:pStyle w:val="Caption"/>
      </w:pPr>
      <w:bookmarkStart w:id="39" w:name="_Ref482215024"/>
      <w:r>
        <w:t xml:space="preserve">Figure </w:t>
      </w:r>
      <w:fldSimple w:instr=" SEQ Figure \* ARABIC ">
        <w:r w:rsidR="009C78D7">
          <w:rPr>
            <w:noProof/>
          </w:rPr>
          <w:t>14</w:t>
        </w:r>
      </w:fldSimple>
      <w:bookmarkEnd w:id="39"/>
      <w:r>
        <w:t>: The remoteness of the home communities of the 2016 scholar cohort</w:t>
      </w:r>
    </w:p>
    <w:p w14:paraId="15036061" w14:textId="20C60951" w:rsidR="00D14054" w:rsidRDefault="00D63F3B" w:rsidP="00D63F3B">
      <w:pPr>
        <w:pStyle w:val="PwCNormal"/>
        <w:rPr>
          <w:highlight w:val="yellow"/>
          <w:lang w:val="en-GB"/>
        </w:rPr>
      </w:pPr>
      <w:r w:rsidRPr="00D63F3B">
        <w:rPr>
          <w:noProof/>
          <w:lang w:eastAsia="en-AU"/>
        </w:rPr>
        <w:drawing>
          <wp:inline distT="0" distB="0" distL="0" distR="0" wp14:anchorId="02D28D7C" wp14:editId="49153CB9">
            <wp:extent cx="5153891" cy="3084461"/>
            <wp:effectExtent l="0" t="0" r="8890" b="1905"/>
            <wp:docPr id="60" name="Picture 60" descr="This chart sets out the number of scholarship recipeients by remoteness category described in more detail below." title="The remoteness of the home communities of the 2016 scholar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5157915" cy="3086869"/>
                    </a:xfrm>
                    <a:prstGeom prst="rect">
                      <a:avLst/>
                    </a:prstGeom>
                    <a:noFill/>
                    <a:ln>
                      <a:noFill/>
                    </a:ln>
                  </pic:spPr>
                </pic:pic>
              </a:graphicData>
            </a:graphic>
          </wp:inline>
        </w:drawing>
      </w:r>
    </w:p>
    <w:p w14:paraId="7DEE6B38" w14:textId="558EEA9B" w:rsidR="00D14054" w:rsidRDefault="00D14054" w:rsidP="00D14054">
      <w:pPr>
        <w:pStyle w:val="PwCNormal"/>
        <w:rPr>
          <w:highlight w:val="yellow"/>
          <w:lang w:val="en-GB"/>
        </w:rPr>
      </w:pPr>
      <w:r w:rsidRPr="00F57041">
        <w:rPr>
          <w:b/>
          <w:i/>
        </w:rPr>
        <w:t>Note:</w:t>
      </w:r>
      <w:r w:rsidRPr="00F57041">
        <w:rPr>
          <w:i/>
        </w:rPr>
        <w:t xml:space="preserve"> Based on data held by the department for nine out of the ten scholarship providers.</w:t>
      </w:r>
    </w:p>
    <w:p w14:paraId="6063F86C" w14:textId="3531564C" w:rsidR="00D56A8B" w:rsidRDefault="00D14054" w:rsidP="00D14054">
      <w:pPr>
        <w:pStyle w:val="PwCNormal"/>
        <w:rPr>
          <w:lang w:val="en-GB"/>
        </w:rPr>
      </w:pPr>
      <w:r w:rsidRPr="00D14054">
        <w:rPr>
          <w:lang w:val="en-GB"/>
        </w:rPr>
        <w:fldChar w:fldCharType="begin"/>
      </w:r>
      <w:r w:rsidRPr="00D14054">
        <w:rPr>
          <w:lang w:val="en-GB"/>
        </w:rPr>
        <w:instrText xml:space="preserve"> REF _Ref482215024 \h </w:instrText>
      </w:r>
      <w:r>
        <w:rPr>
          <w:lang w:val="en-GB"/>
        </w:rPr>
        <w:instrText xml:space="preserve"> \* MERGEFORMAT </w:instrText>
      </w:r>
      <w:r w:rsidRPr="00D14054">
        <w:rPr>
          <w:lang w:val="en-GB"/>
        </w:rPr>
      </w:r>
      <w:r w:rsidRPr="00D14054">
        <w:rPr>
          <w:lang w:val="en-GB"/>
        </w:rPr>
        <w:fldChar w:fldCharType="separate"/>
      </w:r>
      <w:r w:rsidR="009C78D7">
        <w:t xml:space="preserve">Figure </w:t>
      </w:r>
      <w:r w:rsidR="009C78D7">
        <w:rPr>
          <w:noProof/>
        </w:rPr>
        <w:t>14</w:t>
      </w:r>
      <w:r w:rsidRPr="00D14054">
        <w:rPr>
          <w:lang w:val="en-GB"/>
        </w:rPr>
        <w:fldChar w:fldCharType="end"/>
      </w:r>
      <w:r w:rsidRPr="00D14054">
        <w:rPr>
          <w:lang w:val="en-GB"/>
        </w:rPr>
        <w:t xml:space="preserve"> </w:t>
      </w:r>
      <w:r w:rsidR="007E25B6" w:rsidRPr="00D14054">
        <w:rPr>
          <w:lang w:val="en-GB"/>
        </w:rPr>
        <w:t>demonstrates the remoteness categories of the home communities of the recipients’ of IAS funded scholarships. It shows that</w:t>
      </w:r>
      <w:r w:rsidR="00D56A8B" w:rsidRPr="00D14054">
        <w:rPr>
          <w:lang w:val="en-GB"/>
        </w:rPr>
        <w:t xml:space="preserve"> </w:t>
      </w:r>
      <w:r w:rsidR="000B1E15" w:rsidRPr="00D14054">
        <w:rPr>
          <w:lang w:val="en-GB"/>
        </w:rPr>
        <w:t>49.7% (i.e. 705 scholars) of scholarship recipients in 2016 were from remote or very remote communities with a further 30.4% (i.e. 431 scholars) from regional areas of Australia.</w:t>
      </w:r>
    </w:p>
    <w:p w14:paraId="433C3559" w14:textId="3D6DBAA0" w:rsidR="00F03B38" w:rsidRDefault="00F03B38" w:rsidP="00F03B38">
      <w:pPr>
        <w:pStyle w:val="PwCNormal"/>
        <w:rPr>
          <w:lang w:val="en-GB"/>
        </w:rPr>
      </w:pPr>
      <w:r>
        <w:rPr>
          <w:lang w:val="en-GB"/>
        </w:rPr>
        <w:t>Further, as outlined below, the majority of scholarship recipients (61.4%) in 2016 were completing Year 10, Year 11 or Year 12.</w:t>
      </w:r>
    </w:p>
    <w:p w14:paraId="77D7699A" w14:textId="77777777" w:rsidR="00F03B38" w:rsidRDefault="00F03B38" w:rsidP="00F03B38">
      <w:pPr>
        <w:pStyle w:val="Caption"/>
      </w:pPr>
      <w:r>
        <w:lastRenderedPageBreak/>
        <w:t xml:space="preserve">Table </w:t>
      </w:r>
      <w:fldSimple w:instr=" SEQ Table \* ARABIC ">
        <w:r w:rsidR="009C78D7">
          <w:rPr>
            <w:noProof/>
          </w:rPr>
          <w:t>6</w:t>
        </w:r>
      </w:fldSimple>
      <w:r>
        <w:t>: Distribution of scholarship recipients by school level</w:t>
      </w:r>
    </w:p>
    <w:tbl>
      <w:tblPr>
        <w:tblStyle w:val="ListTable3-Accent11"/>
        <w:tblW w:w="8709" w:type="dxa"/>
        <w:tblInd w:w="165" w:type="dxa"/>
        <w:tblLayout w:type="fixed"/>
        <w:tblLook w:val="04A0" w:firstRow="1" w:lastRow="0" w:firstColumn="1" w:lastColumn="0" w:noHBand="0" w:noVBand="1"/>
        <w:tblCaption w:val="Table 6: Distribution of scholarship recipients by school level"/>
        <w:tblDescription w:val="Year 6 – No. of recipients: 1, 0.8%&#10;Year 7 – No. of recipients: 110, 7.8%&#10;Year 8 – No. of recipients: 202, 14.2%&#10;Year 9 – No. of recipients: 234, 16.5%&#10;Year 10 – No. of recipients: 317, 22.4%&#10;Year 11 – No. of recipients: 312, 22.0%&#10;Year 12 – No. of recipients: 242, 17.1%&#10;Total – No. of recipients: 1418, 100.0%"/>
      </w:tblPr>
      <w:tblGrid>
        <w:gridCol w:w="1276"/>
        <w:gridCol w:w="929"/>
        <w:gridCol w:w="929"/>
        <w:gridCol w:w="929"/>
        <w:gridCol w:w="929"/>
        <w:gridCol w:w="929"/>
        <w:gridCol w:w="929"/>
        <w:gridCol w:w="929"/>
        <w:gridCol w:w="930"/>
      </w:tblGrid>
      <w:tr w:rsidR="00F03B38" w:rsidRPr="00164007" w14:paraId="4BAB21EE" w14:textId="77777777" w:rsidTr="002F1AC5">
        <w:trPr>
          <w:cnfStyle w:val="100000000000" w:firstRow="1" w:lastRow="0" w:firstColumn="0" w:lastColumn="0" w:oddVBand="0" w:evenVBand="0" w:oddHBand="0" w:evenHBand="0" w:firstRowFirstColumn="0" w:firstRowLastColumn="0" w:lastRowFirstColumn="0" w:lastRowLastColumn="0"/>
          <w:trHeight w:val="484"/>
          <w:tblHeader/>
        </w:trPr>
        <w:tc>
          <w:tcPr>
            <w:cnfStyle w:val="001000000100" w:firstRow="0" w:lastRow="0" w:firstColumn="1" w:lastColumn="0" w:oddVBand="0" w:evenVBand="0" w:oddHBand="0" w:evenHBand="0" w:firstRowFirstColumn="1" w:firstRowLastColumn="0" w:lastRowFirstColumn="0" w:lastRowLastColumn="0"/>
            <w:tcW w:w="1276" w:type="dxa"/>
            <w:vAlign w:val="center"/>
          </w:tcPr>
          <w:p w14:paraId="1DFB23B8" w14:textId="77777777" w:rsidR="00F03B38" w:rsidRPr="00164007" w:rsidRDefault="00F03B38" w:rsidP="00C21D05">
            <w:pPr>
              <w:kinsoku/>
              <w:overflowPunct/>
              <w:autoSpaceDE/>
              <w:autoSpaceDN/>
              <w:adjustRightInd/>
              <w:snapToGrid/>
              <w:jc w:val="center"/>
              <w:rPr>
                <w:rFonts w:asciiTheme="majorHAnsi" w:hAnsiTheme="majorHAnsi"/>
                <w:snapToGrid/>
                <w:color w:val="000000"/>
                <w:sz w:val="18"/>
                <w:szCs w:val="22"/>
                <w:lang w:eastAsia="en-AU"/>
              </w:rPr>
            </w:pPr>
          </w:p>
        </w:tc>
        <w:tc>
          <w:tcPr>
            <w:tcW w:w="929" w:type="dxa"/>
            <w:noWrap/>
            <w:vAlign w:val="center"/>
            <w:hideMark/>
          </w:tcPr>
          <w:p w14:paraId="46961D8A" w14:textId="77777777" w:rsidR="00F03B38" w:rsidRPr="00164007" w:rsidRDefault="00F03B38" w:rsidP="00C21D05">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6</w:t>
            </w:r>
          </w:p>
        </w:tc>
        <w:tc>
          <w:tcPr>
            <w:tcW w:w="929" w:type="dxa"/>
            <w:noWrap/>
            <w:vAlign w:val="center"/>
            <w:hideMark/>
          </w:tcPr>
          <w:p w14:paraId="07F80CDB" w14:textId="77777777" w:rsidR="00F03B38" w:rsidRPr="00164007" w:rsidRDefault="00F03B38" w:rsidP="00C21D05">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7</w:t>
            </w:r>
          </w:p>
        </w:tc>
        <w:tc>
          <w:tcPr>
            <w:tcW w:w="929" w:type="dxa"/>
            <w:noWrap/>
            <w:vAlign w:val="center"/>
            <w:hideMark/>
          </w:tcPr>
          <w:p w14:paraId="5211D93E" w14:textId="77777777" w:rsidR="00F03B38" w:rsidRPr="00164007" w:rsidRDefault="00F03B38" w:rsidP="00C21D05">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8</w:t>
            </w:r>
          </w:p>
        </w:tc>
        <w:tc>
          <w:tcPr>
            <w:tcW w:w="929" w:type="dxa"/>
            <w:noWrap/>
            <w:vAlign w:val="center"/>
            <w:hideMark/>
          </w:tcPr>
          <w:p w14:paraId="11C7F565" w14:textId="77777777" w:rsidR="00F03B38" w:rsidRPr="00164007" w:rsidRDefault="00F03B38" w:rsidP="00C21D05">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9</w:t>
            </w:r>
          </w:p>
        </w:tc>
        <w:tc>
          <w:tcPr>
            <w:tcW w:w="929" w:type="dxa"/>
            <w:noWrap/>
            <w:vAlign w:val="center"/>
            <w:hideMark/>
          </w:tcPr>
          <w:p w14:paraId="3F1DDD50" w14:textId="77777777" w:rsidR="00F03B38" w:rsidRPr="00164007" w:rsidRDefault="00F03B38" w:rsidP="00C21D05">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10</w:t>
            </w:r>
          </w:p>
        </w:tc>
        <w:tc>
          <w:tcPr>
            <w:tcW w:w="929" w:type="dxa"/>
            <w:noWrap/>
            <w:vAlign w:val="center"/>
            <w:hideMark/>
          </w:tcPr>
          <w:p w14:paraId="77C013AF" w14:textId="77777777" w:rsidR="00F03B38" w:rsidRPr="00164007" w:rsidRDefault="00F03B38" w:rsidP="00C21D05">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11</w:t>
            </w:r>
          </w:p>
        </w:tc>
        <w:tc>
          <w:tcPr>
            <w:tcW w:w="929" w:type="dxa"/>
            <w:noWrap/>
            <w:vAlign w:val="center"/>
            <w:hideMark/>
          </w:tcPr>
          <w:p w14:paraId="1EC027AC" w14:textId="77777777" w:rsidR="00F03B38" w:rsidRPr="00164007" w:rsidRDefault="00F03B38" w:rsidP="00C21D05">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Year 12</w:t>
            </w:r>
          </w:p>
        </w:tc>
        <w:tc>
          <w:tcPr>
            <w:tcW w:w="930" w:type="dxa"/>
            <w:vAlign w:val="center"/>
          </w:tcPr>
          <w:p w14:paraId="4CBEB824" w14:textId="77777777" w:rsidR="00F03B38" w:rsidRPr="00164007" w:rsidRDefault="00F03B38" w:rsidP="00C21D05">
            <w:pPr>
              <w:kinsoku/>
              <w:overflowPunct/>
              <w:autoSpaceDE/>
              <w:autoSpaceDN/>
              <w:adjustRightInd/>
              <w:snapToGrid/>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18"/>
                <w:szCs w:val="22"/>
                <w:lang w:eastAsia="en-AU"/>
              </w:rPr>
            </w:pPr>
            <w:r w:rsidRPr="00164007">
              <w:rPr>
                <w:rFonts w:asciiTheme="majorHAnsi" w:hAnsiTheme="majorHAnsi"/>
                <w:snapToGrid/>
                <w:sz w:val="18"/>
                <w:szCs w:val="22"/>
                <w:lang w:eastAsia="en-AU"/>
              </w:rPr>
              <w:t>Total</w:t>
            </w:r>
          </w:p>
        </w:tc>
      </w:tr>
      <w:tr w:rsidR="00F03B38" w:rsidRPr="00164007" w14:paraId="55DB4804" w14:textId="77777777" w:rsidTr="00C21D0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F419407" w14:textId="77777777" w:rsidR="00F03B38" w:rsidRPr="00164007" w:rsidRDefault="00F03B38" w:rsidP="00C21D05">
            <w:pPr>
              <w:kinsoku/>
              <w:overflowPunct/>
              <w:autoSpaceDE/>
              <w:autoSpaceDN/>
              <w:adjustRightInd/>
              <w:snapToGrid/>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N</w:t>
            </w:r>
            <w:r>
              <w:rPr>
                <w:rFonts w:asciiTheme="majorHAnsi" w:hAnsiTheme="majorHAnsi"/>
                <w:snapToGrid/>
                <w:color w:val="000000"/>
                <w:sz w:val="18"/>
                <w:szCs w:val="22"/>
                <w:lang w:eastAsia="en-AU"/>
              </w:rPr>
              <w:t>o.</w:t>
            </w:r>
            <w:r w:rsidRPr="00164007">
              <w:rPr>
                <w:rFonts w:asciiTheme="majorHAnsi" w:hAnsiTheme="majorHAnsi"/>
                <w:snapToGrid/>
                <w:color w:val="000000"/>
                <w:sz w:val="18"/>
                <w:szCs w:val="22"/>
                <w:lang w:eastAsia="en-AU"/>
              </w:rPr>
              <w:t xml:space="preserve"> of recipients</w:t>
            </w:r>
          </w:p>
        </w:tc>
        <w:tc>
          <w:tcPr>
            <w:tcW w:w="929" w:type="dxa"/>
            <w:noWrap/>
            <w:vAlign w:val="center"/>
          </w:tcPr>
          <w:p w14:paraId="11D8D851" w14:textId="77777777" w:rsidR="00F03B38" w:rsidRPr="00164007" w:rsidRDefault="00F03B38" w:rsidP="00C21D05">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w:t>
            </w:r>
          </w:p>
        </w:tc>
        <w:tc>
          <w:tcPr>
            <w:tcW w:w="929" w:type="dxa"/>
            <w:noWrap/>
            <w:vAlign w:val="center"/>
          </w:tcPr>
          <w:p w14:paraId="46EF53FF" w14:textId="77777777" w:rsidR="00F03B38" w:rsidRPr="00164007" w:rsidRDefault="00F03B38" w:rsidP="00C21D05">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110</w:t>
            </w:r>
          </w:p>
        </w:tc>
        <w:tc>
          <w:tcPr>
            <w:tcW w:w="929" w:type="dxa"/>
            <w:noWrap/>
            <w:vAlign w:val="center"/>
          </w:tcPr>
          <w:p w14:paraId="66763CCB" w14:textId="77777777" w:rsidR="00F03B38" w:rsidRPr="00164007" w:rsidRDefault="00F03B38" w:rsidP="00C21D05">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202</w:t>
            </w:r>
          </w:p>
        </w:tc>
        <w:tc>
          <w:tcPr>
            <w:tcW w:w="929" w:type="dxa"/>
            <w:noWrap/>
            <w:vAlign w:val="center"/>
          </w:tcPr>
          <w:p w14:paraId="61072BCF" w14:textId="77777777" w:rsidR="00F03B38" w:rsidRPr="00164007" w:rsidRDefault="00F03B38" w:rsidP="00C21D05">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234</w:t>
            </w:r>
          </w:p>
        </w:tc>
        <w:tc>
          <w:tcPr>
            <w:tcW w:w="929" w:type="dxa"/>
            <w:noWrap/>
            <w:vAlign w:val="center"/>
          </w:tcPr>
          <w:p w14:paraId="6B288BE6" w14:textId="77777777" w:rsidR="00F03B38" w:rsidRPr="00164007" w:rsidRDefault="00F03B38" w:rsidP="00C21D05">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317</w:t>
            </w:r>
          </w:p>
        </w:tc>
        <w:tc>
          <w:tcPr>
            <w:tcW w:w="929" w:type="dxa"/>
            <w:noWrap/>
            <w:vAlign w:val="center"/>
          </w:tcPr>
          <w:p w14:paraId="0D8BDF62" w14:textId="77777777" w:rsidR="00F03B38" w:rsidRPr="00164007" w:rsidRDefault="00F03B38" w:rsidP="00C21D05">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312</w:t>
            </w:r>
          </w:p>
        </w:tc>
        <w:tc>
          <w:tcPr>
            <w:tcW w:w="929" w:type="dxa"/>
            <w:noWrap/>
            <w:vAlign w:val="center"/>
          </w:tcPr>
          <w:p w14:paraId="4A056A93" w14:textId="77777777" w:rsidR="00F03B38" w:rsidRPr="00164007" w:rsidRDefault="00F03B38" w:rsidP="00C21D05">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242</w:t>
            </w:r>
          </w:p>
        </w:tc>
        <w:tc>
          <w:tcPr>
            <w:tcW w:w="930" w:type="dxa"/>
            <w:vAlign w:val="center"/>
          </w:tcPr>
          <w:p w14:paraId="4CD6572D" w14:textId="77777777" w:rsidR="00F03B38" w:rsidRPr="00164007" w:rsidRDefault="00F03B38" w:rsidP="00C21D05">
            <w:pPr>
              <w:kinsoku/>
              <w:overflowPunct/>
              <w:autoSpaceDE/>
              <w:autoSpaceDN/>
              <w:adjustRightInd/>
              <w:snapToGrid/>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1,418</w:t>
            </w:r>
          </w:p>
        </w:tc>
      </w:tr>
      <w:tr w:rsidR="00F03B38" w:rsidRPr="00164007" w14:paraId="64DA51D1" w14:textId="77777777" w:rsidTr="00C21D05">
        <w:trPr>
          <w:trHeight w:val="48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866A628" w14:textId="77777777" w:rsidR="00F03B38" w:rsidRPr="00164007" w:rsidRDefault="00F03B38" w:rsidP="00C21D05">
            <w:pPr>
              <w:kinsoku/>
              <w:overflowPunct/>
              <w:autoSpaceDE/>
              <w:autoSpaceDN/>
              <w:adjustRightInd/>
              <w:snapToGrid/>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P</w:t>
            </w:r>
            <w:r>
              <w:rPr>
                <w:rFonts w:asciiTheme="majorHAnsi" w:hAnsiTheme="majorHAnsi"/>
                <w:snapToGrid/>
                <w:color w:val="000000"/>
                <w:sz w:val="18"/>
                <w:szCs w:val="22"/>
                <w:lang w:eastAsia="en-AU"/>
              </w:rPr>
              <w:t>ercentage</w:t>
            </w:r>
          </w:p>
        </w:tc>
        <w:tc>
          <w:tcPr>
            <w:tcW w:w="929" w:type="dxa"/>
            <w:noWrap/>
            <w:vAlign w:val="center"/>
            <w:hideMark/>
          </w:tcPr>
          <w:p w14:paraId="75012B2A" w14:textId="77777777" w:rsidR="00F03B38" w:rsidRPr="00164007" w:rsidRDefault="00F03B38" w:rsidP="00C21D05">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0.1%</w:t>
            </w:r>
          </w:p>
        </w:tc>
        <w:tc>
          <w:tcPr>
            <w:tcW w:w="929" w:type="dxa"/>
            <w:noWrap/>
            <w:vAlign w:val="center"/>
            <w:hideMark/>
          </w:tcPr>
          <w:p w14:paraId="48E1D3E8" w14:textId="77777777" w:rsidR="00F03B38" w:rsidRPr="00164007" w:rsidRDefault="00F03B38" w:rsidP="00C21D05">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7.8%</w:t>
            </w:r>
          </w:p>
        </w:tc>
        <w:tc>
          <w:tcPr>
            <w:tcW w:w="929" w:type="dxa"/>
            <w:noWrap/>
            <w:vAlign w:val="center"/>
            <w:hideMark/>
          </w:tcPr>
          <w:p w14:paraId="1A8B499E" w14:textId="77777777" w:rsidR="00F03B38" w:rsidRPr="00164007" w:rsidRDefault="00F03B38" w:rsidP="00C21D05">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14.2%</w:t>
            </w:r>
          </w:p>
        </w:tc>
        <w:tc>
          <w:tcPr>
            <w:tcW w:w="929" w:type="dxa"/>
            <w:noWrap/>
            <w:vAlign w:val="center"/>
            <w:hideMark/>
          </w:tcPr>
          <w:p w14:paraId="6C94002C" w14:textId="77777777" w:rsidR="00F03B38" w:rsidRPr="00164007" w:rsidRDefault="00F03B38" w:rsidP="00C21D05">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16.5%</w:t>
            </w:r>
          </w:p>
        </w:tc>
        <w:tc>
          <w:tcPr>
            <w:tcW w:w="929" w:type="dxa"/>
            <w:noWrap/>
            <w:vAlign w:val="center"/>
            <w:hideMark/>
          </w:tcPr>
          <w:p w14:paraId="04D786A8" w14:textId="77777777" w:rsidR="00F03B38" w:rsidRPr="00164007" w:rsidRDefault="00F03B38" w:rsidP="00C21D05">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22.4%</w:t>
            </w:r>
          </w:p>
        </w:tc>
        <w:tc>
          <w:tcPr>
            <w:tcW w:w="929" w:type="dxa"/>
            <w:noWrap/>
            <w:vAlign w:val="center"/>
            <w:hideMark/>
          </w:tcPr>
          <w:p w14:paraId="5B559972" w14:textId="77777777" w:rsidR="00F03B38" w:rsidRPr="00164007" w:rsidRDefault="00F03B38" w:rsidP="00C21D05">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22.0%</w:t>
            </w:r>
          </w:p>
        </w:tc>
        <w:tc>
          <w:tcPr>
            <w:tcW w:w="929" w:type="dxa"/>
            <w:noWrap/>
            <w:vAlign w:val="center"/>
            <w:hideMark/>
          </w:tcPr>
          <w:p w14:paraId="7DEC9003" w14:textId="77777777" w:rsidR="00F03B38" w:rsidRPr="00164007" w:rsidRDefault="00F03B38" w:rsidP="00C21D05">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17.1%</w:t>
            </w:r>
          </w:p>
        </w:tc>
        <w:tc>
          <w:tcPr>
            <w:tcW w:w="930" w:type="dxa"/>
            <w:vAlign w:val="center"/>
          </w:tcPr>
          <w:p w14:paraId="775DCEFA" w14:textId="77777777" w:rsidR="00F03B38" w:rsidRPr="00164007" w:rsidRDefault="00F03B38" w:rsidP="00C21D05">
            <w:pPr>
              <w:kinsoku/>
              <w:overflowPunct/>
              <w:autoSpaceDE/>
              <w:autoSpaceDN/>
              <w:adjustRightInd/>
              <w:snapToGrid/>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color w:val="000000"/>
                <w:sz w:val="18"/>
                <w:szCs w:val="22"/>
                <w:lang w:eastAsia="en-AU"/>
              </w:rPr>
            </w:pPr>
            <w:r w:rsidRPr="00164007">
              <w:rPr>
                <w:rFonts w:asciiTheme="majorHAnsi" w:hAnsiTheme="majorHAnsi"/>
                <w:snapToGrid/>
                <w:color w:val="000000"/>
                <w:sz w:val="18"/>
                <w:szCs w:val="22"/>
                <w:lang w:eastAsia="en-AU"/>
              </w:rPr>
              <w:t>100.0%</w:t>
            </w:r>
          </w:p>
        </w:tc>
      </w:tr>
    </w:tbl>
    <w:p w14:paraId="03E354E3" w14:textId="77777777" w:rsidR="00F03B38" w:rsidRPr="00D14054" w:rsidRDefault="00F03B38" w:rsidP="00D14054">
      <w:pPr>
        <w:pStyle w:val="PwCNormal"/>
        <w:rPr>
          <w:lang w:val="en-GB"/>
        </w:rPr>
      </w:pPr>
    </w:p>
    <w:p w14:paraId="27F6801F" w14:textId="3437F787" w:rsidR="0032106D" w:rsidRDefault="00291666" w:rsidP="0032106D">
      <w:pPr>
        <w:pStyle w:val="PwCNormal"/>
      </w:pPr>
      <w:r>
        <w:t>In 2016</w:t>
      </w:r>
      <w:r w:rsidR="00F03B38">
        <w:t>,</w:t>
      </w:r>
      <w:r>
        <w:t xml:space="preserve"> </w:t>
      </w:r>
      <w:r w:rsidR="0032106D">
        <w:t xml:space="preserve">the IAS funded scholarship providers </w:t>
      </w:r>
      <w:r w:rsidR="00F825E6">
        <w:t>had active</w:t>
      </w:r>
      <w:r w:rsidR="0032106D">
        <w:t xml:space="preserve"> partnerships with more than </w:t>
      </w:r>
      <w:r w:rsidR="00974303">
        <w:t>115</w:t>
      </w:r>
      <w:r w:rsidR="0032106D">
        <w:t xml:space="preserve"> Catholic, independent and public schools around Australia. </w:t>
      </w:r>
      <w:r w:rsidR="0032106D">
        <w:fldChar w:fldCharType="begin"/>
      </w:r>
      <w:r w:rsidR="0032106D">
        <w:instrText xml:space="preserve"> REF _Ref478727153 \h </w:instrText>
      </w:r>
      <w:r w:rsidR="0032106D">
        <w:fldChar w:fldCharType="separate"/>
      </w:r>
      <w:r w:rsidR="009C78D7">
        <w:t xml:space="preserve">Figure </w:t>
      </w:r>
      <w:r w:rsidR="009C78D7">
        <w:rPr>
          <w:noProof/>
        </w:rPr>
        <w:t>15</w:t>
      </w:r>
      <w:r w:rsidR="0032106D">
        <w:fldChar w:fldCharType="end"/>
      </w:r>
      <w:r w:rsidR="0032106D">
        <w:t xml:space="preserve"> summarises the location and number of education partners</w:t>
      </w:r>
      <w:r>
        <w:t xml:space="preserve"> in 2016</w:t>
      </w:r>
      <w:r w:rsidR="0032106D">
        <w:t>, as well as the number of secondary scholarship recipients in each state and territory.</w:t>
      </w:r>
    </w:p>
    <w:p w14:paraId="339DC6FD" w14:textId="309F699F" w:rsidR="00234576" w:rsidRDefault="00234576" w:rsidP="00234576">
      <w:pPr>
        <w:pStyle w:val="Caption"/>
        <w:rPr>
          <w:b w:val="0"/>
          <w:i/>
          <w:iCs/>
          <w:sz w:val="28"/>
          <w:szCs w:val="28"/>
        </w:rPr>
      </w:pPr>
      <w:bookmarkStart w:id="40" w:name="_Ref478727153"/>
      <w:r>
        <w:t xml:space="preserve">Figure </w:t>
      </w:r>
      <w:fldSimple w:instr=" SEQ Figure \* ARABIC ">
        <w:r w:rsidR="009C78D7">
          <w:rPr>
            <w:noProof/>
          </w:rPr>
          <w:t>15</w:t>
        </w:r>
      </w:fldSimple>
      <w:bookmarkEnd w:id="40"/>
      <w:r>
        <w:t xml:space="preserve">: Number of education partners and secondary scholarships in 2016 </w:t>
      </w:r>
    </w:p>
    <w:p w14:paraId="46E7A5B0" w14:textId="0EE2E74B" w:rsidR="00234576" w:rsidRDefault="00974303" w:rsidP="00974303">
      <w:pPr>
        <w:pStyle w:val="PwCNormal"/>
        <w:numPr>
          <w:ilvl w:val="0"/>
          <w:numId w:val="0"/>
        </w:numPr>
        <w:rPr>
          <w:b/>
          <w:i/>
          <w:iCs/>
          <w:color w:val="A32020" w:themeColor="text2"/>
          <w:sz w:val="28"/>
          <w:szCs w:val="28"/>
        </w:rPr>
      </w:pPr>
      <w:r w:rsidRPr="00974303">
        <w:rPr>
          <w:noProof/>
          <w:lang w:eastAsia="en-AU"/>
        </w:rPr>
        <w:drawing>
          <wp:inline distT="0" distB="0" distL="0" distR="0" wp14:anchorId="166C1EA2" wp14:editId="2D0B783A">
            <wp:extent cx="5419090" cy="3814118"/>
            <wp:effectExtent l="0" t="0" r="0" b="0"/>
            <wp:docPr id="61" name="Picture 61" descr="Based on data provider by the Department this diagram presents (on a map of Australia) the number of scholarships and education partnersr in 2016 in each state and territory." title="Number of education partners and secondary scholarships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419090" cy="3814118"/>
                    </a:xfrm>
                    <a:prstGeom prst="rect">
                      <a:avLst/>
                    </a:prstGeom>
                    <a:noFill/>
                    <a:ln>
                      <a:noFill/>
                    </a:ln>
                  </pic:spPr>
                </pic:pic>
              </a:graphicData>
            </a:graphic>
          </wp:inline>
        </w:drawing>
      </w:r>
    </w:p>
    <w:p w14:paraId="3FCC193E" w14:textId="49A7D483" w:rsidR="00234576" w:rsidRPr="00B903DD" w:rsidRDefault="00234576" w:rsidP="00234576">
      <w:pPr>
        <w:pStyle w:val="PwCNormal"/>
        <w:numPr>
          <w:ilvl w:val="0"/>
          <w:numId w:val="0"/>
        </w:numPr>
        <w:rPr>
          <w:i/>
          <w:iCs/>
        </w:rPr>
      </w:pPr>
      <w:r w:rsidRPr="000F00F7">
        <w:rPr>
          <w:b/>
          <w:i/>
          <w:iCs/>
        </w:rPr>
        <w:t>Note:</w:t>
      </w:r>
      <w:r w:rsidRPr="00B903DD">
        <w:rPr>
          <w:i/>
          <w:iCs/>
        </w:rPr>
        <w:t xml:space="preserve"> </w:t>
      </w:r>
      <w:r>
        <w:rPr>
          <w:i/>
          <w:iCs/>
        </w:rPr>
        <w:t>Based on data held by the department for nine out of the ten scholarship providers.</w:t>
      </w:r>
    </w:p>
    <w:p w14:paraId="26FA9D84" w14:textId="4F70818F" w:rsidR="008F7378" w:rsidRDefault="008F7378" w:rsidP="008F7378">
      <w:pPr>
        <w:pStyle w:val="PwCNormal"/>
        <w:numPr>
          <w:ilvl w:val="0"/>
          <w:numId w:val="0"/>
        </w:numPr>
      </w:pPr>
      <w:r>
        <w:t>When aggregated, the reports submitted to the department by each scholarship provider highlight a range of significant achievements by the 2016 cohort of scholarship recipients. Most notably, of the 242 scholarship recipients in their final year of secondary school</w:t>
      </w:r>
      <w:r w:rsidR="00B95968">
        <w:t xml:space="preserve">, the scholarship providers reported that </w:t>
      </w:r>
      <w:r>
        <w:t xml:space="preserve">235 graduated Year 12. This represents a </w:t>
      </w:r>
      <w:r w:rsidR="00B95968">
        <w:t xml:space="preserve">reported </w:t>
      </w:r>
      <w:r w:rsidR="00F03B38">
        <w:t xml:space="preserve">Year 12 </w:t>
      </w:r>
      <w:r>
        <w:t>graduation rate for 2016 of 97.1%.</w:t>
      </w:r>
    </w:p>
    <w:p w14:paraId="163F734F" w14:textId="77777777" w:rsidR="00DF33CB" w:rsidRPr="00BD09D2" w:rsidRDefault="00DF33CB" w:rsidP="00DF33CB">
      <w:pPr>
        <w:pStyle w:val="Heading6"/>
        <w:spacing w:after="240"/>
        <w:ind w:left="851" w:hanging="851"/>
        <w:rPr>
          <w:lang w:val="en-GB"/>
        </w:rPr>
      </w:pPr>
      <w:bookmarkStart w:id="41" w:name="_Ref481687470"/>
      <w:r>
        <w:rPr>
          <w:lang w:val="en-GB"/>
        </w:rPr>
        <w:t>Responses to the data request</w:t>
      </w:r>
      <w:bookmarkEnd w:id="41"/>
    </w:p>
    <w:p w14:paraId="1B375440" w14:textId="11B13882" w:rsidR="00DF33CB" w:rsidRDefault="00DF33CB" w:rsidP="00DF33CB">
      <w:pPr>
        <w:pStyle w:val="ListBullet"/>
        <w:numPr>
          <w:ilvl w:val="0"/>
          <w:numId w:val="0"/>
        </w:numPr>
        <w:rPr>
          <w:lang w:val="en-GB"/>
        </w:rPr>
      </w:pPr>
      <w:r w:rsidRPr="00D17237">
        <w:rPr>
          <w:lang w:val="en-GB"/>
        </w:rPr>
        <w:t>On 15 February 2017, PIC sent a data request</w:t>
      </w:r>
      <w:r>
        <w:rPr>
          <w:lang w:val="en-GB"/>
        </w:rPr>
        <w:t xml:space="preserve"> (see </w:t>
      </w:r>
      <w:r w:rsidR="00197BBC">
        <w:rPr>
          <w:lang w:val="en-GB"/>
        </w:rPr>
        <w:t>Appendix D</w:t>
      </w:r>
      <w:r>
        <w:rPr>
          <w:lang w:val="en-GB"/>
        </w:rPr>
        <w:t>)</w:t>
      </w:r>
      <w:r w:rsidRPr="00D17237">
        <w:rPr>
          <w:lang w:val="en-GB"/>
        </w:rPr>
        <w:t xml:space="preserve"> to </w:t>
      </w:r>
      <w:r>
        <w:rPr>
          <w:lang w:val="en-GB"/>
        </w:rPr>
        <w:t xml:space="preserve">all </w:t>
      </w:r>
      <w:r w:rsidRPr="00D17237">
        <w:rPr>
          <w:lang w:val="en-GB"/>
        </w:rPr>
        <w:t xml:space="preserve">scholarship providers which asked each to provide all data that is currently collected relating to the </w:t>
      </w:r>
      <w:r>
        <w:rPr>
          <w:lang w:val="en-GB"/>
        </w:rPr>
        <w:t xml:space="preserve">IAS funded secondary school scholarships, including unit record level data. The intention of the data request was to build as comprehensive a picture as possible of the current delivery of the IAS funded secondary school scholarships and to understand any </w:t>
      </w:r>
      <w:r w:rsidR="00F308AE">
        <w:rPr>
          <w:lang w:val="en-GB"/>
        </w:rPr>
        <w:t xml:space="preserve">gaps or </w:t>
      </w:r>
      <w:r>
        <w:rPr>
          <w:lang w:val="en-GB"/>
        </w:rPr>
        <w:t xml:space="preserve">variability in the data collection </w:t>
      </w:r>
      <w:r>
        <w:rPr>
          <w:lang w:val="en-GB"/>
        </w:rPr>
        <w:lastRenderedPageBreak/>
        <w:t>processes and capabilities of the scholarship providers. The five lines of inquiry of the data request were:</w:t>
      </w:r>
    </w:p>
    <w:p w14:paraId="34A7D7B8" w14:textId="77777777" w:rsidR="00DF33CB" w:rsidRDefault="00DF33CB" w:rsidP="00DF33CB">
      <w:pPr>
        <w:pStyle w:val="ChapterNumberedList1"/>
      </w:pPr>
      <w:r>
        <w:t>administration and delivery</w:t>
      </w:r>
    </w:p>
    <w:p w14:paraId="260B77BA" w14:textId="77777777" w:rsidR="00DF33CB" w:rsidRDefault="00DF33CB" w:rsidP="00DF33CB">
      <w:pPr>
        <w:pStyle w:val="ChapterNumberedList1"/>
      </w:pPr>
      <w:r>
        <w:t>student application and selection processes</w:t>
      </w:r>
    </w:p>
    <w:p w14:paraId="20FCD1CB" w14:textId="77777777" w:rsidR="00DF33CB" w:rsidRDefault="00DF33CB" w:rsidP="00DF33CB">
      <w:pPr>
        <w:pStyle w:val="ChapterNumberedList1"/>
      </w:pPr>
      <w:r>
        <w:t>current and future need</w:t>
      </w:r>
    </w:p>
    <w:p w14:paraId="1E092D91" w14:textId="77777777" w:rsidR="00DF33CB" w:rsidRDefault="00DF33CB" w:rsidP="00DF33CB">
      <w:pPr>
        <w:pStyle w:val="ChapterNumberedList1"/>
      </w:pPr>
      <w:r>
        <w:t>costs and value for money</w:t>
      </w:r>
    </w:p>
    <w:p w14:paraId="6125DED4" w14:textId="77777777" w:rsidR="00DF33CB" w:rsidRDefault="00DF33CB" w:rsidP="00DF33CB">
      <w:pPr>
        <w:pStyle w:val="ChapterNumberedList1"/>
      </w:pPr>
      <w:r>
        <w:t>impact and outcomes.</w:t>
      </w:r>
    </w:p>
    <w:p w14:paraId="04E24BFA" w14:textId="61C08BDF" w:rsidR="00DF33CB" w:rsidRPr="00D17237" w:rsidRDefault="00DF33CB" w:rsidP="00DF33CB">
      <w:pPr>
        <w:pStyle w:val="ListBullet"/>
        <w:numPr>
          <w:ilvl w:val="0"/>
          <w:numId w:val="0"/>
        </w:numPr>
        <w:rPr>
          <w:lang w:val="en-GB"/>
        </w:rPr>
      </w:pPr>
      <w:r>
        <w:rPr>
          <w:lang w:val="en-GB"/>
        </w:rPr>
        <w:t xml:space="preserve">All </w:t>
      </w:r>
      <w:r w:rsidRPr="009E6B53">
        <w:rPr>
          <w:lang w:val="en-GB"/>
        </w:rPr>
        <w:t xml:space="preserve">scholarship providers responded to the data request. </w:t>
      </w:r>
      <w:r>
        <w:rPr>
          <w:lang w:val="en-GB"/>
        </w:rPr>
        <w:t>However, as outlined in</w:t>
      </w:r>
      <w:r w:rsidR="00DE12AF">
        <w:rPr>
          <w:lang w:val="en-GB"/>
        </w:rPr>
        <w:t xml:space="preserve"> Section</w:t>
      </w:r>
      <w:r>
        <w:rPr>
          <w:lang w:val="en-GB"/>
        </w:rPr>
        <w:t xml:space="preserve"> </w:t>
      </w:r>
      <w:r w:rsidR="00DE12AF">
        <w:rPr>
          <w:lang w:val="en-GB"/>
        </w:rPr>
        <w:fldChar w:fldCharType="begin"/>
      </w:r>
      <w:r w:rsidR="00DE12AF">
        <w:rPr>
          <w:lang w:val="en-GB"/>
        </w:rPr>
        <w:instrText xml:space="preserve"> REF _Ref481687397 \n \h </w:instrText>
      </w:r>
      <w:r w:rsidR="00DE12AF">
        <w:rPr>
          <w:lang w:val="en-GB"/>
        </w:rPr>
      </w:r>
      <w:r w:rsidR="00DE12AF">
        <w:rPr>
          <w:lang w:val="en-GB"/>
        </w:rPr>
        <w:fldChar w:fldCharType="separate"/>
      </w:r>
      <w:r w:rsidR="009C78D7">
        <w:rPr>
          <w:lang w:val="en-GB"/>
        </w:rPr>
        <w:t>3</w:t>
      </w:r>
      <w:r w:rsidR="00DE12AF">
        <w:rPr>
          <w:lang w:val="en-GB"/>
        </w:rPr>
        <w:fldChar w:fldCharType="end"/>
      </w:r>
      <w:r>
        <w:rPr>
          <w:lang w:val="en-GB"/>
        </w:rPr>
        <w:t>, data submitted by each scholarship provider</w:t>
      </w:r>
      <w:r w:rsidR="009A7B00">
        <w:rPr>
          <w:lang w:val="en-GB"/>
        </w:rPr>
        <w:t xml:space="preserve"> were</w:t>
      </w:r>
      <w:r>
        <w:rPr>
          <w:lang w:val="en-GB"/>
        </w:rPr>
        <w:t xml:space="preserve"> in a variety of formats.</w:t>
      </w:r>
    </w:p>
    <w:p w14:paraId="78896AF1" w14:textId="05899C90" w:rsidR="00DF33CB" w:rsidRDefault="00F47460" w:rsidP="00DF33CB">
      <w:pPr>
        <w:pStyle w:val="ListBullet"/>
        <w:numPr>
          <w:ilvl w:val="0"/>
          <w:numId w:val="0"/>
        </w:numPr>
        <w:rPr>
          <w:lang w:val="en-GB"/>
        </w:rPr>
      </w:pPr>
      <w:r>
        <w:rPr>
          <w:lang w:val="en-GB"/>
        </w:rPr>
        <w:fldChar w:fldCharType="begin"/>
      </w:r>
      <w:r>
        <w:rPr>
          <w:lang w:val="en-GB"/>
        </w:rPr>
        <w:instrText xml:space="preserve"> REF _Ref481687415 \h </w:instrText>
      </w:r>
      <w:r>
        <w:rPr>
          <w:lang w:val="en-GB"/>
        </w:rPr>
      </w:r>
      <w:r>
        <w:rPr>
          <w:lang w:val="en-GB"/>
        </w:rPr>
        <w:fldChar w:fldCharType="separate"/>
      </w:r>
      <w:r w:rsidR="009C78D7">
        <w:t xml:space="preserve">Figure </w:t>
      </w:r>
      <w:r w:rsidR="009C78D7">
        <w:rPr>
          <w:noProof/>
        </w:rPr>
        <w:t>16</w:t>
      </w:r>
      <w:r>
        <w:rPr>
          <w:lang w:val="en-GB"/>
        </w:rPr>
        <w:fldChar w:fldCharType="end"/>
      </w:r>
      <w:r w:rsidR="00DF33CB">
        <w:rPr>
          <w:lang w:val="en-GB"/>
        </w:rPr>
        <w:t xml:space="preserve"> provides an overview of the types of data requested against each line of inquiry, and summarises the responses from each scholarship provider to date. As outlined in the key:</w:t>
      </w:r>
    </w:p>
    <w:p w14:paraId="4AD89770" w14:textId="77777777" w:rsidR="00DF33CB" w:rsidRPr="00D00F57" w:rsidRDefault="00DF33CB" w:rsidP="00DF33CB">
      <w:pPr>
        <w:pStyle w:val="ListBullet"/>
        <w:rPr>
          <w:lang w:val="en-GB"/>
        </w:rPr>
      </w:pPr>
      <w:r w:rsidRPr="00D00F57">
        <w:rPr>
          <w:lang w:val="en-GB"/>
        </w:rPr>
        <w:t>cells that are shaded green indicate data have been submitted by the scholarship provider for the relevant line item</w:t>
      </w:r>
    </w:p>
    <w:p w14:paraId="72366F23" w14:textId="77777777" w:rsidR="00DF33CB" w:rsidRPr="00D00F57" w:rsidRDefault="00DF33CB" w:rsidP="00DF33CB">
      <w:pPr>
        <w:pStyle w:val="ListBullet"/>
        <w:rPr>
          <w:lang w:val="en-GB"/>
        </w:rPr>
      </w:pPr>
      <w:r w:rsidRPr="00D00F57">
        <w:rPr>
          <w:lang w:val="en-GB"/>
        </w:rPr>
        <w:t>cells that are shaded green and labelled ‘1’ indicate the data submitted completely meets the data request for the relevant line item</w:t>
      </w:r>
    </w:p>
    <w:p w14:paraId="2D528E8C" w14:textId="77777777" w:rsidR="00DF33CB" w:rsidRPr="00D60D84" w:rsidRDefault="00DF33CB" w:rsidP="00DF33CB">
      <w:pPr>
        <w:pStyle w:val="ListBullet"/>
        <w:rPr>
          <w:lang w:val="en-GB"/>
        </w:rPr>
      </w:pPr>
      <w:r w:rsidRPr="00D00F57">
        <w:rPr>
          <w:lang w:val="en-GB"/>
        </w:rPr>
        <w:t>cells that are shaded green and labelled ‘0.5’ indicate the data submitted only partially meets the data request for the relevant line item</w:t>
      </w:r>
    </w:p>
    <w:p w14:paraId="53335C03" w14:textId="77777777" w:rsidR="00DF33CB" w:rsidRPr="00D00F57" w:rsidRDefault="00DF33CB" w:rsidP="00DF33CB">
      <w:pPr>
        <w:pStyle w:val="ListBullet"/>
        <w:rPr>
          <w:lang w:val="en-GB"/>
        </w:rPr>
      </w:pPr>
      <w:r w:rsidRPr="00D60D84">
        <w:rPr>
          <w:lang w:val="en-GB"/>
        </w:rPr>
        <w:t>cells that are shaded grey indicate that data collection is not applicable or relevant for the scholarship provider’s delivery model</w:t>
      </w:r>
    </w:p>
    <w:p w14:paraId="745DC00B" w14:textId="77777777" w:rsidR="00DF33CB" w:rsidRPr="00D00F57" w:rsidRDefault="00DF33CB" w:rsidP="00DF33CB">
      <w:pPr>
        <w:pStyle w:val="ListBullet"/>
        <w:rPr>
          <w:lang w:val="en-GB"/>
        </w:rPr>
      </w:pPr>
      <w:r w:rsidRPr="00D00F57">
        <w:rPr>
          <w:lang w:val="en-GB"/>
        </w:rPr>
        <w:t>cells without shading indicate no data have been provided for the relevant line item.</w:t>
      </w:r>
    </w:p>
    <w:p w14:paraId="4B9D67D9" w14:textId="2A271B6D" w:rsidR="00DF33CB" w:rsidRDefault="00DF33CB" w:rsidP="00DF33CB">
      <w:pPr>
        <w:pStyle w:val="Indent1"/>
        <w:numPr>
          <w:ilvl w:val="0"/>
          <w:numId w:val="0"/>
        </w:numPr>
        <w:rPr>
          <w:lang w:val="en-GB"/>
        </w:rPr>
      </w:pPr>
      <w:r>
        <w:rPr>
          <w:lang w:val="en-GB"/>
        </w:rPr>
        <w:t xml:space="preserve">For each line item, a score of ‘10’ indicates that all scholarship providers have submitted complete responses whilst a score of ‘0’ indicates that no scholarship providers have submitted a response. Of all the responses received, </w:t>
      </w:r>
      <w:r w:rsidRPr="006F5F3E">
        <w:rPr>
          <w:lang w:val="en-GB"/>
        </w:rPr>
        <w:t xml:space="preserve">no scholarship provider has been able to respond to </w:t>
      </w:r>
      <w:r>
        <w:rPr>
          <w:lang w:val="en-GB"/>
        </w:rPr>
        <w:t xml:space="preserve">all aspects of the data request. One reason for the incomplete responses to the data request identified by scholarship providers is that they </w:t>
      </w:r>
      <w:r w:rsidRPr="003C77A9">
        <w:rPr>
          <w:lang w:val="en-GB"/>
        </w:rPr>
        <w:t>have no</w:t>
      </w:r>
      <w:r w:rsidR="003C77A9" w:rsidRPr="003C77A9">
        <w:rPr>
          <w:lang w:val="en-GB"/>
        </w:rPr>
        <w:t>t</w:t>
      </w:r>
      <w:r w:rsidRPr="003C77A9">
        <w:rPr>
          <w:lang w:val="en-GB"/>
        </w:rPr>
        <w:t xml:space="preserve"> had</w:t>
      </w:r>
      <w:r>
        <w:rPr>
          <w:lang w:val="en-GB"/>
        </w:rPr>
        <w:t xml:space="preserve"> to provide this information to fulfil their funding agreements and therefore have</w:t>
      </w:r>
      <w:r w:rsidR="003B75D7">
        <w:rPr>
          <w:lang w:val="en-GB"/>
        </w:rPr>
        <w:t>, in some instances,</w:t>
      </w:r>
      <w:r>
        <w:rPr>
          <w:lang w:val="en-GB"/>
        </w:rPr>
        <w:t xml:space="preserve"> not seen any valuable purpose in collecting that data. </w:t>
      </w:r>
    </w:p>
    <w:p w14:paraId="70A5C16D" w14:textId="3B356B80" w:rsidR="00DF33CB" w:rsidRDefault="00DF33CB" w:rsidP="00DF33CB">
      <w:pPr>
        <w:pStyle w:val="ListBullet"/>
        <w:numPr>
          <w:ilvl w:val="0"/>
          <w:numId w:val="0"/>
        </w:numPr>
        <w:rPr>
          <w:highlight w:val="yellow"/>
          <w:lang w:val="en-GB"/>
        </w:rPr>
      </w:pPr>
    </w:p>
    <w:p w14:paraId="01B92781" w14:textId="77777777" w:rsidR="00E0770B" w:rsidRDefault="00E0770B" w:rsidP="00E0770B">
      <w:pPr>
        <w:pStyle w:val="PwCNormal"/>
        <w:rPr>
          <w:highlight w:val="yellow"/>
          <w:lang w:val="en-GB"/>
        </w:rPr>
        <w:sectPr w:rsidR="00E0770B" w:rsidSect="002D69E9">
          <w:headerReference w:type="even" r:id="rId76"/>
          <w:headerReference w:type="default" r:id="rId77"/>
          <w:footerReference w:type="even" r:id="rId78"/>
          <w:footerReference w:type="default" r:id="rId79"/>
          <w:headerReference w:type="first" r:id="rId80"/>
          <w:footerReference w:type="first" r:id="rId81"/>
          <w:pgSz w:w="11907" w:h="16840" w:code="9"/>
          <w:pgMar w:top="1588" w:right="1020" w:bottom="1418" w:left="2353" w:header="567" w:footer="567" w:gutter="0"/>
          <w:cols w:space="227"/>
          <w:titlePg/>
          <w:docGrid w:linePitch="360"/>
        </w:sectPr>
      </w:pPr>
    </w:p>
    <w:p w14:paraId="3FD56458" w14:textId="640A0614" w:rsidR="00E0770B" w:rsidRDefault="00E0770B" w:rsidP="00E0770B">
      <w:pPr>
        <w:pStyle w:val="Caption"/>
      </w:pPr>
      <w:bookmarkStart w:id="42" w:name="_Ref481687415"/>
      <w:r>
        <w:lastRenderedPageBreak/>
        <w:t xml:space="preserve">Figure </w:t>
      </w:r>
      <w:fldSimple w:instr=" SEQ Figure \* ARABIC ">
        <w:r w:rsidR="009C78D7">
          <w:rPr>
            <w:noProof/>
          </w:rPr>
          <w:t>16</w:t>
        </w:r>
      </w:fldSimple>
      <w:bookmarkEnd w:id="42"/>
      <w:r>
        <w:t>: The responses to the data request by each scholarship provider</w:t>
      </w:r>
    </w:p>
    <w:p w14:paraId="7877667F" w14:textId="44A5350C" w:rsidR="00E0770B" w:rsidRDefault="00D12081" w:rsidP="00D12081">
      <w:pPr>
        <w:pStyle w:val="PwCNormal"/>
        <w:rPr>
          <w:highlight w:val="yellow"/>
        </w:rPr>
      </w:pPr>
      <w:r w:rsidRPr="00D12081">
        <w:rPr>
          <w:highlight w:val="yellow"/>
        </w:rPr>
        <w:t xml:space="preserve"> </w:t>
      </w:r>
      <w:r w:rsidRPr="008A046F">
        <w:rPr>
          <w:noProof/>
          <w:lang w:eastAsia="en-AU"/>
        </w:rPr>
        <w:drawing>
          <wp:inline distT="0" distB="0" distL="0" distR="0" wp14:anchorId="742F2DE5" wp14:editId="0298A5BF">
            <wp:extent cx="8551545" cy="3576592"/>
            <wp:effectExtent l="0" t="0" r="1905" b="5080"/>
            <wp:docPr id="292" name="Picture 292" descr="Details responses from each of the Scholarship providers relating to the data request." title="Figure 16: The responses to the data request by each scholarship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51545" cy="3576592"/>
                    </a:xfrm>
                    <a:prstGeom prst="rect">
                      <a:avLst/>
                    </a:prstGeom>
                    <a:noFill/>
                    <a:ln>
                      <a:noFill/>
                    </a:ln>
                  </pic:spPr>
                </pic:pic>
              </a:graphicData>
            </a:graphic>
          </wp:inline>
        </w:drawing>
      </w:r>
    </w:p>
    <w:p w14:paraId="7058D4DB" w14:textId="4BC32D97" w:rsidR="00E0770B" w:rsidRDefault="00E0770B" w:rsidP="00E0770B">
      <w:pPr>
        <w:pStyle w:val="PwCNormal"/>
        <w:rPr>
          <w:highlight w:val="yellow"/>
          <w:lang w:val="en-GB"/>
        </w:rPr>
        <w:sectPr w:rsidR="00E0770B" w:rsidSect="00E0770B">
          <w:headerReference w:type="even" r:id="rId83"/>
          <w:headerReference w:type="default" r:id="rId84"/>
          <w:footerReference w:type="even" r:id="rId85"/>
          <w:footerReference w:type="default" r:id="rId86"/>
          <w:headerReference w:type="first" r:id="rId87"/>
          <w:footerReference w:type="first" r:id="rId88"/>
          <w:pgSz w:w="16840" w:h="11907" w:orient="landscape" w:code="9"/>
          <w:pgMar w:top="1644" w:right="1020" w:bottom="1417" w:left="2353" w:header="567" w:footer="567" w:gutter="0"/>
          <w:cols w:space="227"/>
          <w:docGrid w:linePitch="360"/>
        </w:sectPr>
      </w:pPr>
    </w:p>
    <w:p w14:paraId="09E9399C" w14:textId="77777777" w:rsidR="00DF33CB" w:rsidRDefault="00DF33CB" w:rsidP="00DF33CB">
      <w:pPr>
        <w:pStyle w:val="PwCNormal"/>
        <w:numPr>
          <w:ilvl w:val="0"/>
          <w:numId w:val="9"/>
        </w:numPr>
        <w:rPr>
          <w:lang w:val="en-GB"/>
        </w:rPr>
      </w:pPr>
      <w:r>
        <w:rPr>
          <w:lang w:val="en-GB"/>
        </w:rPr>
        <w:lastRenderedPageBreak/>
        <w:t>Based on this coding system, it is clear that the data provided by each scholarship provider is inconsistent and often disparate, with the most significant gaps relating to the provision of unit record level information on scholarship applicants and recipients including:</w:t>
      </w:r>
    </w:p>
    <w:p w14:paraId="5353C8EC" w14:textId="77777777" w:rsidR="00DF33CB" w:rsidRPr="00A97D52" w:rsidRDefault="00DF33CB" w:rsidP="00DF33CB">
      <w:pPr>
        <w:pStyle w:val="ListBullet"/>
        <w:rPr>
          <w:lang w:val="en-GB"/>
        </w:rPr>
      </w:pPr>
      <w:r w:rsidRPr="00002F3E">
        <w:rPr>
          <w:lang w:val="en-GB"/>
        </w:rPr>
        <w:t>whether applicants and recipients</w:t>
      </w:r>
      <w:r w:rsidRPr="00A97D52">
        <w:rPr>
          <w:lang w:val="en-GB"/>
        </w:rPr>
        <w:t xml:space="preserve"> have the option of accessing schooling to Year 12 in their home community</w:t>
      </w:r>
    </w:p>
    <w:p w14:paraId="504FE8DD" w14:textId="77777777" w:rsidR="00DF33CB" w:rsidRPr="00A97D52" w:rsidRDefault="00DF33CB" w:rsidP="00DF33CB">
      <w:pPr>
        <w:pStyle w:val="ListBullet"/>
        <w:rPr>
          <w:lang w:val="en-GB"/>
        </w:rPr>
      </w:pPr>
      <w:r w:rsidRPr="00A97D52">
        <w:rPr>
          <w:lang w:val="en-GB"/>
        </w:rPr>
        <w:t>previous school attendance and achievement</w:t>
      </w:r>
    </w:p>
    <w:p w14:paraId="24A54C0A" w14:textId="77777777" w:rsidR="00DF33CB" w:rsidRPr="00002F3E" w:rsidRDefault="00DF33CB" w:rsidP="00DF33CB">
      <w:pPr>
        <w:pStyle w:val="ListBullet"/>
        <w:rPr>
          <w:lang w:val="en-GB"/>
        </w:rPr>
      </w:pPr>
      <w:r w:rsidRPr="00D60D84">
        <w:rPr>
          <w:lang w:val="en-GB"/>
        </w:rPr>
        <w:t xml:space="preserve">the level of parent/guardian engagement and </w:t>
      </w:r>
      <w:r w:rsidRPr="00002F3E">
        <w:rPr>
          <w:lang w:val="en-GB"/>
        </w:rPr>
        <w:t>any socioeconomic or family characteristics collected as part of the application process.</w:t>
      </w:r>
    </w:p>
    <w:p w14:paraId="7462E8BB" w14:textId="77777777" w:rsidR="00DF33CB" w:rsidRPr="00002F3E" w:rsidRDefault="00DF33CB" w:rsidP="00DF33CB">
      <w:pPr>
        <w:pStyle w:val="PwCNormal"/>
        <w:numPr>
          <w:ilvl w:val="0"/>
          <w:numId w:val="9"/>
        </w:numPr>
        <w:rPr>
          <w:lang w:val="en-GB"/>
        </w:rPr>
      </w:pPr>
      <w:r w:rsidRPr="00002F3E">
        <w:rPr>
          <w:lang w:val="en-GB"/>
        </w:rPr>
        <w:t>The other most significant gaps relate to the provision of unit level records about:</w:t>
      </w:r>
    </w:p>
    <w:p w14:paraId="11874A9E" w14:textId="77777777" w:rsidR="00DF33CB" w:rsidRPr="00D60D84" w:rsidRDefault="00DF33CB" w:rsidP="00DF33CB">
      <w:pPr>
        <w:pStyle w:val="ListBullet"/>
        <w:rPr>
          <w:lang w:val="en-GB"/>
        </w:rPr>
      </w:pPr>
      <w:r w:rsidRPr="00D60D84">
        <w:rPr>
          <w:lang w:val="en-GB"/>
        </w:rPr>
        <w:t>the extent of administrative involvement or supports for each scholarship recipient</w:t>
      </w:r>
    </w:p>
    <w:p w14:paraId="0E464C78" w14:textId="3CB058B4" w:rsidR="00DF33CB" w:rsidRPr="00002F3E" w:rsidRDefault="00C21910" w:rsidP="00DF33CB">
      <w:pPr>
        <w:pStyle w:val="ListBullet"/>
        <w:rPr>
          <w:lang w:val="en-GB"/>
        </w:rPr>
      </w:pPr>
      <w:r>
        <w:rPr>
          <w:lang w:val="en-GB"/>
        </w:rPr>
        <w:t xml:space="preserve">unit level information on each application including </w:t>
      </w:r>
      <w:r w:rsidR="00DF33CB" w:rsidRPr="00D60D84">
        <w:rPr>
          <w:lang w:val="en-GB"/>
        </w:rPr>
        <w:t>the name and location of each applicants’ school (at the time of application).</w:t>
      </w:r>
    </w:p>
    <w:p w14:paraId="39F04C7E" w14:textId="08535DFE" w:rsidR="00DF33CB" w:rsidRPr="00002F3E" w:rsidRDefault="00DF33CB" w:rsidP="00DF33CB">
      <w:pPr>
        <w:pStyle w:val="PwCNormal"/>
        <w:numPr>
          <w:ilvl w:val="0"/>
          <w:numId w:val="9"/>
        </w:numPr>
        <w:rPr>
          <w:lang w:val="en-GB"/>
        </w:rPr>
      </w:pPr>
      <w:r w:rsidRPr="00002F3E">
        <w:rPr>
          <w:lang w:val="en-GB"/>
        </w:rPr>
        <w:t>It is important to acknowledge that s</w:t>
      </w:r>
      <w:r w:rsidRPr="00D60D84">
        <w:rPr>
          <w:lang w:val="en-GB"/>
        </w:rPr>
        <w:t xml:space="preserve">ome scholarship providers do not collect the information requested as it is not relevant to their respective delivery models’ (e.g. under the school-led model, the responsibility for the collection of certain information lies with education partners and not scholarship providers). </w:t>
      </w:r>
      <w:r w:rsidRPr="00002F3E">
        <w:rPr>
          <w:lang w:val="en-GB"/>
        </w:rPr>
        <w:t xml:space="preserve">This suggests that formal data sharing protocols may be necessary if applicant and recipient information is to be accurately </w:t>
      </w:r>
      <w:r w:rsidR="003B75D7">
        <w:rPr>
          <w:lang w:val="en-GB"/>
        </w:rPr>
        <w:t xml:space="preserve">and consistently </w:t>
      </w:r>
      <w:r w:rsidRPr="00002F3E">
        <w:rPr>
          <w:lang w:val="en-GB"/>
        </w:rPr>
        <w:t xml:space="preserve">recorded in the </w:t>
      </w:r>
      <w:r w:rsidR="003B75D7" w:rsidRPr="00002F3E">
        <w:rPr>
          <w:lang w:val="en-GB"/>
        </w:rPr>
        <w:t>future</w:t>
      </w:r>
      <w:r w:rsidR="003B75D7">
        <w:rPr>
          <w:lang w:val="en-GB"/>
        </w:rPr>
        <w:t xml:space="preserve">, noting that </w:t>
      </w:r>
      <w:r w:rsidRPr="00002F3E">
        <w:rPr>
          <w:lang w:val="en-GB"/>
        </w:rPr>
        <w:t>caution is needed so that different delivery models are not compromised to comply with a ‘one size fits all’ approach</w:t>
      </w:r>
      <w:r w:rsidR="00957516">
        <w:rPr>
          <w:lang w:val="en-GB"/>
        </w:rPr>
        <w:t xml:space="preserve"> (particularly given in school-led models the school itself is the custodian of the data)</w:t>
      </w:r>
      <w:r w:rsidRPr="00002F3E">
        <w:rPr>
          <w:lang w:val="en-GB"/>
        </w:rPr>
        <w:t>.</w:t>
      </w:r>
    </w:p>
    <w:p w14:paraId="52B360C1" w14:textId="5DAEE404" w:rsidR="00DF33CB" w:rsidRPr="00744F7E" w:rsidRDefault="00DF33CB" w:rsidP="00DF33CB">
      <w:pPr>
        <w:pStyle w:val="Indent1"/>
        <w:numPr>
          <w:ilvl w:val="0"/>
          <w:numId w:val="9"/>
        </w:numPr>
      </w:pPr>
      <w:r w:rsidRPr="00744F7E">
        <w:rPr>
          <w:lang w:val="en-US"/>
        </w:rPr>
        <w:t xml:space="preserve">A summary of the key strengths, gaps and limitations in the data that have been provided to date is outlined in </w:t>
      </w:r>
      <w:r w:rsidR="00DE12AF">
        <w:rPr>
          <w:lang w:val="en-US"/>
        </w:rPr>
        <w:fldChar w:fldCharType="begin"/>
      </w:r>
      <w:r w:rsidR="00DE12AF">
        <w:rPr>
          <w:lang w:val="en-US"/>
        </w:rPr>
        <w:instrText xml:space="preserve"> REF _Ref481687440 \h </w:instrText>
      </w:r>
      <w:r w:rsidR="00DE12AF">
        <w:rPr>
          <w:lang w:val="en-US"/>
        </w:rPr>
      </w:r>
      <w:r w:rsidR="00DE12AF">
        <w:rPr>
          <w:lang w:val="en-US"/>
        </w:rPr>
        <w:fldChar w:fldCharType="separate"/>
      </w:r>
      <w:r w:rsidR="009C78D7">
        <w:t xml:space="preserve">Figure </w:t>
      </w:r>
      <w:r w:rsidR="009C78D7">
        <w:rPr>
          <w:noProof/>
        </w:rPr>
        <w:t>17</w:t>
      </w:r>
      <w:r w:rsidR="00DE12AF">
        <w:rPr>
          <w:lang w:val="en-US"/>
        </w:rPr>
        <w:fldChar w:fldCharType="end"/>
      </w:r>
      <w:r w:rsidRPr="00744F7E">
        <w:rPr>
          <w:lang w:val="en-US"/>
        </w:rPr>
        <w:t>.</w:t>
      </w:r>
    </w:p>
    <w:p w14:paraId="4693A3EE" w14:textId="0504130B" w:rsidR="00DF33CB" w:rsidRDefault="00DF33CB" w:rsidP="00DF33CB">
      <w:pPr>
        <w:pStyle w:val="Caption"/>
      </w:pPr>
      <w:bookmarkStart w:id="43" w:name="_Ref481687440"/>
      <w:r>
        <w:t xml:space="preserve">Figure </w:t>
      </w:r>
      <w:fldSimple w:instr=" SEQ Figure \* ARABIC ">
        <w:r w:rsidR="009C78D7">
          <w:rPr>
            <w:noProof/>
          </w:rPr>
          <w:t>17</w:t>
        </w:r>
      </w:fldSimple>
      <w:bookmarkEnd w:id="43"/>
      <w:r>
        <w:t>: Summary of the strengths, gaps and limitations of the data provided</w:t>
      </w:r>
    </w:p>
    <w:p w14:paraId="2904B6CE" w14:textId="5D43EC10" w:rsidR="00DF33CB" w:rsidRPr="006F5F3E" w:rsidRDefault="006B7AC8" w:rsidP="00DF33CB">
      <w:pPr>
        <w:pStyle w:val="Indent1"/>
        <w:numPr>
          <w:ilvl w:val="0"/>
          <w:numId w:val="0"/>
        </w:numPr>
        <w:rPr>
          <w:highlight w:val="yellow"/>
        </w:rPr>
      </w:pPr>
      <w:r w:rsidRPr="006B7AC8">
        <w:rPr>
          <w:noProof/>
          <w:lang w:eastAsia="en-AU"/>
        </w:rPr>
        <w:drawing>
          <wp:inline distT="0" distB="0" distL="0" distR="0" wp14:anchorId="2DCA5E34" wp14:editId="0EB60AB0">
            <wp:extent cx="5419090" cy="2384086"/>
            <wp:effectExtent l="0" t="0" r="0" b="0"/>
            <wp:docPr id="42" name="Picture 42" descr="Strengths&#10;- Scholarship providers have provided descriptions of their respective operating models, how funding is allocated and the range of supports provided for scholarship recipients.&#10;- Scholarship providers clearly articulate current application and selection processes, including the respective roles (if any) of their education partners.&#10;&#10;Gaps&#10;- Lack of consistent unique student identifier has meant the ‘pathway’ for some scholarship recipients cannot be tracked.&#10;- Similarly, for some scholarship providers it is not possible to identify students who ‘switched’ scholarship providers.&#10;- Few scholarship providers have submitted unit level data on scholarship application and selection processes.&#10;- Only AIEF and Cape York Institute have provided Year 12 completion and student destinations at the unit level (PLC, The Smith Family and Yalari have provided partial lists of student destinations which they have compiled to inform this project).&#10;- Only AIEF, CYI, MADALAH, PLC and Yalari have provided estimates of the average annual administration costs per scholarship.&#10;&#10;Limitations&#10;- In the absence of INDIGO or an alternative data reporting tool, data are provided in a range of reporting formats and often require some interpretation.&#10;- Different reporting cycles means that only some scholarship providers have reported data relating to 2016 and 2017.&#10;- Little evidence of data sharing between scholarship providers and education partners in terms of data collection and collation. One scholarship provider indicated that schools cannot legally share data with scholarship providers.&#10;- Given the tight time lines of this project, many scholarship providers have only provided what they have had at hand, and have been working to compile the information requested." title="Figure 17: Summary of the strengths, gaps and limitations of the data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19090" cy="2384086"/>
                    </a:xfrm>
                    <a:prstGeom prst="rect">
                      <a:avLst/>
                    </a:prstGeom>
                    <a:noFill/>
                    <a:ln>
                      <a:noFill/>
                    </a:ln>
                  </pic:spPr>
                </pic:pic>
              </a:graphicData>
            </a:graphic>
          </wp:inline>
        </w:drawing>
      </w:r>
    </w:p>
    <w:p w14:paraId="6FC5A3E3" w14:textId="3C9BF667" w:rsidR="00DF33CB" w:rsidRDefault="00DE2B8D" w:rsidP="00DF33CB">
      <w:pPr>
        <w:pStyle w:val="ListBullet"/>
        <w:numPr>
          <w:ilvl w:val="0"/>
          <w:numId w:val="0"/>
        </w:numPr>
        <w:rPr>
          <w:lang w:val="en-US"/>
        </w:rPr>
      </w:pPr>
      <w:r>
        <w:rPr>
          <w:lang w:val="en-US"/>
        </w:rPr>
        <w:t>Although t</w:t>
      </w:r>
      <w:r w:rsidR="00DF33CB" w:rsidRPr="006C686E">
        <w:rPr>
          <w:lang w:val="en-US"/>
        </w:rPr>
        <w:t xml:space="preserve">he information </w:t>
      </w:r>
      <w:r w:rsidR="00F0245B">
        <w:rPr>
          <w:lang w:val="en-US"/>
        </w:rPr>
        <w:t>received</w:t>
      </w:r>
      <w:r>
        <w:rPr>
          <w:lang w:val="en-US"/>
        </w:rPr>
        <w:t xml:space="preserve"> is disparate and varied,</w:t>
      </w:r>
      <w:r w:rsidR="00DF33CB" w:rsidRPr="006C686E">
        <w:rPr>
          <w:lang w:val="en-US"/>
        </w:rPr>
        <w:t xml:space="preserve"> a concerted effort has been made to organise and clean the data</w:t>
      </w:r>
      <w:r>
        <w:rPr>
          <w:lang w:val="en-US"/>
        </w:rPr>
        <w:t>. M</w:t>
      </w:r>
      <w:r w:rsidR="00DF33CB" w:rsidRPr="008C1032">
        <w:rPr>
          <w:lang w:val="en-US"/>
        </w:rPr>
        <w:t xml:space="preserve">ost scholarship providers provided partial information </w:t>
      </w:r>
      <w:r>
        <w:rPr>
          <w:lang w:val="en-US"/>
        </w:rPr>
        <w:t>with few providing</w:t>
      </w:r>
      <w:r w:rsidR="00DF33CB" w:rsidRPr="008C1032">
        <w:rPr>
          <w:lang w:val="en-US"/>
        </w:rPr>
        <w:t xml:space="preserve"> unit level data for all years that their scholarship recipients have attended secondary school whilst on an IAS funded scholarship. </w:t>
      </w:r>
      <w:r>
        <w:rPr>
          <w:lang w:val="en-US"/>
        </w:rPr>
        <w:t>T</w:t>
      </w:r>
      <w:r w:rsidR="00DF33CB" w:rsidRPr="008C1032">
        <w:rPr>
          <w:lang w:val="en-US"/>
        </w:rPr>
        <w:t xml:space="preserve">he </w:t>
      </w:r>
      <w:r w:rsidR="00F0245B">
        <w:rPr>
          <w:lang w:val="en-US"/>
        </w:rPr>
        <w:t>responses to the data request have</w:t>
      </w:r>
      <w:r w:rsidR="00DF33CB" w:rsidRPr="008C1032">
        <w:rPr>
          <w:lang w:val="en-US"/>
        </w:rPr>
        <w:t xml:space="preserve"> been tested </w:t>
      </w:r>
      <w:r>
        <w:rPr>
          <w:lang w:val="en-US"/>
        </w:rPr>
        <w:t>with</w:t>
      </w:r>
      <w:r w:rsidR="003B75D7">
        <w:rPr>
          <w:lang w:val="en-US"/>
        </w:rPr>
        <w:t>,</w:t>
      </w:r>
      <w:r>
        <w:rPr>
          <w:lang w:val="en-US"/>
        </w:rPr>
        <w:t xml:space="preserve"> and validated by</w:t>
      </w:r>
      <w:r w:rsidR="003B75D7">
        <w:rPr>
          <w:lang w:val="en-US"/>
        </w:rPr>
        <w:t>,</w:t>
      </w:r>
      <w:r w:rsidR="00DF33CB" w:rsidRPr="008C1032">
        <w:rPr>
          <w:lang w:val="en-US"/>
        </w:rPr>
        <w:t xml:space="preserve"> each scholarship provider.</w:t>
      </w:r>
    </w:p>
    <w:p w14:paraId="0C2D3FF1" w14:textId="7FC23F39" w:rsidR="00DF33CB" w:rsidRPr="00BD1F44" w:rsidRDefault="00DE2B8D" w:rsidP="00DF33CB">
      <w:pPr>
        <w:pStyle w:val="Heading6"/>
        <w:spacing w:after="240"/>
        <w:ind w:left="851" w:hanging="851"/>
      </w:pPr>
      <w:r>
        <w:lastRenderedPageBreak/>
        <w:t>Determining t</w:t>
      </w:r>
      <w:r w:rsidR="00DF33CB">
        <w:t>he e</w:t>
      </w:r>
      <w:r w:rsidR="00DF33CB" w:rsidRPr="00BD1F44">
        <w:t xml:space="preserve">ffectiveness </w:t>
      </w:r>
      <w:r w:rsidR="00DF33CB">
        <w:t>&amp;</w:t>
      </w:r>
      <w:r w:rsidR="00DF33CB" w:rsidRPr="00BD1F44">
        <w:t xml:space="preserve"> efficiency of the IAS funded secondary school scholarships</w:t>
      </w:r>
    </w:p>
    <w:p w14:paraId="3EFAB96C" w14:textId="2D0CDE43" w:rsidR="00DF33CB" w:rsidRDefault="00DF33CB" w:rsidP="00DF33CB">
      <w:pPr>
        <w:pStyle w:val="ListBullet"/>
        <w:numPr>
          <w:ilvl w:val="0"/>
          <w:numId w:val="0"/>
        </w:numPr>
        <w:rPr>
          <w:lang w:val="en-US"/>
        </w:rPr>
      </w:pPr>
      <w:r>
        <w:rPr>
          <w:lang w:val="en-US"/>
        </w:rPr>
        <w:t>As part of the review, we had sought to provide an accurate and up-to-date snapshot of the current activities of each scholarship provider in administering the IAS funded secondary school scholarships. It was our intention to use the data sets provided by the scholarship providers to determine the effectiveness and efficiency of the IAS funded secondary school scholarships as they are currently administered by anchoring the analysis in the draft program logic (</w:t>
      </w:r>
      <w:r>
        <w:fldChar w:fldCharType="begin"/>
      </w:r>
      <w:r>
        <w:instrText xml:space="preserve"> REF _Ref476164620 \h </w:instrText>
      </w:r>
      <w:r>
        <w:fldChar w:fldCharType="separate"/>
      </w:r>
      <w:r w:rsidR="009C78D7">
        <w:t xml:space="preserve">Figure </w:t>
      </w:r>
      <w:r w:rsidR="009C78D7">
        <w:rPr>
          <w:noProof/>
        </w:rPr>
        <w:t>10</w:t>
      </w:r>
      <w:r>
        <w:fldChar w:fldCharType="end"/>
      </w:r>
      <w:r>
        <w:t>).</w:t>
      </w:r>
      <w:r>
        <w:rPr>
          <w:lang w:val="en-US"/>
        </w:rPr>
        <w:t xml:space="preserve"> However, the incompleteness, inconsistencies and limitations of the data set that has been collated has meant that it is not possible to undertake a robust analysis of this kind. Instead, as outlined in the previous section, we have </w:t>
      </w:r>
      <w:r w:rsidR="00F825E6">
        <w:rPr>
          <w:lang w:val="en-US"/>
        </w:rPr>
        <w:t>supplemented this with</w:t>
      </w:r>
      <w:r>
        <w:rPr>
          <w:lang w:val="en-US"/>
        </w:rPr>
        <w:t xml:space="preserve"> information provided by the department.</w:t>
      </w:r>
    </w:p>
    <w:p w14:paraId="33A838E8" w14:textId="61B77160" w:rsidR="00DF33CB" w:rsidRDefault="00DE2B8D" w:rsidP="00DF33CB">
      <w:pPr>
        <w:pStyle w:val="ListBullet"/>
        <w:numPr>
          <w:ilvl w:val="0"/>
          <w:numId w:val="0"/>
        </w:numPr>
        <w:rPr>
          <w:lang w:val="en-US"/>
        </w:rPr>
      </w:pPr>
      <w:r>
        <w:rPr>
          <w:lang w:val="en-US"/>
        </w:rPr>
        <w:t>Given the data gaps and inconsistencies</w:t>
      </w:r>
      <w:r w:rsidR="00F825E6">
        <w:rPr>
          <w:lang w:val="en-US"/>
        </w:rPr>
        <w:t xml:space="preserve"> in the data provided in responses to the data request</w:t>
      </w:r>
      <w:r>
        <w:rPr>
          <w:lang w:val="en-US"/>
        </w:rPr>
        <w:t>, t</w:t>
      </w:r>
      <w:r w:rsidR="00DF33CB">
        <w:rPr>
          <w:lang w:val="en-US"/>
        </w:rPr>
        <w:t xml:space="preserve">he following section </w:t>
      </w:r>
      <w:r>
        <w:rPr>
          <w:lang w:val="en-US"/>
        </w:rPr>
        <w:t>identifies</w:t>
      </w:r>
      <w:r w:rsidR="00DF33CB">
        <w:rPr>
          <w:lang w:val="en-US"/>
        </w:rPr>
        <w:t xml:space="preserve"> key data points which need to be obtained if an appropriate evidence base is to be compiled to inform a rigorous evaluation of the IAS funded secondary school scholarships</w:t>
      </w:r>
      <w:r>
        <w:rPr>
          <w:lang w:val="en-US"/>
        </w:rPr>
        <w:t>. It also</w:t>
      </w:r>
      <w:r w:rsidR="00DF33CB">
        <w:rPr>
          <w:lang w:val="en-US"/>
        </w:rPr>
        <w:t xml:space="preserve"> identifies other matters for consideration, many of which were raised during the consultations with scholarship providers.</w:t>
      </w:r>
    </w:p>
    <w:p w14:paraId="579BD97F" w14:textId="77777777" w:rsidR="00DF33CB" w:rsidRPr="00BD1F44" w:rsidRDefault="00DF33CB" w:rsidP="00DF33CB">
      <w:pPr>
        <w:pStyle w:val="Heading7"/>
        <w:spacing w:after="240"/>
        <w:ind w:left="851" w:hanging="851"/>
      </w:pPr>
      <w:r w:rsidRPr="00BD1F44">
        <w:t>E</w:t>
      </w:r>
      <w:r>
        <w:t>ffectiveness</w:t>
      </w:r>
    </w:p>
    <w:p w14:paraId="10F3C657" w14:textId="79C3F730" w:rsidR="00DF33CB" w:rsidRDefault="00DF33CB" w:rsidP="00DF33CB">
      <w:pPr>
        <w:pStyle w:val="ListBullet"/>
        <w:numPr>
          <w:ilvl w:val="0"/>
          <w:numId w:val="0"/>
        </w:numPr>
      </w:pPr>
      <w:r>
        <w:t>To determine the effectiveness of a program or service, it is necessary to understand the program logic and the extent to which the outputs achieve the stated objectives or desired outcomes. Based on the draft program logic developed as part of the review, and noting the significant gaps and limitations of the data provided</w:t>
      </w:r>
      <w:r w:rsidR="00675491">
        <w:t xml:space="preserve"> in response to the data request</w:t>
      </w:r>
      <w:r>
        <w:t xml:space="preserve">, </w:t>
      </w:r>
      <w:r w:rsidR="00675491">
        <w:t xml:space="preserve">if the effectiveness of the IAS funded secondary school scholarships </w:t>
      </w:r>
      <w:r w:rsidR="00DE2B8D">
        <w:t>is</w:t>
      </w:r>
      <w:r w:rsidR="00675491">
        <w:t xml:space="preserve"> to be determined, information relating to the following three areas needs to be collected</w:t>
      </w:r>
      <w:r>
        <w:t>:</w:t>
      </w:r>
    </w:p>
    <w:p w14:paraId="730CABFA" w14:textId="77777777" w:rsidR="00DF33CB" w:rsidRPr="00347EFD" w:rsidRDefault="00DF33CB" w:rsidP="00DF33CB">
      <w:pPr>
        <w:pStyle w:val="ChapterNumberedList1"/>
      </w:pPr>
      <w:r>
        <w:t>A</w:t>
      </w:r>
      <w:r w:rsidRPr="00347EFD">
        <w:t>pplication and selection</w:t>
      </w:r>
    </w:p>
    <w:p w14:paraId="482E94C0" w14:textId="77777777" w:rsidR="00DF33CB" w:rsidRPr="00347EFD" w:rsidRDefault="00DF33CB" w:rsidP="00DF33CB">
      <w:pPr>
        <w:pStyle w:val="ChapterNumberedList1"/>
      </w:pPr>
      <w:r>
        <w:t>S</w:t>
      </w:r>
      <w:r w:rsidRPr="00347EFD">
        <w:t>cholarship recipients and education partners</w:t>
      </w:r>
    </w:p>
    <w:p w14:paraId="3E0D5833" w14:textId="77777777" w:rsidR="00DF33CB" w:rsidRPr="00347EFD" w:rsidRDefault="00DF33CB" w:rsidP="00DF33CB">
      <w:pPr>
        <w:pStyle w:val="ChapterNumberedList1"/>
      </w:pPr>
      <w:r w:rsidRPr="00347EFD">
        <w:t>S</w:t>
      </w:r>
      <w:r>
        <w:t xml:space="preserve">cholarship recipient </w:t>
      </w:r>
      <w:r w:rsidRPr="00347EFD">
        <w:t>outcomes</w:t>
      </w:r>
      <w:r>
        <w:t>.</w:t>
      </w:r>
    </w:p>
    <w:p w14:paraId="20FD7D30" w14:textId="77777777" w:rsidR="00DF33CB" w:rsidRPr="00DE4E74" w:rsidRDefault="00DF33CB" w:rsidP="00DF33CB">
      <w:pPr>
        <w:pStyle w:val="Heading7"/>
        <w:numPr>
          <w:ilvl w:val="0"/>
          <w:numId w:val="0"/>
        </w:numPr>
        <w:ind w:left="850" w:hanging="850"/>
        <w:rPr>
          <w:b/>
          <w:i w:val="0"/>
          <w:color w:val="auto"/>
          <w:sz w:val="20"/>
        </w:rPr>
      </w:pPr>
      <w:r w:rsidRPr="00DE4E74">
        <w:rPr>
          <w:b/>
          <w:i w:val="0"/>
          <w:color w:val="auto"/>
          <w:sz w:val="20"/>
        </w:rPr>
        <w:t>Application and selection</w:t>
      </w:r>
    </w:p>
    <w:p w14:paraId="37B85A0D" w14:textId="77777777" w:rsidR="00DF33CB" w:rsidRPr="00DE4E74" w:rsidRDefault="00DF33CB" w:rsidP="00DF33CB">
      <w:pPr>
        <w:pStyle w:val="PwCNormal"/>
        <w:numPr>
          <w:ilvl w:val="0"/>
          <w:numId w:val="9"/>
        </w:numPr>
        <w:rPr>
          <w:i/>
          <w:color w:val="A32020" w:themeColor="text2"/>
        </w:rPr>
      </w:pPr>
      <w:r w:rsidRPr="00DE4E74">
        <w:rPr>
          <w:i/>
          <w:color w:val="A32020" w:themeColor="text2"/>
        </w:rPr>
        <w:t>What is desirable to demonstrate effectiveness?</w:t>
      </w:r>
    </w:p>
    <w:p w14:paraId="366386BB" w14:textId="68A662BB" w:rsidR="00DF33CB" w:rsidRDefault="00DF33CB" w:rsidP="00DF33CB">
      <w:pPr>
        <w:pStyle w:val="PwCNormal"/>
        <w:numPr>
          <w:ilvl w:val="0"/>
          <w:numId w:val="9"/>
        </w:numPr>
      </w:pPr>
      <w:r w:rsidRPr="00347EFD">
        <w:t>A</w:t>
      </w:r>
      <w:r>
        <w:t xml:space="preserve"> key objective outlined in the draft program logic is to provide opportunities for Indigenous students </w:t>
      </w:r>
      <w:r w:rsidR="009A7B00">
        <w:t xml:space="preserve">including those </w:t>
      </w:r>
      <w:r>
        <w:t>from regional and remote</w:t>
      </w:r>
      <w:r w:rsidR="00675491">
        <w:t>/very remote</w:t>
      </w:r>
      <w:r>
        <w:t xml:space="preserve"> areas (who do not have access to secondary school education in their home communities) with the opportunity to attend and complete secondary school. In order to determine the effectiveness of the IAS funded scholarships in achieving this objective, data collected about the application and selection process is critical.</w:t>
      </w:r>
    </w:p>
    <w:p w14:paraId="23347DE4" w14:textId="77777777" w:rsidR="00DF33CB" w:rsidRDefault="00DF33CB" w:rsidP="00DF33CB">
      <w:pPr>
        <w:pStyle w:val="PwCNormal"/>
        <w:numPr>
          <w:ilvl w:val="0"/>
          <w:numId w:val="9"/>
        </w:numPr>
      </w:pPr>
      <w:r>
        <w:t>Specifically, by analysing data relating to applications (that is, unit level data on successful and unsuccessful applicants each year) it should be possible to deduce the extent to which Indigenous students from regional and remote communities are provided with the opportunity to access secondary schooling opportunities as a result of being a recipient of an IAS funded scholarship.</w:t>
      </w:r>
    </w:p>
    <w:p w14:paraId="2FCE5205" w14:textId="77777777" w:rsidR="00DF33CB" w:rsidRDefault="00DF33CB" w:rsidP="00DF33CB">
      <w:pPr>
        <w:pStyle w:val="PwCNormal"/>
        <w:numPr>
          <w:ilvl w:val="0"/>
          <w:numId w:val="9"/>
        </w:numPr>
      </w:pPr>
      <w:r>
        <w:t>In order to provide an accurate snapshot of the application and selection processes for each scholarship provider, important unit level data points to obtain include the:</w:t>
      </w:r>
    </w:p>
    <w:p w14:paraId="192D5A84" w14:textId="77777777" w:rsidR="00DF33CB" w:rsidRDefault="00DF33CB" w:rsidP="00DF33CB">
      <w:pPr>
        <w:pStyle w:val="ListBullet"/>
      </w:pPr>
      <w:r>
        <w:t>year of application for each applicant</w:t>
      </w:r>
    </w:p>
    <w:p w14:paraId="7BF6457A" w14:textId="77777777" w:rsidR="00DF33CB" w:rsidRDefault="00DF33CB" w:rsidP="00DF33CB">
      <w:pPr>
        <w:pStyle w:val="ListBullet"/>
      </w:pPr>
      <w:r>
        <w:t>age or date of birth of each applicant</w:t>
      </w:r>
    </w:p>
    <w:p w14:paraId="31D45D1F" w14:textId="77777777" w:rsidR="00DF33CB" w:rsidRDefault="00DF33CB" w:rsidP="00DF33CB">
      <w:pPr>
        <w:pStyle w:val="ListBullet"/>
      </w:pPr>
      <w:r>
        <w:t>gender of each applicant</w:t>
      </w:r>
    </w:p>
    <w:p w14:paraId="3B053538" w14:textId="77777777" w:rsidR="00DF33CB" w:rsidRDefault="00DF33CB" w:rsidP="00DF33CB">
      <w:pPr>
        <w:pStyle w:val="ListBullet"/>
      </w:pPr>
      <w:r>
        <w:lastRenderedPageBreak/>
        <w:t>location of each applicant’s home community, including the remoteness category (as specified by the Australian Bureau of Statistics)</w:t>
      </w:r>
    </w:p>
    <w:p w14:paraId="51D77FB5" w14:textId="77777777" w:rsidR="00DF33CB" w:rsidRDefault="00DF33CB" w:rsidP="00DF33CB">
      <w:pPr>
        <w:pStyle w:val="ListBullet"/>
      </w:pPr>
      <w:r>
        <w:t>each applicant’s year level at the time of the application</w:t>
      </w:r>
    </w:p>
    <w:p w14:paraId="534B1ED7" w14:textId="77777777" w:rsidR="00DF33CB" w:rsidRDefault="00DF33CB" w:rsidP="00DF33CB">
      <w:pPr>
        <w:pStyle w:val="ListBullet"/>
      </w:pPr>
      <w:r>
        <w:t>a definitive statement (i.e. ‘Yes’ or ‘No’) of whether each applicant has access to a secondary school education in their home community</w:t>
      </w:r>
    </w:p>
    <w:p w14:paraId="03EB0104" w14:textId="77777777" w:rsidR="00DF33CB" w:rsidRDefault="00DF33CB" w:rsidP="00DF33CB">
      <w:pPr>
        <w:pStyle w:val="ListBullet"/>
      </w:pPr>
      <w:r>
        <w:t>status or outcome of each application (i.e. whether the applicant was successful, unsuccessful or withdrew)</w:t>
      </w:r>
    </w:p>
    <w:p w14:paraId="6992A0EF" w14:textId="77777777" w:rsidR="00DF33CB" w:rsidRPr="00515096" w:rsidRDefault="00DF33CB" w:rsidP="00DF33CB">
      <w:pPr>
        <w:pStyle w:val="ListBullet"/>
        <w:rPr>
          <w:vanish/>
          <w:specVanish/>
        </w:rPr>
      </w:pPr>
      <w:r>
        <w:t>school that successful applicants will be attending.</w:t>
      </w:r>
    </w:p>
    <w:p w14:paraId="3934F0A7" w14:textId="77777777" w:rsidR="00DF33CB" w:rsidRDefault="00DF33CB" w:rsidP="00DF33CB">
      <w:pPr>
        <w:pStyle w:val="ListBullet"/>
        <w:numPr>
          <w:ilvl w:val="0"/>
          <w:numId w:val="0"/>
        </w:numPr>
      </w:pPr>
    </w:p>
    <w:p w14:paraId="3F010BDD" w14:textId="6BE99A33" w:rsidR="00DF33CB" w:rsidRDefault="00DF33CB" w:rsidP="00DF33CB">
      <w:pPr>
        <w:pStyle w:val="ListBullet"/>
        <w:numPr>
          <w:ilvl w:val="0"/>
          <w:numId w:val="0"/>
        </w:numPr>
      </w:pPr>
      <w:r>
        <w:t xml:space="preserve">In addition to the above, as scholarship providers that adhere to a school-led model often rely on their education partners to facilitate the application and selection process, data sharing protocols (or similar) </w:t>
      </w:r>
      <w:r w:rsidR="003B75D7">
        <w:t xml:space="preserve">may </w:t>
      </w:r>
      <w:r>
        <w:t xml:space="preserve">need to be </w:t>
      </w:r>
      <w:r w:rsidR="003B75D7">
        <w:t>explored</w:t>
      </w:r>
      <w:r>
        <w:t xml:space="preserve"> so that all relevant information is captured and stored. However, in determining these protocols </w:t>
      </w:r>
      <w:r w:rsidR="001A461A">
        <w:t>care needs to be taken to</w:t>
      </w:r>
      <w:r>
        <w:t xml:space="preserve"> not prescribe a ‘one size fits all’ approach that compromises the efficacy and integrity of the different models of delivery.</w:t>
      </w:r>
    </w:p>
    <w:p w14:paraId="2630E4EB" w14:textId="52268D41" w:rsidR="00DF33CB" w:rsidRPr="004C5697" w:rsidRDefault="00DF33CB" w:rsidP="00DF33CB">
      <w:pPr>
        <w:pStyle w:val="PwCNormal"/>
        <w:numPr>
          <w:ilvl w:val="0"/>
          <w:numId w:val="9"/>
        </w:numPr>
        <w:rPr>
          <w:i/>
          <w:color w:val="A32020" w:themeColor="text2"/>
        </w:rPr>
      </w:pPr>
      <w:r w:rsidRPr="004C5697">
        <w:rPr>
          <w:i/>
          <w:color w:val="A32020" w:themeColor="text2"/>
        </w:rPr>
        <w:t>Preliminary snapshot based on the data provided</w:t>
      </w:r>
      <w:r w:rsidR="00675491">
        <w:rPr>
          <w:i/>
          <w:color w:val="A32020" w:themeColor="text2"/>
        </w:rPr>
        <w:t xml:space="preserve"> in response to the data request</w:t>
      </w:r>
    </w:p>
    <w:p w14:paraId="3CCAD7B9" w14:textId="2BC970E4" w:rsidR="00DF33CB" w:rsidRDefault="009A7B00" w:rsidP="00DF33CB">
      <w:pPr>
        <w:pStyle w:val="PwCNormal"/>
        <w:numPr>
          <w:ilvl w:val="0"/>
          <w:numId w:val="0"/>
        </w:numPr>
      </w:pPr>
      <w:r>
        <w:t>F</w:t>
      </w:r>
      <w:r w:rsidR="00DF33CB" w:rsidRPr="00D60D84">
        <w:t>our of the ten scholarship providers submitted unit level d</w:t>
      </w:r>
      <w:r w:rsidR="00DF33CB" w:rsidRPr="004A3127">
        <w:t xml:space="preserve">ata relating to applications for IAS funded secondary school scholarships </w:t>
      </w:r>
      <w:r w:rsidR="00DF33CB" w:rsidRPr="00D60D84">
        <w:t>between 2015</w:t>
      </w:r>
      <w:r w:rsidR="00DF33CB" w:rsidRPr="004A3127">
        <w:t xml:space="preserve"> and 2017</w:t>
      </w:r>
      <w:r w:rsidR="00DE12AF">
        <w:t>. As discussed in S</w:t>
      </w:r>
      <w:r w:rsidR="00DF33CB">
        <w:t xml:space="preserve">ection </w:t>
      </w:r>
      <w:r w:rsidR="00F47460">
        <w:fldChar w:fldCharType="begin"/>
      </w:r>
      <w:r w:rsidR="00F47460">
        <w:instrText xml:space="preserve"> REF _Ref481687164 \n \h </w:instrText>
      </w:r>
      <w:r w:rsidR="00F47460">
        <w:fldChar w:fldCharType="separate"/>
      </w:r>
      <w:r w:rsidR="009C78D7">
        <w:t>3</w:t>
      </w:r>
      <w:r w:rsidR="00F47460">
        <w:fldChar w:fldCharType="end"/>
      </w:r>
      <w:r w:rsidR="00DF33CB">
        <w:t xml:space="preserve">, not all scholarship providers systematically collect application data as those under a school-led model tend to rely on their education partners to undertake this task. This means that the applications data is incomplete. One other scholarship provider only submitted applications data for 2017 as the data collected for earlier periods was provided in an inconsistent format. </w:t>
      </w:r>
    </w:p>
    <w:p w14:paraId="4CC2B191" w14:textId="5868CC3D" w:rsidR="00DF33CB" w:rsidRPr="004A3127" w:rsidRDefault="00DF33CB" w:rsidP="00DF33CB">
      <w:pPr>
        <w:pStyle w:val="PwCNormal"/>
        <w:numPr>
          <w:ilvl w:val="0"/>
          <w:numId w:val="0"/>
        </w:numPr>
      </w:pPr>
      <w:r w:rsidRPr="004A3127">
        <w:t>Based on the applications data provided</w:t>
      </w:r>
      <w:r w:rsidR="003B2C8C">
        <w:t xml:space="preserve"> by four of the ten scholarship providers</w:t>
      </w:r>
      <w:r w:rsidRPr="004A3127">
        <w:t xml:space="preserve">, </w:t>
      </w:r>
      <w:r w:rsidRPr="00D60D84">
        <w:t>79</w:t>
      </w:r>
      <w:r w:rsidRPr="004A3127">
        <w:t xml:space="preserve">8 applications were received </w:t>
      </w:r>
      <w:r w:rsidRPr="00D60D84">
        <w:t>between 2015</w:t>
      </w:r>
      <w:r w:rsidRPr="004A3127">
        <w:t xml:space="preserve"> and 2017 – </w:t>
      </w:r>
      <w:r w:rsidRPr="00D60D84">
        <w:t>261 in 2015, 259</w:t>
      </w:r>
      <w:r w:rsidRPr="004A3127">
        <w:t xml:space="preserve"> in 2016 and </w:t>
      </w:r>
      <w:r w:rsidRPr="00D60D84">
        <w:t>278</w:t>
      </w:r>
      <w:r w:rsidRPr="004A3127">
        <w:t xml:space="preserve"> in 2017. As outlined in </w:t>
      </w:r>
      <w:r w:rsidR="00DE12AF">
        <w:fldChar w:fldCharType="begin"/>
      </w:r>
      <w:r w:rsidR="00DE12AF">
        <w:instrText xml:space="preserve"> REF _Ref481687497 \h </w:instrText>
      </w:r>
      <w:r w:rsidR="00DE12AF">
        <w:fldChar w:fldCharType="separate"/>
      </w:r>
      <w:r w:rsidR="009C78D7" w:rsidRPr="004A3127">
        <w:t xml:space="preserve">Figure </w:t>
      </w:r>
      <w:r w:rsidR="009C78D7">
        <w:rPr>
          <w:noProof/>
        </w:rPr>
        <w:t>18</w:t>
      </w:r>
      <w:r w:rsidR="00DE12AF">
        <w:fldChar w:fldCharType="end"/>
      </w:r>
      <w:r w:rsidRPr="004A3127">
        <w:t>, of these applicants, the majority have been female students.</w:t>
      </w:r>
    </w:p>
    <w:p w14:paraId="6422EDF3" w14:textId="60DC298A" w:rsidR="00DF33CB" w:rsidRPr="004A3127" w:rsidRDefault="00DF33CB" w:rsidP="00DF33CB">
      <w:pPr>
        <w:pStyle w:val="Caption"/>
        <w:rPr>
          <w:b w:val="0"/>
        </w:rPr>
      </w:pPr>
      <w:bookmarkStart w:id="44" w:name="_Ref481687497"/>
      <w:r w:rsidRPr="004A3127">
        <w:t xml:space="preserve">Figure </w:t>
      </w:r>
      <w:fldSimple w:instr=" SEQ Figure \* ARABIC ">
        <w:r w:rsidR="009C78D7">
          <w:rPr>
            <w:noProof/>
          </w:rPr>
          <w:t>18</w:t>
        </w:r>
      </w:fldSimple>
      <w:bookmarkEnd w:id="44"/>
      <w:r w:rsidRPr="004A3127">
        <w:t xml:space="preserve">: Gender of applicants </w:t>
      </w:r>
      <w:r w:rsidRPr="00D60D84">
        <w:t>between</w:t>
      </w:r>
      <w:r w:rsidRPr="004A3127">
        <w:t xml:space="preserve"> 201</w:t>
      </w:r>
      <w:r w:rsidRPr="00D60D84">
        <w:t>5</w:t>
      </w:r>
      <w:r w:rsidRPr="004A3127">
        <w:t xml:space="preserve"> and 2017</w:t>
      </w:r>
    </w:p>
    <w:p w14:paraId="2B0F8129" w14:textId="77777777" w:rsidR="00DF33CB" w:rsidRPr="004A3127" w:rsidRDefault="00DF33CB" w:rsidP="00F03B38">
      <w:pPr>
        <w:rPr>
          <w:b/>
        </w:rPr>
      </w:pPr>
      <w:r>
        <w:rPr>
          <w:noProof/>
          <w:snapToGrid/>
          <w:lang w:eastAsia="en-AU"/>
        </w:rPr>
        <w:drawing>
          <wp:inline distT="0" distB="0" distL="0" distR="0" wp14:anchorId="07D2FFA3" wp14:editId="33483171">
            <wp:extent cx="4572000" cy="2743200"/>
            <wp:effectExtent l="0" t="0" r="0" b="0"/>
            <wp:docPr id="295" name="Chart 295" descr="2015 - Male 45%, Female 55%&#10;2016 – Male 48%, female 52%&#10;2017 – Male – 41%, Female 59%" title="Figure 18: Gender of applicants between 2015 and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CDABB5E" w14:textId="77777777" w:rsidR="00DF33CB" w:rsidRDefault="00DF33CB" w:rsidP="00DF33CB">
      <w:pPr>
        <w:pStyle w:val="PwCNormal"/>
        <w:numPr>
          <w:ilvl w:val="0"/>
          <w:numId w:val="0"/>
        </w:numPr>
        <w:rPr>
          <w:i/>
        </w:rPr>
      </w:pPr>
      <w:r w:rsidRPr="004A3127">
        <w:rPr>
          <w:b/>
          <w:i/>
        </w:rPr>
        <w:t>Note:</w:t>
      </w:r>
      <w:r w:rsidRPr="004A3127">
        <w:rPr>
          <w:i/>
        </w:rPr>
        <w:t xml:space="preserve"> Only includes data from four out of ten scholarship providers.</w:t>
      </w:r>
      <w:r>
        <w:rPr>
          <w:i/>
        </w:rPr>
        <w:t xml:space="preserve"> </w:t>
      </w:r>
    </w:p>
    <w:p w14:paraId="3E52C4D7" w14:textId="0365511B" w:rsidR="00DF33CB" w:rsidRPr="005D42CC" w:rsidRDefault="00DF33CB" w:rsidP="00DF33CB">
      <w:pPr>
        <w:pStyle w:val="PwCNormal"/>
        <w:numPr>
          <w:ilvl w:val="0"/>
          <w:numId w:val="0"/>
        </w:numPr>
      </w:pPr>
      <w:r w:rsidRPr="005D42CC">
        <w:t>The scholarship providers reported variable application success rates (</w:t>
      </w:r>
      <w:r w:rsidR="00DE12AF">
        <w:fldChar w:fldCharType="begin"/>
      </w:r>
      <w:r w:rsidR="00DE12AF">
        <w:instrText xml:space="preserve"> REF _Ref481687517 \h </w:instrText>
      </w:r>
      <w:r w:rsidR="00DE12AF">
        <w:fldChar w:fldCharType="separate"/>
      </w:r>
      <w:r w:rsidR="009C78D7" w:rsidRPr="005D42CC">
        <w:t xml:space="preserve">Figure </w:t>
      </w:r>
      <w:r w:rsidR="009C78D7">
        <w:rPr>
          <w:noProof/>
        </w:rPr>
        <w:t>19</w:t>
      </w:r>
      <w:r w:rsidR="00DE12AF">
        <w:fldChar w:fldCharType="end"/>
      </w:r>
      <w:r w:rsidRPr="005D42CC">
        <w:t xml:space="preserve">) </w:t>
      </w:r>
      <w:r w:rsidRPr="00D60D84">
        <w:t>between 2015</w:t>
      </w:r>
      <w:r w:rsidRPr="005D42CC">
        <w:t xml:space="preserve"> and 2017.</w:t>
      </w:r>
    </w:p>
    <w:p w14:paraId="08562EB8" w14:textId="687065AB" w:rsidR="00DF33CB" w:rsidRPr="005D42CC" w:rsidRDefault="00DF33CB" w:rsidP="00DF33CB">
      <w:pPr>
        <w:pStyle w:val="Caption"/>
      </w:pPr>
      <w:bookmarkStart w:id="45" w:name="_Ref481687517"/>
      <w:r w:rsidRPr="005D42CC">
        <w:lastRenderedPageBreak/>
        <w:t xml:space="preserve">Figure </w:t>
      </w:r>
      <w:fldSimple w:instr=" SEQ Figure \* ARABIC ">
        <w:r w:rsidR="009C78D7">
          <w:rPr>
            <w:noProof/>
          </w:rPr>
          <w:t>19</w:t>
        </w:r>
      </w:fldSimple>
      <w:bookmarkEnd w:id="45"/>
      <w:r w:rsidRPr="005D42CC">
        <w:t xml:space="preserve">: Application outcomes </w:t>
      </w:r>
      <w:r w:rsidRPr="00D60D84">
        <w:t>between 2015</w:t>
      </w:r>
      <w:r w:rsidRPr="005D42CC">
        <w:t xml:space="preserve"> and 2017</w:t>
      </w:r>
    </w:p>
    <w:p w14:paraId="6D4B0EAD" w14:textId="77777777" w:rsidR="00DF33CB" w:rsidRPr="005D42CC" w:rsidRDefault="00DF33CB" w:rsidP="00DF33CB">
      <w:pPr>
        <w:pStyle w:val="Caption"/>
      </w:pPr>
      <w:r w:rsidRPr="00D60D84">
        <w:rPr>
          <w:noProof/>
          <w:snapToGrid/>
          <w:lang w:eastAsia="en-AU"/>
        </w:rPr>
        <w:drawing>
          <wp:inline distT="0" distB="0" distL="0" distR="0" wp14:anchorId="241AE874" wp14:editId="691D0A70">
            <wp:extent cx="5153891" cy="2944091"/>
            <wp:effectExtent l="0" t="0" r="8890" b="8890"/>
            <wp:docPr id="296" name="Chart 296" descr="Successful – 2015: 56%, 2016: 64%, 2017: 44%&#10;Unsuccessful – 2015: 39%, 2016: 31%, 2017: 49%&#10;Withdrawn – 2015: 4%, 2016: 4%, 2017: 7%&#10;Ineligible/incomplete – 2015: 1%, 2016: 1%, 2017: 0%" title="Figure 19: Application outcomes between 2015 and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37EE7C6" w14:textId="77777777" w:rsidR="00DF33CB" w:rsidRDefault="00DF33CB" w:rsidP="00DF33CB">
      <w:pPr>
        <w:pStyle w:val="PwCNormal"/>
        <w:numPr>
          <w:ilvl w:val="0"/>
          <w:numId w:val="0"/>
        </w:numPr>
        <w:rPr>
          <w:i/>
        </w:rPr>
      </w:pPr>
      <w:r w:rsidRPr="005D42CC">
        <w:rPr>
          <w:b/>
          <w:i/>
        </w:rPr>
        <w:t>Note:</w:t>
      </w:r>
      <w:r w:rsidRPr="005D42CC">
        <w:rPr>
          <w:i/>
        </w:rPr>
        <w:t xml:space="preserve"> Only includes data from four out of ten scholarship providers.</w:t>
      </w:r>
      <w:r>
        <w:rPr>
          <w:i/>
        </w:rPr>
        <w:t xml:space="preserve"> </w:t>
      </w:r>
    </w:p>
    <w:p w14:paraId="668E8A8B" w14:textId="4E4E8247" w:rsidR="00DF33CB" w:rsidRPr="000216E0" w:rsidRDefault="00DF33CB" w:rsidP="00DF33CB">
      <w:pPr>
        <w:pStyle w:val="PwCNormal"/>
        <w:numPr>
          <w:ilvl w:val="0"/>
          <w:numId w:val="0"/>
        </w:numPr>
      </w:pPr>
      <w:r w:rsidRPr="00D60D84">
        <w:t>Of the ten scholarship providers</w:t>
      </w:r>
      <w:r w:rsidR="00675491">
        <w:t>,</w:t>
      </w:r>
      <w:r w:rsidRPr="00D60D84">
        <w:t xml:space="preserve"> four submitted unit level data relating to the year level (</w:t>
      </w:r>
      <w:r w:rsidR="00675491">
        <w:t>at application) of each student</w:t>
      </w:r>
      <w:r w:rsidRPr="00D60D84">
        <w:t xml:space="preserve"> applying for a scholarship in 2016 and 2017. </w:t>
      </w:r>
      <w:r w:rsidRPr="000216E0">
        <w:t xml:space="preserve">As illustrated in </w:t>
      </w:r>
      <w:r>
        <w:fldChar w:fldCharType="begin"/>
      </w:r>
      <w:r>
        <w:instrText xml:space="preserve"> REF _Ref481593707 \h </w:instrText>
      </w:r>
      <w:r>
        <w:fldChar w:fldCharType="separate"/>
      </w:r>
      <w:r w:rsidR="009C78D7" w:rsidRPr="000216E0">
        <w:t xml:space="preserve">Figure </w:t>
      </w:r>
      <w:r w:rsidR="009C78D7">
        <w:rPr>
          <w:noProof/>
        </w:rPr>
        <w:t>20</w:t>
      </w:r>
      <w:r>
        <w:fldChar w:fldCharType="end"/>
      </w:r>
      <w:r w:rsidR="00675491">
        <w:t>,</w:t>
      </w:r>
      <w:r w:rsidR="00DE12AF">
        <w:t xml:space="preserve"> </w:t>
      </w:r>
      <w:r w:rsidRPr="000216E0">
        <w:t>the distribution by year level (at application) of the prospective students</w:t>
      </w:r>
      <w:r w:rsidR="00675491">
        <w:t>’</w:t>
      </w:r>
      <w:r w:rsidRPr="000216E0">
        <w:t xml:space="preserve"> applying for the scholarships were similar in </w:t>
      </w:r>
      <w:r w:rsidRPr="00D60D84">
        <w:t>2016 and 2017</w:t>
      </w:r>
      <w:r w:rsidRPr="000216E0">
        <w:t>, with the largest proportion of applicants (44% in 2016 and 33% in 2017) applying for an IAS funded secondary school scholarship whilst they are in year 6 so they can access the first year of secondary school.</w:t>
      </w:r>
    </w:p>
    <w:p w14:paraId="0565DAD4" w14:textId="07007E3E" w:rsidR="00DF33CB" w:rsidRPr="000216E0" w:rsidRDefault="00DF33CB" w:rsidP="00DF33CB">
      <w:pPr>
        <w:pStyle w:val="Caption"/>
        <w:keepNext w:val="0"/>
        <w:keepLines w:val="0"/>
      </w:pPr>
      <w:bookmarkStart w:id="46" w:name="_Ref481593707"/>
      <w:r w:rsidRPr="000216E0">
        <w:t xml:space="preserve">Figure </w:t>
      </w:r>
      <w:fldSimple w:instr=" SEQ Figure \* ARABIC ">
        <w:r w:rsidR="009C78D7">
          <w:rPr>
            <w:noProof/>
          </w:rPr>
          <w:t>20</w:t>
        </w:r>
      </w:fldSimple>
      <w:bookmarkEnd w:id="46"/>
      <w:r w:rsidRPr="000216E0">
        <w:t>: School year level of applicants upon making secondary school scholarship applications in 2016 and 2017</w:t>
      </w:r>
    </w:p>
    <w:p w14:paraId="2F88B2CF" w14:textId="77777777" w:rsidR="00DF33CB" w:rsidRPr="000216E0" w:rsidRDefault="00DF33CB" w:rsidP="00DF33CB">
      <w:pPr>
        <w:pStyle w:val="PwCNormal"/>
        <w:numPr>
          <w:ilvl w:val="0"/>
          <w:numId w:val="0"/>
        </w:numPr>
      </w:pPr>
      <w:r w:rsidRPr="00D60D84">
        <w:rPr>
          <w:noProof/>
          <w:snapToGrid/>
          <w:lang w:eastAsia="en-AU"/>
        </w:rPr>
        <w:drawing>
          <wp:inline distT="0" distB="0" distL="0" distR="0" wp14:anchorId="3B759E1D" wp14:editId="77E2B683">
            <wp:extent cx="5547360" cy="3009900"/>
            <wp:effectExtent l="0" t="0" r="0" b="0"/>
            <wp:docPr id="57" name="Chart 57" descr="Year 6 – 2017 32.6%, 2016 44.5%&#10;Year 7 – 2017 11.4%, 2016 7.5%&#10;Year 8 – 2017 9.9%, 2016 9.6%&#10;Year 9 – 2017 14.7%, 2016 9.3%&#10;Year 10 – 2017 9.5%, 2016 7.5%&#10;Year 11 – 2017 2.9%, 2016 3.3%&#10;Unknown/not stated – 2017 19.0%, 2016 18.5%" title="Figure 20: School year level of applicants upon making secondary school scholarship applications in 2016 and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A408717" w14:textId="77777777" w:rsidR="00DF33CB" w:rsidRDefault="00DF33CB" w:rsidP="00DF33CB">
      <w:pPr>
        <w:pStyle w:val="PwCNormal"/>
        <w:numPr>
          <w:ilvl w:val="0"/>
          <w:numId w:val="0"/>
        </w:numPr>
        <w:rPr>
          <w:i/>
        </w:rPr>
      </w:pPr>
      <w:r w:rsidRPr="000216E0">
        <w:rPr>
          <w:b/>
          <w:i/>
        </w:rPr>
        <w:t>Note:</w:t>
      </w:r>
      <w:r w:rsidRPr="000216E0">
        <w:rPr>
          <w:i/>
        </w:rPr>
        <w:t xml:space="preserve"> Only includes data from four out of ten scholarship providers.</w:t>
      </w:r>
      <w:r>
        <w:rPr>
          <w:i/>
        </w:rPr>
        <w:t xml:space="preserve"> </w:t>
      </w:r>
    </w:p>
    <w:p w14:paraId="088B59AC" w14:textId="70F21DC8" w:rsidR="00DF33CB" w:rsidRPr="000216E0" w:rsidRDefault="00DF33CB" w:rsidP="00DF33CB">
      <w:pPr>
        <w:pStyle w:val="PwCNormal"/>
        <w:numPr>
          <w:ilvl w:val="0"/>
          <w:numId w:val="0"/>
        </w:numPr>
      </w:pPr>
      <w:r w:rsidRPr="000216E0">
        <w:t xml:space="preserve">Of the ten scholarship providers, two provided application success rates by year level for 2015 to 2017. One other scholarship provider submitted its applicant success rates for 2017. As outlined </w:t>
      </w:r>
      <w:r w:rsidRPr="000216E0">
        <w:lastRenderedPageBreak/>
        <w:t xml:space="preserve">below in </w:t>
      </w:r>
      <w:r w:rsidR="00DE12AF">
        <w:fldChar w:fldCharType="begin"/>
      </w:r>
      <w:r w:rsidR="00DE12AF">
        <w:instrText xml:space="preserve"> REF _Ref481687554 \h </w:instrText>
      </w:r>
      <w:r w:rsidR="00DE12AF">
        <w:fldChar w:fldCharType="separate"/>
      </w:r>
      <w:r w:rsidR="009C78D7" w:rsidRPr="000216E0">
        <w:t xml:space="preserve">Table </w:t>
      </w:r>
      <w:r w:rsidR="009C78D7">
        <w:rPr>
          <w:noProof/>
        </w:rPr>
        <w:t>7</w:t>
      </w:r>
      <w:r w:rsidR="00DE12AF">
        <w:fldChar w:fldCharType="end"/>
      </w:r>
      <w:r w:rsidRPr="000216E0">
        <w:t>, applicant success rates by year level vary significantly for each scholarship provider between 2015 and 2017.</w:t>
      </w:r>
    </w:p>
    <w:p w14:paraId="64FBC691" w14:textId="77777777" w:rsidR="00DF33CB" w:rsidRPr="000216E0" w:rsidRDefault="00DF33CB" w:rsidP="00DF33CB">
      <w:pPr>
        <w:pStyle w:val="Caption"/>
        <w:keepNext w:val="0"/>
        <w:keepLines w:val="0"/>
        <w:rPr>
          <w:b w:val="0"/>
        </w:rPr>
      </w:pPr>
      <w:bookmarkStart w:id="47" w:name="_Ref481687554"/>
      <w:r w:rsidRPr="000216E0">
        <w:t xml:space="preserve">Table </w:t>
      </w:r>
      <w:r w:rsidRPr="00D60D84">
        <w:fldChar w:fldCharType="begin"/>
      </w:r>
      <w:r w:rsidRPr="000216E0">
        <w:instrText xml:space="preserve"> SEQ Table \* ARABIC </w:instrText>
      </w:r>
      <w:r w:rsidRPr="00D60D84">
        <w:fldChar w:fldCharType="separate"/>
      </w:r>
      <w:r w:rsidR="009C78D7">
        <w:rPr>
          <w:noProof/>
        </w:rPr>
        <w:t>7</w:t>
      </w:r>
      <w:r w:rsidRPr="00D60D84">
        <w:rPr>
          <w:noProof/>
        </w:rPr>
        <w:fldChar w:fldCharType="end"/>
      </w:r>
      <w:bookmarkEnd w:id="47"/>
      <w:r w:rsidRPr="000216E0">
        <w:t>: Application success rates by provider and year level (at application) for 2015-2017</w:t>
      </w:r>
    </w:p>
    <w:tbl>
      <w:tblPr>
        <w:tblStyle w:val="Tables-APBase"/>
        <w:tblW w:w="5000" w:type="pct"/>
        <w:tblLook w:val="04A0" w:firstRow="1" w:lastRow="0" w:firstColumn="1" w:lastColumn="0" w:noHBand="0" w:noVBand="1"/>
        <w:tblCaption w:val="Table 7: Application success rates by provider and year level (at application) for 2015-2017"/>
        <w:tblDescription w:val="2015 Scholarship provider 1 – Year 6 85%, Year 7 100%, Year 8 100%, Year 9 100%, Year 10 N/A, Year 11 N/A&#10;2015 Scholarship provider 2 – Year 6 71%, Year 7 75%, Year 8 59%, Year 9 47%, Year 10 67%, Year 11 44%&#10;2016 Scholarship provider 1 – Year 6 50%, Year 7 58%, Year 8 33%, Year 9 40%, Year 10 100%, Year 11 0%&#10;2016 Scholarship provider 2 – Year 6 100%, Year 7 100%, Year 8 89%, Year 9 84%, Year 10 82%, Year 11 75%&#10;2017 Scholarship provider 1 – Year 6 16%, Year 7 50%, Year 8 11%, Year 9 20%, Year 10 100%, Year 11 N/A&#10;2017 Scholarship provider 2 – Year 6 88%, Year 7 85%, Year 8 74%, Year 9 82%, Year 10 89%, Year 11 86%&#10;2017 Scholarship provider 3 – Year 6 N/A, Year 7 22%, Year 8 43%, Year 9 50%, Year 10 0%, Year 11 N/A"/>
      </w:tblPr>
      <w:tblGrid>
        <w:gridCol w:w="2329"/>
        <w:gridCol w:w="1033"/>
        <w:gridCol w:w="1033"/>
        <w:gridCol w:w="1033"/>
        <w:gridCol w:w="1033"/>
        <w:gridCol w:w="1033"/>
        <w:gridCol w:w="1030"/>
      </w:tblGrid>
      <w:tr w:rsidR="00DF33CB" w:rsidRPr="000216E0" w14:paraId="5429F8AE" w14:textId="77777777" w:rsidTr="00B54A8B">
        <w:trPr>
          <w:cnfStyle w:val="100000000000" w:firstRow="1" w:lastRow="0" w:firstColumn="0" w:lastColumn="0" w:oddVBand="0" w:evenVBand="0" w:oddHBand="0" w:evenHBand="0" w:firstRowFirstColumn="0" w:firstRowLastColumn="0" w:lastRowFirstColumn="0" w:lastRowLastColumn="0"/>
          <w:trHeight w:val="315"/>
        </w:trPr>
        <w:tc>
          <w:tcPr>
            <w:cnfStyle w:val="000000000100" w:firstRow="0" w:lastRow="0" w:firstColumn="0" w:lastColumn="0" w:oddVBand="0" w:evenVBand="0" w:oddHBand="0" w:evenHBand="0" w:firstRowFirstColumn="1" w:firstRowLastColumn="0" w:lastRowFirstColumn="0" w:lastRowLastColumn="0"/>
            <w:tcW w:w="1366" w:type="pct"/>
            <w:shd w:val="clear" w:color="auto" w:fill="A32020" w:themeFill="text2"/>
          </w:tcPr>
          <w:p w14:paraId="29FD9386" w14:textId="77777777" w:rsidR="00DF33CB" w:rsidRPr="000216E0" w:rsidRDefault="00DF33CB" w:rsidP="00B54A8B">
            <w:pPr>
              <w:keepNext/>
              <w:keepLines/>
              <w:spacing w:after="40"/>
              <w:rPr>
                <w:b/>
                <w:color w:val="FFFFFF" w:themeColor="background1"/>
              </w:rPr>
            </w:pPr>
            <w:r w:rsidRPr="000216E0">
              <w:rPr>
                <w:b/>
                <w:color w:val="FFFFFF" w:themeColor="background1"/>
              </w:rPr>
              <w:t>Scholarship Provider</w:t>
            </w:r>
          </w:p>
        </w:tc>
        <w:tc>
          <w:tcPr>
            <w:tcW w:w="606" w:type="pct"/>
            <w:shd w:val="clear" w:color="auto" w:fill="A32020" w:themeFill="text2"/>
            <w:vAlign w:val="center"/>
          </w:tcPr>
          <w:p w14:paraId="00115646" w14:textId="77777777" w:rsidR="00DF33CB" w:rsidRPr="000216E0" w:rsidRDefault="00DF33CB" w:rsidP="00B54A8B">
            <w:pPr>
              <w:keepNext/>
              <w:keepLines/>
              <w:spacing w:after="40"/>
              <w:cnfStyle w:val="100000000000" w:firstRow="1" w:lastRow="0" w:firstColumn="0" w:lastColumn="0" w:oddVBand="0" w:evenVBand="0" w:oddHBand="0" w:evenHBand="0" w:firstRowFirstColumn="0" w:firstRowLastColumn="0" w:lastRowFirstColumn="0" w:lastRowLastColumn="0"/>
              <w:rPr>
                <w:b/>
                <w:color w:val="FFFFFF" w:themeColor="background1"/>
              </w:rPr>
            </w:pPr>
            <w:r w:rsidRPr="000216E0">
              <w:rPr>
                <w:b/>
                <w:color w:val="FFFFFF" w:themeColor="background1"/>
              </w:rPr>
              <w:t>Year 6</w:t>
            </w:r>
          </w:p>
        </w:tc>
        <w:tc>
          <w:tcPr>
            <w:tcW w:w="606" w:type="pct"/>
            <w:shd w:val="clear" w:color="auto" w:fill="A32020" w:themeFill="text2"/>
            <w:vAlign w:val="center"/>
          </w:tcPr>
          <w:p w14:paraId="34275FB2" w14:textId="77777777" w:rsidR="00DF33CB" w:rsidRPr="000216E0" w:rsidRDefault="00DF33CB" w:rsidP="00B54A8B">
            <w:pPr>
              <w:keepNext/>
              <w:keepLines/>
              <w:spacing w:after="40"/>
              <w:cnfStyle w:val="100000000000" w:firstRow="1" w:lastRow="0" w:firstColumn="0" w:lastColumn="0" w:oddVBand="0" w:evenVBand="0" w:oddHBand="0" w:evenHBand="0" w:firstRowFirstColumn="0" w:firstRowLastColumn="0" w:lastRowFirstColumn="0" w:lastRowLastColumn="0"/>
              <w:rPr>
                <w:b/>
                <w:color w:val="FFFFFF" w:themeColor="background1"/>
              </w:rPr>
            </w:pPr>
            <w:r w:rsidRPr="000216E0">
              <w:rPr>
                <w:b/>
                <w:color w:val="FFFFFF" w:themeColor="background1"/>
              </w:rPr>
              <w:t>Year 7</w:t>
            </w:r>
          </w:p>
        </w:tc>
        <w:tc>
          <w:tcPr>
            <w:tcW w:w="606" w:type="pct"/>
            <w:shd w:val="clear" w:color="auto" w:fill="A32020" w:themeFill="text2"/>
            <w:vAlign w:val="center"/>
          </w:tcPr>
          <w:p w14:paraId="658F0635" w14:textId="77777777" w:rsidR="00DF33CB" w:rsidRPr="000216E0" w:rsidRDefault="00DF33CB" w:rsidP="00B54A8B">
            <w:pPr>
              <w:keepNext/>
              <w:keepLines/>
              <w:spacing w:after="40"/>
              <w:cnfStyle w:val="100000000000" w:firstRow="1" w:lastRow="0" w:firstColumn="0" w:lastColumn="0" w:oddVBand="0" w:evenVBand="0" w:oddHBand="0" w:evenHBand="0" w:firstRowFirstColumn="0" w:firstRowLastColumn="0" w:lastRowFirstColumn="0" w:lastRowLastColumn="0"/>
              <w:rPr>
                <w:b/>
                <w:color w:val="FFFFFF" w:themeColor="background1"/>
              </w:rPr>
            </w:pPr>
            <w:r w:rsidRPr="000216E0">
              <w:rPr>
                <w:b/>
                <w:color w:val="FFFFFF" w:themeColor="background1"/>
              </w:rPr>
              <w:t>Year 8</w:t>
            </w:r>
          </w:p>
        </w:tc>
        <w:tc>
          <w:tcPr>
            <w:tcW w:w="606" w:type="pct"/>
            <w:shd w:val="clear" w:color="auto" w:fill="A32020" w:themeFill="text2"/>
            <w:vAlign w:val="center"/>
          </w:tcPr>
          <w:p w14:paraId="3AEDFEDD" w14:textId="77777777" w:rsidR="00DF33CB" w:rsidRPr="000216E0" w:rsidRDefault="00DF33CB" w:rsidP="00B54A8B">
            <w:pPr>
              <w:keepNext/>
              <w:keepLines/>
              <w:spacing w:after="40"/>
              <w:cnfStyle w:val="100000000000" w:firstRow="1" w:lastRow="0" w:firstColumn="0" w:lastColumn="0" w:oddVBand="0" w:evenVBand="0" w:oddHBand="0" w:evenHBand="0" w:firstRowFirstColumn="0" w:firstRowLastColumn="0" w:lastRowFirstColumn="0" w:lastRowLastColumn="0"/>
              <w:rPr>
                <w:b/>
                <w:color w:val="FFFFFF" w:themeColor="background1"/>
              </w:rPr>
            </w:pPr>
            <w:r w:rsidRPr="000216E0">
              <w:rPr>
                <w:b/>
                <w:color w:val="FFFFFF" w:themeColor="background1"/>
              </w:rPr>
              <w:t>Year 9</w:t>
            </w:r>
          </w:p>
        </w:tc>
        <w:tc>
          <w:tcPr>
            <w:tcW w:w="606" w:type="pct"/>
            <w:shd w:val="clear" w:color="auto" w:fill="A32020" w:themeFill="text2"/>
            <w:vAlign w:val="center"/>
          </w:tcPr>
          <w:p w14:paraId="5757356E" w14:textId="77777777" w:rsidR="00DF33CB" w:rsidRPr="000216E0" w:rsidRDefault="00DF33CB" w:rsidP="00B54A8B">
            <w:pPr>
              <w:keepNext/>
              <w:keepLines/>
              <w:spacing w:after="40"/>
              <w:cnfStyle w:val="100000000000" w:firstRow="1" w:lastRow="0" w:firstColumn="0" w:lastColumn="0" w:oddVBand="0" w:evenVBand="0" w:oddHBand="0" w:evenHBand="0" w:firstRowFirstColumn="0" w:firstRowLastColumn="0" w:lastRowFirstColumn="0" w:lastRowLastColumn="0"/>
              <w:rPr>
                <w:b/>
                <w:color w:val="FFFFFF" w:themeColor="background1"/>
              </w:rPr>
            </w:pPr>
            <w:r w:rsidRPr="000216E0">
              <w:rPr>
                <w:b/>
                <w:color w:val="FFFFFF" w:themeColor="background1"/>
              </w:rPr>
              <w:t>Year 10</w:t>
            </w:r>
          </w:p>
        </w:tc>
        <w:tc>
          <w:tcPr>
            <w:tcW w:w="604" w:type="pct"/>
            <w:shd w:val="clear" w:color="auto" w:fill="A32020" w:themeFill="text2"/>
            <w:vAlign w:val="center"/>
          </w:tcPr>
          <w:p w14:paraId="47A9B24C" w14:textId="77777777" w:rsidR="00DF33CB" w:rsidRPr="000216E0" w:rsidRDefault="00DF33CB" w:rsidP="00B54A8B">
            <w:pPr>
              <w:keepNext/>
              <w:keepLines/>
              <w:spacing w:after="40"/>
              <w:cnfStyle w:val="100000000000" w:firstRow="1" w:lastRow="0" w:firstColumn="0" w:lastColumn="0" w:oddVBand="0" w:evenVBand="0" w:oddHBand="0" w:evenHBand="0" w:firstRowFirstColumn="0" w:firstRowLastColumn="0" w:lastRowFirstColumn="0" w:lastRowLastColumn="0"/>
              <w:rPr>
                <w:b/>
                <w:color w:val="FFFFFF" w:themeColor="background1"/>
              </w:rPr>
            </w:pPr>
            <w:r w:rsidRPr="000216E0">
              <w:rPr>
                <w:b/>
                <w:color w:val="FFFFFF" w:themeColor="background1"/>
              </w:rPr>
              <w:t>Year 11</w:t>
            </w:r>
          </w:p>
        </w:tc>
      </w:tr>
      <w:tr w:rsidR="00DF33CB" w:rsidRPr="000216E0" w14:paraId="5BAB5005" w14:textId="77777777" w:rsidTr="00B54A8B">
        <w:trPr>
          <w:trHeight w:val="277"/>
        </w:trPr>
        <w:tc>
          <w:tcPr>
            <w:tcW w:w="5000" w:type="pct"/>
            <w:gridSpan w:val="7"/>
            <w:shd w:val="clear" w:color="auto" w:fill="F4CACA" w:themeFill="text2" w:themeFillTint="33"/>
          </w:tcPr>
          <w:p w14:paraId="69361AB4" w14:textId="77777777" w:rsidR="00DF33CB" w:rsidRPr="000216E0" w:rsidRDefault="00DF33CB" w:rsidP="00B54A8B">
            <w:pPr>
              <w:pStyle w:val="PwCNormal"/>
              <w:numPr>
                <w:ilvl w:val="0"/>
                <w:numId w:val="0"/>
              </w:numPr>
              <w:spacing w:after="40"/>
              <w:jc w:val="center"/>
              <w:rPr>
                <w:b/>
              </w:rPr>
            </w:pPr>
            <w:r w:rsidRPr="000216E0">
              <w:rPr>
                <w:b/>
              </w:rPr>
              <w:t>2015</w:t>
            </w:r>
          </w:p>
        </w:tc>
      </w:tr>
      <w:tr w:rsidR="00DF33CB" w:rsidRPr="000216E0" w14:paraId="01EF596C" w14:textId="77777777" w:rsidTr="00B54A8B">
        <w:trPr>
          <w:trHeight w:val="387"/>
        </w:trPr>
        <w:tc>
          <w:tcPr>
            <w:tcW w:w="1366" w:type="pct"/>
          </w:tcPr>
          <w:p w14:paraId="5629A77B" w14:textId="77777777" w:rsidR="00DF33CB" w:rsidRPr="000216E0" w:rsidRDefault="00DF33CB" w:rsidP="00B54A8B">
            <w:pPr>
              <w:pStyle w:val="PwCNormal"/>
              <w:numPr>
                <w:ilvl w:val="0"/>
                <w:numId w:val="0"/>
              </w:numPr>
              <w:spacing w:after="40"/>
            </w:pPr>
            <w:r w:rsidRPr="000216E0">
              <w:t>Scholarship provider 1</w:t>
            </w:r>
          </w:p>
        </w:tc>
        <w:tc>
          <w:tcPr>
            <w:tcW w:w="606" w:type="pct"/>
          </w:tcPr>
          <w:p w14:paraId="170B0775" w14:textId="77777777" w:rsidR="00DF33CB" w:rsidRPr="000216E0" w:rsidRDefault="00DF33CB" w:rsidP="00B54A8B">
            <w:pPr>
              <w:pStyle w:val="PwCNormal"/>
              <w:numPr>
                <w:ilvl w:val="0"/>
                <w:numId w:val="0"/>
              </w:numPr>
              <w:spacing w:after="40"/>
              <w:jc w:val="center"/>
            </w:pPr>
            <w:r w:rsidRPr="000216E0">
              <w:t>85%</w:t>
            </w:r>
          </w:p>
        </w:tc>
        <w:tc>
          <w:tcPr>
            <w:tcW w:w="606" w:type="pct"/>
            <w:shd w:val="clear" w:color="auto" w:fill="FFFFFF" w:themeFill="background1"/>
          </w:tcPr>
          <w:p w14:paraId="1D29CAF4" w14:textId="77777777" w:rsidR="00DF33CB" w:rsidRPr="000216E0" w:rsidRDefault="00DF33CB" w:rsidP="00B54A8B">
            <w:pPr>
              <w:pStyle w:val="PwCNormal"/>
              <w:numPr>
                <w:ilvl w:val="0"/>
                <w:numId w:val="0"/>
              </w:numPr>
              <w:spacing w:after="40"/>
              <w:jc w:val="center"/>
            </w:pPr>
            <w:r w:rsidRPr="000216E0">
              <w:t>100%</w:t>
            </w:r>
          </w:p>
        </w:tc>
        <w:tc>
          <w:tcPr>
            <w:tcW w:w="606" w:type="pct"/>
          </w:tcPr>
          <w:p w14:paraId="675BB600" w14:textId="77777777" w:rsidR="00DF33CB" w:rsidRPr="000216E0" w:rsidRDefault="00DF33CB" w:rsidP="00B54A8B">
            <w:pPr>
              <w:pStyle w:val="PwCNormal"/>
              <w:numPr>
                <w:ilvl w:val="0"/>
                <w:numId w:val="0"/>
              </w:numPr>
              <w:spacing w:after="40"/>
              <w:jc w:val="center"/>
            </w:pPr>
            <w:r w:rsidRPr="000216E0">
              <w:t>100%</w:t>
            </w:r>
          </w:p>
        </w:tc>
        <w:tc>
          <w:tcPr>
            <w:tcW w:w="606" w:type="pct"/>
          </w:tcPr>
          <w:p w14:paraId="44620327" w14:textId="77777777" w:rsidR="00DF33CB" w:rsidRPr="000216E0" w:rsidRDefault="00DF33CB" w:rsidP="00B54A8B">
            <w:pPr>
              <w:pStyle w:val="PwCNormal"/>
              <w:numPr>
                <w:ilvl w:val="0"/>
                <w:numId w:val="0"/>
              </w:numPr>
              <w:spacing w:after="40"/>
              <w:jc w:val="center"/>
            </w:pPr>
            <w:r w:rsidRPr="000216E0">
              <w:t>100%</w:t>
            </w:r>
          </w:p>
        </w:tc>
        <w:tc>
          <w:tcPr>
            <w:tcW w:w="606" w:type="pct"/>
          </w:tcPr>
          <w:p w14:paraId="7F1FD13F" w14:textId="77777777" w:rsidR="00DF33CB" w:rsidRPr="000216E0" w:rsidRDefault="00DF33CB" w:rsidP="00B54A8B">
            <w:pPr>
              <w:pStyle w:val="PwCNormal"/>
              <w:numPr>
                <w:ilvl w:val="0"/>
                <w:numId w:val="0"/>
              </w:numPr>
              <w:spacing w:after="40"/>
              <w:jc w:val="center"/>
            </w:pPr>
            <w:r w:rsidRPr="000216E0">
              <w:t>n/a</w:t>
            </w:r>
          </w:p>
        </w:tc>
        <w:tc>
          <w:tcPr>
            <w:tcW w:w="604" w:type="pct"/>
          </w:tcPr>
          <w:p w14:paraId="02AB552D" w14:textId="77777777" w:rsidR="00DF33CB" w:rsidRPr="000216E0" w:rsidRDefault="00DF33CB" w:rsidP="00B54A8B">
            <w:pPr>
              <w:pStyle w:val="PwCNormal"/>
              <w:numPr>
                <w:ilvl w:val="0"/>
                <w:numId w:val="0"/>
              </w:numPr>
              <w:spacing w:after="40"/>
              <w:jc w:val="center"/>
            </w:pPr>
            <w:r w:rsidRPr="000216E0">
              <w:t>n/a</w:t>
            </w:r>
          </w:p>
        </w:tc>
      </w:tr>
      <w:tr w:rsidR="00DF33CB" w:rsidRPr="000216E0" w14:paraId="4057D832" w14:textId="77777777" w:rsidTr="00B54A8B">
        <w:trPr>
          <w:trHeight w:val="387"/>
        </w:trPr>
        <w:tc>
          <w:tcPr>
            <w:tcW w:w="1366" w:type="pct"/>
          </w:tcPr>
          <w:p w14:paraId="56462EF2" w14:textId="77777777" w:rsidR="00DF33CB" w:rsidRPr="000216E0" w:rsidRDefault="00DF33CB" w:rsidP="00B54A8B">
            <w:pPr>
              <w:pStyle w:val="PwCNormal"/>
              <w:numPr>
                <w:ilvl w:val="0"/>
                <w:numId w:val="0"/>
              </w:numPr>
              <w:spacing w:after="40"/>
            </w:pPr>
            <w:r w:rsidRPr="000216E0">
              <w:t xml:space="preserve">Scholarship provider 2 </w:t>
            </w:r>
          </w:p>
        </w:tc>
        <w:tc>
          <w:tcPr>
            <w:tcW w:w="606" w:type="pct"/>
          </w:tcPr>
          <w:p w14:paraId="5D83D8EB" w14:textId="77777777" w:rsidR="00DF33CB" w:rsidRPr="000216E0" w:rsidRDefault="00DF33CB" w:rsidP="00B54A8B">
            <w:pPr>
              <w:pStyle w:val="PwCNormal"/>
              <w:numPr>
                <w:ilvl w:val="0"/>
                <w:numId w:val="0"/>
              </w:numPr>
              <w:spacing w:after="40"/>
              <w:jc w:val="center"/>
            </w:pPr>
            <w:r w:rsidRPr="000216E0">
              <w:t>71%</w:t>
            </w:r>
          </w:p>
        </w:tc>
        <w:tc>
          <w:tcPr>
            <w:tcW w:w="606" w:type="pct"/>
            <w:shd w:val="clear" w:color="auto" w:fill="FFFFFF" w:themeFill="background1"/>
          </w:tcPr>
          <w:p w14:paraId="26258DDC" w14:textId="77777777" w:rsidR="00DF33CB" w:rsidRPr="000216E0" w:rsidRDefault="00DF33CB" w:rsidP="00B54A8B">
            <w:pPr>
              <w:pStyle w:val="PwCNormal"/>
              <w:numPr>
                <w:ilvl w:val="0"/>
                <w:numId w:val="0"/>
              </w:numPr>
              <w:spacing w:after="40"/>
              <w:jc w:val="center"/>
            </w:pPr>
            <w:r w:rsidRPr="000216E0">
              <w:t>75%</w:t>
            </w:r>
          </w:p>
        </w:tc>
        <w:tc>
          <w:tcPr>
            <w:tcW w:w="606" w:type="pct"/>
          </w:tcPr>
          <w:p w14:paraId="09BFE646" w14:textId="77777777" w:rsidR="00DF33CB" w:rsidRPr="000216E0" w:rsidRDefault="00DF33CB" w:rsidP="00B54A8B">
            <w:pPr>
              <w:pStyle w:val="PwCNormal"/>
              <w:numPr>
                <w:ilvl w:val="0"/>
                <w:numId w:val="0"/>
              </w:numPr>
              <w:spacing w:after="40"/>
              <w:jc w:val="center"/>
            </w:pPr>
            <w:r w:rsidRPr="000216E0">
              <w:t>59%</w:t>
            </w:r>
          </w:p>
        </w:tc>
        <w:tc>
          <w:tcPr>
            <w:tcW w:w="606" w:type="pct"/>
          </w:tcPr>
          <w:p w14:paraId="21F1CB7F" w14:textId="77777777" w:rsidR="00DF33CB" w:rsidRPr="000216E0" w:rsidRDefault="00DF33CB" w:rsidP="00B54A8B">
            <w:pPr>
              <w:pStyle w:val="PwCNormal"/>
              <w:numPr>
                <w:ilvl w:val="0"/>
                <w:numId w:val="0"/>
              </w:numPr>
              <w:spacing w:after="40"/>
              <w:jc w:val="center"/>
            </w:pPr>
            <w:r w:rsidRPr="000216E0">
              <w:t>47%</w:t>
            </w:r>
          </w:p>
        </w:tc>
        <w:tc>
          <w:tcPr>
            <w:tcW w:w="606" w:type="pct"/>
          </w:tcPr>
          <w:p w14:paraId="5418863A" w14:textId="77777777" w:rsidR="00DF33CB" w:rsidRPr="000216E0" w:rsidRDefault="00DF33CB" w:rsidP="00B54A8B">
            <w:pPr>
              <w:pStyle w:val="PwCNormal"/>
              <w:numPr>
                <w:ilvl w:val="0"/>
                <w:numId w:val="0"/>
              </w:numPr>
              <w:spacing w:after="40"/>
              <w:jc w:val="center"/>
            </w:pPr>
            <w:r w:rsidRPr="000216E0">
              <w:t>67%</w:t>
            </w:r>
          </w:p>
        </w:tc>
        <w:tc>
          <w:tcPr>
            <w:tcW w:w="604" w:type="pct"/>
          </w:tcPr>
          <w:p w14:paraId="4BE236A9" w14:textId="77777777" w:rsidR="00DF33CB" w:rsidRPr="000216E0" w:rsidRDefault="00DF33CB" w:rsidP="00B54A8B">
            <w:pPr>
              <w:pStyle w:val="PwCNormal"/>
              <w:numPr>
                <w:ilvl w:val="0"/>
                <w:numId w:val="0"/>
              </w:numPr>
              <w:spacing w:after="40"/>
              <w:jc w:val="center"/>
            </w:pPr>
            <w:r w:rsidRPr="000216E0">
              <w:t>44%</w:t>
            </w:r>
          </w:p>
        </w:tc>
      </w:tr>
      <w:tr w:rsidR="00DF33CB" w:rsidRPr="000216E0" w14:paraId="7F27FA10" w14:textId="77777777" w:rsidTr="00B54A8B">
        <w:trPr>
          <w:trHeight w:val="241"/>
        </w:trPr>
        <w:tc>
          <w:tcPr>
            <w:tcW w:w="5000" w:type="pct"/>
            <w:gridSpan w:val="7"/>
            <w:shd w:val="clear" w:color="auto" w:fill="F4CACA" w:themeFill="text2" w:themeFillTint="33"/>
          </w:tcPr>
          <w:p w14:paraId="050DD819" w14:textId="77777777" w:rsidR="00DF33CB" w:rsidRPr="000216E0" w:rsidRDefault="00DF33CB" w:rsidP="00B54A8B">
            <w:pPr>
              <w:pStyle w:val="PwCNormal"/>
              <w:numPr>
                <w:ilvl w:val="0"/>
                <w:numId w:val="0"/>
              </w:numPr>
              <w:spacing w:after="40"/>
              <w:jc w:val="center"/>
              <w:rPr>
                <w:b/>
              </w:rPr>
            </w:pPr>
            <w:r w:rsidRPr="000216E0">
              <w:rPr>
                <w:b/>
              </w:rPr>
              <w:t>2016</w:t>
            </w:r>
          </w:p>
        </w:tc>
      </w:tr>
      <w:tr w:rsidR="00DF33CB" w:rsidRPr="000216E0" w14:paraId="1EF780AA" w14:textId="77777777" w:rsidTr="00B54A8B">
        <w:trPr>
          <w:trHeight w:val="387"/>
        </w:trPr>
        <w:tc>
          <w:tcPr>
            <w:tcW w:w="1366" w:type="pct"/>
          </w:tcPr>
          <w:p w14:paraId="3BB146DA" w14:textId="77777777" w:rsidR="00DF33CB" w:rsidRPr="000216E0" w:rsidRDefault="00DF33CB" w:rsidP="00B54A8B">
            <w:pPr>
              <w:pStyle w:val="PwCNormal"/>
              <w:numPr>
                <w:ilvl w:val="0"/>
                <w:numId w:val="0"/>
              </w:numPr>
              <w:spacing w:after="40"/>
            </w:pPr>
            <w:r w:rsidRPr="000216E0">
              <w:t xml:space="preserve">Scholarship provider 1 </w:t>
            </w:r>
          </w:p>
        </w:tc>
        <w:tc>
          <w:tcPr>
            <w:tcW w:w="606" w:type="pct"/>
          </w:tcPr>
          <w:p w14:paraId="1AF7E999" w14:textId="77777777" w:rsidR="00DF33CB" w:rsidRPr="000216E0" w:rsidRDefault="00DF33CB" w:rsidP="00B54A8B">
            <w:pPr>
              <w:pStyle w:val="PwCNormal"/>
              <w:numPr>
                <w:ilvl w:val="0"/>
                <w:numId w:val="0"/>
              </w:numPr>
              <w:spacing w:after="40"/>
              <w:jc w:val="center"/>
            </w:pPr>
            <w:r w:rsidRPr="000216E0">
              <w:t>50%</w:t>
            </w:r>
          </w:p>
        </w:tc>
        <w:tc>
          <w:tcPr>
            <w:tcW w:w="606" w:type="pct"/>
            <w:shd w:val="clear" w:color="auto" w:fill="FFFFFF" w:themeFill="background1"/>
          </w:tcPr>
          <w:p w14:paraId="33C9423D" w14:textId="77777777" w:rsidR="00DF33CB" w:rsidRPr="000216E0" w:rsidRDefault="00DF33CB" w:rsidP="00B54A8B">
            <w:pPr>
              <w:pStyle w:val="PwCNormal"/>
              <w:numPr>
                <w:ilvl w:val="0"/>
                <w:numId w:val="0"/>
              </w:numPr>
              <w:spacing w:after="40"/>
              <w:jc w:val="center"/>
            </w:pPr>
            <w:r w:rsidRPr="000216E0">
              <w:t>58%</w:t>
            </w:r>
          </w:p>
        </w:tc>
        <w:tc>
          <w:tcPr>
            <w:tcW w:w="606" w:type="pct"/>
          </w:tcPr>
          <w:p w14:paraId="4AFEE5B7" w14:textId="77777777" w:rsidR="00DF33CB" w:rsidRPr="000216E0" w:rsidRDefault="00DF33CB" w:rsidP="00B54A8B">
            <w:pPr>
              <w:pStyle w:val="PwCNormal"/>
              <w:numPr>
                <w:ilvl w:val="0"/>
                <w:numId w:val="0"/>
              </w:numPr>
              <w:spacing w:after="40"/>
              <w:jc w:val="center"/>
            </w:pPr>
            <w:r w:rsidRPr="000216E0">
              <w:t>33%</w:t>
            </w:r>
          </w:p>
        </w:tc>
        <w:tc>
          <w:tcPr>
            <w:tcW w:w="606" w:type="pct"/>
          </w:tcPr>
          <w:p w14:paraId="2FBF893B" w14:textId="77777777" w:rsidR="00DF33CB" w:rsidRPr="000216E0" w:rsidRDefault="00DF33CB" w:rsidP="00B54A8B">
            <w:pPr>
              <w:pStyle w:val="PwCNormal"/>
              <w:numPr>
                <w:ilvl w:val="0"/>
                <w:numId w:val="0"/>
              </w:numPr>
              <w:spacing w:after="40"/>
              <w:jc w:val="center"/>
            </w:pPr>
            <w:r w:rsidRPr="000216E0">
              <w:t>40%</w:t>
            </w:r>
          </w:p>
        </w:tc>
        <w:tc>
          <w:tcPr>
            <w:tcW w:w="606" w:type="pct"/>
          </w:tcPr>
          <w:p w14:paraId="6200578D" w14:textId="77777777" w:rsidR="00DF33CB" w:rsidRPr="000216E0" w:rsidRDefault="00DF33CB" w:rsidP="00B54A8B">
            <w:pPr>
              <w:pStyle w:val="PwCNormal"/>
              <w:numPr>
                <w:ilvl w:val="0"/>
                <w:numId w:val="0"/>
              </w:numPr>
              <w:spacing w:after="40"/>
              <w:jc w:val="center"/>
            </w:pPr>
            <w:r w:rsidRPr="000216E0">
              <w:t>100%</w:t>
            </w:r>
          </w:p>
        </w:tc>
        <w:tc>
          <w:tcPr>
            <w:tcW w:w="604" w:type="pct"/>
          </w:tcPr>
          <w:p w14:paraId="422BA220" w14:textId="77777777" w:rsidR="00DF33CB" w:rsidRPr="000216E0" w:rsidRDefault="00DF33CB" w:rsidP="00B54A8B">
            <w:pPr>
              <w:pStyle w:val="PwCNormal"/>
              <w:numPr>
                <w:ilvl w:val="0"/>
                <w:numId w:val="0"/>
              </w:numPr>
              <w:spacing w:after="40"/>
              <w:jc w:val="center"/>
            </w:pPr>
            <w:r w:rsidRPr="000216E0">
              <w:t>0%</w:t>
            </w:r>
          </w:p>
        </w:tc>
      </w:tr>
      <w:tr w:rsidR="00DF33CB" w:rsidRPr="000216E0" w14:paraId="7A6BB307" w14:textId="77777777" w:rsidTr="00B54A8B">
        <w:trPr>
          <w:trHeight w:val="387"/>
        </w:trPr>
        <w:tc>
          <w:tcPr>
            <w:tcW w:w="1366" w:type="pct"/>
          </w:tcPr>
          <w:p w14:paraId="180FC7D6" w14:textId="77777777" w:rsidR="00DF33CB" w:rsidRPr="000216E0" w:rsidRDefault="00DF33CB" w:rsidP="00B54A8B">
            <w:pPr>
              <w:pStyle w:val="PwCNormal"/>
              <w:numPr>
                <w:ilvl w:val="0"/>
                <w:numId w:val="0"/>
              </w:numPr>
              <w:spacing w:after="40"/>
            </w:pPr>
            <w:r w:rsidRPr="000216E0">
              <w:t>Scholarship provider 2</w:t>
            </w:r>
          </w:p>
        </w:tc>
        <w:tc>
          <w:tcPr>
            <w:tcW w:w="606" w:type="pct"/>
          </w:tcPr>
          <w:p w14:paraId="30721A8F" w14:textId="77777777" w:rsidR="00DF33CB" w:rsidRPr="000216E0" w:rsidRDefault="00DF33CB" w:rsidP="00B54A8B">
            <w:pPr>
              <w:pStyle w:val="PwCNormal"/>
              <w:numPr>
                <w:ilvl w:val="0"/>
                <w:numId w:val="0"/>
              </w:numPr>
              <w:spacing w:after="40"/>
              <w:jc w:val="center"/>
            </w:pPr>
            <w:r w:rsidRPr="000216E0">
              <w:t>100%</w:t>
            </w:r>
          </w:p>
        </w:tc>
        <w:tc>
          <w:tcPr>
            <w:tcW w:w="606" w:type="pct"/>
            <w:shd w:val="clear" w:color="auto" w:fill="FFFFFF" w:themeFill="background1"/>
          </w:tcPr>
          <w:p w14:paraId="2471B42C" w14:textId="77777777" w:rsidR="00DF33CB" w:rsidRPr="000216E0" w:rsidRDefault="00DF33CB" w:rsidP="00B54A8B">
            <w:pPr>
              <w:pStyle w:val="PwCNormal"/>
              <w:numPr>
                <w:ilvl w:val="0"/>
                <w:numId w:val="0"/>
              </w:numPr>
              <w:spacing w:after="40"/>
              <w:jc w:val="center"/>
            </w:pPr>
            <w:r w:rsidRPr="000216E0">
              <w:t>100%</w:t>
            </w:r>
          </w:p>
        </w:tc>
        <w:tc>
          <w:tcPr>
            <w:tcW w:w="606" w:type="pct"/>
          </w:tcPr>
          <w:p w14:paraId="3919B5C1" w14:textId="77777777" w:rsidR="00DF33CB" w:rsidRPr="000216E0" w:rsidRDefault="00DF33CB" w:rsidP="00B54A8B">
            <w:pPr>
              <w:pStyle w:val="PwCNormal"/>
              <w:numPr>
                <w:ilvl w:val="0"/>
                <w:numId w:val="0"/>
              </w:numPr>
              <w:spacing w:after="40"/>
              <w:jc w:val="center"/>
            </w:pPr>
            <w:r w:rsidRPr="000216E0">
              <w:t>89%</w:t>
            </w:r>
          </w:p>
        </w:tc>
        <w:tc>
          <w:tcPr>
            <w:tcW w:w="606" w:type="pct"/>
          </w:tcPr>
          <w:p w14:paraId="2A5E88AD" w14:textId="77777777" w:rsidR="00DF33CB" w:rsidRPr="000216E0" w:rsidRDefault="00DF33CB" w:rsidP="00B54A8B">
            <w:pPr>
              <w:pStyle w:val="PwCNormal"/>
              <w:numPr>
                <w:ilvl w:val="0"/>
                <w:numId w:val="0"/>
              </w:numPr>
              <w:spacing w:after="40"/>
              <w:jc w:val="center"/>
            </w:pPr>
            <w:r w:rsidRPr="000216E0">
              <w:t>84%</w:t>
            </w:r>
          </w:p>
        </w:tc>
        <w:tc>
          <w:tcPr>
            <w:tcW w:w="606" w:type="pct"/>
          </w:tcPr>
          <w:p w14:paraId="07AE2D57" w14:textId="77777777" w:rsidR="00DF33CB" w:rsidRPr="000216E0" w:rsidRDefault="00DF33CB" w:rsidP="00B54A8B">
            <w:pPr>
              <w:pStyle w:val="PwCNormal"/>
              <w:numPr>
                <w:ilvl w:val="0"/>
                <w:numId w:val="0"/>
              </w:numPr>
              <w:spacing w:after="40"/>
              <w:jc w:val="center"/>
            </w:pPr>
            <w:r w:rsidRPr="000216E0">
              <w:t>82%</w:t>
            </w:r>
          </w:p>
        </w:tc>
        <w:tc>
          <w:tcPr>
            <w:tcW w:w="604" w:type="pct"/>
          </w:tcPr>
          <w:p w14:paraId="400E29F0" w14:textId="77777777" w:rsidR="00DF33CB" w:rsidRPr="000216E0" w:rsidRDefault="00DF33CB" w:rsidP="00B54A8B">
            <w:pPr>
              <w:pStyle w:val="PwCNormal"/>
              <w:numPr>
                <w:ilvl w:val="0"/>
                <w:numId w:val="0"/>
              </w:numPr>
              <w:spacing w:after="40"/>
              <w:jc w:val="center"/>
            </w:pPr>
            <w:r w:rsidRPr="000216E0">
              <w:t>75%</w:t>
            </w:r>
          </w:p>
        </w:tc>
      </w:tr>
      <w:tr w:rsidR="00DF33CB" w:rsidRPr="000216E0" w14:paraId="310217E5" w14:textId="77777777" w:rsidTr="00B54A8B">
        <w:trPr>
          <w:trHeight w:val="161"/>
        </w:trPr>
        <w:tc>
          <w:tcPr>
            <w:tcW w:w="5000" w:type="pct"/>
            <w:gridSpan w:val="7"/>
            <w:shd w:val="clear" w:color="auto" w:fill="F4CACA" w:themeFill="text2" w:themeFillTint="33"/>
          </w:tcPr>
          <w:p w14:paraId="10C00164" w14:textId="77777777" w:rsidR="00DF33CB" w:rsidRPr="000216E0" w:rsidRDefault="00DF33CB" w:rsidP="00B54A8B">
            <w:pPr>
              <w:pStyle w:val="PwCNormal"/>
              <w:numPr>
                <w:ilvl w:val="0"/>
                <w:numId w:val="0"/>
              </w:numPr>
              <w:spacing w:after="40"/>
              <w:jc w:val="center"/>
              <w:rPr>
                <w:b/>
              </w:rPr>
            </w:pPr>
            <w:r w:rsidRPr="000216E0">
              <w:rPr>
                <w:b/>
              </w:rPr>
              <w:t>2017</w:t>
            </w:r>
          </w:p>
        </w:tc>
      </w:tr>
      <w:tr w:rsidR="00DF33CB" w:rsidRPr="000216E0" w14:paraId="34E6787E" w14:textId="77777777" w:rsidTr="00B54A8B">
        <w:trPr>
          <w:trHeight w:val="387"/>
        </w:trPr>
        <w:tc>
          <w:tcPr>
            <w:tcW w:w="1366" w:type="pct"/>
          </w:tcPr>
          <w:p w14:paraId="385B795E" w14:textId="77777777" w:rsidR="00DF33CB" w:rsidRPr="000216E0" w:rsidRDefault="00DF33CB" w:rsidP="00B54A8B">
            <w:pPr>
              <w:pStyle w:val="PwCNormal"/>
              <w:numPr>
                <w:ilvl w:val="0"/>
                <w:numId w:val="0"/>
              </w:numPr>
              <w:spacing w:after="40"/>
            </w:pPr>
            <w:r w:rsidRPr="000216E0">
              <w:t xml:space="preserve">Scholarship provider 1 </w:t>
            </w:r>
          </w:p>
        </w:tc>
        <w:tc>
          <w:tcPr>
            <w:tcW w:w="606" w:type="pct"/>
          </w:tcPr>
          <w:p w14:paraId="284BE870" w14:textId="77777777" w:rsidR="00DF33CB" w:rsidRPr="000216E0" w:rsidRDefault="00DF33CB" w:rsidP="00B54A8B">
            <w:pPr>
              <w:pStyle w:val="PwCNormal"/>
              <w:numPr>
                <w:ilvl w:val="0"/>
                <w:numId w:val="0"/>
              </w:numPr>
              <w:spacing w:after="40"/>
              <w:jc w:val="center"/>
            </w:pPr>
            <w:r w:rsidRPr="000216E0">
              <w:t>16%</w:t>
            </w:r>
          </w:p>
        </w:tc>
        <w:tc>
          <w:tcPr>
            <w:tcW w:w="606" w:type="pct"/>
            <w:shd w:val="clear" w:color="auto" w:fill="FFFFFF" w:themeFill="background1"/>
          </w:tcPr>
          <w:p w14:paraId="0320C9A3" w14:textId="77777777" w:rsidR="00DF33CB" w:rsidRPr="000216E0" w:rsidRDefault="00DF33CB" w:rsidP="00B54A8B">
            <w:pPr>
              <w:pStyle w:val="PwCNormal"/>
              <w:numPr>
                <w:ilvl w:val="0"/>
                <w:numId w:val="0"/>
              </w:numPr>
              <w:spacing w:after="40"/>
              <w:jc w:val="center"/>
            </w:pPr>
            <w:r w:rsidRPr="000216E0">
              <w:t>50%</w:t>
            </w:r>
          </w:p>
        </w:tc>
        <w:tc>
          <w:tcPr>
            <w:tcW w:w="606" w:type="pct"/>
          </w:tcPr>
          <w:p w14:paraId="1BE4277E" w14:textId="77777777" w:rsidR="00DF33CB" w:rsidRPr="000216E0" w:rsidRDefault="00DF33CB" w:rsidP="00B54A8B">
            <w:pPr>
              <w:pStyle w:val="PwCNormal"/>
              <w:numPr>
                <w:ilvl w:val="0"/>
                <w:numId w:val="0"/>
              </w:numPr>
              <w:spacing w:after="40"/>
              <w:jc w:val="center"/>
            </w:pPr>
            <w:r w:rsidRPr="000216E0">
              <w:t>11%</w:t>
            </w:r>
          </w:p>
        </w:tc>
        <w:tc>
          <w:tcPr>
            <w:tcW w:w="606" w:type="pct"/>
          </w:tcPr>
          <w:p w14:paraId="1ACBC5E0" w14:textId="77777777" w:rsidR="00DF33CB" w:rsidRPr="000216E0" w:rsidRDefault="00DF33CB" w:rsidP="00B54A8B">
            <w:pPr>
              <w:pStyle w:val="PwCNormal"/>
              <w:numPr>
                <w:ilvl w:val="0"/>
                <w:numId w:val="0"/>
              </w:numPr>
              <w:spacing w:after="40"/>
              <w:jc w:val="center"/>
            </w:pPr>
            <w:r w:rsidRPr="000216E0">
              <w:t>20%</w:t>
            </w:r>
          </w:p>
        </w:tc>
        <w:tc>
          <w:tcPr>
            <w:tcW w:w="606" w:type="pct"/>
          </w:tcPr>
          <w:p w14:paraId="1672D63A" w14:textId="77777777" w:rsidR="00DF33CB" w:rsidRPr="000216E0" w:rsidRDefault="00DF33CB" w:rsidP="00B54A8B">
            <w:pPr>
              <w:pStyle w:val="PwCNormal"/>
              <w:numPr>
                <w:ilvl w:val="0"/>
                <w:numId w:val="0"/>
              </w:numPr>
              <w:spacing w:after="40"/>
              <w:jc w:val="center"/>
            </w:pPr>
            <w:r w:rsidRPr="000216E0">
              <w:t>100%</w:t>
            </w:r>
          </w:p>
        </w:tc>
        <w:tc>
          <w:tcPr>
            <w:tcW w:w="604" w:type="pct"/>
          </w:tcPr>
          <w:p w14:paraId="4E913D38" w14:textId="77777777" w:rsidR="00DF33CB" w:rsidRPr="000216E0" w:rsidRDefault="00DF33CB" w:rsidP="00B54A8B">
            <w:pPr>
              <w:pStyle w:val="PwCNormal"/>
              <w:numPr>
                <w:ilvl w:val="0"/>
                <w:numId w:val="0"/>
              </w:numPr>
              <w:spacing w:after="40"/>
              <w:jc w:val="center"/>
            </w:pPr>
            <w:r w:rsidRPr="000216E0">
              <w:t>n/a</w:t>
            </w:r>
          </w:p>
        </w:tc>
      </w:tr>
      <w:tr w:rsidR="00DF33CB" w:rsidRPr="000216E0" w14:paraId="262BAC49" w14:textId="77777777" w:rsidTr="00B54A8B">
        <w:trPr>
          <w:trHeight w:val="387"/>
        </w:trPr>
        <w:tc>
          <w:tcPr>
            <w:tcW w:w="1366" w:type="pct"/>
          </w:tcPr>
          <w:p w14:paraId="08A949E0" w14:textId="77777777" w:rsidR="00DF33CB" w:rsidRPr="000216E0" w:rsidRDefault="00DF33CB" w:rsidP="00B54A8B">
            <w:pPr>
              <w:pStyle w:val="PwCNormal"/>
              <w:numPr>
                <w:ilvl w:val="0"/>
                <w:numId w:val="0"/>
              </w:numPr>
              <w:spacing w:after="40"/>
            </w:pPr>
            <w:r w:rsidRPr="000216E0">
              <w:t>Scholarship provider 2</w:t>
            </w:r>
          </w:p>
        </w:tc>
        <w:tc>
          <w:tcPr>
            <w:tcW w:w="606" w:type="pct"/>
          </w:tcPr>
          <w:p w14:paraId="6183D085" w14:textId="77777777" w:rsidR="00DF33CB" w:rsidRPr="000216E0" w:rsidRDefault="00DF33CB" w:rsidP="00B54A8B">
            <w:pPr>
              <w:pStyle w:val="PwCNormal"/>
              <w:numPr>
                <w:ilvl w:val="0"/>
                <w:numId w:val="0"/>
              </w:numPr>
              <w:spacing w:after="40"/>
              <w:jc w:val="center"/>
            </w:pPr>
            <w:r w:rsidRPr="000216E0">
              <w:t>88%</w:t>
            </w:r>
          </w:p>
        </w:tc>
        <w:tc>
          <w:tcPr>
            <w:tcW w:w="606" w:type="pct"/>
            <w:shd w:val="clear" w:color="auto" w:fill="FFFFFF" w:themeFill="background1"/>
          </w:tcPr>
          <w:p w14:paraId="18E3565C" w14:textId="77777777" w:rsidR="00DF33CB" w:rsidRPr="000216E0" w:rsidRDefault="00DF33CB" w:rsidP="00B54A8B">
            <w:pPr>
              <w:pStyle w:val="PwCNormal"/>
              <w:numPr>
                <w:ilvl w:val="0"/>
                <w:numId w:val="0"/>
              </w:numPr>
              <w:spacing w:after="40"/>
              <w:jc w:val="center"/>
            </w:pPr>
            <w:r w:rsidRPr="000216E0">
              <w:t>85%</w:t>
            </w:r>
          </w:p>
        </w:tc>
        <w:tc>
          <w:tcPr>
            <w:tcW w:w="606" w:type="pct"/>
          </w:tcPr>
          <w:p w14:paraId="6474CB4E" w14:textId="77777777" w:rsidR="00DF33CB" w:rsidRPr="000216E0" w:rsidRDefault="00DF33CB" w:rsidP="00B54A8B">
            <w:pPr>
              <w:pStyle w:val="PwCNormal"/>
              <w:numPr>
                <w:ilvl w:val="0"/>
                <w:numId w:val="0"/>
              </w:numPr>
              <w:spacing w:after="40"/>
              <w:jc w:val="center"/>
            </w:pPr>
            <w:r w:rsidRPr="000216E0">
              <w:t>74%</w:t>
            </w:r>
          </w:p>
        </w:tc>
        <w:tc>
          <w:tcPr>
            <w:tcW w:w="606" w:type="pct"/>
          </w:tcPr>
          <w:p w14:paraId="6FA85EE7" w14:textId="77777777" w:rsidR="00DF33CB" w:rsidRPr="000216E0" w:rsidRDefault="00DF33CB" w:rsidP="00B54A8B">
            <w:pPr>
              <w:pStyle w:val="PwCNormal"/>
              <w:numPr>
                <w:ilvl w:val="0"/>
                <w:numId w:val="0"/>
              </w:numPr>
              <w:spacing w:after="40"/>
              <w:jc w:val="center"/>
            </w:pPr>
            <w:r w:rsidRPr="000216E0">
              <w:t>82%</w:t>
            </w:r>
          </w:p>
        </w:tc>
        <w:tc>
          <w:tcPr>
            <w:tcW w:w="606" w:type="pct"/>
          </w:tcPr>
          <w:p w14:paraId="294DAF84" w14:textId="77777777" w:rsidR="00DF33CB" w:rsidRPr="000216E0" w:rsidRDefault="00DF33CB" w:rsidP="00B54A8B">
            <w:pPr>
              <w:pStyle w:val="PwCNormal"/>
              <w:numPr>
                <w:ilvl w:val="0"/>
                <w:numId w:val="0"/>
              </w:numPr>
              <w:spacing w:after="40"/>
              <w:jc w:val="center"/>
            </w:pPr>
            <w:r w:rsidRPr="000216E0">
              <w:t>89%</w:t>
            </w:r>
          </w:p>
        </w:tc>
        <w:tc>
          <w:tcPr>
            <w:tcW w:w="604" w:type="pct"/>
          </w:tcPr>
          <w:p w14:paraId="24532E80" w14:textId="77777777" w:rsidR="00DF33CB" w:rsidRPr="000216E0" w:rsidRDefault="00DF33CB" w:rsidP="00B54A8B">
            <w:pPr>
              <w:pStyle w:val="PwCNormal"/>
              <w:numPr>
                <w:ilvl w:val="0"/>
                <w:numId w:val="0"/>
              </w:numPr>
              <w:spacing w:after="40"/>
              <w:jc w:val="center"/>
            </w:pPr>
            <w:r w:rsidRPr="000216E0">
              <w:t>86%</w:t>
            </w:r>
          </w:p>
        </w:tc>
      </w:tr>
      <w:tr w:rsidR="00DF33CB" w:rsidRPr="000216E0" w14:paraId="2492633C" w14:textId="77777777" w:rsidTr="00B54A8B">
        <w:trPr>
          <w:trHeight w:val="387"/>
        </w:trPr>
        <w:tc>
          <w:tcPr>
            <w:tcW w:w="1366" w:type="pct"/>
          </w:tcPr>
          <w:p w14:paraId="747D2071" w14:textId="77777777" w:rsidR="00DF33CB" w:rsidRPr="000216E0" w:rsidRDefault="00DF33CB" w:rsidP="00B54A8B">
            <w:pPr>
              <w:pStyle w:val="PwCNormal"/>
              <w:numPr>
                <w:ilvl w:val="0"/>
                <w:numId w:val="0"/>
              </w:numPr>
              <w:spacing w:after="40"/>
            </w:pPr>
            <w:r w:rsidRPr="000216E0">
              <w:t>Scholarship provider 3</w:t>
            </w:r>
          </w:p>
        </w:tc>
        <w:tc>
          <w:tcPr>
            <w:tcW w:w="606" w:type="pct"/>
          </w:tcPr>
          <w:p w14:paraId="7F528A87" w14:textId="77777777" w:rsidR="00DF33CB" w:rsidRPr="000216E0" w:rsidRDefault="00DF33CB" w:rsidP="00B54A8B">
            <w:pPr>
              <w:pStyle w:val="PwCNormal"/>
              <w:numPr>
                <w:ilvl w:val="0"/>
                <w:numId w:val="0"/>
              </w:numPr>
              <w:spacing w:after="40"/>
              <w:jc w:val="center"/>
            </w:pPr>
            <w:r w:rsidRPr="000216E0">
              <w:t>n/a</w:t>
            </w:r>
          </w:p>
        </w:tc>
        <w:tc>
          <w:tcPr>
            <w:tcW w:w="606" w:type="pct"/>
            <w:shd w:val="clear" w:color="auto" w:fill="FFFFFF" w:themeFill="background1"/>
          </w:tcPr>
          <w:p w14:paraId="1C996A6F" w14:textId="77777777" w:rsidR="00DF33CB" w:rsidRPr="000216E0" w:rsidRDefault="00DF33CB" w:rsidP="00B54A8B">
            <w:pPr>
              <w:pStyle w:val="PwCNormal"/>
              <w:numPr>
                <w:ilvl w:val="0"/>
                <w:numId w:val="0"/>
              </w:numPr>
              <w:spacing w:after="40"/>
              <w:jc w:val="center"/>
            </w:pPr>
            <w:r w:rsidRPr="000216E0">
              <w:t>22%</w:t>
            </w:r>
          </w:p>
        </w:tc>
        <w:tc>
          <w:tcPr>
            <w:tcW w:w="606" w:type="pct"/>
          </w:tcPr>
          <w:p w14:paraId="4494F4DF" w14:textId="77777777" w:rsidR="00DF33CB" w:rsidRPr="000216E0" w:rsidRDefault="00DF33CB" w:rsidP="00B54A8B">
            <w:pPr>
              <w:pStyle w:val="PwCNormal"/>
              <w:numPr>
                <w:ilvl w:val="0"/>
                <w:numId w:val="0"/>
              </w:numPr>
              <w:spacing w:after="40"/>
              <w:jc w:val="center"/>
            </w:pPr>
            <w:r w:rsidRPr="000216E0">
              <w:t>43%</w:t>
            </w:r>
          </w:p>
        </w:tc>
        <w:tc>
          <w:tcPr>
            <w:tcW w:w="606" w:type="pct"/>
          </w:tcPr>
          <w:p w14:paraId="2182F2F8" w14:textId="77777777" w:rsidR="00DF33CB" w:rsidRPr="000216E0" w:rsidRDefault="00DF33CB" w:rsidP="00B54A8B">
            <w:pPr>
              <w:pStyle w:val="PwCNormal"/>
              <w:numPr>
                <w:ilvl w:val="0"/>
                <w:numId w:val="0"/>
              </w:numPr>
              <w:spacing w:after="40"/>
              <w:jc w:val="center"/>
            </w:pPr>
            <w:r w:rsidRPr="000216E0">
              <w:t>50%</w:t>
            </w:r>
          </w:p>
        </w:tc>
        <w:tc>
          <w:tcPr>
            <w:tcW w:w="606" w:type="pct"/>
          </w:tcPr>
          <w:p w14:paraId="37AFD369" w14:textId="77777777" w:rsidR="00DF33CB" w:rsidRPr="000216E0" w:rsidRDefault="00DF33CB" w:rsidP="00B54A8B">
            <w:pPr>
              <w:pStyle w:val="PwCNormal"/>
              <w:numPr>
                <w:ilvl w:val="0"/>
                <w:numId w:val="0"/>
              </w:numPr>
              <w:spacing w:after="40"/>
              <w:jc w:val="center"/>
            </w:pPr>
            <w:r w:rsidRPr="000216E0">
              <w:t>0%</w:t>
            </w:r>
          </w:p>
        </w:tc>
        <w:tc>
          <w:tcPr>
            <w:tcW w:w="604" w:type="pct"/>
          </w:tcPr>
          <w:p w14:paraId="6F4E2946" w14:textId="77777777" w:rsidR="00DF33CB" w:rsidRPr="000216E0" w:rsidRDefault="00DF33CB" w:rsidP="00B54A8B">
            <w:pPr>
              <w:pStyle w:val="PwCNormal"/>
              <w:numPr>
                <w:ilvl w:val="0"/>
                <w:numId w:val="0"/>
              </w:numPr>
              <w:spacing w:after="40"/>
              <w:jc w:val="center"/>
            </w:pPr>
            <w:r w:rsidRPr="000216E0">
              <w:t>n/a</w:t>
            </w:r>
          </w:p>
        </w:tc>
      </w:tr>
    </w:tbl>
    <w:p w14:paraId="1EF5B191" w14:textId="77777777" w:rsidR="00DF33CB" w:rsidRPr="000216E0" w:rsidRDefault="00DF33CB" w:rsidP="00DF33CB">
      <w:pPr>
        <w:pStyle w:val="PwCNormal"/>
        <w:numPr>
          <w:ilvl w:val="0"/>
          <w:numId w:val="9"/>
        </w:numPr>
        <w:spacing w:after="120"/>
        <w:rPr>
          <w:i/>
        </w:rPr>
      </w:pPr>
      <w:r w:rsidRPr="000216E0">
        <w:rPr>
          <w:b/>
          <w:i/>
        </w:rPr>
        <w:t>Note:</w:t>
      </w:r>
      <w:r w:rsidRPr="000216E0">
        <w:rPr>
          <w:i/>
        </w:rPr>
        <w:t xml:space="preserve"> Based on impartial data provided by three scholarship providers.</w:t>
      </w:r>
    </w:p>
    <w:p w14:paraId="52A9C710" w14:textId="05D6A3C5" w:rsidR="00DF33CB" w:rsidRPr="000216E0" w:rsidRDefault="00DF33CB" w:rsidP="00DF33CB">
      <w:pPr>
        <w:pStyle w:val="PwCNormal"/>
        <w:numPr>
          <w:ilvl w:val="0"/>
          <w:numId w:val="0"/>
        </w:numPr>
      </w:pPr>
      <w:r w:rsidRPr="000216E0">
        <w:t xml:space="preserve">In terms of whether the scholarship applicants are most ‘in need’, </w:t>
      </w:r>
      <w:r w:rsidR="00675491">
        <w:t xml:space="preserve">only </w:t>
      </w:r>
      <w:r w:rsidRPr="000216E0">
        <w:t>one scholarship provider collected data relating to the socioeconomic status of applicants.</w:t>
      </w:r>
    </w:p>
    <w:p w14:paraId="5646A447" w14:textId="68024A5C" w:rsidR="00DF33CB" w:rsidRPr="000216E0" w:rsidRDefault="00675491" w:rsidP="00DF33CB">
      <w:pPr>
        <w:pStyle w:val="PwCNormal"/>
        <w:numPr>
          <w:ilvl w:val="0"/>
          <w:numId w:val="0"/>
        </w:numPr>
      </w:pPr>
      <w:r>
        <w:t>Similarly, in response to the data request only o</w:t>
      </w:r>
      <w:r w:rsidR="00DF33CB" w:rsidRPr="000216E0">
        <w:t>ne scholarship provider submitted data relating to the degree o</w:t>
      </w:r>
      <w:r w:rsidR="003B75D7">
        <w:t>f</w:t>
      </w:r>
      <w:r w:rsidR="00DF33CB" w:rsidRPr="000216E0">
        <w:t xml:space="preserve"> remoteness of the home communities of each applicant</w:t>
      </w:r>
      <w:r>
        <w:t xml:space="preserve"> in line with the ABS Remoteness Area categories</w:t>
      </w:r>
      <w:r w:rsidR="00DF33CB" w:rsidRPr="000216E0">
        <w:t xml:space="preserve">. This showed that 47 </w:t>
      </w:r>
      <w:r w:rsidR="003B75D7">
        <w:t>%</w:t>
      </w:r>
      <w:r w:rsidR="00DF33CB" w:rsidRPr="000216E0">
        <w:t xml:space="preserve"> of applicants in 2016 were from remote or very remote areas, whilst 76.3% of successful applicants between 2015 and 2017 were from outer provincial, remote or very remote communities.</w:t>
      </w:r>
    </w:p>
    <w:p w14:paraId="2F3F2B9A" w14:textId="77777777" w:rsidR="00DF33CB" w:rsidRPr="00072C3B" w:rsidRDefault="00DF33CB" w:rsidP="00DF33CB">
      <w:pPr>
        <w:pStyle w:val="PwCNormal"/>
        <w:numPr>
          <w:ilvl w:val="0"/>
          <w:numId w:val="9"/>
        </w:numPr>
        <w:rPr>
          <w:i/>
          <w:color w:val="A32020" w:themeColor="text2"/>
        </w:rPr>
      </w:pPr>
      <w:r w:rsidRPr="00072C3B">
        <w:rPr>
          <w:i/>
          <w:color w:val="A32020" w:themeColor="text2"/>
        </w:rPr>
        <w:t>Other matters for consideration</w:t>
      </w:r>
    </w:p>
    <w:p w14:paraId="25788E49" w14:textId="2ED12C52" w:rsidR="00DF33CB" w:rsidRPr="00072C3B" w:rsidRDefault="00DF33CB" w:rsidP="00DF33CB">
      <w:pPr>
        <w:pStyle w:val="ListBullet"/>
      </w:pPr>
      <w:r>
        <w:t xml:space="preserve">The data provided does not paint a complete picture of the application and selection processes of </w:t>
      </w:r>
      <w:r w:rsidRPr="004853B5">
        <w:t>each scholarship provider. As outlined in</w:t>
      </w:r>
      <w:r w:rsidR="00DE12AF">
        <w:t xml:space="preserve"> Section</w:t>
      </w:r>
      <w:r w:rsidRPr="004853B5">
        <w:t xml:space="preserve"> </w:t>
      </w:r>
      <w:r w:rsidR="00DE12AF">
        <w:fldChar w:fldCharType="begin"/>
      </w:r>
      <w:r w:rsidR="00DE12AF">
        <w:instrText xml:space="preserve"> REF _Ref481687470 \n \h </w:instrText>
      </w:r>
      <w:r w:rsidR="00DE12AF">
        <w:fldChar w:fldCharType="separate"/>
      </w:r>
      <w:r w:rsidR="009C78D7">
        <w:t>3.2</w:t>
      </w:r>
      <w:r w:rsidR="00DE12AF">
        <w:fldChar w:fldCharType="end"/>
      </w:r>
      <w:r w:rsidRPr="004853B5">
        <w:t>, significant gaps exist especially in relation</w:t>
      </w:r>
      <w:r w:rsidRPr="004853B5">
        <w:rPr>
          <w:lang w:val="en-GB"/>
        </w:rPr>
        <w:t xml:space="preserve"> to the provision of unit record level information on scholarship applicants and recipients. </w:t>
      </w:r>
      <w:r w:rsidRPr="004853B5">
        <w:t>For</w:t>
      </w:r>
      <w:r>
        <w:t xml:space="preserve"> scholarship providers operating in line with the school-led model, application and selection data is often not collected. Rather, it is collected and/or held by their education partners. Accordingly, in response to the data request, some scholarship providers were unable to provide this. This indicates a need </w:t>
      </w:r>
      <w:r w:rsidR="009A7B00">
        <w:t>t</w:t>
      </w:r>
      <w:r w:rsidR="00675491">
        <w:t>o establish</w:t>
      </w:r>
      <w:r>
        <w:t xml:space="preserve"> </w:t>
      </w:r>
      <w:r w:rsidR="001A461A">
        <w:t>an alternative mechanism to collect this data which may require data storing protocols.</w:t>
      </w:r>
      <w:r>
        <w:t xml:space="preserve"> However, in determining these protocols care</w:t>
      </w:r>
      <w:r w:rsidR="009A7B00">
        <w:t xml:space="preserve"> needs to be taken </w:t>
      </w:r>
      <w:r>
        <w:t xml:space="preserve">to </w:t>
      </w:r>
      <w:r w:rsidR="009A7B00">
        <w:t>avoid</w:t>
      </w:r>
      <w:r>
        <w:t xml:space="preserve"> prescrib</w:t>
      </w:r>
      <w:r w:rsidR="009A7B00">
        <w:t>ing</w:t>
      </w:r>
      <w:r>
        <w:t xml:space="preserve"> a ‘one size fits all’ approach that compromises the efficacy and integrity of the different models of delivery.</w:t>
      </w:r>
    </w:p>
    <w:p w14:paraId="1CF74A1B" w14:textId="36429451" w:rsidR="00DF33CB" w:rsidRDefault="00DF33CB" w:rsidP="00DF33CB">
      <w:pPr>
        <w:pStyle w:val="ListBullet"/>
      </w:pPr>
      <w:r>
        <w:t xml:space="preserve">Based on the data provided, assessment of need (i.e. whether Indigenous students most in need of scholarships to access a secondary school education) cannot be accurately determined. Most scholarship providers have not provided a definitive record of whether each applicant has access to a </w:t>
      </w:r>
      <w:r w:rsidR="001A461A">
        <w:t xml:space="preserve">high performing </w:t>
      </w:r>
      <w:r>
        <w:t xml:space="preserve">secondary education in their home community in lieu of a scholarship. This information would be useful as it would provide an indication of whether the applicants have the opportunity to access a </w:t>
      </w:r>
      <w:r w:rsidR="001A461A">
        <w:t xml:space="preserve">high performing </w:t>
      </w:r>
      <w:r>
        <w:t xml:space="preserve">secondary school education if they did not receive an IAS funded secondary school scholarship. </w:t>
      </w:r>
      <w:r w:rsidRPr="00072C3B">
        <w:t xml:space="preserve">Whilst a definitive statement on whether each applicant has access to a </w:t>
      </w:r>
      <w:r w:rsidR="001A461A">
        <w:t xml:space="preserve">high performing </w:t>
      </w:r>
      <w:r w:rsidRPr="00072C3B">
        <w:t>secondary school education in their home community is one c</w:t>
      </w:r>
      <w:r>
        <w:t>omponent of demonstrating need, t</w:t>
      </w:r>
      <w:r w:rsidRPr="00072C3B">
        <w:t>he case would be bolstered if the socioeconomic status of the applicant</w:t>
      </w:r>
      <w:r>
        <w:t xml:space="preserve"> and their families </w:t>
      </w:r>
      <w:r w:rsidRPr="00072C3B">
        <w:t xml:space="preserve">could be determined. One option adopted by a scholarship </w:t>
      </w:r>
      <w:r w:rsidRPr="00072C3B">
        <w:lastRenderedPageBreak/>
        <w:t>provider was to collect parent/guardian income data of applicants. However, during the consultations, several scholarship providers asserted that this was a contentious issue for them</w:t>
      </w:r>
      <w:r>
        <w:t>. As an alternative, some scholarship providers</w:t>
      </w:r>
      <w:r w:rsidRPr="00072C3B">
        <w:t xml:space="preserve"> used the level of ABSTUDY</w:t>
      </w:r>
      <w:r>
        <w:t xml:space="preserve"> (once it is calculated and applied)</w:t>
      </w:r>
      <w:r w:rsidRPr="00072C3B">
        <w:t xml:space="preserve"> as a proxy to assess </w:t>
      </w:r>
      <w:r>
        <w:t xml:space="preserve">the </w:t>
      </w:r>
      <w:r w:rsidRPr="00072C3B">
        <w:t>need</w:t>
      </w:r>
      <w:r>
        <w:t xml:space="preserve"> of each successful applicant</w:t>
      </w:r>
      <w:r w:rsidRPr="00072C3B">
        <w:t>.</w:t>
      </w:r>
      <w:r>
        <w:t xml:space="preserve"> This is not ideal as the level of ABSTUDY allocated to each prospective student is not known at the application stage and is only divulged whilst they are at school.</w:t>
      </w:r>
    </w:p>
    <w:p w14:paraId="55E2C181" w14:textId="77777777" w:rsidR="00DF33CB" w:rsidRPr="0011170F" w:rsidRDefault="00DF33CB" w:rsidP="00DF33CB">
      <w:pPr>
        <w:pStyle w:val="Heading7"/>
        <w:numPr>
          <w:ilvl w:val="0"/>
          <w:numId w:val="0"/>
        </w:numPr>
        <w:ind w:left="850" w:hanging="850"/>
        <w:rPr>
          <w:b/>
          <w:i w:val="0"/>
          <w:color w:val="auto"/>
          <w:sz w:val="20"/>
        </w:rPr>
      </w:pPr>
      <w:r w:rsidRPr="0011170F">
        <w:rPr>
          <w:b/>
          <w:i w:val="0"/>
          <w:color w:val="auto"/>
          <w:sz w:val="20"/>
        </w:rPr>
        <w:t>Scholarship recipients &amp; education partners</w:t>
      </w:r>
    </w:p>
    <w:p w14:paraId="77264794" w14:textId="77777777" w:rsidR="00DF33CB" w:rsidRPr="0011170F" w:rsidRDefault="00DF33CB" w:rsidP="00DF33CB">
      <w:pPr>
        <w:pStyle w:val="PwCNormal"/>
        <w:numPr>
          <w:ilvl w:val="0"/>
          <w:numId w:val="9"/>
        </w:numPr>
        <w:rPr>
          <w:i/>
          <w:color w:val="A32020" w:themeColor="text2"/>
        </w:rPr>
      </w:pPr>
      <w:r w:rsidRPr="0011170F">
        <w:rPr>
          <w:i/>
          <w:color w:val="A32020" w:themeColor="text2"/>
        </w:rPr>
        <w:t>What is desirable to demonstrate effectiveness?</w:t>
      </w:r>
    </w:p>
    <w:p w14:paraId="1294F12E" w14:textId="77777777" w:rsidR="00DF33CB" w:rsidRDefault="00DF33CB" w:rsidP="00DF33CB">
      <w:pPr>
        <w:pStyle w:val="PwCNormal"/>
        <w:numPr>
          <w:ilvl w:val="0"/>
          <w:numId w:val="9"/>
        </w:numPr>
      </w:pPr>
      <w:r>
        <w:t>An objective and an outcome articulated in the draft program logic for the IAS funded secondary school scholarships relates to improving educational outcomes for Indigenous students including Year 12 attainment. In order to determine the effectiveness of the IAS funded scholarships in this regard, it is necessary to understand the profile of all recipients of scholarships and to monitor their experiences and progress throughout their secondary school education.</w:t>
      </w:r>
    </w:p>
    <w:p w14:paraId="76F5214A" w14:textId="77777777" w:rsidR="00DF33CB" w:rsidRDefault="00DF33CB" w:rsidP="00DF33CB">
      <w:pPr>
        <w:pStyle w:val="PwCNormal"/>
        <w:numPr>
          <w:ilvl w:val="0"/>
          <w:numId w:val="9"/>
        </w:numPr>
      </w:pPr>
      <w:r>
        <w:t>Unit level data collected in relation to each scholarship recipient can be useful in ‘tracking’ their experiences throughout their secondary school education. That is, from being awarded an IAS funded secondary school scholarship (and accepting a place at an education partner) to graduation (or an earlier exit).</w:t>
      </w:r>
    </w:p>
    <w:p w14:paraId="350AFAD6" w14:textId="77777777" w:rsidR="00DF33CB" w:rsidRDefault="00DF33CB" w:rsidP="00DF33CB">
      <w:pPr>
        <w:pStyle w:val="PwCNormal"/>
        <w:numPr>
          <w:ilvl w:val="0"/>
          <w:numId w:val="9"/>
        </w:numPr>
      </w:pPr>
      <w:r>
        <w:t>In order to monitor the individual pathways of scholarship recipients whilst at school, important unit level data points to obtain include the:</w:t>
      </w:r>
    </w:p>
    <w:p w14:paraId="0145AD67" w14:textId="77777777" w:rsidR="00DF33CB" w:rsidRDefault="00DF33CB" w:rsidP="00DF33CB">
      <w:pPr>
        <w:pStyle w:val="ListBullet"/>
      </w:pPr>
      <w:r>
        <w:t>date of birth of each scholarship recipient</w:t>
      </w:r>
    </w:p>
    <w:p w14:paraId="6919EABC" w14:textId="77777777" w:rsidR="00DF33CB" w:rsidRDefault="00DF33CB" w:rsidP="00DF33CB">
      <w:pPr>
        <w:pStyle w:val="ListBullet"/>
      </w:pPr>
      <w:r>
        <w:t>gender of each scholarship recipient</w:t>
      </w:r>
    </w:p>
    <w:p w14:paraId="224F0F7B" w14:textId="77777777" w:rsidR="00DF33CB" w:rsidRDefault="00DF33CB" w:rsidP="00DF33CB">
      <w:pPr>
        <w:pStyle w:val="ListBullet"/>
      </w:pPr>
      <w:r>
        <w:t>location of each scholarship recipient home community, including the remoteness category (as specified by the Australian Bureau of Statistics)</w:t>
      </w:r>
    </w:p>
    <w:p w14:paraId="4E11B72D" w14:textId="77777777" w:rsidR="00DF33CB" w:rsidRDefault="00DF33CB" w:rsidP="00DF33CB">
      <w:pPr>
        <w:pStyle w:val="ListBullet"/>
      </w:pPr>
      <w:r>
        <w:t>status of each scholarship recipient (i.e. ‘current’, ‘attrition’ or ‘graduate’)</w:t>
      </w:r>
    </w:p>
    <w:p w14:paraId="18AD1CDB" w14:textId="77777777" w:rsidR="00DF33CB" w:rsidRDefault="00DF33CB" w:rsidP="00DF33CB">
      <w:pPr>
        <w:pStyle w:val="ListBullet"/>
      </w:pPr>
      <w:r>
        <w:t>each scholarship recipient’s school that they are attending</w:t>
      </w:r>
    </w:p>
    <w:p w14:paraId="4438B96D" w14:textId="77777777" w:rsidR="00DF33CB" w:rsidRDefault="00DF33CB" w:rsidP="00DF33CB">
      <w:pPr>
        <w:pStyle w:val="ListBullet"/>
      </w:pPr>
      <w:r>
        <w:t>scholarship and school start date for each recipient</w:t>
      </w:r>
    </w:p>
    <w:p w14:paraId="4F2E6975" w14:textId="77777777" w:rsidR="00DF33CB" w:rsidRDefault="00DF33CB" w:rsidP="00DF33CB">
      <w:pPr>
        <w:pStyle w:val="ListBullet"/>
      </w:pPr>
      <w:r>
        <w:t>duration of the scholarship provided to each recipient</w:t>
      </w:r>
    </w:p>
    <w:p w14:paraId="429085B2" w14:textId="7D1896D2" w:rsidR="00DF33CB" w:rsidRDefault="00DF33CB" w:rsidP="00DF33CB">
      <w:pPr>
        <w:pStyle w:val="ListBullet"/>
      </w:pPr>
      <w:r>
        <w:t xml:space="preserve">the year level of each scholarship recipient at school for each year they are at school </w:t>
      </w:r>
      <w:r w:rsidR="003B75D7">
        <w:t>to</w:t>
      </w:r>
      <w:r>
        <w:t xml:space="preserve"> ‘track’ their progress (e.g. in Year 10 in 2014, progressed to Year 11 in 2015 and then Year 12 in 2016)</w:t>
      </w:r>
    </w:p>
    <w:p w14:paraId="3D65CF7C" w14:textId="77777777" w:rsidR="00DF33CB" w:rsidRDefault="00DF33CB" w:rsidP="00DF33CB">
      <w:pPr>
        <w:pStyle w:val="ListBullet"/>
      </w:pPr>
      <w:r>
        <w:t>total scholarship amount (excl GST) provided to each student for the duration of their scholarship</w:t>
      </w:r>
    </w:p>
    <w:p w14:paraId="05D5AF60" w14:textId="77777777" w:rsidR="00DF33CB" w:rsidRDefault="00DF33CB" w:rsidP="00DF33CB">
      <w:pPr>
        <w:pStyle w:val="ListBullet"/>
      </w:pPr>
      <w:r>
        <w:t>year level and date that a scholarship recipient may exit secondary school</w:t>
      </w:r>
    </w:p>
    <w:p w14:paraId="71B5BBDB" w14:textId="77777777" w:rsidR="00DF33CB" w:rsidRDefault="00DF33CB" w:rsidP="00DF33CB">
      <w:pPr>
        <w:pStyle w:val="ListBullet"/>
      </w:pPr>
      <w:r>
        <w:t>a definitive statement (i.e. ‘Yes’ or ‘No’) on Year 12 completion</w:t>
      </w:r>
    </w:p>
    <w:p w14:paraId="63F4B36C" w14:textId="77777777" w:rsidR="00DF33CB" w:rsidRDefault="00DF33CB" w:rsidP="00DF33CB">
      <w:pPr>
        <w:pStyle w:val="ListBullet"/>
      </w:pPr>
      <w:r>
        <w:t>post-school destinations of each scholarship recipient in the years 1, 3 and 5 after they exit school or graduate.</w:t>
      </w:r>
    </w:p>
    <w:p w14:paraId="3D94219B" w14:textId="77777777" w:rsidR="00DF33CB" w:rsidRDefault="00DF33CB" w:rsidP="00DF33CB">
      <w:pPr>
        <w:pStyle w:val="PwCNormal"/>
        <w:numPr>
          <w:ilvl w:val="0"/>
          <w:numId w:val="9"/>
        </w:numPr>
      </w:pPr>
      <w:r>
        <w:t>In addition to collecting unit level data relating to their experiences and progress at school, it is also important to determine the education partners that</w:t>
      </w:r>
      <w:r w:rsidRPr="00347EFD">
        <w:t xml:space="preserve"> </w:t>
      </w:r>
      <w:r>
        <w:t xml:space="preserve">scholarship recipients </w:t>
      </w:r>
      <w:r w:rsidRPr="00347EFD">
        <w:t>ar</w:t>
      </w:r>
      <w:r>
        <w:t>e going to and whether there are any patterns or trends which relate to student retention and school completion.</w:t>
      </w:r>
    </w:p>
    <w:p w14:paraId="76DA1C4F" w14:textId="1C080EF1" w:rsidR="00DF33CB" w:rsidRPr="00156622" w:rsidRDefault="00DF33CB" w:rsidP="00DF33CB">
      <w:pPr>
        <w:pStyle w:val="ListBullet"/>
        <w:numPr>
          <w:ilvl w:val="0"/>
          <w:numId w:val="0"/>
        </w:numPr>
      </w:pPr>
      <w:r>
        <w:lastRenderedPageBreak/>
        <w:t xml:space="preserve">In order to understand the contribution of education partners on each scholarship recipient it would be </w:t>
      </w:r>
      <w:r w:rsidR="001C4917">
        <w:t>possible</w:t>
      </w:r>
      <w:r>
        <w:t xml:space="preserve"> to </w:t>
      </w:r>
      <w:r w:rsidRPr="00156622">
        <w:rPr>
          <w:lang w:eastAsia="en-AU"/>
        </w:rPr>
        <w:t>canvas scholarship recipient experiences of the student supports provided at each education partner</w:t>
      </w:r>
      <w:r>
        <w:rPr>
          <w:lang w:eastAsia="en-AU"/>
        </w:rPr>
        <w:t xml:space="preserve">. Although it would be interesting to compare </w:t>
      </w:r>
      <w:r w:rsidRPr="00156622">
        <w:rPr>
          <w:lang w:eastAsia="en-AU"/>
        </w:rPr>
        <w:t>retention rates for students per education partner</w:t>
      </w:r>
      <w:r>
        <w:rPr>
          <w:rStyle w:val="FootnoteReference"/>
          <w:lang w:eastAsia="en-AU"/>
        </w:rPr>
        <w:footnoteReference w:id="4"/>
      </w:r>
      <w:r>
        <w:rPr>
          <w:lang w:eastAsia="en-AU"/>
        </w:rPr>
        <w:t xml:space="preserve">, </w:t>
      </w:r>
      <w:r w:rsidR="00C84CC6">
        <w:rPr>
          <w:lang w:eastAsia="en-AU"/>
        </w:rPr>
        <w:t xml:space="preserve"> care is needed in</w:t>
      </w:r>
      <w:r>
        <w:rPr>
          <w:lang w:eastAsia="en-AU"/>
        </w:rPr>
        <w:t xml:space="preserve"> any target setting based on this met</w:t>
      </w:r>
      <w:r w:rsidR="00C1560A">
        <w:rPr>
          <w:lang w:eastAsia="en-AU"/>
        </w:rPr>
        <w:t>ric</w:t>
      </w:r>
      <w:r w:rsidR="00C84CC6">
        <w:rPr>
          <w:lang w:eastAsia="en-AU"/>
        </w:rPr>
        <w:t xml:space="preserve"> and its potential to incentivise</w:t>
      </w:r>
      <w:r>
        <w:rPr>
          <w:lang w:eastAsia="en-AU"/>
        </w:rPr>
        <w:t xml:space="preserve"> scholarship providers and education partners</w:t>
      </w:r>
      <w:r w:rsidR="00C1560A">
        <w:rPr>
          <w:lang w:eastAsia="en-AU"/>
        </w:rPr>
        <w:t xml:space="preserve"> to ‘cherry-pick</w:t>
      </w:r>
      <w:r>
        <w:rPr>
          <w:lang w:eastAsia="en-AU"/>
        </w:rPr>
        <w:t xml:space="preserve">’ </w:t>
      </w:r>
      <w:r w:rsidR="00C84CC6">
        <w:rPr>
          <w:lang w:eastAsia="en-AU"/>
        </w:rPr>
        <w:t xml:space="preserve">high performing </w:t>
      </w:r>
      <w:r>
        <w:rPr>
          <w:lang w:eastAsia="en-AU"/>
        </w:rPr>
        <w:t xml:space="preserve">Indigenous young people </w:t>
      </w:r>
      <w:r w:rsidR="00C84CC6">
        <w:rPr>
          <w:lang w:eastAsia="en-AU"/>
        </w:rPr>
        <w:t xml:space="preserve">(rather based on need) </w:t>
      </w:r>
      <w:r>
        <w:rPr>
          <w:lang w:eastAsia="en-AU"/>
        </w:rPr>
        <w:t>in order to inflate their school completion outcomes.</w:t>
      </w:r>
    </w:p>
    <w:p w14:paraId="287CFD35" w14:textId="77777777" w:rsidR="00DF33CB" w:rsidRPr="00156622" w:rsidRDefault="00DF33CB" w:rsidP="00DF33CB">
      <w:pPr>
        <w:pStyle w:val="PwCNormal"/>
        <w:numPr>
          <w:ilvl w:val="0"/>
          <w:numId w:val="9"/>
        </w:numPr>
        <w:rPr>
          <w:i/>
          <w:color w:val="A32020" w:themeColor="text2"/>
        </w:rPr>
      </w:pPr>
      <w:r w:rsidRPr="00156622">
        <w:rPr>
          <w:i/>
          <w:color w:val="A32020" w:themeColor="text2"/>
        </w:rPr>
        <w:t>Preliminary snapshot based on the data provided</w:t>
      </w:r>
    </w:p>
    <w:p w14:paraId="5E1B1C2E" w14:textId="77777777" w:rsidR="00125C0A" w:rsidRPr="00125C0A" w:rsidRDefault="00125C0A" w:rsidP="00DF33CB">
      <w:pPr>
        <w:pStyle w:val="PwCNormal"/>
        <w:numPr>
          <w:ilvl w:val="0"/>
          <w:numId w:val="9"/>
        </w:numPr>
        <w:rPr>
          <w:i/>
        </w:rPr>
      </w:pPr>
      <w:r>
        <w:t xml:space="preserve">Although nine out of the ten scholarship providers were able to provide data relating to scholarship recipients in 2016 to the department (see section </w:t>
      </w:r>
      <w:r>
        <w:fldChar w:fldCharType="begin"/>
      </w:r>
      <w:r>
        <w:instrText xml:space="preserve"> REF _Ref482212491 \n \h </w:instrText>
      </w:r>
      <w:r>
        <w:fldChar w:fldCharType="separate"/>
      </w:r>
      <w:r w:rsidR="009C78D7">
        <w:t>3.1</w:t>
      </w:r>
      <w:r>
        <w:fldChar w:fldCharType="end"/>
      </w:r>
      <w:r>
        <w:t xml:space="preserve">), as outlined below the data provided in responses to the data request is disparate and varied. </w:t>
      </w:r>
    </w:p>
    <w:p w14:paraId="4F804357" w14:textId="7C31F782" w:rsidR="00DF33CB" w:rsidRPr="00D60D84" w:rsidRDefault="00125C0A" w:rsidP="00974303">
      <w:pPr>
        <w:pStyle w:val="PwCNormal"/>
        <w:numPr>
          <w:ilvl w:val="0"/>
          <w:numId w:val="0"/>
        </w:numPr>
      </w:pPr>
      <w:r>
        <w:t>For instance,</w:t>
      </w:r>
      <w:r w:rsidR="00DF33CB" w:rsidRPr="00555C7C">
        <w:t xml:space="preserve"> </w:t>
      </w:r>
      <w:r w:rsidR="00DF33CB" w:rsidRPr="00D60D84">
        <w:t xml:space="preserve">five of the ten </w:t>
      </w:r>
      <w:r w:rsidR="00DF33CB" w:rsidRPr="00555C7C">
        <w:t>scholarship providers</w:t>
      </w:r>
      <w:r>
        <w:t xml:space="preserve"> submitted unit level data relating to the number of scholarships issued in 2015 and 2016. Similarly, t</w:t>
      </w:r>
      <w:r w:rsidR="00DF33CB">
        <w:t>wo</w:t>
      </w:r>
      <w:r w:rsidR="00DF33CB" w:rsidRPr="00CF1D25">
        <w:t xml:space="preserve"> scholarship provider</w:t>
      </w:r>
      <w:r w:rsidR="00DF33CB">
        <w:t>s</w:t>
      </w:r>
      <w:r w:rsidR="00DF33CB" w:rsidRPr="00CF1D25">
        <w:t xml:space="preserve"> </w:t>
      </w:r>
      <w:r w:rsidR="00DF33CB" w:rsidRPr="00D60D84">
        <w:t>submitted</w:t>
      </w:r>
      <w:r>
        <w:t xml:space="preserve"> definitive data relating to Y</w:t>
      </w:r>
      <w:r w:rsidR="00DF33CB" w:rsidRPr="00CF1D25">
        <w:t xml:space="preserve">ear 12 </w:t>
      </w:r>
      <w:r w:rsidR="00DF33CB" w:rsidRPr="00D60D84">
        <w:t>completion (i.e. ‘Yes’ or ‘No’). If all scholarship providers reported this information at the unit level</w:t>
      </w:r>
      <w:r w:rsidR="00DF33CB" w:rsidRPr="00CF1D25">
        <w:t xml:space="preserve"> it would be </w:t>
      </w:r>
      <w:r w:rsidR="009A7B00">
        <w:t>possible</w:t>
      </w:r>
      <w:r w:rsidR="00DF33CB" w:rsidRPr="00CF1D25">
        <w:t xml:space="preserve"> to calculate the graduation rate of these scholarship recipients and identify any common trends across the scholarship providers and the scholarship cohorts.</w:t>
      </w:r>
    </w:p>
    <w:p w14:paraId="582D5DE1" w14:textId="6349DE58" w:rsidR="00DF33CB" w:rsidRPr="00CF1D25" w:rsidRDefault="00125C0A" w:rsidP="00125C0A">
      <w:pPr>
        <w:pStyle w:val="PwCNormal"/>
        <w:numPr>
          <w:ilvl w:val="0"/>
          <w:numId w:val="9"/>
        </w:numPr>
      </w:pPr>
      <w:r>
        <w:t>Likewise</w:t>
      </w:r>
      <w:r w:rsidR="00DF33CB" w:rsidRPr="00CF1D25">
        <w:t xml:space="preserve">, only two scholarship providers submitted data relating to the remoteness categories of scholarship recipients for 2016. </w:t>
      </w:r>
    </w:p>
    <w:p w14:paraId="5F776956" w14:textId="77777777" w:rsidR="00DF33CB" w:rsidRPr="00CF1D25" w:rsidRDefault="00DF33CB" w:rsidP="00DF33CB">
      <w:pPr>
        <w:pStyle w:val="PwCNormal"/>
        <w:numPr>
          <w:ilvl w:val="0"/>
          <w:numId w:val="9"/>
        </w:numPr>
      </w:pPr>
      <w:r w:rsidRPr="00D60D84">
        <w:t>All</w:t>
      </w:r>
      <w:r w:rsidRPr="00CF1D25">
        <w:t xml:space="preserve"> scholarship providers submitted data relating to their education partners. Specifically, they indicated the names and locations of their education partners, and the number of IAS funded scholarship recipients enrolled</w:t>
      </w:r>
      <w:r w:rsidRPr="00D60D84">
        <w:t xml:space="preserve"> at each.</w:t>
      </w:r>
    </w:p>
    <w:p w14:paraId="0310F7F7" w14:textId="77777777" w:rsidR="00DF33CB" w:rsidRPr="00156622" w:rsidRDefault="00DF33CB" w:rsidP="00DF33CB">
      <w:pPr>
        <w:pStyle w:val="PwCNormal"/>
        <w:numPr>
          <w:ilvl w:val="0"/>
          <w:numId w:val="9"/>
        </w:numPr>
        <w:rPr>
          <w:i/>
          <w:color w:val="A32020" w:themeColor="text2"/>
        </w:rPr>
      </w:pPr>
      <w:r w:rsidRPr="00156622">
        <w:rPr>
          <w:i/>
          <w:color w:val="A32020" w:themeColor="text2"/>
        </w:rPr>
        <w:t>Key matters for consideration</w:t>
      </w:r>
    </w:p>
    <w:p w14:paraId="5202F727" w14:textId="77777777" w:rsidR="00125C0A" w:rsidRDefault="00DF33CB" w:rsidP="00DF33CB">
      <w:pPr>
        <w:pStyle w:val="ListBullet"/>
      </w:pPr>
      <w:r w:rsidRPr="003E4287">
        <w:t>Based on the responses to the data request, there is significant variability in the way that scholarship recipient data is</w:t>
      </w:r>
      <w:r>
        <w:t xml:space="preserve"> currently</w:t>
      </w:r>
      <w:r w:rsidRPr="003E4287">
        <w:t xml:space="preserve"> captured and recorded by scholarship providers. Specifically, few scholarship providers submitted unit level data for scholarship recipients for each year that they have been at secondary school. Rather, they have provided partial information often relating to a single year of a scholar</w:t>
      </w:r>
      <w:r>
        <w:t>’</w:t>
      </w:r>
      <w:r w:rsidRPr="003E4287">
        <w:t xml:space="preserve">s attendance at school (e.g. 2016 only). </w:t>
      </w:r>
      <w:r w:rsidR="00125C0A">
        <w:t xml:space="preserve">The data held by the department indicates that each scholarship provider has the capacity and capability to collect information relating to their respective activities provided they have clear expectations of what is necessary. </w:t>
      </w:r>
    </w:p>
    <w:p w14:paraId="13FB5871" w14:textId="77777777" w:rsidR="00DF33CB" w:rsidRPr="0061476A" w:rsidRDefault="00DF33CB" w:rsidP="00DF33CB">
      <w:pPr>
        <w:pStyle w:val="Heading7"/>
        <w:numPr>
          <w:ilvl w:val="0"/>
          <w:numId w:val="0"/>
        </w:numPr>
        <w:ind w:left="850" w:hanging="850"/>
        <w:rPr>
          <w:b/>
          <w:i w:val="0"/>
          <w:color w:val="auto"/>
          <w:sz w:val="20"/>
        </w:rPr>
      </w:pPr>
      <w:r w:rsidRPr="0061476A">
        <w:rPr>
          <w:b/>
          <w:i w:val="0"/>
          <w:color w:val="auto"/>
          <w:sz w:val="20"/>
        </w:rPr>
        <w:t>Scholarship recipient outcomes</w:t>
      </w:r>
    </w:p>
    <w:p w14:paraId="2C7CA039" w14:textId="77777777" w:rsidR="00DF33CB" w:rsidRPr="0061476A" w:rsidRDefault="00DF33CB" w:rsidP="00DF33CB">
      <w:pPr>
        <w:pStyle w:val="PwCNormal"/>
        <w:numPr>
          <w:ilvl w:val="0"/>
          <w:numId w:val="9"/>
        </w:numPr>
        <w:rPr>
          <w:i/>
          <w:color w:val="A32020" w:themeColor="text2"/>
        </w:rPr>
      </w:pPr>
      <w:r w:rsidRPr="0061476A">
        <w:rPr>
          <w:i/>
          <w:color w:val="A32020" w:themeColor="text2"/>
        </w:rPr>
        <w:t>What is desirable to demonstrate effectiveness?</w:t>
      </w:r>
    </w:p>
    <w:p w14:paraId="441B74E3" w14:textId="2BB10B48" w:rsidR="00DF33CB" w:rsidRDefault="00DF33CB" w:rsidP="00DF33CB">
      <w:pPr>
        <w:pStyle w:val="PwCNormal"/>
        <w:numPr>
          <w:ilvl w:val="0"/>
          <w:numId w:val="9"/>
        </w:numPr>
      </w:pPr>
      <w:r>
        <w:t>In order to demonstrate effectiveness, the outcomes for each scholarship recipient</w:t>
      </w:r>
      <w:r w:rsidR="00C84CC6">
        <w:t xml:space="preserve"> need to be documented</w:t>
      </w:r>
      <w:r>
        <w:t>. Documenting the short-term and long-term outcomes of each scholarship recipient can help determine the extent to which the</w:t>
      </w:r>
      <w:r w:rsidRPr="00347EFD">
        <w:t xml:space="preserve"> IAS funded secondary school scholarships </w:t>
      </w:r>
      <w:r>
        <w:t xml:space="preserve">are </w:t>
      </w:r>
      <w:r w:rsidRPr="00347EFD">
        <w:t xml:space="preserve">assisting </w:t>
      </w:r>
      <w:r>
        <w:t xml:space="preserve">Indigenous students </w:t>
      </w:r>
      <w:r w:rsidRPr="00347EFD">
        <w:t xml:space="preserve">to complete </w:t>
      </w:r>
      <w:r>
        <w:t>Y</w:t>
      </w:r>
      <w:r w:rsidRPr="00347EFD">
        <w:t>ear 12 and to transit</w:t>
      </w:r>
      <w:r>
        <w:t>ion to post-school destinations</w:t>
      </w:r>
      <w:r w:rsidR="00C84CC6">
        <w:t xml:space="preserve"> including future study and work.</w:t>
      </w:r>
    </w:p>
    <w:p w14:paraId="6C5FFB8F" w14:textId="335EF5AB" w:rsidR="00DF33CB" w:rsidRDefault="00DF33CB" w:rsidP="00DF33CB">
      <w:pPr>
        <w:pStyle w:val="PwCNormal"/>
        <w:numPr>
          <w:ilvl w:val="0"/>
          <w:numId w:val="9"/>
        </w:numPr>
      </w:pPr>
      <w:r>
        <w:t>To determine and monitor short-term outcomes (i.e. Year 12 completion/school achievement), it is necessary to analyse unit level data for each recipient, including their</w:t>
      </w:r>
      <w:r w:rsidR="00786A48">
        <w:t xml:space="preserve"> year</w:t>
      </w:r>
      <w:r>
        <w:t xml:space="preserve"> level of education and provide a definitive statement of whether each scholarship recipient has completed Year 12 (i.e. ‘Yes’ or ‘No’). In addition to this, to determine the extent to which receiving a scholarship has contributed to a recipient’s longer-term outcomes, post-school pathways (i.e. Year 1, Year 3 </w:t>
      </w:r>
      <w:r>
        <w:lastRenderedPageBreak/>
        <w:t>and Year 5) must also be recorded at the unit level. This will enable analysis to be conducted in order to understand any patterns of causality between the experiences of scholarship recipients and their post-school outcomes.</w:t>
      </w:r>
    </w:p>
    <w:p w14:paraId="394287A6" w14:textId="77777777" w:rsidR="00DF33CB" w:rsidRPr="00347EFD" w:rsidRDefault="00DF33CB" w:rsidP="00DF33CB">
      <w:pPr>
        <w:pStyle w:val="PwCNormal"/>
        <w:numPr>
          <w:ilvl w:val="0"/>
          <w:numId w:val="9"/>
        </w:numPr>
      </w:pPr>
      <w:r>
        <w:t>If information was collected in this manner, it could be possible to compare the Year 12 completion rates and post-school destinations of scholarship recipients with data relating to a comparable age cohort of Indigenous young people from regional and remote Australia (e.g. ABS Apparent Retention Rate from Year 7/8 to Year 12).</w:t>
      </w:r>
    </w:p>
    <w:p w14:paraId="485AB7F5" w14:textId="77777777" w:rsidR="00DF33CB" w:rsidRPr="00CF1D25" w:rsidRDefault="00DF33CB" w:rsidP="00DF33CB">
      <w:pPr>
        <w:pStyle w:val="PwCNormal"/>
        <w:numPr>
          <w:ilvl w:val="0"/>
          <w:numId w:val="9"/>
        </w:numPr>
        <w:rPr>
          <w:i/>
          <w:color w:val="A32020" w:themeColor="text2"/>
        </w:rPr>
      </w:pPr>
      <w:r w:rsidRPr="00CF1D25">
        <w:rPr>
          <w:i/>
          <w:color w:val="A32020" w:themeColor="text2"/>
        </w:rPr>
        <w:t>Preliminary snapshot based on the data provided</w:t>
      </w:r>
    </w:p>
    <w:p w14:paraId="5B5004E0" w14:textId="65590F47" w:rsidR="00DF33CB" w:rsidRPr="00CF1D25" w:rsidRDefault="00DF33CB" w:rsidP="00DF33CB">
      <w:pPr>
        <w:pStyle w:val="PwCNormal"/>
        <w:numPr>
          <w:ilvl w:val="0"/>
          <w:numId w:val="9"/>
        </w:numPr>
      </w:pPr>
      <w:r w:rsidRPr="00CF1D25">
        <w:t xml:space="preserve">As outlined in section </w:t>
      </w:r>
      <w:r w:rsidR="00DE12AF">
        <w:fldChar w:fldCharType="begin"/>
      </w:r>
      <w:r w:rsidR="00DE12AF">
        <w:instrText xml:space="preserve"> REF _Ref481687470 \n \h </w:instrText>
      </w:r>
      <w:r w:rsidR="00DE12AF">
        <w:fldChar w:fldCharType="separate"/>
      </w:r>
      <w:r w:rsidR="009C78D7">
        <w:t>3.2</w:t>
      </w:r>
      <w:r w:rsidR="00DE12AF">
        <w:fldChar w:fldCharType="end"/>
      </w:r>
      <w:r w:rsidRPr="00CF1D25">
        <w:t xml:space="preserve">, the data provided by the scholarship providers in relation to student outcomes is </w:t>
      </w:r>
      <w:r w:rsidR="009A7B00">
        <w:t>variable</w:t>
      </w:r>
      <w:r w:rsidRPr="00CF1D25">
        <w:t>. The rationale for this is that few scholarship providers have recorded unit level data over consistent time periods.</w:t>
      </w:r>
    </w:p>
    <w:p w14:paraId="27D7DB2B" w14:textId="6A2B0476" w:rsidR="00DF33CB" w:rsidRPr="00CF1D25" w:rsidRDefault="00DF33CB" w:rsidP="00DF33CB">
      <w:pPr>
        <w:pStyle w:val="PwCNormal"/>
        <w:numPr>
          <w:ilvl w:val="0"/>
          <w:numId w:val="9"/>
        </w:numPr>
      </w:pPr>
      <w:r w:rsidRPr="00CF1D25">
        <w:t>Of the two scholarship provide</w:t>
      </w:r>
      <w:r w:rsidR="003A1B93">
        <w:t>rs that submitted Y</w:t>
      </w:r>
      <w:r w:rsidRPr="00CF1D25">
        <w:t>ear 12 completion</w:t>
      </w:r>
      <w:r w:rsidR="003A1B93">
        <w:t xml:space="preserve"> data at the unit level, their Y</w:t>
      </w:r>
      <w:r w:rsidRPr="00CF1D25">
        <w:t>ear 12 completion rates compare favourably with the national average for Indigenous young people from remote areas which is 33.9%.</w:t>
      </w:r>
      <w:r w:rsidRPr="00CF1D25">
        <w:rPr>
          <w:rStyle w:val="FootnoteReference"/>
        </w:rPr>
        <w:footnoteReference w:id="5"/>
      </w:r>
    </w:p>
    <w:p w14:paraId="1EFFD9A3" w14:textId="420AA265" w:rsidR="00DF33CB" w:rsidRPr="00CF1D25" w:rsidRDefault="00DF33CB" w:rsidP="00DF33CB">
      <w:pPr>
        <w:pStyle w:val="PwCNormal"/>
        <w:numPr>
          <w:ilvl w:val="0"/>
          <w:numId w:val="9"/>
        </w:numPr>
        <w:rPr>
          <w:b/>
          <w:bCs/>
        </w:rPr>
      </w:pPr>
      <w:r w:rsidRPr="00D60D84">
        <w:t>Further,</w:t>
      </w:r>
      <w:r w:rsidRPr="00CF1D25">
        <w:t xml:space="preserve"> one scholarship provider submitted unit level data relating to post-school destinations for students that completed </w:t>
      </w:r>
      <w:r w:rsidR="00C1560A">
        <w:t>Y</w:t>
      </w:r>
      <w:r w:rsidRPr="00CF1D25">
        <w:t>ear 12. However, it does not collect information relating to the post-school destinations of the past scholarship recipients who exited school early. The reason for this is they cannot compel students who exit school early to provide data. Similarly, four scholarship providers have submitted partial lists of student destinations which they have compiled to inform this project.</w:t>
      </w:r>
    </w:p>
    <w:p w14:paraId="584D13F6" w14:textId="77777777" w:rsidR="00DF33CB" w:rsidRPr="001C6B51" w:rsidRDefault="00DF33CB" w:rsidP="00DF33CB">
      <w:pPr>
        <w:pStyle w:val="PwCNormal"/>
        <w:keepNext/>
        <w:keepLines/>
        <w:numPr>
          <w:ilvl w:val="0"/>
          <w:numId w:val="9"/>
        </w:numPr>
        <w:rPr>
          <w:i/>
          <w:color w:val="A32020" w:themeColor="text2"/>
        </w:rPr>
      </w:pPr>
      <w:r w:rsidRPr="001C6B51">
        <w:rPr>
          <w:i/>
          <w:color w:val="A32020" w:themeColor="text2"/>
        </w:rPr>
        <w:t>Key matters for consideration</w:t>
      </w:r>
    </w:p>
    <w:p w14:paraId="2003A4BA" w14:textId="0B1ED5F1" w:rsidR="00DF33CB" w:rsidRDefault="009A7B00" w:rsidP="00DF33CB">
      <w:pPr>
        <w:pStyle w:val="ListBullet"/>
        <w:keepNext/>
        <w:keepLines/>
      </w:pPr>
      <w:r>
        <w:t>O</w:t>
      </w:r>
      <w:r w:rsidR="00DF33CB" w:rsidRPr="001C6B51">
        <w:t xml:space="preserve">ne </w:t>
      </w:r>
      <w:r w:rsidR="00DF33CB">
        <w:t>scholarship provider provided</w:t>
      </w:r>
      <w:r w:rsidR="00DF33CB" w:rsidRPr="001C6B51">
        <w:t xml:space="preserve"> unit level data o</w:t>
      </w:r>
      <w:r w:rsidR="00DF33CB">
        <w:t>n post-graduation outcomes (ie Y</w:t>
      </w:r>
      <w:r w:rsidR="00DF33CB" w:rsidRPr="001C6B51">
        <w:t>ear 13</w:t>
      </w:r>
      <w:r w:rsidR="00DF33CB">
        <w:t xml:space="preserve"> and beyond</w:t>
      </w:r>
      <w:r w:rsidR="00DF33CB" w:rsidRPr="001C6B51">
        <w:t>)</w:t>
      </w:r>
      <w:r w:rsidR="00DF33CB">
        <w:t xml:space="preserve"> for its scholarship recipients</w:t>
      </w:r>
      <w:r w:rsidR="00DF33CB" w:rsidRPr="001C6B51">
        <w:t xml:space="preserve">. Several others indicated that they have strong relationships with their past scholarship recipients and are able to compile this information. However, </w:t>
      </w:r>
      <w:r w:rsidR="00C84CC6">
        <w:t xml:space="preserve">the main data provided in response to the data request </w:t>
      </w:r>
      <w:r w:rsidR="00DF33CB" w:rsidRPr="001C6B51">
        <w:t>has not been recorded using a consistent, unique identifier meaning it has not been possible to ‘track’ a recipient’s pathway during secondary school and then post-school. Ideally, information w</w:t>
      </w:r>
      <w:r w:rsidR="00DF33CB">
        <w:t>ould be collected not only 1, 3 and 5 years after school completion for graduates</w:t>
      </w:r>
      <w:r w:rsidR="00DF33CB" w:rsidRPr="001C6B51">
        <w:t xml:space="preserve">, but also the first year that a student who exits the scholarship program </w:t>
      </w:r>
      <w:r w:rsidR="00DF33CB">
        <w:t xml:space="preserve">early </w:t>
      </w:r>
      <w:r w:rsidR="00DF33CB" w:rsidRPr="001C6B51">
        <w:t>in order to determine whether they continued school elsewhere, transferred to another scholarship provider or are pursuing an alternative pathway (e.g. vocational education and training or employment).</w:t>
      </w:r>
    </w:p>
    <w:p w14:paraId="46D33DAD" w14:textId="77777777" w:rsidR="00DF33CB" w:rsidRDefault="00DF33CB" w:rsidP="00DF33CB">
      <w:pPr>
        <w:pStyle w:val="ListBullet"/>
      </w:pPr>
      <w:r>
        <w:t>All IAS funded scholarship providers’ currently record scholarship recipient data using personal attribute keys, such as name and address. However, these are usually not unique to the individual, change over time, and are often entered into different systems in different formats. This means there is significant potential for data-entry errors (e.g. misspellings). The use of a unique student identifier can attempt to correct for some of these changes and errors and also make it possible to ‘track’ the pathway of each scholarship recipient from the application stage to graduation (or earlier exit). A unique identifier for each student would also enable scholarship providers and the department to document instances where a scholarship recipient transfers schools or changes scholarship providers.</w:t>
      </w:r>
    </w:p>
    <w:p w14:paraId="7F849F62" w14:textId="74FB9D2C" w:rsidR="000E4D3D" w:rsidRDefault="000E4D3D" w:rsidP="00DF33CB">
      <w:pPr>
        <w:pStyle w:val="ListBullet"/>
      </w:pPr>
      <w:r>
        <w:t>A unique identifier is the simplest form of deterministic linking which involves the exact matching of different records across datasets so the pathway of an individual observation (i.e. student) can be tracked from successful application to school exit. T</w:t>
      </w:r>
      <w:r w:rsidR="00C4071A">
        <w:t xml:space="preserve">he unique identifier is a number or code that uniquely identifies each student. The department could </w:t>
      </w:r>
      <w:r w:rsidR="00C4071A">
        <w:lastRenderedPageBreak/>
        <w:t xml:space="preserve">require each scholarship provider to assign a unique identifier (e.g. student number) to each successful recipient of an IAS funded secondary school scholarship. </w:t>
      </w:r>
      <w:r w:rsidR="0064564A">
        <w:t xml:space="preserve">In order </w:t>
      </w:r>
      <w:r w:rsidR="00C4071A">
        <w:t>to do this</w:t>
      </w:r>
      <w:r w:rsidR="0064564A">
        <w:t>, the department would need</w:t>
      </w:r>
      <w:r w:rsidR="00C4071A">
        <w:t xml:space="preserve"> to </w:t>
      </w:r>
      <w:r w:rsidR="00114C45">
        <w:t>specify the format of the unique identifier to all scholarship providers, articulate the rationale for utilising a unique identifier (i.e. accurately track the pathways of each scholarship recipients whilst engaging in secondary school) and requir</w:t>
      </w:r>
      <w:r w:rsidR="0064564A">
        <w:t>e</w:t>
      </w:r>
      <w:r w:rsidR="00114C45">
        <w:t xml:space="preserve"> each</w:t>
      </w:r>
      <w:r w:rsidR="0064564A">
        <w:t xml:space="preserve"> scholarship provider</w:t>
      </w:r>
      <w:r w:rsidR="00114C45">
        <w:t xml:space="preserve"> to report student </w:t>
      </w:r>
      <w:r w:rsidR="0064564A">
        <w:t xml:space="preserve">progress and </w:t>
      </w:r>
      <w:r w:rsidR="00114C45">
        <w:t>outcomes utilising the unique identifiers. The use of a unique student identifier could be stipulated in funding agreements. Importantly, before a decision is made, any proposed changes to the existing data collection mechanisms and/or requirements must be designed, developed and agreed in close consultation with all scholarship providers.</w:t>
      </w:r>
    </w:p>
    <w:p w14:paraId="5D7D5C10" w14:textId="6D26EFCC" w:rsidR="00C4071A" w:rsidRDefault="00DF33CB" w:rsidP="00DE3F7E">
      <w:pPr>
        <w:pStyle w:val="ListBullet"/>
      </w:pPr>
      <w:r>
        <w:t xml:space="preserve">If it is not possible to establish a unique identifier, </w:t>
      </w:r>
      <w:r w:rsidR="00C4071A" w:rsidRPr="00DE3F7E">
        <w:t>there are a number of other options available</w:t>
      </w:r>
      <w:r w:rsidR="00C4071A" w:rsidRPr="008943AB">
        <w:t>. One example</w:t>
      </w:r>
      <w:r w:rsidR="00C4071A">
        <w:t xml:space="preserve"> is </w:t>
      </w:r>
      <w:r w:rsidR="00C4071A" w:rsidRPr="00DE3F7E">
        <w:t xml:space="preserve">the creation of a deterministic linkage key using a combination of identifying information on each record such as name, address and date of birth. However, </w:t>
      </w:r>
      <w:r w:rsidR="00C4071A">
        <w:t xml:space="preserve">this will not eliminate the risk of human error in terms of entry into data systems (e.g. misspelling names) or </w:t>
      </w:r>
      <w:r w:rsidR="0064564A">
        <w:t xml:space="preserve">potential </w:t>
      </w:r>
      <w:r w:rsidR="00C4071A">
        <w:t>changes to personal attribute keys</w:t>
      </w:r>
      <w:r w:rsidR="0064564A">
        <w:t xml:space="preserve"> (e.g. name changes)</w:t>
      </w:r>
      <w:r w:rsidR="00C4071A">
        <w:t xml:space="preserve">. Regardless of the method which is adopted, </w:t>
      </w:r>
      <w:r>
        <w:t>it is important that all scholarship providers collect the same information about each student at predetermined ‘stages’ of their engagement with scholarship providers and education partners so it is possible to ‘track’ the pathway of each student. Not only should this include each student’s personal attribute keys (e.g. name, gender, age and address) from the application stage to graduation (or earlier exit), but also instances where students’ transfer schools or change scholarship providers.</w:t>
      </w:r>
    </w:p>
    <w:p w14:paraId="4A76FC47" w14:textId="32E89378" w:rsidR="00DF33CB" w:rsidRPr="001C6B51" w:rsidRDefault="00DF33CB" w:rsidP="00DE3F7E">
      <w:pPr>
        <w:pStyle w:val="Heading7"/>
        <w:spacing w:after="240"/>
        <w:ind w:left="851" w:hanging="851"/>
      </w:pPr>
      <w:r w:rsidRPr="001C6B51">
        <w:t>Efficiency</w:t>
      </w:r>
    </w:p>
    <w:p w14:paraId="51B8FC12" w14:textId="707B03C7" w:rsidR="00DF33CB" w:rsidRPr="001C6B51" w:rsidRDefault="00DF33CB" w:rsidP="00DF33CB">
      <w:pPr>
        <w:pStyle w:val="PwCNormal"/>
        <w:numPr>
          <w:ilvl w:val="0"/>
          <w:numId w:val="9"/>
        </w:numPr>
      </w:pPr>
      <w:r w:rsidRPr="001C6B51">
        <w:t xml:space="preserve">The efficiency of the IAS secondary school scholarships refers to whether its desired outcomes represent value for money. That is, the extent </w:t>
      </w:r>
      <w:r w:rsidR="003A1B93">
        <w:t>to which</w:t>
      </w:r>
      <w:r w:rsidRPr="001C6B51">
        <w:t xml:space="preserve"> the relationship between the inputs and outputs in the draft program logic are timely, cost-effective and meet the expected standards</w:t>
      </w:r>
      <w:r>
        <w:t>.</w:t>
      </w:r>
    </w:p>
    <w:p w14:paraId="40AB14EF" w14:textId="77777777" w:rsidR="00DF33CB" w:rsidRPr="00320810" w:rsidRDefault="00DF33CB" w:rsidP="00DF33CB">
      <w:pPr>
        <w:pStyle w:val="PwCNormal"/>
        <w:numPr>
          <w:ilvl w:val="0"/>
          <w:numId w:val="9"/>
        </w:numPr>
        <w:rPr>
          <w:highlight w:val="yellow"/>
        </w:rPr>
      </w:pPr>
      <w:r>
        <w:t>Based on the draft program logic, and the responses to the data request, two measures have been identified to provide a preliminary snapshot of the efficiency of the current delivery of the IAS funded secondary school scholarships. These are:</w:t>
      </w:r>
    </w:p>
    <w:p w14:paraId="7E4ED8DB" w14:textId="77777777" w:rsidR="00DF33CB" w:rsidRPr="00171D74" w:rsidRDefault="00DF33CB" w:rsidP="00DF33CB">
      <w:pPr>
        <w:pStyle w:val="ChapterNumberedList1"/>
      </w:pPr>
      <w:r w:rsidRPr="00E83054">
        <w:rPr>
          <w:lang w:val="en-GB"/>
        </w:rPr>
        <w:t>The average value of funding per scholarship recipient per annum (including the proportion of costs covered)</w:t>
      </w:r>
    </w:p>
    <w:p w14:paraId="31E24711" w14:textId="77777777" w:rsidR="00DF33CB" w:rsidRPr="00B7397B" w:rsidRDefault="00DF33CB" w:rsidP="00DF33CB">
      <w:pPr>
        <w:pStyle w:val="ChapterNumberedList1"/>
      </w:pPr>
      <w:r>
        <w:rPr>
          <w:lang w:val="en-GB"/>
        </w:rPr>
        <w:t>The a</w:t>
      </w:r>
      <w:r w:rsidRPr="00171D74">
        <w:rPr>
          <w:lang w:val="en-GB"/>
        </w:rPr>
        <w:t xml:space="preserve">verage administration costs per </w:t>
      </w:r>
      <w:r>
        <w:rPr>
          <w:lang w:val="en-GB"/>
        </w:rPr>
        <w:t>scholarship recipient</w:t>
      </w:r>
      <w:r w:rsidRPr="00171D74">
        <w:rPr>
          <w:lang w:val="en-GB"/>
        </w:rPr>
        <w:t>.</w:t>
      </w:r>
    </w:p>
    <w:p w14:paraId="50CD143E" w14:textId="4D049EF1" w:rsidR="00DF33CB" w:rsidRPr="0071711C" w:rsidRDefault="00DF33CB" w:rsidP="00DF33CB">
      <w:pPr>
        <w:pStyle w:val="ListBullet3"/>
        <w:numPr>
          <w:ilvl w:val="0"/>
          <w:numId w:val="0"/>
        </w:numPr>
      </w:pPr>
      <w:r w:rsidRPr="00CF1D25">
        <w:t xml:space="preserve">Based on the </w:t>
      </w:r>
      <w:r w:rsidR="003A1B93">
        <w:t>responses to the data request</w:t>
      </w:r>
      <w:r w:rsidRPr="00CF1D25">
        <w:t>, the average value of funding per scholarship participant varies for each scholarship provider. Specifically, the highest level of funding per scholarship was $23,500 whilst the lowest amount was $7,963. The median level of fu</w:t>
      </w:r>
      <w:r w:rsidRPr="00D60D84">
        <w:t>nding per scholarship is $17,</w:t>
      </w:r>
      <w:r w:rsidR="00CC6590">
        <w:t>500</w:t>
      </w:r>
      <w:r w:rsidRPr="00CF1D25">
        <w:t>. It is important to acknowledge that this information is variable as it depends on:</w:t>
      </w:r>
    </w:p>
    <w:p w14:paraId="668E69C9" w14:textId="77777777" w:rsidR="00DF33CB" w:rsidRDefault="00DF33CB" w:rsidP="00DF33CB">
      <w:pPr>
        <w:pStyle w:val="ListBullet"/>
      </w:pPr>
      <w:r w:rsidRPr="002A18EC">
        <w:t>the level of ABSTUDY awarded to each student</w:t>
      </w:r>
    </w:p>
    <w:p w14:paraId="007D2701" w14:textId="77777777" w:rsidR="00DF33CB" w:rsidRPr="002A18EC" w:rsidRDefault="00DF33CB" w:rsidP="00DF33CB">
      <w:pPr>
        <w:pStyle w:val="ListBullet"/>
      </w:pPr>
      <w:r>
        <w:t>the level of parent/guardian contributions</w:t>
      </w:r>
    </w:p>
    <w:p w14:paraId="5C4E02D1" w14:textId="77777777" w:rsidR="00DF33CB" w:rsidRDefault="00DF33CB" w:rsidP="00DF33CB">
      <w:pPr>
        <w:pStyle w:val="ListBullet"/>
      </w:pPr>
      <w:r w:rsidRPr="002A18EC">
        <w:t>the schools fees (and other educational costs) associated with the education partners of each scholarship provide</w:t>
      </w:r>
      <w:r>
        <w:t>r</w:t>
      </w:r>
      <w:r w:rsidRPr="002A18EC">
        <w:t>.</w:t>
      </w:r>
    </w:p>
    <w:p w14:paraId="37CEE145" w14:textId="0040B2DF" w:rsidR="00DF33CB" w:rsidRPr="002A18EC" w:rsidRDefault="00DF33CB" w:rsidP="00DF33CB">
      <w:pPr>
        <w:pStyle w:val="ListBullet"/>
        <w:numPr>
          <w:ilvl w:val="0"/>
          <w:numId w:val="0"/>
        </w:numPr>
      </w:pPr>
      <w:r>
        <w:t>Further analysis of student experiences for each scholarship provider would need to be undertake</w:t>
      </w:r>
      <w:r w:rsidR="00DE1B71">
        <w:t>n</w:t>
      </w:r>
      <w:r>
        <w:t xml:space="preserve"> to understand the extent to which the scholarship amount provided impacts on st</w:t>
      </w:r>
      <w:r w:rsidR="00C1560A">
        <w:t>udent experiences and outcomes.</w:t>
      </w:r>
    </w:p>
    <w:p w14:paraId="16A4F51A" w14:textId="29B151F5" w:rsidR="00DF33CB" w:rsidRPr="002A18EC" w:rsidRDefault="00DF33CB" w:rsidP="00DF33CB">
      <w:pPr>
        <w:pStyle w:val="ListBullet2"/>
        <w:numPr>
          <w:ilvl w:val="0"/>
          <w:numId w:val="0"/>
        </w:numPr>
      </w:pPr>
      <w:r w:rsidRPr="002A18EC">
        <w:t>All scholarship provide</w:t>
      </w:r>
      <w:r>
        <w:t>r</w:t>
      </w:r>
      <w:r w:rsidRPr="002A18EC">
        <w:t xml:space="preserve">s indicated that the IAS funded scholarships covered at least 42 percent of the total schooling costs per annum, with only </w:t>
      </w:r>
      <w:r>
        <w:t xml:space="preserve">one </w:t>
      </w:r>
      <w:r w:rsidRPr="002A18EC">
        <w:t xml:space="preserve">scholarship provider </w:t>
      </w:r>
      <w:r>
        <w:t xml:space="preserve">indicating that </w:t>
      </w:r>
      <w:r w:rsidRPr="002A18EC">
        <w:t xml:space="preserve">IAS </w:t>
      </w:r>
      <w:r w:rsidRPr="002A18EC">
        <w:lastRenderedPageBreak/>
        <w:t xml:space="preserve">funding typically covers all costs. </w:t>
      </w:r>
      <w:r>
        <w:t>In addition to ABSTUDY, c</w:t>
      </w:r>
      <w:r w:rsidRPr="002A18EC">
        <w:t xml:space="preserve">ommon </w:t>
      </w:r>
      <w:r w:rsidR="00DE1B71">
        <w:t>additional</w:t>
      </w:r>
      <w:r w:rsidRPr="002A18EC">
        <w:t xml:space="preserve"> sources of funding include:</w:t>
      </w:r>
    </w:p>
    <w:p w14:paraId="515BA289" w14:textId="77777777" w:rsidR="00DF33CB" w:rsidRPr="002A18EC" w:rsidRDefault="00DF33CB" w:rsidP="00DF33CB">
      <w:pPr>
        <w:pStyle w:val="ListBullet"/>
      </w:pPr>
      <w:r w:rsidRPr="002A18EC">
        <w:rPr>
          <w:rFonts w:cs="Times New Roman"/>
          <w:lang w:val="en-GB"/>
        </w:rPr>
        <w:t>school contributions</w:t>
      </w:r>
    </w:p>
    <w:p w14:paraId="21416B9C" w14:textId="01ADAFD6" w:rsidR="003C0CC1" w:rsidRPr="002A18EC" w:rsidRDefault="00DF33CB" w:rsidP="00DF33CB">
      <w:pPr>
        <w:pStyle w:val="ListBullet"/>
      </w:pPr>
      <w:r w:rsidRPr="002A18EC">
        <w:rPr>
          <w:rFonts w:cs="Times New Roman"/>
          <w:lang w:val="en-GB"/>
        </w:rPr>
        <w:t>contributions from private foundations</w:t>
      </w:r>
      <w:r>
        <w:rPr>
          <w:rFonts w:cs="Times New Roman"/>
          <w:lang w:val="en-GB"/>
        </w:rPr>
        <w:t>, corporates and philanthropy</w:t>
      </w:r>
    </w:p>
    <w:p w14:paraId="1F3F009D" w14:textId="7F3F4961" w:rsidR="003C0CC1" w:rsidRDefault="00DF33CB">
      <w:pPr>
        <w:pStyle w:val="ListBullet"/>
        <w:rPr>
          <w:rFonts w:cs="Times New Roman"/>
          <w:lang w:val="en-GB"/>
        </w:rPr>
      </w:pPr>
      <w:r w:rsidRPr="003C0CC1">
        <w:rPr>
          <w:rFonts w:cs="Times New Roman"/>
          <w:lang w:val="en-GB"/>
        </w:rPr>
        <w:t>other family contributions.</w:t>
      </w:r>
    </w:p>
    <w:p w14:paraId="12702BD6" w14:textId="77777777" w:rsidR="003C0CC1" w:rsidRPr="008A046F" w:rsidRDefault="003C0CC1" w:rsidP="008A046F">
      <w:pPr>
        <w:pStyle w:val="ListBullet"/>
        <w:numPr>
          <w:ilvl w:val="0"/>
          <w:numId w:val="0"/>
        </w:numPr>
        <w:rPr>
          <w:rFonts w:cs="Times New Roman"/>
          <w:lang w:val="en-GB"/>
        </w:rPr>
      </w:pPr>
      <w:r w:rsidRPr="003C0CC1">
        <w:rPr>
          <w:rFonts w:cs="Times New Roman"/>
          <w:lang w:val="en-GB"/>
        </w:rPr>
        <w:t xml:space="preserve">Several scholarship </w:t>
      </w:r>
      <w:r w:rsidRPr="008A046F">
        <w:rPr>
          <w:rFonts w:cs="Times New Roman"/>
          <w:lang w:val="en-GB"/>
        </w:rPr>
        <w:t>providers indicated that they leverage the government funding they receive to obtain funding from these additional funding sources which covers the majority of the total cost of delivering the secondary school scholarships. In fact, four of the ten scholarship providers asserted that more than half of the total funding they receive is from non-government sources. This represents value for money for the department.</w:t>
      </w:r>
    </w:p>
    <w:p w14:paraId="6603A487" w14:textId="28D87609" w:rsidR="00DF33CB" w:rsidRDefault="00DF33CB" w:rsidP="00DF33CB">
      <w:pPr>
        <w:pStyle w:val="ListBullet"/>
        <w:numPr>
          <w:ilvl w:val="0"/>
          <w:numId w:val="0"/>
        </w:numPr>
        <w:rPr>
          <w:rFonts w:cs="Times New Roman"/>
          <w:lang w:val="en-GB"/>
        </w:rPr>
      </w:pPr>
      <w:r>
        <w:rPr>
          <w:rFonts w:cs="Times New Roman"/>
          <w:lang w:val="en-GB"/>
        </w:rPr>
        <w:t xml:space="preserve">In addition to the average value per scholarship and the contribution of IAS funding to schooling costs, another measure of efficiency is the average administration cost per scholarship for each scholarship provider. </w:t>
      </w:r>
      <w:r w:rsidR="00C84CC6">
        <w:rPr>
          <w:rFonts w:cs="Times New Roman"/>
          <w:lang w:val="en-GB"/>
        </w:rPr>
        <w:t>F</w:t>
      </w:r>
      <w:r>
        <w:rPr>
          <w:rFonts w:cs="Times New Roman"/>
          <w:lang w:val="en-GB"/>
        </w:rPr>
        <w:t>our scholarship providers have estimated the average cost of administration per scholarship, ranging between $1,750 per scholarship to $3,500 per scholarship.</w:t>
      </w:r>
      <w:r w:rsidR="00676585">
        <w:rPr>
          <w:rFonts w:cs="Times New Roman"/>
          <w:lang w:val="en-GB"/>
        </w:rPr>
        <w:t xml:space="preserve"> In order to provide a more accurate assessment of efficiency, further work is required to obtain the average administration costs per scholarship for the scholarship providers.</w:t>
      </w:r>
    </w:p>
    <w:p w14:paraId="34CBABCE" w14:textId="77777777" w:rsidR="00DF33CB" w:rsidRPr="002F2982" w:rsidRDefault="00DF33CB" w:rsidP="00DF33CB">
      <w:pPr>
        <w:pStyle w:val="ListBullet2"/>
        <w:keepNext/>
        <w:keepLines/>
        <w:numPr>
          <w:ilvl w:val="0"/>
          <w:numId w:val="0"/>
        </w:numPr>
        <w:rPr>
          <w:i/>
          <w:color w:val="A32020" w:themeColor="text2"/>
        </w:rPr>
      </w:pPr>
      <w:r w:rsidRPr="002F2982">
        <w:rPr>
          <w:i/>
          <w:color w:val="A32020" w:themeColor="text2"/>
        </w:rPr>
        <w:t>Other considerations</w:t>
      </w:r>
    </w:p>
    <w:p w14:paraId="048AD2BC" w14:textId="031E5EE9" w:rsidR="00DF33CB" w:rsidRPr="002F2982" w:rsidRDefault="00DF33CB" w:rsidP="00DF33CB">
      <w:pPr>
        <w:pStyle w:val="ListBullet"/>
        <w:keepNext/>
        <w:keepLines/>
      </w:pPr>
      <w:r w:rsidRPr="002F2982">
        <w:t xml:space="preserve">The cost of support services was provided by one scholarship provider. It </w:t>
      </w:r>
      <w:r w:rsidR="00DE1B71">
        <w:t>would</w:t>
      </w:r>
      <w:r w:rsidRPr="002F2982">
        <w:t xml:space="preserve"> be interesting to examine the kinds and degree of the supports funded by each scholarship provider for each scholarship recipient to assess the extent to which this contributes to the desired outcomes.</w:t>
      </w:r>
    </w:p>
    <w:p w14:paraId="5CC3220E" w14:textId="08D792D0" w:rsidR="00DF33CB" w:rsidRPr="00CF1D25" w:rsidRDefault="00DF33CB" w:rsidP="00DF33CB">
      <w:pPr>
        <w:pStyle w:val="ListBullet"/>
      </w:pPr>
      <w:r w:rsidRPr="002F2982">
        <w:t xml:space="preserve">During the consultations, some scholarship providers indicated that </w:t>
      </w:r>
      <w:r>
        <w:t xml:space="preserve">they engage education partners who also work with other scholarship providers. Some of these scholarship providers asserted that </w:t>
      </w:r>
      <w:r w:rsidRPr="002F2982">
        <w:t>there was s</w:t>
      </w:r>
      <w:r>
        <w:t>ome</w:t>
      </w:r>
      <w:r w:rsidRPr="002F2982">
        <w:t xml:space="preserve"> administrative burden when they engaged with education partners that had more than one scholarship provider. As outlined below in </w:t>
      </w:r>
      <w:r w:rsidR="00DE12AF" w:rsidRPr="00DE12AF">
        <w:fldChar w:fldCharType="begin"/>
      </w:r>
      <w:r w:rsidR="00DE12AF" w:rsidRPr="00DE12AF">
        <w:instrText xml:space="preserve"> REF _Ref481687656 \h  \* MERGEFORMAT </w:instrText>
      </w:r>
      <w:r w:rsidR="00DE12AF" w:rsidRPr="00DE12AF">
        <w:fldChar w:fldCharType="separate"/>
      </w:r>
      <w:r w:rsidR="009C78D7" w:rsidRPr="009C78D7">
        <w:t xml:space="preserve">Table </w:t>
      </w:r>
      <w:r w:rsidR="009C78D7" w:rsidRPr="009C78D7">
        <w:rPr>
          <w:noProof/>
        </w:rPr>
        <w:t>8</w:t>
      </w:r>
      <w:r w:rsidR="00DE12AF" w:rsidRPr="00DE12AF">
        <w:fldChar w:fldCharType="end"/>
      </w:r>
      <w:r w:rsidRPr="002F2982">
        <w:t xml:space="preserve">, based on the </w:t>
      </w:r>
      <w:r w:rsidR="00970E64">
        <w:t>responses to the data request</w:t>
      </w:r>
      <w:r>
        <w:t xml:space="preserve"> there are </w:t>
      </w:r>
      <w:r w:rsidR="00B7615B">
        <w:t>ten</w:t>
      </w:r>
      <w:r w:rsidRPr="002F2982">
        <w:t xml:space="preserve"> education partners with more than one scholarship provider. It would be interesting to estimate the size of the </w:t>
      </w:r>
      <w:r w:rsidR="003B75D7">
        <w:t>reported</w:t>
      </w:r>
      <w:r w:rsidR="003B75D7" w:rsidRPr="002F2982">
        <w:t xml:space="preserve"> </w:t>
      </w:r>
      <w:r w:rsidRPr="002F2982">
        <w:t>administrative burden associated with education partners having multiple scholarship providers.</w:t>
      </w:r>
      <w:r>
        <w:t xml:space="preserve"> It must be noted that in a number of these schools, one of </w:t>
      </w:r>
      <w:r w:rsidRPr="00CF1D25">
        <w:t>the providers is already transition</w:t>
      </w:r>
      <w:r w:rsidR="00970E64">
        <w:t>ing</w:t>
      </w:r>
      <w:r w:rsidRPr="00CF1D25">
        <w:t xml:space="preserve"> out of the partnership.</w:t>
      </w:r>
    </w:p>
    <w:p w14:paraId="44FE4FEC" w14:textId="77777777" w:rsidR="00DF33CB" w:rsidRPr="00CF1D25" w:rsidRDefault="00DF33CB" w:rsidP="00DF33CB">
      <w:pPr>
        <w:pStyle w:val="ListBullet"/>
        <w:keepNext/>
        <w:keepLines/>
        <w:numPr>
          <w:ilvl w:val="0"/>
          <w:numId w:val="0"/>
        </w:numPr>
        <w:rPr>
          <w:b/>
          <w:color w:val="A32020" w:themeColor="text2"/>
        </w:rPr>
      </w:pPr>
      <w:bookmarkStart w:id="48" w:name="_Ref481687656"/>
      <w:r w:rsidRPr="00CF1D25">
        <w:rPr>
          <w:b/>
          <w:color w:val="A32020" w:themeColor="text2"/>
        </w:rPr>
        <w:t xml:space="preserve">Table </w:t>
      </w:r>
      <w:r w:rsidRPr="00D60D84">
        <w:rPr>
          <w:b/>
          <w:color w:val="A32020" w:themeColor="text2"/>
        </w:rPr>
        <w:fldChar w:fldCharType="begin"/>
      </w:r>
      <w:r w:rsidRPr="00CF1D25">
        <w:rPr>
          <w:b/>
          <w:color w:val="A32020" w:themeColor="text2"/>
        </w:rPr>
        <w:instrText xml:space="preserve"> SEQ Table \* ARABIC </w:instrText>
      </w:r>
      <w:r w:rsidRPr="00D60D84">
        <w:rPr>
          <w:b/>
          <w:color w:val="A32020" w:themeColor="text2"/>
        </w:rPr>
        <w:fldChar w:fldCharType="separate"/>
      </w:r>
      <w:r w:rsidR="009C78D7">
        <w:rPr>
          <w:b/>
          <w:noProof/>
          <w:color w:val="A32020" w:themeColor="text2"/>
        </w:rPr>
        <w:t>8</w:t>
      </w:r>
      <w:r w:rsidRPr="00D60D84">
        <w:rPr>
          <w:b/>
          <w:color w:val="A32020" w:themeColor="text2"/>
        </w:rPr>
        <w:fldChar w:fldCharType="end"/>
      </w:r>
      <w:bookmarkEnd w:id="48"/>
      <w:r w:rsidRPr="00CF1D25">
        <w:rPr>
          <w:b/>
          <w:color w:val="A32020" w:themeColor="text2"/>
        </w:rPr>
        <w:t>: Education providers with more than one scholarship provider in 2015 and 2016</w:t>
      </w:r>
    </w:p>
    <w:tbl>
      <w:tblPr>
        <w:tblStyle w:val="Tables-APBase"/>
        <w:tblW w:w="4925" w:type="pct"/>
        <w:tblLook w:val="04A0" w:firstRow="1" w:lastRow="0" w:firstColumn="1" w:lastColumn="0" w:noHBand="0" w:noVBand="1"/>
        <w:tblCaption w:val="Table 8: Education providers with more than one scholarship provider in 2015 and 2016"/>
        <w:tblDescription w:val="Aquinas College, WA, AIEF Scholarships 2015 – 3, 2016 – 5, MADALAH Scholarships 2015 – 14, 2016 – 14&#10;Brisbane Boys College, QLD, AIEF Scholarships 2015 – 2, 2016 – 2, CYI Scholarships 2015 – 8, 2016 – 2&#10;Clayfield College, QLD, AIEF Scholarships 2015 – 11, 2016 – 8, CYI Scholarships 2015 – 5, 2016 – 6&#10;Marist College Ashgrove, QLD, AIEF Scholarships 2015 – 13, 2016 – 13, CYI Scholarships 2015 – 9, 2016 – 10&#10;Presbyterian Ladies’ College, WA, AIEF Scholarships 2015 – 3, 2016 – 5, PLC Scholarships 2015 – N/A, 2016 – 15&#10;Scotch College, WA, AIEF Scholarships 2015 – 16, 2016 – 18, MADALAH Scholarships 2015 – 8, 2016 – 12, Yalari Scholarships 2015 – 4, 2016 - 1&#10;St Gregory’s College, NSW, AIEF Scholarships 2015 – 31, 2016 – 34, The Smith Family Scholarships 2015 – 2, 2016 – N/A&#10;St Peters Lutheran College, QLD, AIEF Scholarships 2015 – 28, 2016 – 27, CYI Scholarships 2015 – N/A, 2016 – 4&#10;St Scholastic’s College, NSW, AIEF Scholarships 2015 – 7, 2016 – 4, MADALAH Scholarships 2015 – 20, 2016 – 6&#10;Wesley College, WA, AIEF Scholarships 2015 – 13, 2016 – 17, MADALAH Scholarships 2015 – N/A, 2016 – N/A"/>
      </w:tblPr>
      <w:tblGrid>
        <w:gridCol w:w="2312"/>
        <w:gridCol w:w="821"/>
        <w:gridCol w:w="2215"/>
        <w:gridCol w:w="1524"/>
        <w:gridCol w:w="1524"/>
      </w:tblGrid>
      <w:tr w:rsidR="00DF33CB" w:rsidRPr="00CF1D25" w14:paraId="1A8C3DFD" w14:textId="77777777" w:rsidTr="00B54A8B">
        <w:trPr>
          <w:cnfStyle w:val="100000000000" w:firstRow="1" w:lastRow="0" w:firstColumn="0" w:lastColumn="0" w:oddVBand="0" w:evenVBand="0" w:oddHBand="0" w:evenHBand="0" w:firstRowFirstColumn="0" w:firstRowLastColumn="0" w:lastRowFirstColumn="0" w:lastRowLastColumn="0"/>
          <w:trHeight w:val="315"/>
        </w:trPr>
        <w:tc>
          <w:tcPr>
            <w:cnfStyle w:val="000000000100" w:firstRow="0" w:lastRow="0" w:firstColumn="0" w:lastColumn="0" w:oddVBand="0" w:evenVBand="0" w:oddHBand="0" w:evenHBand="0" w:firstRowFirstColumn="1" w:firstRowLastColumn="0" w:lastRowFirstColumn="0" w:lastRowLastColumn="0"/>
            <w:tcW w:w="1520" w:type="pct"/>
            <w:tcBorders>
              <w:left w:val="single" w:sz="4" w:space="0" w:color="FFFFFF"/>
              <w:right w:val="single" w:sz="4" w:space="0" w:color="FFFFFF"/>
            </w:tcBorders>
            <w:shd w:val="clear" w:color="auto" w:fill="A32020"/>
            <w:hideMark/>
          </w:tcPr>
          <w:p w14:paraId="6B4CEC98" w14:textId="77777777" w:rsidR="00DF33CB" w:rsidRPr="00CF1D25" w:rsidRDefault="00DF33CB" w:rsidP="00B54A8B">
            <w:pPr>
              <w:keepNext/>
              <w:keepLines/>
              <w:rPr>
                <w:b/>
                <w:color w:val="FFFFFF"/>
                <w:lang w:eastAsia="en-AU"/>
              </w:rPr>
            </w:pPr>
            <w:r w:rsidRPr="00CF1D25">
              <w:rPr>
                <w:b/>
                <w:color w:val="FFFFFF"/>
                <w:lang w:eastAsia="en-AU"/>
              </w:rPr>
              <w:t>Education Provider</w:t>
            </w:r>
          </w:p>
        </w:tc>
        <w:tc>
          <w:tcPr>
            <w:tcW w:w="632" w:type="pct"/>
            <w:tcBorders>
              <w:left w:val="single" w:sz="4" w:space="0" w:color="FFFFFF"/>
              <w:right w:val="single" w:sz="4" w:space="0" w:color="FFFFFF"/>
            </w:tcBorders>
            <w:shd w:val="clear" w:color="auto" w:fill="A32020"/>
            <w:hideMark/>
          </w:tcPr>
          <w:p w14:paraId="011D7796" w14:textId="77777777" w:rsidR="00DF33CB" w:rsidRPr="00CF1D25" w:rsidRDefault="00DF33CB" w:rsidP="00B54A8B">
            <w:pPr>
              <w:keepNext/>
              <w:keepLines/>
              <w:cnfStyle w:val="100000000000" w:firstRow="1" w:lastRow="0" w:firstColumn="0" w:lastColumn="0" w:oddVBand="0" w:evenVBand="0" w:oddHBand="0" w:evenHBand="0" w:firstRowFirstColumn="0" w:firstRowLastColumn="0" w:lastRowFirstColumn="0" w:lastRowLastColumn="0"/>
              <w:rPr>
                <w:b/>
                <w:color w:val="FFFFFF"/>
                <w:lang w:eastAsia="en-AU"/>
              </w:rPr>
            </w:pPr>
            <w:r w:rsidRPr="00CF1D25">
              <w:rPr>
                <w:b/>
                <w:color w:val="FFFFFF"/>
                <w:lang w:eastAsia="en-AU"/>
              </w:rPr>
              <w:t>State</w:t>
            </w:r>
          </w:p>
        </w:tc>
        <w:tc>
          <w:tcPr>
            <w:tcW w:w="1462" w:type="pct"/>
            <w:tcBorders>
              <w:left w:val="single" w:sz="4" w:space="0" w:color="FFFFFF"/>
              <w:right w:val="single" w:sz="4" w:space="0" w:color="FFFFFF"/>
            </w:tcBorders>
            <w:shd w:val="clear" w:color="auto" w:fill="A32020"/>
            <w:hideMark/>
          </w:tcPr>
          <w:p w14:paraId="62816C6A" w14:textId="77777777" w:rsidR="00DF33CB" w:rsidRPr="00CF1D25" w:rsidRDefault="00DF33CB" w:rsidP="00B54A8B">
            <w:pPr>
              <w:keepNext/>
              <w:keepLines/>
              <w:cnfStyle w:val="100000000000" w:firstRow="1" w:lastRow="0" w:firstColumn="0" w:lastColumn="0" w:oddVBand="0" w:evenVBand="0" w:oddHBand="0" w:evenHBand="0" w:firstRowFirstColumn="0" w:firstRowLastColumn="0" w:lastRowFirstColumn="0" w:lastRowLastColumn="0"/>
              <w:rPr>
                <w:b/>
                <w:color w:val="FFFFFF"/>
                <w:lang w:eastAsia="en-AU"/>
              </w:rPr>
            </w:pPr>
            <w:r w:rsidRPr="00CF1D25">
              <w:rPr>
                <w:b/>
                <w:color w:val="FFFFFF"/>
                <w:lang w:eastAsia="en-AU"/>
              </w:rPr>
              <w:t>Scholarship Providers</w:t>
            </w:r>
          </w:p>
        </w:tc>
        <w:tc>
          <w:tcPr>
            <w:tcW w:w="770" w:type="pct"/>
            <w:tcBorders>
              <w:left w:val="single" w:sz="4" w:space="0" w:color="FFFFFF"/>
              <w:right w:val="single" w:sz="4" w:space="0" w:color="FFFFFF"/>
            </w:tcBorders>
            <w:shd w:val="clear" w:color="auto" w:fill="A32020"/>
            <w:hideMark/>
          </w:tcPr>
          <w:p w14:paraId="1A28FDD2" w14:textId="77777777" w:rsidR="00DF33CB" w:rsidRPr="00CF1D25" w:rsidRDefault="00DF33CB" w:rsidP="00B54A8B">
            <w:pPr>
              <w:keepNext/>
              <w:keepLines/>
              <w:cnfStyle w:val="100000000000" w:firstRow="1" w:lastRow="0" w:firstColumn="0" w:lastColumn="0" w:oddVBand="0" w:evenVBand="0" w:oddHBand="0" w:evenHBand="0" w:firstRowFirstColumn="0" w:firstRowLastColumn="0" w:lastRowFirstColumn="0" w:lastRowLastColumn="0"/>
              <w:rPr>
                <w:b/>
                <w:color w:val="FFFFFF"/>
                <w:lang w:eastAsia="en-AU"/>
              </w:rPr>
            </w:pPr>
            <w:r w:rsidRPr="00CF1D25">
              <w:rPr>
                <w:b/>
                <w:color w:val="FFFFFF"/>
                <w:lang w:eastAsia="en-AU"/>
              </w:rPr>
              <w:t>No. of scholarships 2015</w:t>
            </w:r>
          </w:p>
        </w:tc>
        <w:tc>
          <w:tcPr>
            <w:tcW w:w="616" w:type="pct"/>
            <w:tcBorders>
              <w:left w:val="single" w:sz="4" w:space="0" w:color="FFFFFF"/>
              <w:right w:val="single" w:sz="4" w:space="0" w:color="FFFFFF"/>
            </w:tcBorders>
            <w:shd w:val="clear" w:color="auto" w:fill="A32020"/>
            <w:hideMark/>
          </w:tcPr>
          <w:p w14:paraId="319E2207" w14:textId="77777777" w:rsidR="00DF33CB" w:rsidRPr="00CF1D25" w:rsidRDefault="00DF33CB" w:rsidP="00B54A8B">
            <w:pPr>
              <w:keepNext/>
              <w:keepLines/>
              <w:cnfStyle w:val="100000000000" w:firstRow="1" w:lastRow="0" w:firstColumn="0" w:lastColumn="0" w:oddVBand="0" w:evenVBand="0" w:oddHBand="0" w:evenHBand="0" w:firstRowFirstColumn="0" w:firstRowLastColumn="0" w:lastRowFirstColumn="0" w:lastRowLastColumn="0"/>
              <w:rPr>
                <w:b/>
                <w:color w:val="FFFFFF"/>
                <w:lang w:eastAsia="en-AU"/>
              </w:rPr>
            </w:pPr>
            <w:r w:rsidRPr="00CF1D25">
              <w:rPr>
                <w:b/>
                <w:color w:val="FFFFFF"/>
                <w:lang w:eastAsia="en-AU"/>
              </w:rPr>
              <w:t>No. of scholarships 2016</w:t>
            </w:r>
          </w:p>
        </w:tc>
      </w:tr>
      <w:tr w:rsidR="00DF33CB" w:rsidRPr="00CF1D25" w14:paraId="4F106550" w14:textId="77777777" w:rsidTr="00B54A8B">
        <w:trPr>
          <w:trHeight w:val="387"/>
        </w:trPr>
        <w:tc>
          <w:tcPr>
            <w:tcW w:w="1520" w:type="pct"/>
            <w:tcBorders>
              <w:top w:val="dotted" w:sz="8" w:space="0" w:color="A32020"/>
              <w:left w:val="single" w:sz="4" w:space="0" w:color="FFFFFF"/>
              <w:bottom w:val="dotted" w:sz="8" w:space="0" w:color="A32020"/>
              <w:right w:val="single" w:sz="4" w:space="0" w:color="FFFFFF"/>
            </w:tcBorders>
            <w:hideMark/>
          </w:tcPr>
          <w:p w14:paraId="1132C56A" w14:textId="77777777" w:rsidR="00DF33CB" w:rsidRPr="00CF1D25" w:rsidRDefault="00DF33CB" w:rsidP="00B54A8B">
            <w:pPr>
              <w:keepNext/>
              <w:keepLines/>
              <w:rPr>
                <w:lang w:eastAsia="en-AU"/>
              </w:rPr>
            </w:pPr>
            <w:r w:rsidRPr="00CF1D25">
              <w:rPr>
                <w:lang w:eastAsia="en-AU"/>
              </w:rPr>
              <w:t>Aquinas College</w:t>
            </w:r>
          </w:p>
        </w:tc>
        <w:tc>
          <w:tcPr>
            <w:tcW w:w="632" w:type="pct"/>
            <w:tcBorders>
              <w:top w:val="dotted" w:sz="8" w:space="0" w:color="A32020"/>
              <w:left w:val="single" w:sz="4" w:space="0" w:color="FFFFFF"/>
              <w:bottom w:val="dotted" w:sz="8" w:space="0" w:color="A32020"/>
              <w:right w:val="single" w:sz="4" w:space="0" w:color="FFFFFF"/>
            </w:tcBorders>
            <w:hideMark/>
          </w:tcPr>
          <w:p w14:paraId="63CC3751" w14:textId="77777777" w:rsidR="00DF33CB" w:rsidRPr="00CF1D25" w:rsidRDefault="00DF33CB" w:rsidP="00B54A8B">
            <w:pPr>
              <w:keepNext/>
              <w:keepLines/>
              <w:rPr>
                <w:lang w:eastAsia="en-AU"/>
              </w:rPr>
            </w:pPr>
            <w:r w:rsidRPr="00CF1D25">
              <w:rPr>
                <w:lang w:eastAsia="en-AU"/>
              </w:rPr>
              <w:t>WA</w:t>
            </w:r>
          </w:p>
        </w:tc>
        <w:tc>
          <w:tcPr>
            <w:tcW w:w="1462" w:type="pct"/>
            <w:tcBorders>
              <w:top w:val="dotted" w:sz="8" w:space="0" w:color="A32020"/>
              <w:left w:val="single" w:sz="4" w:space="0" w:color="FFFFFF"/>
              <w:bottom w:val="dotted" w:sz="8" w:space="0" w:color="A32020"/>
              <w:right w:val="single" w:sz="4" w:space="0" w:color="FFFFFF"/>
            </w:tcBorders>
            <w:shd w:val="clear" w:color="auto" w:fill="FFFFFF"/>
            <w:hideMark/>
          </w:tcPr>
          <w:p w14:paraId="2C730707" w14:textId="77777777" w:rsidR="00DF33CB" w:rsidRPr="00CF1D25" w:rsidRDefault="00DF33CB" w:rsidP="00B54A8B">
            <w:pPr>
              <w:keepNext/>
              <w:keepLines/>
              <w:rPr>
                <w:lang w:eastAsia="en-AU"/>
              </w:rPr>
            </w:pPr>
            <w:r w:rsidRPr="00CF1D25">
              <w:rPr>
                <w:lang w:eastAsia="en-AU"/>
              </w:rPr>
              <w:t>AIEF</w:t>
            </w:r>
          </w:p>
          <w:p w14:paraId="53E160E6" w14:textId="77777777" w:rsidR="00DF33CB" w:rsidRPr="00CF1D25" w:rsidRDefault="00DF33CB" w:rsidP="00B54A8B">
            <w:pPr>
              <w:keepNext/>
              <w:keepLines/>
              <w:rPr>
                <w:lang w:eastAsia="en-AU"/>
              </w:rPr>
            </w:pPr>
            <w:r w:rsidRPr="00CF1D25">
              <w:rPr>
                <w:lang w:eastAsia="en-AU"/>
              </w:rPr>
              <w:t xml:space="preserve">MADALAH </w:t>
            </w:r>
          </w:p>
        </w:tc>
        <w:tc>
          <w:tcPr>
            <w:tcW w:w="770" w:type="pct"/>
            <w:tcBorders>
              <w:top w:val="dotted" w:sz="8" w:space="0" w:color="A32020"/>
              <w:left w:val="single" w:sz="4" w:space="0" w:color="FFFFFF"/>
              <w:bottom w:val="dotted" w:sz="8" w:space="0" w:color="A32020"/>
              <w:right w:val="single" w:sz="4" w:space="0" w:color="FFFFFF"/>
            </w:tcBorders>
            <w:hideMark/>
          </w:tcPr>
          <w:p w14:paraId="084F2ABB" w14:textId="77777777" w:rsidR="00DF33CB" w:rsidRPr="00CF1D25" w:rsidRDefault="00DF33CB" w:rsidP="00B54A8B">
            <w:pPr>
              <w:keepNext/>
              <w:keepLines/>
              <w:jc w:val="center"/>
              <w:rPr>
                <w:lang w:eastAsia="en-AU"/>
              </w:rPr>
            </w:pPr>
            <w:r w:rsidRPr="00CF1D25">
              <w:rPr>
                <w:lang w:eastAsia="en-AU"/>
              </w:rPr>
              <w:t>3</w:t>
            </w:r>
          </w:p>
          <w:p w14:paraId="6026ECDF" w14:textId="77777777" w:rsidR="00DF33CB" w:rsidRPr="00CF1D25" w:rsidRDefault="00DF33CB" w:rsidP="00B54A8B">
            <w:pPr>
              <w:keepNext/>
              <w:keepLines/>
              <w:jc w:val="center"/>
              <w:rPr>
                <w:lang w:eastAsia="en-AU"/>
              </w:rPr>
            </w:pPr>
            <w:r w:rsidRPr="00CF1D25">
              <w:rPr>
                <w:lang w:eastAsia="en-AU"/>
              </w:rPr>
              <w:t>14</w:t>
            </w:r>
          </w:p>
        </w:tc>
        <w:tc>
          <w:tcPr>
            <w:tcW w:w="616" w:type="pct"/>
            <w:tcBorders>
              <w:top w:val="dotted" w:sz="8" w:space="0" w:color="A32020"/>
              <w:left w:val="single" w:sz="4" w:space="0" w:color="FFFFFF"/>
              <w:bottom w:val="dotted" w:sz="8" w:space="0" w:color="A32020"/>
              <w:right w:val="single" w:sz="4" w:space="0" w:color="FFFFFF"/>
            </w:tcBorders>
            <w:hideMark/>
          </w:tcPr>
          <w:p w14:paraId="505A15E8" w14:textId="77777777" w:rsidR="00DF33CB" w:rsidRPr="00CF1D25" w:rsidRDefault="00DF33CB" w:rsidP="00B54A8B">
            <w:pPr>
              <w:keepNext/>
              <w:keepLines/>
              <w:jc w:val="center"/>
              <w:rPr>
                <w:lang w:eastAsia="en-AU"/>
              </w:rPr>
            </w:pPr>
            <w:r w:rsidRPr="00CF1D25">
              <w:rPr>
                <w:lang w:eastAsia="en-AU"/>
              </w:rPr>
              <w:t>5</w:t>
            </w:r>
          </w:p>
          <w:p w14:paraId="2B073887" w14:textId="77777777" w:rsidR="00DF33CB" w:rsidRPr="00CF1D25" w:rsidRDefault="00DF33CB" w:rsidP="00B54A8B">
            <w:pPr>
              <w:keepNext/>
              <w:keepLines/>
              <w:jc w:val="center"/>
              <w:rPr>
                <w:lang w:eastAsia="en-AU"/>
              </w:rPr>
            </w:pPr>
            <w:r w:rsidRPr="00CF1D25">
              <w:rPr>
                <w:lang w:eastAsia="en-AU"/>
              </w:rPr>
              <w:t>14</w:t>
            </w:r>
          </w:p>
        </w:tc>
      </w:tr>
      <w:tr w:rsidR="00DF33CB" w:rsidRPr="00CF1D25" w14:paraId="0D48032A" w14:textId="77777777" w:rsidTr="00B54A8B">
        <w:trPr>
          <w:trHeight w:val="387"/>
        </w:trPr>
        <w:tc>
          <w:tcPr>
            <w:tcW w:w="1520" w:type="pct"/>
            <w:tcBorders>
              <w:top w:val="dotted" w:sz="8" w:space="0" w:color="A32020"/>
              <w:left w:val="single" w:sz="4" w:space="0" w:color="FFFFFF"/>
              <w:bottom w:val="dotted" w:sz="8" w:space="0" w:color="A32020"/>
              <w:right w:val="single" w:sz="4" w:space="0" w:color="FFFFFF"/>
            </w:tcBorders>
            <w:hideMark/>
          </w:tcPr>
          <w:p w14:paraId="430B98D6" w14:textId="77777777" w:rsidR="00DF33CB" w:rsidRPr="00CF1D25" w:rsidRDefault="00DF33CB" w:rsidP="00B54A8B">
            <w:pPr>
              <w:rPr>
                <w:lang w:eastAsia="en-AU"/>
              </w:rPr>
            </w:pPr>
            <w:r w:rsidRPr="00CF1D25">
              <w:rPr>
                <w:lang w:eastAsia="en-AU"/>
              </w:rPr>
              <w:t>Brisbane Boys College</w:t>
            </w:r>
          </w:p>
        </w:tc>
        <w:tc>
          <w:tcPr>
            <w:tcW w:w="632" w:type="pct"/>
            <w:tcBorders>
              <w:top w:val="dotted" w:sz="8" w:space="0" w:color="A32020"/>
              <w:left w:val="single" w:sz="4" w:space="0" w:color="FFFFFF"/>
              <w:bottom w:val="dotted" w:sz="8" w:space="0" w:color="A32020"/>
              <w:right w:val="single" w:sz="4" w:space="0" w:color="FFFFFF"/>
            </w:tcBorders>
            <w:hideMark/>
          </w:tcPr>
          <w:p w14:paraId="2EF31D5D" w14:textId="77777777" w:rsidR="00DF33CB" w:rsidRPr="00CF1D25" w:rsidRDefault="00DF33CB" w:rsidP="00B54A8B">
            <w:pPr>
              <w:rPr>
                <w:lang w:eastAsia="en-AU"/>
              </w:rPr>
            </w:pPr>
            <w:r w:rsidRPr="00CF1D25">
              <w:rPr>
                <w:lang w:eastAsia="en-AU"/>
              </w:rPr>
              <w:t>QLD</w:t>
            </w:r>
          </w:p>
        </w:tc>
        <w:tc>
          <w:tcPr>
            <w:tcW w:w="1462" w:type="pct"/>
            <w:tcBorders>
              <w:top w:val="dotted" w:sz="8" w:space="0" w:color="A32020"/>
              <w:left w:val="single" w:sz="4" w:space="0" w:color="FFFFFF"/>
              <w:bottom w:val="dotted" w:sz="8" w:space="0" w:color="A32020"/>
              <w:right w:val="single" w:sz="4" w:space="0" w:color="FFFFFF"/>
            </w:tcBorders>
            <w:shd w:val="clear" w:color="auto" w:fill="FFFFFF"/>
            <w:hideMark/>
          </w:tcPr>
          <w:p w14:paraId="3FBA4789" w14:textId="77777777" w:rsidR="00DF33CB" w:rsidRPr="00CF1D25" w:rsidRDefault="00DF33CB" w:rsidP="00B54A8B">
            <w:pPr>
              <w:rPr>
                <w:lang w:eastAsia="en-AU"/>
              </w:rPr>
            </w:pPr>
            <w:r w:rsidRPr="00CF1D25">
              <w:rPr>
                <w:lang w:eastAsia="en-AU"/>
              </w:rPr>
              <w:t>AIEF</w:t>
            </w:r>
          </w:p>
          <w:p w14:paraId="685728EF" w14:textId="77777777" w:rsidR="00DF33CB" w:rsidRPr="00CF1D25" w:rsidRDefault="00DF33CB" w:rsidP="00B54A8B">
            <w:pPr>
              <w:rPr>
                <w:lang w:eastAsia="en-AU"/>
              </w:rPr>
            </w:pPr>
            <w:r w:rsidRPr="00CF1D25">
              <w:rPr>
                <w:lang w:eastAsia="en-AU"/>
              </w:rPr>
              <w:t>Cape York Institute</w:t>
            </w:r>
          </w:p>
        </w:tc>
        <w:tc>
          <w:tcPr>
            <w:tcW w:w="770" w:type="pct"/>
            <w:tcBorders>
              <w:top w:val="dotted" w:sz="8" w:space="0" w:color="A32020"/>
              <w:left w:val="single" w:sz="4" w:space="0" w:color="FFFFFF"/>
              <w:bottom w:val="dotted" w:sz="8" w:space="0" w:color="A32020"/>
              <w:right w:val="single" w:sz="4" w:space="0" w:color="FFFFFF"/>
            </w:tcBorders>
            <w:hideMark/>
          </w:tcPr>
          <w:p w14:paraId="72CA54AE" w14:textId="77777777" w:rsidR="00DF33CB" w:rsidRPr="00CF1D25" w:rsidRDefault="00DF33CB" w:rsidP="00B54A8B">
            <w:pPr>
              <w:jc w:val="center"/>
              <w:rPr>
                <w:lang w:eastAsia="en-AU"/>
              </w:rPr>
            </w:pPr>
            <w:r w:rsidRPr="00CF1D25">
              <w:rPr>
                <w:lang w:eastAsia="en-AU"/>
              </w:rPr>
              <w:t>2</w:t>
            </w:r>
          </w:p>
          <w:p w14:paraId="571F7AB7" w14:textId="77777777" w:rsidR="00DF33CB" w:rsidRPr="00CF1D25" w:rsidRDefault="00DF33CB" w:rsidP="00B54A8B">
            <w:pPr>
              <w:jc w:val="center"/>
              <w:rPr>
                <w:lang w:eastAsia="en-AU"/>
              </w:rPr>
            </w:pPr>
            <w:r w:rsidRPr="00CF1D25">
              <w:rPr>
                <w:lang w:eastAsia="en-AU"/>
              </w:rPr>
              <w:t>8</w:t>
            </w:r>
          </w:p>
        </w:tc>
        <w:tc>
          <w:tcPr>
            <w:tcW w:w="616" w:type="pct"/>
            <w:tcBorders>
              <w:top w:val="dotted" w:sz="8" w:space="0" w:color="A32020"/>
              <w:left w:val="single" w:sz="4" w:space="0" w:color="FFFFFF"/>
              <w:bottom w:val="dotted" w:sz="8" w:space="0" w:color="A32020"/>
              <w:right w:val="single" w:sz="4" w:space="0" w:color="FFFFFF"/>
            </w:tcBorders>
            <w:hideMark/>
          </w:tcPr>
          <w:p w14:paraId="6DB3A0B6" w14:textId="77777777" w:rsidR="00DF33CB" w:rsidRPr="00CF1D25" w:rsidRDefault="00DF33CB" w:rsidP="00B54A8B">
            <w:pPr>
              <w:jc w:val="center"/>
              <w:rPr>
                <w:lang w:eastAsia="en-AU"/>
              </w:rPr>
            </w:pPr>
            <w:r w:rsidRPr="00CF1D25">
              <w:rPr>
                <w:lang w:eastAsia="en-AU"/>
              </w:rPr>
              <w:t>2</w:t>
            </w:r>
          </w:p>
          <w:p w14:paraId="1F2944FB" w14:textId="77777777" w:rsidR="00DF33CB" w:rsidRPr="00CF1D25" w:rsidRDefault="00DF33CB" w:rsidP="00B54A8B">
            <w:pPr>
              <w:jc w:val="center"/>
              <w:rPr>
                <w:lang w:eastAsia="en-AU"/>
              </w:rPr>
            </w:pPr>
            <w:r w:rsidRPr="00CF1D25">
              <w:rPr>
                <w:lang w:eastAsia="en-AU"/>
              </w:rPr>
              <w:t>2</w:t>
            </w:r>
          </w:p>
        </w:tc>
      </w:tr>
      <w:tr w:rsidR="00DF33CB" w:rsidRPr="00CF1D25" w14:paraId="612D4372" w14:textId="77777777" w:rsidTr="00B54A8B">
        <w:trPr>
          <w:trHeight w:val="387"/>
        </w:trPr>
        <w:tc>
          <w:tcPr>
            <w:tcW w:w="1520" w:type="pct"/>
            <w:tcBorders>
              <w:top w:val="dotted" w:sz="8" w:space="0" w:color="A32020"/>
              <w:left w:val="single" w:sz="4" w:space="0" w:color="FFFFFF"/>
              <w:bottom w:val="dotted" w:sz="8" w:space="0" w:color="A32020"/>
              <w:right w:val="single" w:sz="4" w:space="0" w:color="FFFFFF"/>
            </w:tcBorders>
            <w:hideMark/>
          </w:tcPr>
          <w:p w14:paraId="1EAE1BA8" w14:textId="77777777" w:rsidR="00DF33CB" w:rsidRPr="00CF1D25" w:rsidRDefault="00DF33CB" w:rsidP="00B54A8B">
            <w:pPr>
              <w:rPr>
                <w:lang w:eastAsia="en-AU"/>
              </w:rPr>
            </w:pPr>
            <w:r w:rsidRPr="00CF1D25">
              <w:rPr>
                <w:lang w:eastAsia="en-AU"/>
              </w:rPr>
              <w:t>Clayfield College</w:t>
            </w:r>
          </w:p>
        </w:tc>
        <w:tc>
          <w:tcPr>
            <w:tcW w:w="632" w:type="pct"/>
            <w:tcBorders>
              <w:top w:val="dotted" w:sz="8" w:space="0" w:color="A32020"/>
              <w:left w:val="single" w:sz="4" w:space="0" w:color="FFFFFF"/>
              <w:bottom w:val="dotted" w:sz="8" w:space="0" w:color="A32020"/>
              <w:right w:val="single" w:sz="4" w:space="0" w:color="FFFFFF"/>
            </w:tcBorders>
            <w:hideMark/>
          </w:tcPr>
          <w:p w14:paraId="1867B4C1" w14:textId="77777777" w:rsidR="00DF33CB" w:rsidRPr="00CF1D25" w:rsidRDefault="00DF33CB" w:rsidP="00B54A8B">
            <w:pPr>
              <w:rPr>
                <w:lang w:eastAsia="en-AU"/>
              </w:rPr>
            </w:pPr>
            <w:r w:rsidRPr="00CF1D25">
              <w:rPr>
                <w:lang w:eastAsia="en-AU"/>
              </w:rPr>
              <w:t>QLD</w:t>
            </w:r>
          </w:p>
        </w:tc>
        <w:tc>
          <w:tcPr>
            <w:tcW w:w="1462" w:type="pct"/>
            <w:tcBorders>
              <w:top w:val="dotted" w:sz="8" w:space="0" w:color="A32020"/>
              <w:left w:val="single" w:sz="4" w:space="0" w:color="FFFFFF"/>
              <w:bottom w:val="dotted" w:sz="8" w:space="0" w:color="A32020"/>
              <w:right w:val="single" w:sz="4" w:space="0" w:color="FFFFFF"/>
            </w:tcBorders>
            <w:shd w:val="clear" w:color="auto" w:fill="FFFFFF"/>
            <w:hideMark/>
          </w:tcPr>
          <w:p w14:paraId="5D8E16D8" w14:textId="77777777" w:rsidR="00DF33CB" w:rsidRPr="00CF1D25" w:rsidRDefault="00DF33CB" w:rsidP="00B54A8B">
            <w:pPr>
              <w:rPr>
                <w:lang w:eastAsia="en-AU"/>
              </w:rPr>
            </w:pPr>
            <w:r w:rsidRPr="00CF1D25">
              <w:rPr>
                <w:lang w:eastAsia="en-AU"/>
              </w:rPr>
              <w:t>AIEF</w:t>
            </w:r>
          </w:p>
          <w:p w14:paraId="2F0F484B" w14:textId="77777777" w:rsidR="00DF33CB" w:rsidRPr="00CF1D25" w:rsidRDefault="00DF33CB" w:rsidP="00B54A8B">
            <w:pPr>
              <w:rPr>
                <w:lang w:eastAsia="en-AU"/>
              </w:rPr>
            </w:pPr>
            <w:r w:rsidRPr="00CF1D25">
              <w:rPr>
                <w:lang w:eastAsia="en-AU"/>
              </w:rPr>
              <w:t>Cape York Institute</w:t>
            </w:r>
          </w:p>
        </w:tc>
        <w:tc>
          <w:tcPr>
            <w:tcW w:w="770" w:type="pct"/>
            <w:tcBorders>
              <w:top w:val="dotted" w:sz="8" w:space="0" w:color="A32020"/>
              <w:left w:val="single" w:sz="4" w:space="0" w:color="FFFFFF"/>
              <w:bottom w:val="dotted" w:sz="8" w:space="0" w:color="A32020"/>
              <w:right w:val="single" w:sz="4" w:space="0" w:color="FFFFFF"/>
            </w:tcBorders>
            <w:hideMark/>
          </w:tcPr>
          <w:p w14:paraId="78552754" w14:textId="77777777" w:rsidR="00DF33CB" w:rsidRPr="00CF1D25" w:rsidRDefault="00DF33CB" w:rsidP="00B54A8B">
            <w:pPr>
              <w:jc w:val="center"/>
              <w:rPr>
                <w:lang w:eastAsia="en-AU"/>
              </w:rPr>
            </w:pPr>
            <w:r w:rsidRPr="00CF1D25">
              <w:rPr>
                <w:lang w:eastAsia="en-AU"/>
              </w:rPr>
              <w:t>11</w:t>
            </w:r>
          </w:p>
          <w:p w14:paraId="75D2C9A8" w14:textId="77777777" w:rsidR="00DF33CB" w:rsidRPr="00CF1D25" w:rsidRDefault="00DF33CB" w:rsidP="00B54A8B">
            <w:pPr>
              <w:jc w:val="center"/>
              <w:rPr>
                <w:lang w:eastAsia="en-AU"/>
              </w:rPr>
            </w:pPr>
            <w:r w:rsidRPr="00CF1D25">
              <w:rPr>
                <w:lang w:eastAsia="en-AU"/>
              </w:rPr>
              <w:t>5</w:t>
            </w:r>
          </w:p>
        </w:tc>
        <w:tc>
          <w:tcPr>
            <w:tcW w:w="616" w:type="pct"/>
            <w:tcBorders>
              <w:top w:val="dotted" w:sz="8" w:space="0" w:color="A32020"/>
              <w:left w:val="single" w:sz="4" w:space="0" w:color="FFFFFF"/>
              <w:bottom w:val="dotted" w:sz="8" w:space="0" w:color="A32020"/>
              <w:right w:val="single" w:sz="4" w:space="0" w:color="FFFFFF"/>
            </w:tcBorders>
            <w:hideMark/>
          </w:tcPr>
          <w:p w14:paraId="328F33E2" w14:textId="77777777" w:rsidR="00DF33CB" w:rsidRPr="00CF1D25" w:rsidRDefault="00DF33CB" w:rsidP="00B54A8B">
            <w:pPr>
              <w:jc w:val="center"/>
              <w:rPr>
                <w:lang w:eastAsia="en-AU"/>
              </w:rPr>
            </w:pPr>
            <w:r w:rsidRPr="00CF1D25">
              <w:rPr>
                <w:lang w:eastAsia="en-AU"/>
              </w:rPr>
              <w:t>8</w:t>
            </w:r>
          </w:p>
          <w:p w14:paraId="3AC636B3" w14:textId="77777777" w:rsidR="00DF33CB" w:rsidRPr="00CF1D25" w:rsidRDefault="00DF33CB" w:rsidP="00B54A8B">
            <w:pPr>
              <w:jc w:val="center"/>
              <w:rPr>
                <w:lang w:eastAsia="en-AU"/>
              </w:rPr>
            </w:pPr>
            <w:r w:rsidRPr="00CF1D25">
              <w:rPr>
                <w:lang w:eastAsia="en-AU"/>
              </w:rPr>
              <w:t>6</w:t>
            </w:r>
          </w:p>
        </w:tc>
      </w:tr>
      <w:tr w:rsidR="00DF33CB" w:rsidRPr="00CF1D25" w14:paraId="73B9A001" w14:textId="77777777" w:rsidTr="00B54A8B">
        <w:trPr>
          <w:trHeight w:val="387"/>
        </w:trPr>
        <w:tc>
          <w:tcPr>
            <w:tcW w:w="1520" w:type="pct"/>
            <w:tcBorders>
              <w:top w:val="dotted" w:sz="8" w:space="0" w:color="A32020"/>
              <w:left w:val="single" w:sz="4" w:space="0" w:color="FFFFFF"/>
              <w:bottom w:val="dotted" w:sz="8" w:space="0" w:color="A32020"/>
              <w:right w:val="single" w:sz="4" w:space="0" w:color="FFFFFF"/>
            </w:tcBorders>
            <w:hideMark/>
          </w:tcPr>
          <w:p w14:paraId="20816520" w14:textId="77777777" w:rsidR="00DF33CB" w:rsidRPr="00CF1D25" w:rsidRDefault="00DF33CB" w:rsidP="00B54A8B">
            <w:pPr>
              <w:rPr>
                <w:lang w:eastAsia="en-AU"/>
              </w:rPr>
            </w:pPr>
            <w:r w:rsidRPr="00CF1D25">
              <w:rPr>
                <w:lang w:eastAsia="en-AU"/>
              </w:rPr>
              <w:t>Marist College Ashgrove</w:t>
            </w:r>
          </w:p>
        </w:tc>
        <w:tc>
          <w:tcPr>
            <w:tcW w:w="632" w:type="pct"/>
            <w:tcBorders>
              <w:top w:val="dotted" w:sz="8" w:space="0" w:color="A32020"/>
              <w:left w:val="single" w:sz="4" w:space="0" w:color="FFFFFF"/>
              <w:bottom w:val="dotted" w:sz="8" w:space="0" w:color="A32020"/>
              <w:right w:val="single" w:sz="4" w:space="0" w:color="FFFFFF"/>
            </w:tcBorders>
            <w:hideMark/>
          </w:tcPr>
          <w:p w14:paraId="1F114801" w14:textId="77777777" w:rsidR="00DF33CB" w:rsidRPr="00CF1D25" w:rsidRDefault="00DF33CB" w:rsidP="00B54A8B">
            <w:pPr>
              <w:rPr>
                <w:lang w:eastAsia="en-AU"/>
              </w:rPr>
            </w:pPr>
            <w:r w:rsidRPr="00CF1D25">
              <w:rPr>
                <w:lang w:eastAsia="en-AU"/>
              </w:rPr>
              <w:t>QLD</w:t>
            </w:r>
          </w:p>
        </w:tc>
        <w:tc>
          <w:tcPr>
            <w:tcW w:w="1462" w:type="pct"/>
            <w:tcBorders>
              <w:top w:val="dotted" w:sz="8" w:space="0" w:color="A32020"/>
              <w:left w:val="single" w:sz="4" w:space="0" w:color="FFFFFF"/>
              <w:bottom w:val="dotted" w:sz="8" w:space="0" w:color="A32020"/>
              <w:right w:val="single" w:sz="4" w:space="0" w:color="FFFFFF"/>
            </w:tcBorders>
            <w:shd w:val="clear" w:color="auto" w:fill="FFFFFF"/>
            <w:hideMark/>
          </w:tcPr>
          <w:p w14:paraId="75041DDC" w14:textId="77777777" w:rsidR="00DF33CB" w:rsidRPr="00CF1D25" w:rsidRDefault="00DF33CB" w:rsidP="00B54A8B">
            <w:pPr>
              <w:rPr>
                <w:lang w:eastAsia="en-AU"/>
              </w:rPr>
            </w:pPr>
            <w:r w:rsidRPr="00CF1D25">
              <w:rPr>
                <w:lang w:eastAsia="en-AU"/>
              </w:rPr>
              <w:t>AIEF</w:t>
            </w:r>
          </w:p>
          <w:p w14:paraId="39FA7669" w14:textId="77777777" w:rsidR="00DF33CB" w:rsidRPr="00CF1D25" w:rsidRDefault="00DF33CB" w:rsidP="00B54A8B">
            <w:pPr>
              <w:rPr>
                <w:lang w:eastAsia="en-AU"/>
              </w:rPr>
            </w:pPr>
            <w:r w:rsidRPr="00CF1D25">
              <w:rPr>
                <w:lang w:eastAsia="en-AU"/>
              </w:rPr>
              <w:t>Cape York Institute</w:t>
            </w:r>
          </w:p>
        </w:tc>
        <w:tc>
          <w:tcPr>
            <w:tcW w:w="770" w:type="pct"/>
            <w:tcBorders>
              <w:top w:val="dotted" w:sz="8" w:space="0" w:color="A32020"/>
              <w:left w:val="single" w:sz="4" w:space="0" w:color="FFFFFF"/>
              <w:bottom w:val="dotted" w:sz="8" w:space="0" w:color="A32020"/>
              <w:right w:val="single" w:sz="4" w:space="0" w:color="FFFFFF"/>
            </w:tcBorders>
            <w:hideMark/>
          </w:tcPr>
          <w:p w14:paraId="589D6CCA" w14:textId="77777777" w:rsidR="00DF33CB" w:rsidRPr="00CF1D25" w:rsidRDefault="00DF33CB" w:rsidP="00B54A8B">
            <w:pPr>
              <w:jc w:val="center"/>
              <w:rPr>
                <w:lang w:eastAsia="en-AU"/>
              </w:rPr>
            </w:pPr>
            <w:r w:rsidRPr="00CF1D25">
              <w:rPr>
                <w:lang w:eastAsia="en-AU"/>
              </w:rPr>
              <w:t>13</w:t>
            </w:r>
          </w:p>
          <w:p w14:paraId="2A6368A3" w14:textId="77777777" w:rsidR="00DF33CB" w:rsidRPr="00CF1D25" w:rsidRDefault="00DF33CB" w:rsidP="00B54A8B">
            <w:pPr>
              <w:jc w:val="center"/>
              <w:rPr>
                <w:lang w:eastAsia="en-AU"/>
              </w:rPr>
            </w:pPr>
            <w:r w:rsidRPr="00CF1D25">
              <w:rPr>
                <w:lang w:eastAsia="en-AU"/>
              </w:rPr>
              <w:t>9</w:t>
            </w:r>
          </w:p>
        </w:tc>
        <w:tc>
          <w:tcPr>
            <w:tcW w:w="616" w:type="pct"/>
            <w:tcBorders>
              <w:top w:val="dotted" w:sz="8" w:space="0" w:color="A32020"/>
              <w:left w:val="single" w:sz="4" w:space="0" w:color="FFFFFF"/>
              <w:bottom w:val="dotted" w:sz="8" w:space="0" w:color="A32020"/>
              <w:right w:val="single" w:sz="4" w:space="0" w:color="FFFFFF"/>
            </w:tcBorders>
            <w:hideMark/>
          </w:tcPr>
          <w:p w14:paraId="42B1F43B" w14:textId="77777777" w:rsidR="00DF33CB" w:rsidRPr="00CF1D25" w:rsidRDefault="00DF33CB" w:rsidP="00B54A8B">
            <w:pPr>
              <w:jc w:val="center"/>
              <w:rPr>
                <w:lang w:eastAsia="en-AU"/>
              </w:rPr>
            </w:pPr>
            <w:r w:rsidRPr="00CF1D25">
              <w:rPr>
                <w:lang w:eastAsia="en-AU"/>
              </w:rPr>
              <w:t>13</w:t>
            </w:r>
          </w:p>
          <w:p w14:paraId="3FF34C0F" w14:textId="77777777" w:rsidR="00DF33CB" w:rsidRPr="00CF1D25" w:rsidRDefault="00DF33CB" w:rsidP="00B54A8B">
            <w:pPr>
              <w:jc w:val="center"/>
              <w:rPr>
                <w:lang w:eastAsia="en-AU"/>
              </w:rPr>
            </w:pPr>
            <w:r w:rsidRPr="00CF1D25">
              <w:rPr>
                <w:lang w:eastAsia="en-AU"/>
              </w:rPr>
              <w:t>10</w:t>
            </w:r>
          </w:p>
        </w:tc>
      </w:tr>
      <w:tr w:rsidR="00DF33CB" w:rsidRPr="00CF1D25" w14:paraId="52A0C9B0" w14:textId="77777777" w:rsidTr="00B54A8B">
        <w:trPr>
          <w:trHeight w:val="387"/>
        </w:trPr>
        <w:tc>
          <w:tcPr>
            <w:tcW w:w="1520" w:type="pct"/>
            <w:tcBorders>
              <w:top w:val="dotted" w:sz="8" w:space="0" w:color="A32020"/>
              <w:left w:val="single" w:sz="4" w:space="0" w:color="FFFFFF"/>
              <w:bottom w:val="dotted" w:sz="8" w:space="0" w:color="A32020"/>
              <w:right w:val="single" w:sz="4" w:space="0" w:color="FFFFFF"/>
            </w:tcBorders>
            <w:hideMark/>
          </w:tcPr>
          <w:p w14:paraId="333C4E49" w14:textId="77777777" w:rsidR="00DF33CB" w:rsidRPr="00CF1D25" w:rsidRDefault="00DF33CB" w:rsidP="00B54A8B">
            <w:pPr>
              <w:rPr>
                <w:lang w:eastAsia="en-AU"/>
              </w:rPr>
            </w:pPr>
            <w:r w:rsidRPr="00CF1D25">
              <w:rPr>
                <w:lang w:eastAsia="en-AU"/>
              </w:rPr>
              <w:t>Presbyterian Ladies’ College</w:t>
            </w:r>
          </w:p>
        </w:tc>
        <w:tc>
          <w:tcPr>
            <w:tcW w:w="632" w:type="pct"/>
            <w:tcBorders>
              <w:top w:val="dotted" w:sz="8" w:space="0" w:color="A32020"/>
              <w:left w:val="single" w:sz="4" w:space="0" w:color="FFFFFF"/>
              <w:bottom w:val="dotted" w:sz="8" w:space="0" w:color="A32020"/>
              <w:right w:val="single" w:sz="4" w:space="0" w:color="FFFFFF"/>
            </w:tcBorders>
            <w:hideMark/>
          </w:tcPr>
          <w:p w14:paraId="2B940D2E" w14:textId="77777777" w:rsidR="00DF33CB" w:rsidRPr="00CF1D25" w:rsidRDefault="00DF33CB" w:rsidP="00B54A8B">
            <w:pPr>
              <w:rPr>
                <w:lang w:eastAsia="en-AU"/>
              </w:rPr>
            </w:pPr>
            <w:r w:rsidRPr="00CF1D25">
              <w:rPr>
                <w:lang w:eastAsia="en-AU"/>
              </w:rPr>
              <w:t>WA</w:t>
            </w:r>
          </w:p>
        </w:tc>
        <w:tc>
          <w:tcPr>
            <w:tcW w:w="1462" w:type="pct"/>
            <w:tcBorders>
              <w:top w:val="dotted" w:sz="8" w:space="0" w:color="A32020"/>
              <w:left w:val="single" w:sz="4" w:space="0" w:color="FFFFFF"/>
              <w:bottom w:val="dotted" w:sz="8" w:space="0" w:color="A32020"/>
              <w:right w:val="single" w:sz="4" w:space="0" w:color="FFFFFF"/>
            </w:tcBorders>
            <w:shd w:val="clear" w:color="auto" w:fill="FFFFFF"/>
            <w:hideMark/>
          </w:tcPr>
          <w:p w14:paraId="69CA5C33" w14:textId="77777777" w:rsidR="00DF33CB" w:rsidRPr="00CF1D25" w:rsidRDefault="00DF33CB" w:rsidP="00B54A8B">
            <w:pPr>
              <w:rPr>
                <w:lang w:eastAsia="en-AU"/>
              </w:rPr>
            </w:pPr>
            <w:r w:rsidRPr="00CF1D25">
              <w:rPr>
                <w:lang w:eastAsia="en-AU"/>
              </w:rPr>
              <w:t>AIEF</w:t>
            </w:r>
          </w:p>
          <w:p w14:paraId="133FFD1A" w14:textId="77777777" w:rsidR="00DF33CB" w:rsidRPr="00CF1D25" w:rsidRDefault="00DF33CB" w:rsidP="00B54A8B">
            <w:pPr>
              <w:rPr>
                <w:lang w:eastAsia="en-AU"/>
              </w:rPr>
            </w:pPr>
            <w:r w:rsidRPr="00CF1D25">
              <w:rPr>
                <w:lang w:eastAsia="en-AU"/>
              </w:rPr>
              <w:t>PLC</w:t>
            </w:r>
          </w:p>
        </w:tc>
        <w:tc>
          <w:tcPr>
            <w:tcW w:w="770" w:type="pct"/>
            <w:tcBorders>
              <w:top w:val="dotted" w:sz="8" w:space="0" w:color="A32020"/>
              <w:left w:val="single" w:sz="4" w:space="0" w:color="FFFFFF"/>
              <w:bottom w:val="dotted" w:sz="8" w:space="0" w:color="A32020"/>
              <w:right w:val="single" w:sz="4" w:space="0" w:color="FFFFFF"/>
            </w:tcBorders>
          </w:tcPr>
          <w:p w14:paraId="18DD897E" w14:textId="77777777" w:rsidR="00DF33CB" w:rsidRPr="00CF1D25" w:rsidRDefault="00DF33CB" w:rsidP="00B54A8B">
            <w:pPr>
              <w:jc w:val="center"/>
              <w:rPr>
                <w:lang w:eastAsia="en-AU"/>
              </w:rPr>
            </w:pPr>
            <w:r>
              <w:rPr>
                <w:lang w:eastAsia="en-AU"/>
              </w:rPr>
              <w:t>3</w:t>
            </w:r>
            <w:r>
              <w:rPr>
                <w:lang w:eastAsia="en-AU"/>
              </w:rPr>
              <w:br/>
              <w:t>n/a</w:t>
            </w:r>
          </w:p>
        </w:tc>
        <w:tc>
          <w:tcPr>
            <w:tcW w:w="616" w:type="pct"/>
            <w:tcBorders>
              <w:top w:val="dotted" w:sz="8" w:space="0" w:color="A32020"/>
              <w:left w:val="single" w:sz="4" w:space="0" w:color="FFFFFF"/>
              <w:bottom w:val="dotted" w:sz="8" w:space="0" w:color="A32020"/>
              <w:right w:val="single" w:sz="4" w:space="0" w:color="FFFFFF"/>
            </w:tcBorders>
            <w:hideMark/>
          </w:tcPr>
          <w:p w14:paraId="05F05F59" w14:textId="77777777" w:rsidR="00DF33CB" w:rsidRPr="00CF1D25" w:rsidRDefault="00DF33CB" w:rsidP="00B54A8B">
            <w:pPr>
              <w:jc w:val="center"/>
              <w:rPr>
                <w:lang w:eastAsia="en-AU"/>
              </w:rPr>
            </w:pPr>
            <w:r w:rsidRPr="00CF1D25">
              <w:rPr>
                <w:lang w:eastAsia="en-AU"/>
              </w:rPr>
              <w:t>5</w:t>
            </w:r>
          </w:p>
          <w:p w14:paraId="71869220" w14:textId="77777777" w:rsidR="00DF33CB" w:rsidRPr="00CF1D25" w:rsidRDefault="00DF33CB" w:rsidP="00B54A8B">
            <w:pPr>
              <w:jc w:val="center"/>
              <w:rPr>
                <w:lang w:eastAsia="en-AU"/>
              </w:rPr>
            </w:pPr>
            <w:r w:rsidRPr="00CF1D25">
              <w:rPr>
                <w:lang w:eastAsia="en-AU"/>
              </w:rPr>
              <w:t>15</w:t>
            </w:r>
          </w:p>
        </w:tc>
      </w:tr>
      <w:tr w:rsidR="00DF33CB" w:rsidRPr="00CF1D25" w14:paraId="1C477669" w14:textId="77777777" w:rsidTr="00B54A8B">
        <w:trPr>
          <w:trHeight w:val="648"/>
        </w:trPr>
        <w:tc>
          <w:tcPr>
            <w:tcW w:w="1520" w:type="pct"/>
            <w:tcBorders>
              <w:top w:val="dotted" w:sz="8" w:space="0" w:color="A32020"/>
              <w:left w:val="single" w:sz="4" w:space="0" w:color="FFFFFF"/>
              <w:bottom w:val="dotted" w:sz="8" w:space="0" w:color="A32020"/>
              <w:right w:val="single" w:sz="4" w:space="0" w:color="FFFFFF"/>
            </w:tcBorders>
          </w:tcPr>
          <w:p w14:paraId="7D664CB6" w14:textId="1C19C732" w:rsidR="00DF33CB" w:rsidRPr="00CF1D25" w:rsidRDefault="00DF33CB" w:rsidP="00B54A8B">
            <w:pPr>
              <w:rPr>
                <w:lang w:eastAsia="en-AU"/>
              </w:rPr>
            </w:pPr>
            <w:r>
              <w:rPr>
                <w:lang w:eastAsia="en-AU"/>
              </w:rPr>
              <w:t>Sc</w:t>
            </w:r>
            <w:r w:rsidR="00F03B38">
              <w:rPr>
                <w:lang w:eastAsia="en-AU"/>
              </w:rPr>
              <w:t>otch Colleg</w:t>
            </w:r>
            <w:r>
              <w:rPr>
                <w:lang w:eastAsia="en-AU"/>
              </w:rPr>
              <w:t>e</w:t>
            </w:r>
          </w:p>
        </w:tc>
        <w:tc>
          <w:tcPr>
            <w:tcW w:w="632" w:type="pct"/>
            <w:tcBorders>
              <w:top w:val="dotted" w:sz="8" w:space="0" w:color="A32020"/>
              <w:left w:val="single" w:sz="4" w:space="0" w:color="FFFFFF"/>
              <w:bottom w:val="dotted" w:sz="8" w:space="0" w:color="A32020"/>
              <w:right w:val="single" w:sz="4" w:space="0" w:color="FFFFFF"/>
            </w:tcBorders>
          </w:tcPr>
          <w:p w14:paraId="5899D1E9" w14:textId="77777777" w:rsidR="00DF33CB" w:rsidRPr="00CF1D25" w:rsidRDefault="00DF33CB" w:rsidP="00B54A8B">
            <w:pPr>
              <w:rPr>
                <w:lang w:eastAsia="en-AU"/>
              </w:rPr>
            </w:pPr>
            <w:r>
              <w:rPr>
                <w:lang w:eastAsia="en-AU"/>
              </w:rPr>
              <w:t>WA</w:t>
            </w:r>
          </w:p>
        </w:tc>
        <w:tc>
          <w:tcPr>
            <w:tcW w:w="1462" w:type="pct"/>
            <w:tcBorders>
              <w:top w:val="dotted" w:sz="8" w:space="0" w:color="A32020"/>
              <w:left w:val="single" w:sz="4" w:space="0" w:color="FFFFFF"/>
              <w:bottom w:val="dotted" w:sz="8" w:space="0" w:color="A32020"/>
              <w:right w:val="single" w:sz="4" w:space="0" w:color="FFFFFF"/>
            </w:tcBorders>
            <w:shd w:val="clear" w:color="auto" w:fill="FFFFFF"/>
          </w:tcPr>
          <w:p w14:paraId="2016B1C9" w14:textId="77777777" w:rsidR="00DF33CB" w:rsidRDefault="00DF33CB" w:rsidP="00B54A8B">
            <w:pPr>
              <w:rPr>
                <w:lang w:eastAsia="en-AU"/>
              </w:rPr>
            </w:pPr>
            <w:r>
              <w:rPr>
                <w:lang w:eastAsia="en-AU"/>
              </w:rPr>
              <w:t>AIEF</w:t>
            </w:r>
          </w:p>
          <w:p w14:paraId="21AF3334" w14:textId="77777777" w:rsidR="00DF33CB" w:rsidRPr="0019043A" w:rsidRDefault="00DF33CB" w:rsidP="00DF33CB">
            <w:pPr>
              <w:pStyle w:val="PwCNormal"/>
              <w:numPr>
                <w:ilvl w:val="0"/>
                <w:numId w:val="9"/>
              </w:numPr>
              <w:spacing w:after="0"/>
              <w:rPr>
                <w:lang w:eastAsia="en-AU"/>
              </w:rPr>
            </w:pPr>
            <w:r>
              <w:rPr>
                <w:lang w:eastAsia="en-AU"/>
              </w:rPr>
              <w:t>MADALAH</w:t>
            </w:r>
            <w:r>
              <w:rPr>
                <w:lang w:eastAsia="en-AU"/>
              </w:rPr>
              <w:br/>
              <w:t>Yalari</w:t>
            </w:r>
          </w:p>
        </w:tc>
        <w:tc>
          <w:tcPr>
            <w:tcW w:w="770" w:type="pct"/>
            <w:tcBorders>
              <w:top w:val="dotted" w:sz="8" w:space="0" w:color="A32020"/>
              <w:left w:val="single" w:sz="4" w:space="0" w:color="FFFFFF"/>
              <w:bottom w:val="dotted" w:sz="8" w:space="0" w:color="A32020"/>
              <w:right w:val="single" w:sz="4" w:space="0" w:color="FFFFFF"/>
            </w:tcBorders>
          </w:tcPr>
          <w:p w14:paraId="594C1ACB" w14:textId="77777777" w:rsidR="00DF33CB" w:rsidRDefault="00DF33CB" w:rsidP="00B54A8B">
            <w:pPr>
              <w:jc w:val="center"/>
              <w:rPr>
                <w:lang w:eastAsia="en-AU"/>
              </w:rPr>
            </w:pPr>
            <w:r>
              <w:rPr>
                <w:lang w:eastAsia="en-AU"/>
              </w:rPr>
              <w:t>16</w:t>
            </w:r>
            <w:r>
              <w:rPr>
                <w:lang w:eastAsia="en-AU"/>
              </w:rPr>
              <w:br/>
              <w:t>8</w:t>
            </w:r>
            <w:r>
              <w:rPr>
                <w:lang w:eastAsia="en-AU"/>
              </w:rPr>
              <w:br/>
              <w:t>4</w:t>
            </w:r>
          </w:p>
        </w:tc>
        <w:tc>
          <w:tcPr>
            <w:tcW w:w="616" w:type="pct"/>
            <w:tcBorders>
              <w:top w:val="dotted" w:sz="8" w:space="0" w:color="A32020"/>
              <w:left w:val="single" w:sz="4" w:space="0" w:color="FFFFFF"/>
              <w:bottom w:val="dotted" w:sz="8" w:space="0" w:color="A32020"/>
              <w:right w:val="single" w:sz="4" w:space="0" w:color="FFFFFF"/>
            </w:tcBorders>
          </w:tcPr>
          <w:p w14:paraId="57ACD3D5" w14:textId="77777777" w:rsidR="00DF33CB" w:rsidRPr="00CF1D25" w:rsidRDefault="00DF33CB" w:rsidP="00B54A8B">
            <w:pPr>
              <w:jc w:val="center"/>
              <w:rPr>
                <w:lang w:eastAsia="en-AU"/>
              </w:rPr>
            </w:pPr>
            <w:r>
              <w:rPr>
                <w:lang w:eastAsia="en-AU"/>
              </w:rPr>
              <w:t>18</w:t>
            </w:r>
            <w:r>
              <w:rPr>
                <w:lang w:eastAsia="en-AU"/>
              </w:rPr>
              <w:br/>
              <w:t>12</w:t>
            </w:r>
            <w:r>
              <w:rPr>
                <w:lang w:eastAsia="en-AU"/>
              </w:rPr>
              <w:br/>
              <w:t>1</w:t>
            </w:r>
          </w:p>
        </w:tc>
      </w:tr>
      <w:tr w:rsidR="00DF33CB" w:rsidRPr="00CF1D25" w14:paraId="1B7D6B0F" w14:textId="77777777" w:rsidTr="00B54A8B">
        <w:trPr>
          <w:trHeight w:val="387"/>
        </w:trPr>
        <w:tc>
          <w:tcPr>
            <w:tcW w:w="1520" w:type="pct"/>
            <w:tcBorders>
              <w:top w:val="dotted" w:sz="8" w:space="0" w:color="A32020"/>
              <w:left w:val="single" w:sz="4" w:space="0" w:color="FFFFFF"/>
              <w:bottom w:val="dotted" w:sz="8" w:space="0" w:color="A32020"/>
              <w:right w:val="single" w:sz="4" w:space="0" w:color="FFFFFF"/>
            </w:tcBorders>
            <w:hideMark/>
          </w:tcPr>
          <w:p w14:paraId="7C96606D" w14:textId="77777777" w:rsidR="00DF33CB" w:rsidRPr="00CF1D25" w:rsidRDefault="00DF33CB" w:rsidP="00B54A8B">
            <w:pPr>
              <w:rPr>
                <w:lang w:eastAsia="en-AU"/>
              </w:rPr>
            </w:pPr>
            <w:r w:rsidRPr="00CF1D25">
              <w:rPr>
                <w:lang w:eastAsia="en-AU"/>
              </w:rPr>
              <w:lastRenderedPageBreak/>
              <w:t>St Gregory’s College</w:t>
            </w:r>
          </w:p>
        </w:tc>
        <w:tc>
          <w:tcPr>
            <w:tcW w:w="632" w:type="pct"/>
            <w:tcBorders>
              <w:top w:val="dotted" w:sz="8" w:space="0" w:color="A32020"/>
              <w:left w:val="single" w:sz="4" w:space="0" w:color="FFFFFF"/>
              <w:bottom w:val="dotted" w:sz="8" w:space="0" w:color="A32020"/>
              <w:right w:val="single" w:sz="4" w:space="0" w:color="FFFFFF"/>
            </w:tcBorders>
            <w:hideMark/>
          </w:tcPr>
          <w:p w14:paraId="2FFE1DF9" w14:textId="77777777" w:rsidR="00DF33CB" w:rsidRPr="00CF1D25" w:rsidRDefault="00DF33CB" w:rsidP="00B54A8B">
            <w:pPr>
              <w:rPr>
                <w:lang w:eastAsia="en-AU"/>
              </w:rPr>
            </w:pPr>
            <w:r w:rsidRPr="00CF1D25">
              <w:rPr>
                <w:lang w:eastAsia="en-AU"/>
              </w:rPr>
              <w:t>NSW</w:t>
            </w:r>
          </w:p>
        </w:tc>
        <w:tc>
          <w:tcPr>
            <w:tcW w:w="1462" w:type="pct"/>
            <w:tcBorders>
              <w:top w:val="dotted" w:sz="8" w:space="0" w:color="A32020"/>
              <w:left w:val="single" w:sz="4" w:space="0" w:color="FFFFFF"/>
              <w:bottom w:val="dotted" w:sz="8" w:space="0" w:color="A32020"/>
              <w:right w:val="single" w:sz="4" w:space="0" w:color="FFFFFF"/>
            </w:tcBorders>
            <w:shd w:val="clear" w:color="auto" w:fill="FFFFFF"/>
            <w:hideMark/>
          </w:tcPr>
          <w:p w14:paraId="42D0B458" w14:textId="77777777" w:rsidR="00DF33CB" w:rsidRPr="00CF1D25" w:rsidRDefault="00DF33CB" w:rsidP="00B54A8B">
            <w:pPr>
              <w:rPr>
                <w:lang w:eastAsia="en-AU"/>
              </w:rPr>
            </w:pPr>
            <w:r w:rsidRPr="00CF1D25">
              <w:rPr>
                <w:lang w:eastAsia="en-AU"/>
              </w:rPr>
              <w:t>AIEF</w:t>
            </w:r>
          </w:p>
          <w:p w14:paraId="5BA37A78" w14:textId="77777777" w:rsidR="00DF33CB" w:rsidRPr="00CF1D25" w:rsidRDefault="00DF33CB" w:rsidP="00B54A8B">
            <w:pPr>
              <w:rPr>
                <w:lang w:eastAsia="en-AU"/>
              </w:rPr>
            </w:pPr>
            <w:r w:rsidRPr="00CF1D25">
              <w:rPr>
                <w:lang w:eastAsia="en-AU"/>
              </w:rPr>
              <w:t>The Smith Family</w:t>
            </w:r>
          </w:p>
        </w:tc>
        <w:tc>
          <w:tcPr>
            <w:tcW w:w="770" w:type="pct"/>
            <w:tcBorders>
              <w:top w:val="dotted" w:sz="8" w:space="0" w:color="A32020"/>
              <w:left w:val="single" w:sz="4" w:space="0" w:color="FFFFFF"/>
              <w:bottom w:val="dotted" w:sz="8" w:space="0" w:color="A32020"/>
              <w:right w:val="single" w:sz="4" w:space="0" w:color="FFFFFF"/>
            </w:tcBorders>
            <w:hideMark/>
          </w:tcPr>
          <w:p w14:paraId="299E3A04" w14:textId="77777777" w:rsidR="00DF33CB" w:rsidRPr="00CF1D25" w:rsidRDefault="00DF33CB" w:rsidP="00B54A8B">
            <w:pPr>
              <w:jc w:val="center"/>
              <w:rPr>
                <w:lang w:eastAsia="en-AU"/>
              </w:rPr>
            </w:pPr>
            <w:r w:rsidRPr="00CF1D25">
              <w:rPr>
                <w:lang w:eastAsia="en-AU"/>
              </w:rPr>
              <w:t>31</w:t>
            </w:r>
          </w:p>
          <w:p w14:paraId="36247EED" w14:textId="77777777" w:rsidR="00DF33CB" w:rsidRPr="00CF1D25" w:rsidRDefault="00DF33CB" w:rsidP="00B54A8B">
            <w:pPr>
              <w:jc w:val="center"/>
              <w:rPr>
                <w:lang w:eastAsia="en-AU"/>
              </w:rPr>
            </w:pPr>
            <w:r w:rsidRPr="00CF1D25">
              <w:rPr>
                <w:lang w:eastAsia="en-AU"/>
              </w:rPr>
              <w:t>2</w:t>
            </w:r>
          </w:p>
        </w:tc>
        <w:tc>
          <w:tcPr>
            <w:tcW w:w="616" w:type="pct"/>
            <w:tcBorders>
              <w:top w:val="dotted" w:sz="8" w:space="0" w:color="A32020"/>
              <w:left w:val="single" w:sz="4" w:space="0" w:color="FFFFFF"/>
              <w:bottom w:val="dotted" w:sz="8" w:space="0" w:color="A32020"/>
              <w:right w:val="single" w:sz="4" w:space="0" w:color="FFFFFF"/>
            </w:tcBorders>
          </w:tcPr>
          <w:p w14:paraId="31260AE9" w14:textId="77777777" w:rsidR="00DF33CB" w:rsidRPr="00CF1D25" w:rsidRDefault="00DF33CB" w:rsidP="00B54A8B">
            <w:pPr>
              <w:jc w:val="center"/>
              <w:rPr>
                <w:lang w:eastAsia="en-AU"/>
              </w:rPr>
            </w:pPr>
            <w:r>
              <w:rPr>
                <w:lang w:eastAsia="en-AU"/>
              </w:rPr>
              <w:t>34</w:t>
            </w:r>
            <w:r>
              <w:rPr>
                <w:lang w:eastAsia="en-AU"/>
              </w:rPr>
              <w:br/>
              <w:t>n/a</w:t>
            </w:r>
          </w:p>
        </w:tc>
      </w:tr>
      <w:tr w:rsidR="00DF33CB" w:rsidRPr="00CF1D25" w14:paraId="799F9A13" w14:textId="77777777" w:rsidTr="00B54A8B">
        <w:trPr>
          <w:trHeight w:val="387"/>
        </w:trPr>
        <w:tc>
          <w:tcPr>
            <w:tcW w:w="1520" w:type="pct"/>
            <w:tcBorders>
              <w:top w:val="dotted" w:sz="8" w:space="0" w:color="A32020"/>
              <w:left w:val="single" w:sz="4" w:space="0" w:color="FFFFFF"/>
              <w:bottom w:val="dotted" w:sz="8" w:space="0" w:color="A32020"/>
              <w:right w:val="single" w:sz="4" w:space="0" w:color="FFFFFF"/>
            </w:tcBorders>
            <w:shd w:val="clear" w:color="auto" w:fill="FFFFFF"/>
            <w:hideMark/>
          </w:tcPr>
          <w:p w14:paraId="3580CCD5" w14:textId="77777777" w:rsidR="00DF33CB" w:rsidRPr="00CF1D25" w:rsidRDefault="00DF33CB" w:rsidP="00B54A8B">
            <w:pPr>
              <w:rPr>
                <w:lang w:eastAsia="en-AU"/>
              </w:rPr>
            </w:pPr>
            <w:r w:rsidRPr="00CF1D25">
              <w:rPr>
                <w:lang w:eastAsia="en-AU"/>
              </w:rPr>
              <w:t>St Peters Lutheran College</w:t>
            </w:r>
          </w:p>
        </w:tc>
        <w:tc>
          <w:tcPr>
            <w:tcW w:w="632" w:type="pct"/>
            <w:tcBorders>
              <w:top w:val="dotted" w:sz="8" w:space="0" w:color="A32020"/>
              <w:left w:val="single" w:sz="4" w:space="0" w:color="FFFFFF"/>
              <w:bottom w:val="dotted" w:sz="8" w:space="0" w:color="A32020"/>
              <w:right w:val="single" w:sz="4" w:space="0" w:color="FFFFFF"/>
            </w:tcBorders>
            <w:shd w:val="clear" w:color="auto" w:fill="FFFFFF"/>
            <w:hideMark/>
          </w:tcPr>
          <w:p w14:paraId="293ECB91" w14:textId="77777777" w:rsidR="00DF33CB" w:rsidRPr="00CF1D25" w:rsidRDefault="00DF33CB" w:rsidP="00B54A8B">
            <w:pPr>
              <w:rPr>
                <w:lang w:eastAsia="en-AU"/>
              </w:rPr>
            </w:pPr>
            <w:r w:rsidRPr="00CF1D25">
              <w:rPr>
                <w:lang w:eastAsia="en-AU"/>
              </w:rPr>
              <w:t>QLD</w:t>
            </w:r>
          </w:p>
        </w:tc>
        <w:tc>
          <w:tcPr>
            <w:tcW w:w="1462" w:type="pct"/>
            <w:tcBorders>
              <w:top w:val="dotted" w:sz="8" w:space="0" w:color="A32020"/>
              <w:left w:val="single" w:sz="4" w:space="0" w:color="FFFFFF"/>
              <w:bottom w:val="dotted" w:sz="8" w:space="0" w:color="A32020"/>
              <w:right w:val="single" w:sz="4" w:space="0" w:color="FFFFFF"/>
            </w:tcBorders>
            <w:shd w:val="clear" w:color="auto" w:fill="FFFFFF"/>
            <w:hideMark/>
          </w:tcPr>
          <w:p w14:paraId="69143863" w14:textId="77777777" w:rsidR="00DF33CB" w:rsidRPr="00CF1D25" w:rsidRDefault="00DF33CB" w:rsidP="00B54A8B">
            <w:pPr>
              <w:rPr>
                <w:lang w:eastAsia="en-AU"/>
              </w:rPr>
            </w:pPr>
            <w:r w:rsidRPr="00CF1D25">
              <w:rPr>
                <w:lang w:eastAsia="en-AU"/>
              </w:rPr>
              <w:t>AIEF</w:t>
            </w:r>
          </w:p>
          <w:p w14:paraId="47C42F71" w14:textId="77777777" w:rsidR="00DF33CB" w:rsidRPr="00CF1D25" w:rsidRDefault="00DF33CB" w:rsidP="00B54A8B">
            <w:pPr>
              <w:rPr>
                <w:lang w:eastAsia="en-AU"/>
              </w:rPr>
            </w:pPr>
            <w:r w:rsidRPr="00CF1D25">
              <w:rPr>
                <w:lang w:eastAsia="en-AU"/>
              </w:rPr>
              <w:t xml:space="preserve">Cape York Institute </w:t>
            </w:r>
          </w:p>
        </w:tc>
        <w:tc>
          <w:tcPr>
            <w:tcW w:w="770" w:type="pct"/>
            <w:tcBorders>
              <w:top w:val="dotted" w:sz="8" w:space="0" w:color="A32020"/>
              <w:left w:val="single" w:sz="4" w:space="0" w:color="FFFFFF"/>
              <w:bottom w:val="dotted" w:sz="8" w:space="0" w:color="A32020"/>
              <w:right w:val="single" w:sz="4" w:space="0" w:color="FFFFFF"/>
            </w:tcBorders>
            <w:shd w:val="clear" w:color="auto" w:fill="FFFFFF"/>
          </w:tcPr>
          <w:p w14:paraId="4C5CD718" w14:textId="77777777" w:rsidR="00DF33CB" w:rsidRPr="00CF1D25" w:rsidRDefault="00DF33CB" w:rsidP="00B54A8B">
            <w:pPr>
              <w:jc w:val="center"/>
              <w:rPr>
                <w:lang w:eastAsia="en-AU"/>
              </w:rPr>
            </w:pPr>
            <w:r>
              <w:rPr>
                <w:lang w:eastAsia="en-AU"/>
              </w:rPr>
              <w:t>28</w:t>
            </w:r>
            <w:r>
              <w:rPr>
                <w:lang w:eastAsia="en-AU"/>
              </w:rPr>
              <w:br/>
              <w:t>n/a</w:t>
            </w:r>
          </w:p>
        </w:tc>
        <w:tc>
          <w:tcPr>
            <w:tcW w:w="616" w:type="pct"/>
            <w:tcBorders>
              <w:top w:val="dotted" w:sz="8" w:space="0" w:color="A32020"/>
              <w:left w:val="single" w:sz="4" w:space="0" w:color="FFFFFF"/>
              <w:bottom w:val="dotted" w:sz="8" w:space="0" w:color="A32020"/>
              <w:right w:val="single" w:sz="4" w:space="0" w:color="FFFFFF"/>
            </w:tcBorders>
            <w:shd w:val="clear" w:color="auto" w:fill="FFFFFF"/>
            <w:hideMark/>
          </w:tcPr>
          <w:p w14:paraId="20B493C7" w14:textId="77777777" w:rsidR="00DF33CB" w:rsidRPr="00CF1D25" w:rsidRDefault="00DF33CB" w:rsidP="00B54A8B">
            <w:pPr>
              <w:jc w:val="center"/>
              <w:rPr>
                <w:lang w:eastAsia="en-AU"/>
              </w:rPr>
            </w:pPr>
            <w:r w:rsidRPr="00CF1D25">
              <w:rPr>
                <w:lang w:eastAsia="en-AU"/>
              </w:rPr>
              <w:t>27</w:t>
            </w:r>
          </w:p>
          <w:p w14:paraId="4A960DE3" w14:textId="77777777" w:rsidR="00DF33CB" w:rsidRPr="00CF1D25" w:rsidRDefault="00DF33CB" w:rsidP="00B54A8B">
            <w:pPr>
              <w:jc w:val="center"/>
              <w:rPr>
                <w:lang w:eastAsia="en-AU"/>
              </w:rPr>
            </w:pPr>
            <w:r w:rsidRPr="00CF1D25">
              <w:rPr>
                <w:lang w:eastAsia="en-AU"/>
              </w:rPr>
              <w:t>4</w:t>
            </w:r>
          </w:p>
        </w:tc>
      </w:tr>
      <w:tr w:rsidR="00DF33CB" w14:paraId="19460748" w14:textId="77777777" w:rsidTr="00B7615B">
        <w:trPr>
          <w:trHeight w:val="387"/>
        </w:trPr>
        <w:tc>
          <w:tcPr>
            <w:tcW w:w="1520" w:type="pct"/>
            <w:tcBorders>
              <w:top w:val="dotted" w:sz="8" w:space="0" w:color="A32020"/>
              <w:left w:val="single" w:sz="4" w:space="0" w:color="FFFFFF"/>
              <w:bottom w:val="dotted" w:sz="8" w:space="0" w:color="A32020"/>
              <w:right w:val="single" w:sz="4" w:space="0" w:color="FFFFFF"/>
            </w:tcBorders>
            <w:shd w:val="clear" w:color="auto" w:fill="FFFFFF"/>
            <w:hideMark/>
          </w:tcPr>
          <w:p w14:paraId="7AE6B838" w14:textId="77777777" w:rsidR="00DF33CB" w:rsidRPr="00CF1D25" w:rsidRDefault="00DF33CB" w:rsidP="00B54A8B">
            <w:pPr>
              <w:rPr>
                <w:lang w:eastAsia="en-AU"/>
              </w:rPr>
            </w:pPr>
            <w:r w:rsidRPr="00CF1D25">
              <w:rPr>
                <w:lang w:eastAsia="en-AU"/>
              </w:rPr>
              <w:t>St Scholastica’s College</w:t>
            </w:r>
          </w:p>
        </w:tc>
        <w:tc>
          <w:tcPr>
            <w:tcW w:w="632" w:type="pct"/>
            <w:tcBorders>
              <w:top w:val="dotted" w:sz="8" w:space="0" w:color="A32020"/>
              <w:left w:val="single" w:sz="4" w:space="0" w:color="FFFFFF"/>
              <w:bottom w:val="dotted" w:sz="8" w:space="0" w:color="A32020"/>
              <w:right w:val="single" w:sz="4" w:space="0" w:color="FFFFFF"/>
            </w:tcBorders>
            <w:shd w:val="clear" w:color="auto" w:fill="FFFFFF"/>
            <w:hideMark/>
          </w:tcPr>
          <w:p w14:paraId="00363D26" w14:textId="77777777" w:rsidR="00DF33CB" w:rsidRPr="00CF1D25" w:rsidRDefault="00DF33CB" w:rsidP="00B54A8B">
            <w:pPr>
              <w:rPr>
                <w:lang w:eastAsia="en-AU"/>
              </w:rPr>
            </w:pPr>
            <w:r w:rsidRPr="00CF1D25">
              <w:rPr>
                <w:lang w:eastAsia="en-AU"/>
              </w:rPr>
              <w:t>NSW</w:t>
            </w:r>
          </w:p>
        </w:tc>
        <w:tc>
          <w:tcPr>
            <w:tcW w:w="1462" w:type="pct"/>
            <w:tcBorders>
              <w:top w:val="dotted" w:sz="8" w:space="0" w:color="A32020"/>
              <w:left w:val="single" w:sz="4" w:space="0" w:color="FFFFFF"/>
              <w:bottom w:val="dotted" w:sz="8" w:space="0" w:color="A32020"/>
              <w:right w:val="single" w:sz="4" w:space="0" w:color="FFFFFF"/>
            </w:tcBorders>
            <w:shd w:val="clear" w:color="auto" w:fill="FFFFFF"/>
            <w:hideMark/>
          </w:tcPr>
          <w:p w14:paraId="3BD49792" w14:textId="77777777" w:rsidR="00DF33CB" w:rsidRPr="00CF1D25" w:rsidRDefault="00DF33CB" w:rsidP="00B54A8B">
            <w:pPr>
              <w:rPr>
                <w:lang w:eastAsia="en-AU"/>
              </w:rPr>
            </w:pPr>
            <w:r w:rsidRPr="00CF1D25">
              <w:rPr>
                <w:lang w:eastAsia="en-AU"/>
              </w:rPr>
              <w:t>AIEF</w:t>
            </w:r>
          </w:p>
          <w:p w14:paraId="65C7A1CB" w14:textId="77777777" w:rsidR="00DF33CB" w:rsidRPr="00CF1D25" w:rsidRDefault="00DF33CB" w:rsidP="00B54A8B">
            <w:pPr>
              <w:rPr>
                <w:lang w:eastAsia="en-AU"/>
              </w:rPr>
            </w:pPr>
            <w:r w:rsidRPr="00CF1D25">
              <w:rPr>
                <w:lang w:eastAsia="en-AU"/>
              </w:rPr>
              <w:t>The Smith Family</w:t>
            </w:r>
          </w:p>
        </w:tc>
        <w:tc>
          <w:tcPr>
            <w:tcW w:w="770" w:type="pct"/>
            <w:tcBorders>
              <w:top w:val="dotted" w:sz="8" w:space="0" w:color="A32020"/>
              <w:left w:val="single" w:sz="4" w:space="0" w:color="FFFFFF"/>
              <w:bottom w:val="dotted" w:sz="8" w:space="0" w:color="A32020"/>
              <w:right w:val="single" w:sz="4" w:space="0" w:color="FFFFFF"/>
            </w:tcBorders>
            <w:shd w:val="clear" w:color="auto" w:fill="FFFFFF"/>
            <w:hideMark/>
          </w:tcPr>
          <w:p w14:paraId="3696C43C" w14:textId="77777777" w:rsidR="00DF33CB" w:rsidRPr="00CF1D25" w:rsidRDefault="00DF33CB" w:rsidP="00B54A8B">
            <w:pPr>
              <w:jc w:val="center"/>
              <w:rPr>
                <w:lang w:eastAsia="en-AU"/>
              </w:rPr>
            </w:pPr>
            <w:r w:rsidRPr="00CF1D25">
              <w:rPr>
                <w:lang w:eastAsia="en-AU"/>
              </w:rPr>
              <w:t>7</w:t>
            </w:r>
          </w:p>
          <w:p w14:paraId="50F30351" w14:textId="77777777" w:rsidR="00DF33CB" w:rsidRPr="00CF1D25" w:rsidRDefault="00DF33CB" w:rsidP="00B54A8B">
            <w:pPr>
              <w:jc w:val="center"/>
              <w:rPr>
                <w:lang w:eastAsia="en-AU"/>
              </w:rPr>
            </w:pPr>
            <w:r w:rsidRPr="00CF1D25">
              <w:rPr>
                <w:lang w:eastAsia="en-AU"/>
              </w:rPr>
              <w:t>20</w:t>
            </w:r>
          </w:p>
        </w:tc>
        <w:tc>
          <w:tcPr>
            <w:tcW w:w="616" w:type="pct"/>
            <w:tcBorders>
              <w:top w:val="dotted" w:sz="8" w:space="0" w:color="A32020"/>
              <w:left w:val="single" w:sz="4" w:space="0" w:color="FFFFFF"/>
              <w:bottom w:val="dotted" w:sz="8" w:space="0" w:color="A32020"/>
              <w:right w:val="single" w:sz="4" w:space="0" w:color="FFFFFF"/>
            </w:tcBorders>
            <w:shd w:val="clear" w:color="auto" w:fill="FFFFFF"/>
            <w:hideMark/>
          </w:tcPr>
          <w:p w14:paraId="15D32C3F" w14:textId="77777777" w:rsidR="00DF33CB" w:rsidRPr="00CF1D25" w:rsidRDefault="00DF33CB" w:rsidP="00B54A8B">
            <w:pPr>
              <w:jc w:val="center"/>
              <w:rPr>
                <w:lang w:eastAsia="en-AU"/>
              </w:rPr>
            </w:pPr>
            <w:r w:rsidRPr="00CF1D25">
              <w:rPr>
                <w:lang w:eastAsia="en-AU"/>
              </w:rPr>
              <w:t>4</w:t>
            </w:r>
          </w:p>
          <w:p w14:paraId="61551CFD" w14:textId="77777777" w:rsidR="00DF33CB" w:rsidRDefault="00DF33CB" w:rsidP="00B54A8B">
            <w:pPr>
              <w:jc w:val="center"/>
              <w:rPr>
                <w:lang w:eastAsia="en-AU"/>
              </w:rPr>
            </w:pPr>
            <w:r w:rsidRPr="00CF1D25">
              <w:rPr>
                <w:lang w:eastAsia="en-AU"/>
              </w:rPr>
              <w:t>6</w:t>
            </w:r>
          </w:p>
        </w:tc>
      </w:tr>
      <w:tr w:rsidR="00B7615B" w14:paraId="7BD14EE0" w14:textId="77777777" w:rsidTr="00B54A8B">
        <w:trPr>
          <w:trHeight w:val="387"/>
        </w:trPr>
        <w:tc>
          <w:tcPr>
            <w:tcW w:w="1520" w:type="pct"/>
            <w:tcBorders>
              <w:top w:val="dotted" w:sz="8" w:space="0" w:color="A32020"/>
              <w:left w:val="single" w:sz="4" w:space="0" w:color="FFFFFF"/>
              <w:bottom w:val="single" w:sz="6" w:space="0" w:color="A32020"/>
              <w:right w:val="single" w:sz="4" w:space="0" w:color="FFFFFF"/>
            </w:tcBorders>
            <w:shd w:val="clear" w:color="auto" w:fill="FFFFFF"/>
          </w:tcPr>
          <w:p w14:paraId="5D8983CB" w14:textId="27CBE807" w:rsidR="00B7615B" w:rsidRPr="00CF1D25" w:rsidRDefault="00B7615B" w:rsidP="00B54A8B">
            <w:pPr>
              <w:rPr>
                <w:lang w:eastAsia="en-AU"/>
              </w:rPr>
            </w:pPr>
            <w:r>
              <w:rPr>
                <w:lang w:eastAsia="en-AU"/>
              </w:rPr>
              <w:t>Wesley College</w:t>
            </w:r>
          </w:p>
        </w:tc>
        <w:tc>
          <w:tcPr>
            <w:tcW w:w="632" w:type="pct"/>
            <w:tcBorders>
              <w:top w:val="dotted" w:sz="8" w:space="0" w:color="A32020"/>
              <w:left w:val="single" w:sz="4" w:space="0" w:color="FFFFFF"/>
              <w:bottom w:val="single" w:sz="6" w:space="0" w:color="A32020"/>
              <w:right w:val="single" w:sz="4" w:space="0" w:color="FFFFFF"/>
            </w:tcBorders>
            <w:shd w:val="clear" w:color="auto" w:fill="FFFFFF"/>
          </w:tcPr>
          <w:p w14:paraId="7F91F010" w14:textId="549129BC" w:rsidR="00B7615B" w:rsidRPr="00CF1D25" w:rsidRDefault="00B7615B" w:rsidP="00B54A8B">
            <w:pPr>
              <w:rPr>
                <w:lang w:eastAsia="en-AU"/>
              </w:rPr>
            </w:pPr>
            <w:r>
              <w:rPr>
                <w:lang w:eastAsia="en-AU"/>
              </w:rPr>
              <w:t>WA</w:t>
            </w:r>
          </w:p>
        </w:tc>
        <w:tc>
          <w:tcPr>
            <w:tcW w:w="1462" w:type="pct"/>
            <w:tcBorders>
              <w:top w:val="dotted" w:sz="8" w:space="0" w:color="A32020"/>
              <w:left w:val="single" w:sz="4" w:space="0" w:color="FFFFFF"/>
              <w:bottom w:val="single" w:sz="6" w:space="0" w:color="A32020"/>
              <w:right w:val="single" w:sz="4" w:space="0" w:color="FFFFFF"/>
            </w:tcBorders>
            <w:shd w:val="clear" w:color="auto" w:fill="FFFFFF"/>
          </w:tcPr>
          <w:p w14:paraId="5FFAFF4A" w14:textId="77777777" w:rsidR="00B7615B" w:rsidRDefault="00B7615B" w:rsidP="00B54A8B">
            <w:pPr>
              <w:rPr>
                <w:lang w:eastAsia="en-AU"/>
              </w:rPr>
            </w:pPr>
            <w:r>
              <w:rPr>
                <w:lang w:eastAsia="en-AU"/>
              </w:rPr>
              <w:t>AIEF</w:t>
            </w:r>
          </w:p>
          <w:p w14:paraId="1CB3968B" w14:textId="4596861C" w:rsidR="00B7615B" w:rsidRPr="00B7615B" w:rsidRDefault="00B7615B" w:rsidP="00B7615B">
            <w:pPr>
              <w:pStyle w:val="PwCNormal"/>
              <w:rPr>
                <w:lang w:eastAsia="en-AU"/>
              </w:rPr>
            </w:pPr>
            <w:r>
              <w:rPr>
                <w:lang w:eastAsia="en-AU"/>
              </w:rPr>
              <w:t>MADALAH</w:t>
            </w:r>
          </w:p>
        </w:tc>
        <w:tc>
          <w:tcPr>
            <w:tcW w:w="770" w:type="pct"/>
            <w:tcBorders>
              <w:top w:val="dotted" w:sz="8" w:space="0" w:color="A32020"/>
              <w:left w:val="single" w:sz="4" w:space="0" w:color="FFFFFF"/>
              <w:bottom w:val="single" w:sz="6" w:space="0" w:color="A32020"/>
              <w:right w:val="single" w:sz="4" w:space="0" w:color="FFFFFF"/>
            </w:tcBorders>
            <w:shd w:val="clear" w:color="auto" w:fill="FFFFFF"/>
          </w:tcPr>
          <w:p w14:paraId="3AA3C21B" w14:textId="77777777" w:rsidR="00B7615B" w:rsidRDefault="00B7615B" w:rsidP="00B7615B">
            <w:pPr>
              <w:jc w:val="center"/>
              <w:rPr>
                <w:lang w:eastAsia="en-AU"/>
              </w:rPr>
            </w:pPr>
            <w:r>
              <w:rPr>
                <w:lang w:eastAsia="en-AU"/>
              </w:rPr>
              <w:t>13</w:t>
            </w:r>
          </w:p>
          <w:p w14:paraId="30A3085F" w14:textId="35913C00" w:rsidR="00B7615B" w:rsidRPr="00B7615B" w:rsidRDefault="00B7615B" w:rsidP="00B7615B">
            <w:pPr>
              <w:pStyle w:val="PwCNormal"/>
              <w:jc w:val="center"/>
              <w:rPr>
                <w:lang w:eastAsia="en-AU"/>
              </w:rPr>
            </w:pPr>
            <w:r>
              <w:rPr>
                <w:lang w:eastAsia="en-AU"/>
              </w:rPr>
              <w:t>n/a</w:t>
            </w:r>
          </w:p>
        </w:tc>
        <w:tc>
          <w:tcPr>
            <w:tcW w:w="616" w:type="pct"/>
            <w:tcBorders>
              <w:top w:val="dotted" w:sz="8" w:space="0" w:color="A32020"/>
              <w:left w:val="single" w:sz="4" w:space="0" w:color="FFFFFF"/>
              <w:bottom w:val="single" w:sz="6" w:space="0" w:color="A32020"/>
              <w:right w:val="single" w:sz="4" w:space="0" w:color="FFFFFF"/>
            </w:tcBorders>
            <w:shd w:val="clear" w:color="auto" w:fill="FFFFFF"/>
          </w:tcPr>
          <w:p w14:paraId="3D5D0B8F" w14:textId="77777777" w:rsidR="00B7615B" w:rsidRDefault="00B7615B" w:rsidP="00B7615B">
            <w:pPr>
              <w:jc w:val="center"/>
              <w:rPr>
                <w:lang w:eastAsia="en-AU"/>
              </w:rPr>
            </w:pPr>
            <w:r>
              <w:rPr>
                <w:lang w:eastAsia="en-AU"/>
              </w:rPr>
              <w:t>17</w:t>
            </w:r>
          </w:p>
          <w:p w14:paraId="7984EEFD" w14:textId="6142B338" w:rsidR="00B7615B" w:rsidRPr="00B7615B" w:rsidRDefault="00B7615B" w:rsidP="00B7615B">
            <w:pPr>
              <w:pStyle w:val="PwCNormal"/>
              <w:jc w:val="center"/>
              <w:rPr>
                <w:lang w:eastAsia="en-AU"/>
              </w:rPr>
            </w:pPr>
            <w:r>
              <w:rPr>
                <w:lang w:eastAsia="en-AU"/>
              </w:rPr>
              <w:t>n/a</w:t>
            </w:r>
          </w:p>
        </w:tc>
      </w:tr>
    </w:tbl>
    <w:p w14:paraId="2E9201D1" w14:textId="375A48CC" w:rsidR="00DF33CB" w:rsidRDefault="00DF33CB" w:rsidP="00DF33CB">
      <w:pPr>
        <w:rPr>
          <w:highlight w:val="yellow"/>
        </w:rPr>
      </w:pPr>
    </w:p>
    <w:p w14:paraId="325C6C4B" w14:textId="77777777" w:rsidR="00DF33CB" w:rsidRPr="004D3CD9" w:rsidRDefault="00DF33CB" w:rsidP="00DF33CB">
      <w:pPr>
        <w:pStyle w:val="Heading6"/>
        <w:spacing w:after="240"/>
        <w:ind w:left="851" w:hanging="851"/>
      </w:pPr>
      <w:r w:rsidRPr="004D3CD9">
        <w:t>Assessment of the availability and quality of data</w:t>
      </w:r>
    </w:p>
    <w:p w14:paraId="1EB34A05" w14:textId="41E6100F" w:rsidR="00DF33CB" w:rsidRPr="00FE4209" w:rsidRDefault="00DF33CB" w:rsidP="00DF33CB">
      <w:pPr>
        <w:pStyle w:val="ListBullet"/>
        <w:numPr>
          <w:ilvl w:val="0"/>
          <w:numId w:val="0"/>
        </w:numPr>
      </w:pPr>
      <w:r w:rsidRPr="00FE4209">
        <w:rPr>
          <w:bCs/>
          <w:lang w:val="en-US"/>
        </w:rPr>
        <w:t>In summary, based on the responses to the data request submitted by each scholarship provider:</w:t>
      </w:r>
    </w:p>
    <w:p w14:paraId="5F2B7450" w14:textId="0B5ABE99" w:rsidR="00DF33CB" w:rsidRPr="00FE4209" w:rsidRDefault="00DF33CB" w:rsidP="00DF33CB">
      <w:pPr>
        <w:pStyle w:val="ListBullet"/>
      </w:pPr>
      <w:r w:rsidRPr="00FE4209">
        <w:rPr>
          <w:lang w:val="en-US"/>
        </w:rPr>
        <w:t>the current state data is compromised by data gaps, inconsistencies and disparate data which will not, in its current form, support robust evaluation approaches in particular impact assessment</w:t>
      </w:r>
      <w:r>
        <w:rPr>
          <w:lang w:val="en-US"/>
        </w:rPr>
        <w:t xml:space="preserve"> based on the draft program logic</w:t>
      </w:r>
    </w:p>
    <w:p w14:paraId="2119FA61" w14:textId="77777777" w:rsidR="00DF33CB" w:rsidRPr="00895471" w:rsidRDefault="00DF33CB" w:rsidP="00DF33CB">
      <w:pPr>
        <w:pStyle w:val="ListBullet"/>
      </w:pPr>
      <w:r w:rsidRPr="00FE4209">
        <w:rPr>
          <w:lang w:val="en-US"/>
        </w:rPr>
        <w:t>scholarship providers have the capacity to collect relevant data to support evaluation activities but require guidance, direction</w:t>
      </w:r>
      <w:r>
        <w:rPr>
          <w:lang w:val="en-US"/>
        </w:rPr>
        <w:t>, resources</w:t>
      </w:r>
      <w:r w:rsidRPr="00FE4209">
        <w:rPr>
          <w:lang w:val="en-US"/>
        </w:rPr>
        <w:t xml:space="preserve"> and structure for this collection.</w:t>
      </w:r>
    </w:p>
    <w:p w14:paraId="08A41D06" w14:textId="651CFB59" w:rsidR="005D7AB5" w:rsidRDefault="00DE1B71" w:rsidP="005D7AB5">
      <w:pPr>
        <w:pStyle w:val="ListBullet"/>
        <w:numPr>
          <w:ilvl w:val="0"/>
          <w:numId w:val="0"/>
        </w:numPr>
        <w:rPr>
          <w:lang w:val="en-GB"/>
        </w:rPr>
      </w:pPr>
      <w:r>
        <w:rPr>
          <w:lang w:val="en-GB"/>
        </w:rPr>
        <w:t xml:space="preserve">With the decommissioning of </w:t>
      </w:r>
      <w:r w:rsidR="00DF33CB">
        <w:rPr>
          <w:lang w:val="en-GB"/>
        </w:rPr>
        <w:t>the</w:t>
      </w:r>
      <w:r w:rsidR="00DF33CB" w:rsidRPr="00D17237">
        <w:rPr>
          <w:lang w:val="en-GB"/>
        </w:rPr>
        <w:t xml:space="preserve"> INDIGO database</w:t>
      </w:r>
      <w:r w:rsidR="00DF33CB">
        <w:rPr>
          <w:lang w:val="en-GB"/>
        </w:rPr>
        <w:t xml:space="preserve">, the significant variation in the responses by each scholarship provider to the data request can in many ways be expected in the absence of an alternative data collection and recording tool, the different contracts and models. </w:t>
      </w:r>
      <w:r w:rsidR="005D7AB5">
        <w:rPr>
          <w:lang w:val="en-GB"/>
        </w:rPr>
        <w:t xml:space="preserve">In lieu of INDIGO, </w:t>
      </w:r>
      <w:r w:rsidR="005D7AB5" w:rsidRPr="007E25B6">
        <w:rPr>
          <w:lang w:val="en-GB"/>
        </w:rPr>
        <w:t>all IAS funded scholarship providers are currently required to report on their activities and outcomes</w:t>
      </w:r>
      <w:r w:rsidR="005D7AB5">
        <w:rPr>
          <w:lang w:val="en-GB"/>
        </w:rPr>
        <w:t xml:space="preserve"> to the department. However, the reports are not comprehensive as they include qualitative case studies illustrating successful outcomes, list the key activities delivered by the scholarship provider within the designated time period and identify any key outcomes for scholars. AIEF has its own reporting documentation and requirements which is stored separately by the department.</w:t>
      </w:r>
    </w:p>
    <w:p w14:paraId="32E33203" w14:textId="5E62821B" w:rsidR="00DF33CB" w:rsidRPr="00FE4209" w:rsidRDefault="00DF33CB" w:rsidP="00DF33CB">
      <w:pPr>
        <w:pStyle w:val="ListBullet"/>
        <w:numPr>
          <w:ilvl w:val="0"/>
          <w:numId w:val="0"/>
        </w:numPr>
      </w:pPr>
      <w:r>
        <w:t xml:space="preserve">To </w:t>
      </w:r>
      <w:r w:rsidR="00DE1B71">
        <w:t>better</w:t>
      </w:r>
      <w:r>
        <w:t xml:space="preserve"> understand the effectiveness and efficiency of the IAS funded secondary school scholarships as it is currently administered and also make an accurate assessment of the impact it is having, it is crucial that a robust evidence base is collated. Gathering this evidence base is vital to not only ensure that each scholarship provider can accurately monitor the outputs and outcomes of its practices, but so that the department can measure the cumulative impact of these practices and inform alternative approaches if the desired results are not being achieved. The development of this evidence base is necessary if the department is to be equipped to effectively distribute resources and to improve educational outcomes for</w:t>
      </w:r>
      <w:r w:rsidR="007D086B">
        <w:t xml:space="preserve"> the recipients of IAS funded</w:t>
      </w:r>
      <w:r>
        <w:t xml:space="preserve"> </w:t>
      </w:r>
      <w:r w:rsidR="007D086B">
        <w:t>scholarships</w:t>
      </w:r>
      <w:r>
        <w:t>.</w:t>
      </w:r>
    </w:p>
    <w:p w14:paraId="43B07233" w14:textId="77777777" w:rsidR="00B54A8B" w:rsidRDefault="00B54A8B" w:rsidP="00B54A8B">
      <w:pPr>
        <w:pStyle w:val="PwCNormal"/>
        <w:rPr>
          <w:lang w:val="en-GB"/>
        </w:rPr>
        <w:sectPr w:rsidR="00B54A8B" w:rsidSect="00E0770B">
          <w:headerReference w:type="even" r:id="rId93"/>
          <w:headerReference w:type="default" r:id="rId94"/>
          <w:footerReference w:type="even" r:id="rId95"/>
          <w:footerReference w:type="default" r:id="rId96"/>
          <w:headerReference w:type="first" r:id="rId97"/>
          <w:footerReference w:type="first" r:id="rId98"/>
          <w:pgSz w:w="11907" w:h="16840" w:code="9"/>
          <w:pgMar w:top="1588" w:right="1020" w:bottom="1418" w:left="2353" w:header="567" w:footer="567" w:gutter="0"/>
          <w:cols w:space="227"/>
          <w:docGrid w:linePitch="360"/>
        </w:sectPr>
      </w:pPr>
    </w:p>
    <w:p w14:paraId="1B488FBB" w14:textId="77777777" w:rsidR="00B54A8B" w:rsidRDefault="00B54A8B" w:rsidP="00B54A8B">
      <w:pPr>
        <w:pStyle w:val="Heading2"/>
        <w:rPr>
          <w:lang w:val="en-GB"/>
        </w:rPr>
      </w:pPr>
      <w:bookmarkStart w:id="49" w:name="_Ref481687184"/>
      <w:bookmarkStart w:id="50" w:name="_Toc482974462"/>
      <w:r>
        <w:rPr>
          <w:lang w:val="en-GB"/>
        </w:rPr>
        <w:lastRenderedPageBreak/>
        <w:t>Future data improvement plan and options</w:t>
      </w:r>
      <w:bookmarkEnd w:id="49"/>
      <w:bookmarkEnd w:id="50"/>
    </w:p>
    <w:p w14:paraId="7C5BF716" w14:textId="01DB98B5" w:rsidR="00DE6C74" w:rsidRDefault="00DE6C74" w:rsidP="00DE6C74">
      <w:pPr>
        <w:pStyle w:val="PwCNormal"/>
        <w:numPr>
          <w:ilvl w:val="0"/>
          <w:numId w:val="9"/>
        </w:numPr>
        <w:rPr>
          <w:lang w:val="en-GB"/>
        </w:rPr>
      </w:pPr>
      <w:r>
        <w:rPr>
          <w:lang w:val="en-GB"/>
        </w:rPr>
        <w:t xml:space="preserve">Given the disparate, inconsistent and incomplete data set that has been compiled based on the responses of scholarship providers to the data request, it is apparent that the evidence base in its current form is inadequate for any meaningful analysis or impact assessment. Despite the </w:t>
      </w:r>
      <w:r w:rsidR="00DE1B71">
        <w:rPr>
          <w:lang w:val="en-GB"/>
        </w:rPr>
        <w:t xml:space="preserve">observed data </w:t>
      </w:r>
      <w:r>
        <w:rPr>
          <w:lang w:val="en-GB"/>
        </w:rPr>
        <w:t>shortcomings, there is a significant opportunity for the department to specify a data improvement plan for implementation in the next round of funding agreements. This section outlines the data needed to determine the impact of the IAS funded secondary school scholarships and outlines a preliminary data improvement plan and recommendations. However, it is critical that this is developed over time and in close consultation with the scholarship providers so as to not undermine their existing investments and initiatives.</w:t>
      </w:r>
    </w:p>
    <w:p w14:paraId="683A715B" w14:textId="77777777" w:rsidR="00DE6C74" w:rsidRDefault="00DE6C74" w:rsidP="00DE6C74">
      <w:pPr>
        <w:pStyle w:val="Heading6"/>
        <w:spacing w:after="240"/>
        <w:ind w:left="851" w:hanging="851"/>
        <w:rPr>
          <w:lang w:val="en-GB"/>
        </w:rPr>
      </w:pPr>
      <w:r>
        <w:rPr>
          <w:lang w:val="en-GB"/>
        </w:rPr>
        <w:t>Improving the data held by scholarship providers</w:t>
      </w:r>
    </w:p>
    <w:p w14:paraId="251BA6E6" w14:textId="5E16A5E9" w:rsidR="00DE6C74" w:rsidRDefault="00DE6C74" w:rsidP="00DE6C74">
      <w:pPr>
        <w:pStyle w:val="PwCNormal"/>
        <w:numPr>
          <w:ilvl w:val="0"/>
          <w:numId w:val="9"/>
        </w:numPr>
        <w:rPr>
          <w:lang w:val="en-GB"/>
        </w:rPr>
      </w:pPr>
      <w:r>
        <w:rPr>
          <w:lang w:val="en-GB"/>
        </w:rPr>
        <w:t xml:space="preserve">From our engagement with each scholarship provider throughout the review, it is apparent that they have access to diverse data points which are not currently collected or reported on in a consistent manner. </w:t>
      </w:r>
      <w:r w:rsidR="00DE1B71">
        <w:rPr>
          <w:lang w:val="en-GB"/>
        </w:rPr>
        <w:t>A</w:t>
      </w:r>
      <w:r>
        <w:rPr>
          <w:lang w:val="en-GB"/>
        </w:rPr>
        <w:t>ll scholarship providers were highly engaged in the review process with many indicating that they had the capability to construct more complete data sets if they had greater clarity on the data they are expected to collect as well as consistent data mechanisms and infrastructures, including the necessary resources to undertake this.</w:t>
      </w:r>
    </w:p>
    <w:p w14:paraId="30DE7C2E" w14:textId="127633EE" w:rsidR="00DE6C74" w:rsidRDefault="00DE6C74" w:rsidP="00DE6C74">
      <w:pPr>
        <w:pStyle w:val="PwCNormal"/>
        <w:numPr>
          <w:ilvl w:val="0"/>
          <w:numId w:val="9"/>
        </w:numPr>
        <w:rPr>
          <w:lang w:val="en-GB"/>
        </w:rPr>
      </w:pPr>
      <w:r>
        <w:rPr>
          <w:lang w:val="en-GB"/>
        </w:rPr>
        <w:t xml:space="preserve">If the data </w:t>
      </w:r>
      <w:r w:rsidR="00DE1B71">
        <w:rPr>
          <w:lang w:val="en-GB"/>
        </w:rPr>
        <w:t>collected</w:t>
      </w:r>
      <w:r>
        <w:rPr>
          <w:lang w:val="en-GB"/>
        </w:rPr>
        <w:t xml:space="preserve"> by scholarship providers is to be improved, it is imperative that the department investigates the following options:</w:t>
      </w:r>
    </w:p>
    <w:p w14:paraId="624EB425" w14:textId="77777777" w:rsidR="00DE6C74" w:rsidRDefault="00DE6C74" w:rsidP="00DE6C74">
      <w:pPr>
        <w:pStyle w:val="ListBullet"/>
        <w:rPr>
          <w:lang w:val="en-GB"/>
        </w:rPr>
      </w:pPr>
      <w:r>
        <w:rPr>
          <w:lang w:val="en-GB"/>
        </w:rPr>
        <w:t>develop a program logic for the delivery of the IAS funded secondary school scholarships in collaboration and agreement with scholarship providers</w:t>
      </w:r>
    </w:p>
    <w:p w14:paraId="0061DB91" w14:textId="77777777" w:rsidR="00DE6C74" w:rsidRDefault="00DE6C74" w:rsidP="00DE6C74">
      <w:pPr>
        <w:pStyle w:val="ListBullet"/>
        <w:rPr>
          <w:lang w:val="en-GB"/>
        </w:rPr>
      </w:pPr>
      <w:r w:rsidRPr="00F02A37">
        <w:rPr>
          <w:lang w:val="en-GB"/>
        </w:rPr>
        <w:t>speci</w:t>
      </w:r>
      <w:r>
        <w:rPr>
          <w:lang w:val="en-GB"/>
        </w:rPr>
        <w:t>fy</w:t>
      </w:r>
      <w:r w:rsidRPr="00F02A37">
        <w:rPr>
          <w:lang w:val="en-GB"/>
        </w:rPr>
        <w:t xml:space="preserve"> the minimum data sets to be collected by each provider</w:t>
      </w:r>
      <w:r>
        <w:rPr>
          <w:lang w:val="en-GB"/>
        </w:rPr>
        <w:t xml:space="preserve"> to build a rigorous evidence base</w:t>
      </w:r>
      <w:r w:rsidRPr="00F02A37">
        <w:rPr>
          <w:lang w:val="en-GB"/>
        </w:rPr>
        <w:t xml:space="preserve"> and </w:t>
      </w:r>
      <w:r>
        <w:rPr>
          <w:lang w:val="en-GB"/>
        </w:rPr>
        <w:t xml:space="preserve">explain </w:t>
      </w:r>
      <w:r w:rsidRPr="00F02A37">
        <w:rPr>
          <w:lang w:val="en-GB"/>
        </w:rPr>
        <w:t>the rationale for doing so</w:t>
      </w:r>
    </w:p>
    <w:p w14:paraId="45310146" w14:textId="77777777" w:rsidR="00DE6C74" w:rsidRDefault="00DE6C74" w:rsidP="00DE6C74">
      <w:pPr>
        <w:pStyle w:val="ListBullet"/>
        <w:rPr>
          <w:lang w:val="en-GB"/>
        </w:rPr>
      </w:pPr>
      <w:r>
        <w:rPr>
          <w:lang w:val="en-GB"/>
        </w:rPr>
        <w:t xml:space="preserve">develop and implement a standard </w:t>
      </w:r>
      <w:r w:rsidRPr="00F02A37">
        <w:rPr>
          <w:lang w:val="en-GB"/>
        </w:rPr>
        <w:t xml:space="preserve">data reporting </w:t>
      </w:r>
      <w:r>
        <w:rPr>
          <w:lang w:val="en-GB"/>
        </w:rPr>
        <w:t>requirements</w:t>
      </w:r>
      <w:r w:rsidRPr="00F02A37">
        <w:rPr>
          <w:lang w:val="en-GB"/>
        </w:rPr>
        <w:t xml:space="preserve"> </w:t>
      </w:r>
      <w:r>
        <w:rPr>
          <w:lang w:val="en-GB"/>
        </w:rPr>
        <w:t xml:space="preserve">for all scholarship providers </w:t>
      </w:r>
      <w:r w:rsidRPr="00F02A37">
        <w:rPr>
          <w:lang w:val="en-GB"/>
        </w:rPr>
        <w:t xml:space="preserve">so that </w:t>
      </w:r>
      <w:r>
        <w:rPr>
          <w:lang w:val="en-GB"/>
        </w:rPr>
        <w:t xml:space="preserve">the </w:t>
      </w:r>
      <w:r w:rsidRPr="00F02A37">
        <w:rPr>
          <w:lang w:val="en-GB"/>
        </w:rPr>
        <w:t xml:space="preserve">outputs and outcomes </w:t>
      </w:r>
      <w:r>
        <w:rPr>
          <w:lang w:val="en-GB"/>
        </w:rPr>
        <w:t xml:space="preserve">of their practices </w:t>
      </w:r>
      <w:r w:rsidRPr="00F02A37">
        <w:rPr>
          <w:lang w:val="en-GB"/>
        </w:rPr>
        <w:t>can be</w:t>
      </w:r>
      <w:r>
        <w:rPr>
          <w:lang w:val="en-GB"/>
        </w:rPr>
        <w:t xml:space="preserve"> documented, monitored and</w:t>
      </w:r>
      <w:r w:rsidRPr="00F02A37">
        <w:rPr>
          <w:lang w:val="en-GB"/>
        </w:rPr>
        <w:t xml:space="preserve"> compared</w:t>
      </w:r>
      <w:r>
        <w:rPr>
          <w:lang w:val="en-GB"/>
        </w:rPr>
        <w:t xml:space="preserve"> in a systematic and robust manner. Where it does not already exist, this could include the development of a standard reporting tool.</w:t>
      </w:r>
    </w:p>
    <w:p w14:paraId="040AABBB" w14:textId="77777777" w:rsidR="00DE6C74" w:rsidRPr="00933E67" w:rsidRDefault="00DE6C74" w:rsidP="00DE6C74">
      <w:pPr>
        <w:pStyle w:val="ListBullet"/>
        <w:rPr>
          <w:lang w:val="en-GB"/>
        </w:rPr>
      </w:pPr>
      <w:r w:rsidRPr="00933E67">
        <w:rPr>
          <w:lang w:val="en-GB"/>
        </w:rPr>
        <w:t>recognise each scholarship provider’s organisational structure and their respective models of operation by establishing data sharing protocols when information is collected and/or held by education partners. It is crucial</w:t>
      </w:r>
      <w:r>
        <w:rPr>
          <w:lang w:val="en-GB"/>
        </w:rPr>
        <w:t xml:space="preserve"> that</w:t>
      </w:r>
      <w:r w:rsidRPr="00933E67">
        <w:rPr>
          <w:lang w:val="en-GB"/>
        </w:rPr>
        <w:t xml:space="preserve"> data collection responsibilities </w:t>
      </w:r>
      <w:r>
        <w:rPr>
          <w:lang w:val="en-GB"/>
        </w:rPr>
        <w:t xml:space="preserve">are allocated </w:t>
      </w:r>
      <w:r w:rsidRPr="00933E67">
        <w:rPr>
          <w:lang w:val="en-GB"/>
        </w:rPr>
        <w:t>based on the principles of devolution so that scholarship providers are not faced with administrative burdens when avoidable.</w:t>
      </w:r>
    </w:p>
    <w:p w14:paraId="286AE9DF" w14:textId="77777777" w:rsidR="00DE6C74" w:rsidRDefault="00DE6C74" w:rsidP="00DE6C74">
      <w:pPr>
        <w:pStyle w:val="Heading7"/>
        <w:spacing w:after="240"/>
        <w:ind w:left="851" w:hanging="851"/>
        <w:rPr>
          <w:lang w:val="en-GB"/>
        </w:rPr>
      </w:pPr>
      <w:r>
        <w:rPr>
          <w:lang w:val="en-GB"/>
        </w:rPr>
        <w:t>Developing a program logic</w:t>
      </w:r>
    </w:p>
    <w:p w14:paraId="289AC7AF" w14:textId="77777777" w:rsidR="00DE6C74" w:rsidRDefault="00DE6C74" w:rsidP="00DE6C74">
      <w:pPr>
        <w:spacing w:after="240"/>
        <w:rPr>
          <w:rFonts w:cstheme="minorBidi"/>
          <w:snapToGrid/>
        </w:rPr>
      </w:pPr>
      <w:r>
        <w:t xml:space="preserve">Program logic models are useful in framing monitoring and evaluation activities primarily concerned with supporting decision making around program resources, activities, outputs, and outcomes and answering questions such as: </w:t>
      </w:r>
    </w:p>
    <w:p w14:paraId="54EB5CD7" w14:textId="170635A0" w:rsidR="00DE6C74" w:rsidRDefault="00777EFF" w:rsidP="00DE6C74">
      <w:pPr>
        <w:pStyle w:val="ListBullet"/>
      </w:pPr>
      <w:r>
        <w:t>w</w:t>
      </w:r>
      <w:r w:rsidR="00DE6C74">
        <w:t xml:space="preserve">ere allocated resources sufficient to implement the program effectively? </w:t>
      </w:r>
    </w:p>
    <w:p w14:paraId="64557CE5" w14:textId="6443F44B" w:rsidR="00DE6C74" w:rsidRDefault="00777EFF" w:rsidP="00DE6C74">
      <w:pPr>
        <w:pStyle w:val="ListBullet"/>
      </w:pPr>
      <w:r>
        <w:t>w</w:t>
      </w:r>
      <w:r w:rsidR="00DE6C74">
        <w:t xml:space="preserve">ere the funded activities conducted as intended? </w:t>
      </w:r>
    </w:p>
    <w:p w14:paraId="3EA54066" w14:textId="1DFFD1CA" w:rsidR="00DE6C74" w:rsidRDefault="00777EFF" w:rsidP="00DE6C74">
      <w:pPr>
        <w:pStyle w:val="ListBullet"/>
      </w:pPr>
      <w:r>
        <w:lastRenderedPageBreak/>
        <w:t>w</w:t>
      </w:r>
      <w:r w:rsidR="00DE6C74">
        <w:t>ere expected outputs achieved?</w:t>
      </w:r>
    </w:p>
    <w:p w14:paraId="64A44F69" w14:textId="7A20057A" w:rsidR="00DE6C74" w:rsidRDefault="00777EFF" w:rsidP="00DE6C74">
      <w:pPr>
        <w:pStyle w:val="ListBullet"/>
      </w:pPr>
      <w:r>
        <w:t>t</w:t>
      </w:r>
      <w:r w:rsidR="00DE6C74">
        <w:t>o what extend did the funded activity achieve its short-, mid-, and long-term outcomes?</w:t>
      </w:r>
    </w:p>
    <w:p w14:paraId="0E875E7E" w14:textId="77777777" w:rsidR="00DE6C74" w:rsidRDefault="00DE6C74" w:rsidP="00DE6C74">
      <w:pPr>
        <w:spacing w:after="240"/>
      </w:pPr>
      <w:r>
        <w:t>While different terminology can be used to describe the approach including program theory, theory of change, outcomes hierarchy and intervention logic, in essence the purpose of all program logic type frameworks is to outline how a project works by linking program activities with intended outcomes.  In particular program logic models:</w:t>
      </w:r>
    </w:p>
    <w:p w14:paraId="7A40B819" w14:textId="397F0405" w:rsidR="00DE6C74" w:rsidRDefault="00777EFF" w:rsidP="00DE6C74">
      <w:pPr>
        <w:pStyle w:val="ListBullet"/>
      </w:pPr>
      <w:r>
        <w:rPr>
          <w:b/>
        </w:rPr>
        <w:t>p</w:t>
      </w:r>
      <w:r w:rsidR="00DE6C74">
        <w:rPr>
          <w:b/>
        </w:rPr>
        <w:t>rovide a readily accessible summary of the funded activity</w:t>
      </w:r>
      <w:r w:rsidR="00DE6C74">
        <w:t xml:space="preserve">: Developing a program logic supports the development of a deeper understanding of the activities and intended outcomes of funding and brings a systematic approach, imposing structure, rigour and discipline which makes clear the relationships among its components at various stages. Importantly program logic models link the activities to the aims and intended outcomes. </w:t>
      </w:r>
    </w:p>
    <w:p w14:paraId="1FE39D5B" w14:textId="5880CE77" w:rsidR="00DE6C74" w:rsidRDefault="00777EFF" w:rsidP="00DE6C74">
      <w:pPr>
        <w:pStyle w:val="ListBullet"/>
      </w:pPr>
      <w:r>
        <w:rPr>
          <w:b/>
        </w:rPr>
        <w:t>i</w:t>
      </w:r>
      <w:r w:rsidR="00DE6C74">
        <w:rPr>
          <w:b/>
        </w:rPr>
        <w:t>denti</w:t>
      </w:r>
      <w:r>
        <w:rPr>
          <w:b/>
        </w:rPr>
        <w:t>fy</w:t>
      </w:r>
      <w:r w:rsidR="00DE6C74">
        <w:rPr>
          <w:b/>
        </w:rPr>
        <w:t xml:space="preserve"> evaluation questions</w:t>
      </w:r>
      <w:r w:rsidR="00DE6C74">
        <w:t>: presenting the funded activity in a program logic model format helps identify key evaluation questions and support decision making to target evaluation efforts to the most critical areas.  The program logic can help make clear the audiences for evaluation material and the potential sources and holders of data which may extend beyond the direct grant funding recipients (for example education partners).  In addition program logic models help fine tune general evaluation questions into “clear, specific, and actionable evaluation questions”.</w:t>
      </w:r>
      <w:r w:rsidR="00DE6C74">
        <w:rPr>
          <w:rStyle w:val="FootnoteReference"/>
        </w:rPr>
        <w:footnoteReference w:id="6"/>
      </w:r>
    </w:p>
    <w:p w14:paraId="7A1872B6" w14:textId="466712E3" w:rsidR="00DE6C74" w:rsidRDefault="00DE6C74" w:rsidP="00DE6C74">
      <w:pPr>
        <w:pStyle w:val="ListBullet"/>
        <w:numPr>
          <w:ilvl w:val="0"/>
          <w:numId w:val="0"/>
        </w:numPr>
      </w:pPr>
      <w:r>
        <w:rPr>
          <w:lang w:val="en-GB"/>
        </w:rPr>
        <w:t xml:space="preserve">As discussed in section </w:t>
      </w:r>
      <w:r>
        <w:rPr>
          <w:lang w:val="en-GB"/>
        </w:rPr>
        <w:fldChar w:fldCharType="begin"/>
      </w:r>
      <w:r>
        <w:rPr>
          <w:lang w:val="en-GB"/>
        </w:rPr>
        <w:instrText xml:space="preserve"> REF _Ref478571442 \n \h </w:instrText>
      </w:r>
      <w:r>
        <w:rPr>
          <w:lang w:val="en-GB"/>
        </w:rPr>
      </w:r>
      <w:r>
        <w:rPr>
          <w:lang w:val="en-GB"/>
        </w:rPr>
        <w:fldChar w:fldCharType="separate"/>
      </w:r>
      <w:r w:rsidR="009C78D7">
        <w:rPr>
          <w:lang w:val="en-GB"/>
        </w:rPr>
        <w:t>2.3</w:t>
      </w:r>
      <w:r>
        <w:rPr>
          <w:lang w:val="en-GB"/>
        </w:rPr>
        <w:fldChar w:fldCharType="end"/>
      </w:r>
      <w:r>
        <w:rPr>
          <w:lang w:val="en-GB"/>
        </w:rPr>
        <w:t xml:space="preserve">, as part of the review </w:t>
      </w:r>
      <w:r>
        <w:t xml:space="preserve">PIC has developed a draft program logic for funded secondary school scholarships for Aboriginal and Torres Strait Islander students based on desktop analysis and review of grant requirements. However, a key part of the development of a program logic is engaging in a range of consultation to ensure that there is an agreed understanding and to support ownership of the program logic diagram.  Further consultation on the </w:t>
      </w:r>
      <w:r w:rsidR="003B75D7">
        <w:t xml:space="preserve">draft </w:t>
      </w:r>
      <w:r>
        <w:t>program logic is recommended in the development of the monitoring and evaluation framework including with funded scholarship providers.</w:t>
      </w:r>
    </w:p>
    <w:p w14:paraId="16F5BB56" w14:textId="77777777" w:rsidR="00DE6C74" w:rsidRDefault="00DE6C74" w:rsidP="00DE6C74">
      <w:pPr>
        <w:pStyle w:val="Heading7"/>
        <w:spacing w:after="240"/>
        <w:ind w:left="851" w:hanging="851"/>
        <w:rPr>
          <w:lang w:val="en-GB"/>
        </w:rPr>
      </w:pPr>
      <w:r>
        <w:rPr>
          <w:lang w:val="en-GB"/>
        </w:rPr>
        <w:t>Specifying a minimum data set</w:t>
      </w:r>
    </w:p>
    <w:p w14:paraId="6C209899" w14:textId="77777777" w:rsidR="00DE6C74" w:rsidRDefault="00DE6C74" w:rsidP="00DE6C74">
      <w:pPr>
        <w:pStyle w:val="PwCNormal"/>
        <w:numPr>
          <w:ilvl w:val="0"/>
          <w:numId w:val="9"/>
        </w:numPr>
        <w:rPr>
          <w:lang w:val="en-GB"/>
        </w:rPr>
      </w:pPr>
      <w:r>
        <w:rPr>
          <w:lang w:val="en-GB"/>
        </w:rPr>
        <w:t>In terms of improving the data collected and held by scholarship providers through the specification of a minimum data set to be collected in the future, it is important to recognise that there are two purposes for the use of this data:</w:t>
      </w:r>
    </w:p>
    <w:p w14:paraId="398B14ED" w14:textId="77777777" w:rsidR="00DE6C74" w:rsidRPr="006A7BBC" w:rsidRDefault="00DE6C74" w:rsidP="001E1F9F">
      <w:pPr>
        <w:pStyle w:val="ChapterNumberedList1"/>
        <w:rPr>
          <w:snapToGrid/>
          <w:lang w:eastAsia="en-AU"/>
        </w:rPr>
      </w:pPr>
      <w:r>
        <w:rPr>
          <w:lang w:val="en-GB"/>
        </w:rPr>
        <w:t>ongoing</w:t>
      </w:r>
      <w:r w:rsidRPr="006A7BBC">
        <w:rPr>
          <w:lang w:val="en-GB"/>
        </w:rPr>
        <w:t xml:space="preserve"> m</w:t>
      </w:r>
      <w:r>
        <w:rPr>
          <w:lang w:val="en-GB"/>
        </w:rPr>
        <w:t>onitoring</w:t>
      </w:r>
      <w:r w:rsidRPr="006A7BBC">
        <w:rPr>
          <w:lang w:val="en-GB"/>
        </w:rPr>
        <w:t xml:space="preserve"> </w:t>
      </w:r>
      <w:r>
        <w:rPr>
          <w:lang w:val="en-GB"/>
        </w:rPr>
        <w:t xml:space="preserve">and evaluation of </w:t>
      </w:r>
      <w:r w:rsidRPr="006A7BBC">
        <w:rPr>
          <w:lang w:val="en-GB"/>
        </w:rPr>
        <w:t>the delivery of the IAS funded secondary school scholarships</w:t>
      </w:r>
    </w:p>
    <w:p w14:paraId="27AE9EF1" w14:textId="77777777" w:rsidR="00DE6C74" w:rsidRPr="006A7BBC" w:rsidRDefault="00DE6C74" w:rsidP="001E1F9F">
      <w:pPr>
        <w:pStyle w:val="ChapterNumberedList1"/>
        <w:rPr>
          <w:snapToGrid/>
          <w:lang w:eastAsia="en-AU"/>
        </w:rPr>
      </w:pPr>
      <w:r>
        <w:rPr>
          <w:lang w:val="en-GB"/>
        </w:rPr>
        <w:t>rigorous impact analysis</w:t>
      </w:r>
      <w:r w:rsidRPr="006A7BBC">
        <w:rPr>
          <w:lang w:val="en-GB"/>
        </w:rPr>
        <w:t xml:space="preserve"> of the IAS funded secondary school scholarships</w:t>
      </w:r>
      <w:r>
        <w:rPr>
          <w:lang w:val="en-GB"/>
        </w:rPr>
        <w:t>.</w:t>
      </w:r>
    </w:p>
    <w:p w14:paraId="71144B08" w14:textId="77777777" w:rsidR="00DE6C74" w:rsidRPr="00555EA5" w:rsidRDefault="00DE6C74" w:rsidP="00DE6C74">
      <w:pPr>
        <w:pStyle w:val="ChapterNumberedList1"/>
        <w:numPr>
          <w:ilvl w:val="0"/>
          <w:numId w:val="40"/>
        </w:numPr>
        <w:rPr>
          <w:b/>
          <w:lang w:val="en-GB"/>
        </w:rPr>
      </w:pPr>
      <w:r>
        <w:rPr>
          <w:b/>
          <w:lang w:val="en-GB"/>
        </w:rPr>
        <w:t>Ongoing</w:t>
      </w:r>
      <w:r w:rsidRPr="00555EA5">
        <w:rPr>
          <w:b/>
          <w:lang w:val="en-GB"/>
        </w:rPr>
        <w:t xml:space="preserve"> monitor</w:t>
      </w:r>
      <w:r>
        <w:rPr>
          <w:b/>
          <w:lang w:val="en-GB"/>
        </w:rPr>
        <w:t>ing</w:t>
      </w:r>
      <w:r w:rsidRPr="00555EA5">
        <w:rPr>
          <w:b/>
          <w:lang w:val="en-GB"/>
        </w:rPr>
        <w:t xml:space="preserve"> </w:t>
      </w:r>
      <w:r>
        <w:rPr>
          <w:b/>
          <w:lang w:val="en-GB"/>
        </w:rPr>
        <w:t xml:space="preserve">and evaluation of </w:t>
      </w:r>
      <w:r w:rsidRPr="00555EA5">
        <w:rPr>
          <w:b/>
          <w:lang w:val="en-GB"/>
        </w:rPr>
        <w:t>the delivery of IAS funded secondary school scholarships</w:t>
      </w:r>
    </w:p>
    <w:p w14:paraId="328F56B0" w14:textId="77777777" w:rsidR="00DE6C74" w:rsidRDefault="00DE6C74" w:rsidP="00DE6C74">
      <w:pPr>
        <w:pStyle w:val="ChapterNumberedList1"/>
        <w:numPr>
          <w:ilvl w:val="0"/>
          <w:numId w:val="0"/>
        </w:numPr>
      </w:pPr>
      <w:r>
        <w:t>The successful monitoring and evaluation of a program or service involves the delivery of timely and relevant information so that progress towards outcomes can be tracked and adjustments can be made to implementation arrangements as necessary. For the IAS funded scholarship providers, tracking progress in a deliberate and systematic manner on an annual basis is crucial to:</w:t>
      </w:r>
    </w:p>
    <w:p w14:paraId="3FFD5D41" w14:textId="77777777" w:rsidR="00DE6C74" w:rsidRDefault="00DE6C74" w:rsidP="00DE6C74">
      <w:pPr>
        <w:pStyle w:val="ListBullet"/>
      </w:pPr>
      <w:r>
        <w:lastRenderedPageBreak/>
        <w:t>understand the extent to which they are meeting the requirements in their funding agreements</w:t>
      </w:r>
    </w:p>
    <w:p w14:paraId="75EF4CBE" w14:textId="77777777" w:rsidR="00DE6C74" w:rsidRDefault="00DE6C74" w:rsidP="00DE6C74">
      <w:pPr>
        <w:pStyle w:val="ListBullet"/>
      </w:pPr>
      <w:r>
        <w:t>understand the extent to which they are assisting Indigenous students to access and complete secondary school and transition to post-school outcomes</w:t>
      </w:r>
    </w:p>
    <w:p w14:paraId="786015D2" w14:textId="77777777" w:rsidR="00DE6C74" w:rsidRDefault="00DE6C74" w:rsidP="00DE6C74">
      <w:pPr>
        <w:pStyle w:val="ListBullet"/>
      </w:pPr>
      <w:r>
        <w:t>reflect on existing implementation arrangements and improve their practices.</w:t>
      </w:r>
    </w:p>
    <w:p w14:paraId="193222C9" w14:textId="77777777" w:rsidR="00DE6C74" w:rsidRPr="00BD365D" w:rsidRDefault="00DE6C74" w:rsidP="00DE6C74">
      <w:pPr>
        <w:pStyle w:val="ChapterNumberedList1"/>
        <w:numPr>
          <w:ilvl w:val="0"/>
          <w:numId w:val="0"/>
        </w:numPr>
      </w:pPr>
      <w:r>
        <w:t xml:space="preserve">Regardless of the model that is currently adopted by each scholarship provider in administering the IAS funded secondary school scholarships (i.e. school-led, hybrid or partnership broker), data collection and reporting is not the primary focus of any scholarship provider. Although it is clear from the responses to the data request that some scholarship providers currently adopt more sophisticated approaches to data collection and monitoring, </w:t>
      </w:r>
      <w:r w:rsidRPr="00BD365D">
        <w:t>across the ten scholarship providers existing practices are inconsistent.</w:t>
      </w:r>
    </w:p>
    <w:p w14:paraId="0348BB54" w14:textId="77777777" w:rsidR="00997DD3" w:rsidRDefault="00DE6C74" w:rsidP="00997DD3">
      <w:pPr>
        <w:pStyle w:val="ListBullet"/>
        <w:numPr>
          <w:ilvl w:val="0"/>
          <w:numId w:val="0"/>
        </w:numPr>
        <w:rPr>
          <w:lang w:val="en-GB"/>
        </w:rPr>
      </w:pPr>
      <w:r w:rsidRPr="00BD365D">
        <w:t>Whilst eng</w:t>
      </w:r>
      <w:r>
        <w:t xml:space="preserve">aging </w:t>
      </w:r>
      <w:r w:rsidRPr="00BD365D">
        <w:t xml:space="preserve">in the review process, a common theme arising from discussions with scholarship providers is that they often collect data to monitor progress internally (i.e. in line with the respective governance structures) or to satisfy the requirements stipulated in funding agreements. Machinery of government changes, the various iterations of funding agreements associated with this and the absence of a consistent data collection tool to replace the INDIGO database has </w:t>
      </w:r>
      <w:r w:rsidRPr="00BD365D">
        <w:rPr>
          <w:lang w:val="en-GB"/>
        </w:rPr>
        <w:t>resulted in diverse and inconsistent monitoring practices across the scholarship providers.</w:t>
      </w:r>
      <w:r w:rsidR="00997DD3">
        <w:rPr>
          <w:lang w:val="en-GB"/>
        </w:rPr>
        <w:t xml:space="preserve"> </w:t>
      </w:r>
    </w:p>
    <w:p w14:paraId="7FA9B2A2" w14:textId="77777777" w:rsidR="00777EFF" w:rsidRDefault="005D7AB5" w:rsidP="00DE6C74">
      <w:pPr>
        <w:pStyle w:val="ChapterNumberedList1"/>
        <w:numPr>
          <w:ilvl w:val="0"/>
          <w:numId w:val="0"/>
        </w:numPr>
        <w:rPr>
          <w:lang w:val="en-GB"/>
        </w:rPr>
      </w:pPr>
      <w:r>
        <w:rPr>
          <w:lang w:val="en-GB"/>
        </w:rPr>
        <w:t xml:space="preserve">In lieu of INDIGO, </w:t>
      </w:r>
      <w:r w:rsidRPr="007E25B6">
        <w:rPr>
          <w:lang w:val="en-GB"/>
        </w:rPr>
        <w:t>all IAS funded scholarship providers are currently required to report on their activities and outcomes</w:t>
      </w:r>
      <w:r>
        <w:rPr>
          <w:lang w:val="en-GB"/>
        </w:rPr>
        <w:t xml:space="preserve"> to the department. However, the reports are not comprehensive as they include qualitative case studies illustrating successful outcomes, list the key activities delivered by the scholarship provider within the designated time period and identify any key outcomes for scholars. AIEF has its own reporting documentation and requirements which is stored separately by the department.</w:t>
      </w:r>
    </w:p>
    <w:p w14:paraId="001CC11F" w14:textId="208BCAA0" w:rsidR="00DE6C74" w:rsidRPr="00BD365D" w:rsidRDefault="00DE6C74" w:rsidP="00DE6C74">
      <w:pPr>
        <w:pStyle w:val="ChapterNumberedList1"/>
        <w:numPr>
          <w:ilvl w:val="0"/>
          <w:numId w:val="0"/>
        </w:numPr>
        <w:rPr>
          <w:lang w:val="en-GB"/>
        </w:rPr>
      </w:pPr>
      <w:r w:rsidRPr="00BD365D">
        <w:rPr>
          <w:lang w:val="en-GB"/>
        </w:rPr>
        <w:t>In order to assist scholarship providers to successfully monitor their delivery of IAS funded secondary school scholarship</w:t>
      </w:r>
      <w:r>
        <w:rPr>
          <w:lang w:val="en-GB"/>
        </w:rPr>
        <w:t>s</w:t>
      </w:r>
      <w:r w:rsidRPr="00BD365D">
        <w:rPr>
          <w:lang w:val="en-GB"/>
        </w:rPr>
        <w:t xml:space="preserve">, the </w:t>
      </w:r>
      <w:r>
        <w:rPr>
          <w:lang w:val="en-GB"/>
        </w:rPr>
        <w:t>d</w:t>
      </w:r>
      <w:r w:rsidRPr="00BD365D">
        <w:rPr>
          <w:lang w:val="en-GB"/>
        </w:rPr>
        <w:t xml:space="preserve">epartment </w:t>
      </w:r>
      <w:r w:rsidR="00DE1B71">
        <w:rPr>
          <w:lang w:val="en-GB"/>
        </w:rPr>
        <w:t>should</w:t>
      </w:r>
      <w:r w:rsidRPr="00BD365D">
        <w:t xml:space="preserve"> define the data to be collected and the method used for monitoring. </w:t>
      </w:r>
      <w:r>
        <w:t xml:space="preserve">For instance, the department could specify a Monitoring Framework as a key document to guide all evidence collection, analysis and reporting by scholarship providers, with the objective of being able to inform adaptive management and enable evidence-based decision-making. </w:t>
      </w:r>
      <w:r w:rsidRPr="00BD365D">
        <w:rPr>
          <w:lang w:val="en-GB"/>
        </w:rPr>
        <w:t xml:space="preserve">This is important for the </w:t>
      </w:r>
      <w:r>
        <w:rPr>
          <w:lang w:val="en-GB"/>
        </w:rPr>
        <w:t>d</w:t>
      </w:r>
      <w:r w:rsidRPr="00BD365D">
        <w:rPr>
          <w:lang w:val="en-GB"/>
        </w:rPr>
        <w:t xml:space="preserve">epartment </w:t>
      </w:r>
      <w:r>
        <w:rPr>
          <w:lang w:val="en-GB"/>
        </w:rPr>
        <w:t>to identify</w:t>
      </w:r>
      <w:r w:rsidRPr="00BD365D">
        <w:rPr>
          <w:lang w:val="en-GB"/>
        </w:rPr>
        <w:t xml:space="preserve"> any variability between funding agreements and the actual outputs and/or outcomes being generated by each scholarship provider. It is also vital for each scholarship provider as it allows them to adopt consistent data collection processes and procedures to monitor their activities and to reflect on and improve their practice.</w:t>
      </w:r>
    </w:p>
    <w:p w14:paraId="6A296E18" w14:textId="1C53FA01" w:rsidR="00DE6C74" w:rsidRPr="004E1034" w:rsidRDefault="00DE6C74" w:rsidP="00DE6C74">
      <w:pPr>
        <w:spacing w:after="240"/>
        <w:rPr>
          <w:lang w:val="en-GB"/>
        </w:rPr>
      </w:pPr>
      <w:r w:rsidRPr="004E1034">
        <w:rPr>
          <w:lang w:val="en-GB"/>
        </w:rPr>
        <w:t xml:space="preserve">There have been significant moves towards the application of evidence-based approaches across policy and practice in recent years, particularly to </w:t>
      </w:r>
      <w:r w:rsidR="003B75D7">
        <w:rPr>
          <w:lang w:val="en-GB"/>
        </w:rPr>
        <w:t>using</w:t>
      </w:r>
      <w:r w:rsidR="003B75D7" w:rsidRPr="004E1034">
        <w:rPr>
          <w:lang w:val="en-GB"/>
        </w:rPr>
        <w:t xml:space="preserve"> </w:t>
      </w:r>
      <w:r w:rsidRPr="004E1034">
        <w:rPr>
          <w:lang w:val="en-GB"/>
        </w:rPr>
        <w:t>data more strategically to identify what works</w:t>
      </w:r>
      <w:r w:rsidR="003B75D7">
        <w:rPr>
          <w:lang w:val="en-GB"/>
        </w:rPr>
        <w:t>,</w:t>
      </w:r>
      <w:r w:rsidRPr="004E1034">
        <w:rPr>
          <w:lang w:val="en-GB"/>
        </w:rPr>
        <w:t xml:space="preserve"> under what conditions</w:t>
      </w:r>
      <w:r w:rsidR="003B75D7">
        <w:rPr>
          <w:lang w:val="en-GB"/>
        </w:rPr>
        <w:t>,</w:t>
      </w:r>
      <w:r w:rsidRPr="004E1034">
        <w:rPr>
          <w:lang w:val="en-GB"/>
        </w:rPr>
        <w:t xml:space="preserve"> to drive change.</w:t>
      </w:r>
      <w:r w:rsidRPr="004E1034">
        <w:rPr>
          <w:vertAlign w:val="superscript"/>
          <w:lang w:val="en-GB"/>
        </w:rPr>
        <w:footnoteReference w:id="7"/>
      </w:r>
      <w:r w:rsidRPr="004E1034">
        <w:rPr>
          <w:vertAlign w:val="superscript"/>
          <w:lang w:val="en-GB"/>
        </w:rPr>
        <w:t xml:space="preserve"> </w:t>
      </w:r>
      <w:r w:rsidRPr="004E1034">
        <w:rPr>
          <w:lang w:val="en-GB"/>
        </w:rPr>
        <w:t xml:space="preserve">Additionally, there is a growing trend internationally and nationally towards an outcomes – rather than outputs – based approach with the focus being on measuring the impact (to clients, program recipients etc.) resulting from inputs and activities. This approach is critical for evidence-based practice in order to make changes and improvements, guide system development and funding allocations to ensure achievement of the </w:t>
      </w:r>
      <w:r>
        <w:rPr>
          <w:lang w:val="en-GB"/>
        </w:rPr>
        <w:t>greatest (and intended) impact.</w:t>
      </w:r>
    </w:p>
    <w:p w14:paraId="52717286" w14:textId="77777777" w:rsidR="00DE6C74" w:rsidRDefault="00DE6C74" w:rsidP="00DE6C74">
      <w:pPr>
        <w:spacing w:after="240"/>
      </w:pPr>
      <w:r w:rsidRPr="004E1034">
        <w:t xml:space="preserve">Evidence-based practice is supported through having </w:t>
      </w:r>
      <w:r>
        <w:t xml:space="preserve">a </w:t>
      </w:r>
      <w:r w:rsidRPr="004E1034">
        <w:t>clear and shared understanding about the desired outcomes, as well as how to measure and assess these outcomes</w:t>
      </w:r>
      <w:r>
        <w:t xml:space="preserve">. The </w:t>
      </w:r>
      <w:r w:rsidRPr="004E1034">
        <w:t>Monitoring</w:t>
      </w:r>
      <w:r>
        <w:t xml:space="preserve"> and Evaluation</w:t>
      </w:r>
      <w:r w:rsidRPr="004E1034">
        <w:t xml:space="preserve"> Framework</w:t>
      </w:r>
      <w:r>
        <w:t xml:space="preserve"> would provide the opportunity for these to be detailed</w:t>
      </w:r>
      <w:r w:rsidRPr="004E1034">
        <w:t>.</w:t>
      </w:r>
    </w:p>
    <w:p w14:paraId="654364CE" w14:textId="77777777" w:rsidR="00DE6C74" w:rsidRDefault="00DE6C74" w:rsidP="00DE6C74">
      <w:pPr>
        <w:spacing w:after="240"/>
      </w:pPr>
      <w:r>
        <w:lastRenderedPageBreak/>
        <w:t>The Monitoring and Evaluation Framework will function to:</w:t>
      </w:r>
    </w:p>
    <w:p w14:paraId="657F22C7" w14:textId="77777777" w:rsidR="00DE6C74" w:rsidRDefault="00DE6C74" w:rsidP="00DE6C74">
      <w:pPr>
        <w:pStyle w:val="ListBullet"/>
        <w:rPr>
          <w:snapToGrid/>
        </w:rPr>
      </w:pPr>
      <w:r>
        <w:t>ensure shared understanding and collective agreement across scholarship providers about outcome areas (shared vision)</w:t>
      </w:r>
    </w:p>
    <w:p w14:paraId="5966145E" w14:textId="77777777" w:rsidR="00DE6C74" w:rsidRDefault="00DE6C74" w:rsidP="00DE6C74">
      <w:pPr>
        <w:pStyle w:val="ListBullet"/>
      </w:pPr>
      <w:r>
        <w:t xml:space="preserve">provide details about the indicators and measurements to be used to assess impact in relation to outcomes (measures) </w:t>
      </w:r>
    </w:p>
    <w:p w14:paraId="3C283F74" w14:textId="77777777" w:rsidR="00DE6C74" w:rsidRDefault="00DE6C74" w:rsidP="00DE6C74">
      <w:pPr>
        <w:pStyle w:val="ListBullet"/>
      </w:pPr>
      <w:r>
        <w:t>enable a consistent and joined-up approach to monitoring and assessing outcomes over time (transparency)</w:t>
      </w:r>
    </w:p>
    <w:p w14:paraId="6F170ECB" w14:textId="77777777" w:rsidR="00DE6C74" w:rsidRDefault="00DE6C74" w:rsidP="00DE6C74">
      <w:pPr>
        <w:pStyle w:val="ListBullet"/>
      </w:pPr>
      <w:r>
        <w:t>identify key methods and data requirements for building the evidence-base (application)</w:t>
      </w:r>
    </w:p>
    <w:p w14:paraId="629F70CA" w14:textId="77777777" w:rsidR="00DE6C74" w:rsidRDefault="00DE6C74" w:rsidP="00DE6C74">
      <w:pPr>
        <w:pStyle w:val="ListBullet"/>
      </w:pPr>
      <w:r>
        <w:t>enable scholarship providers to understand and meet their data requirements (accountability)</w:t>
      </w:r>
    </w:p>
    <w:p w14:paraId="19B6D6B8" w14:textId="77777777" w:rsidR="00DE6C74" w:rsidRDefault="00DE6C74" w:rsidP="00DE6C74">
      <w:pPr>
        <w:pStyle w:val="ListBullet"/>
      </w:pPr>
      <w:r>
        <w:t>provide an example reporting template which can facilitate data collection (tools).</w:t>
      </w:r>
    </w:p>
    <w:p w14:paraId="16580273" w14:textId="73899A9B" w:rsidR="00DE6C74" w:rsidRDefault="00DE6C74" w:rsidP="00DE6C74">
      <w:pPr>
        <w:pStyle w:val="ChapterNumberedList1"/>
        <w:numPr>
          <w:ilvl w:val="0"/>
          <w:numId w:val="0"/>
        </w:numPr>
        <w:rPr>
          <w:highlight w:val="yellow"/>
          <w:lang w:val="en-GB"/>
        </w:rPr>
      </w:pPr>
      <w:r>
        <w:t>As part of the Monitoring and Evaluation Framework, the department could</w:t>
      </w:r>
      <w:r w:rsidRPr="004E1034">
        <w:t xml:space="preserve"> </w:t>
      </w:r>
      <w:r w:rsidRPr="004E1034">
        <w:rPr>
          <w:lang w:val="en-GB"/>
        </w:rPr>
        <w:t xml:space="preserve">specify the minimum data sets that IAS funded scholarship providers must collect and report on annually to provide a consistent snapshot of their </w:t>
      </w:r>
      <w:r w:rsidRPr="0034597E">
        <w:rPr>
          <w:lang w:val="en-GB"/>
        </w:rPr>
        <w:t xml:space="preserve">outputs and outcomes. Based on the findings of the consultations and the data analysis, </w:t>
      </w:r>
      <w:r>
        <w:rPr>
          <w:lang w:val="en-GB"/>
        </w:rPr>
        <w:t>preliminary thoughts on the minimum data set</w:t>
      </w:r>
      <w:r w:rsidRPr="0034597E">
        <w:rPr>
          <w:lang w:val="en-GB"/>
        </w:rPr>
        <w:t xml:space="preserve"> t</w:t>
      </w:r>
      <w:r>
        <w:rPr>
          <w:lang w:val="en-GB"/>
        </w:rPr>
        <w:t>o</w:t>
      </w:r>
      <w:r w:rsidRPr="0034597E">
        <w:rPr>
          <w:lang w:val="en-GB"/>
        </w:rPr>
        <w:t xml:space="preserve"> be collected for each IAS funded scholarship provider is outlined in </w:t>
      </w:r>
      <w:r w:rsidR="00DE12AF">
        <w:rPr>
          <w:lang w:val="en-GB"/>
        </w:rPr>
        <w:fldChar w:fldCharType="begin"/>
      </w:r>
      <w:r w:rsidR="00DE12AF">
        <w:rPr>
          <w:lang w:val="en-GB"/>
        </w:rPr>
        <w:instrText xml:space="preserve"> REF _Ref481687694 \h </w:instrText>
      </w:r>
      <w:r w:rsidR="00DE12AF">
        <w:rPr>
          <w:lang w:val="en-GB"/>
        </w:rPr>
      </w:r>
      <w:r w:rsidR="00DE12AF">
        <w:rPr>
          <w:lang w:val="en-GB"/>
        </w:rPr>
        <w:fldChar w:fldCharType="separate"/>
      </w:r>
      <w:r w:rsidR="009C78D7">
        <w:t xml:space="preserve">Figure </w:t>
      </w:r>
      <w:r w:rsidR="009C78D7">
        <w:rPr>
          <w:noProof/>
        </w:rPr>
        <w:t>21</w:t>
      </w:r>
      <w:r w:rsidR="00DE12AF">
        <w:rPr>
          <w:lang w:val="en-GB"/>
        </w:rPr>
        <w:fldChar w:fldCharType="end"/>
      </w:r>
      <w:r w:rsidRPr="0034597E">
        <w:rPr>
          <w:lang w:val="en-GB"/>
        </w:rPr>
        <w:t>.</w:t>
      </w:r>
    </w:p>
    <w:p w14:paraId="4962B2B2" w14:textId="24490A5A" w:rsidR="00DE6C74" w:rsidRDefault="00DE6C74" w:rsidP="00DE6C74">
      <w:pPr>
        <w:pStyle w:val="Caption"/>
      </w:pPr>
      <w:bookmarkStart w:id="51" w:name="_Ref481687694"/>
      <w:r>
        <w:t xml:space="preserve">Figure </w:t>
      </w:r>
      <w:fldSimple w:instr=" SEQ Figure \* ARABIC ">
        <w:r w:rsidR="009C78D7">
          <w:rPr>
            <w:noProof/>
          </w:rPr>
          <w:t>21</w:t>
        </w:r>
      </w:fldSimple>
      <w:bookmarkEnd w:id="51"/>
      <w:r>
        <w:t>: Preliminary indication of the minimum data set that could be collected by the department</w:t>
      </w:r>
      <w:r w:rsidR="001E1F9F">
        <w:t xml:space="preserve"> from each scholarship provider</w:t>
      </w:r>
      <w:r>
        <w:t xml:space="preserve"> </w:t>
      </w:r>
      <w:r w:rsidRPr="00BD365D">
        <w:rPr>
          <w:lang w:val="en-GB"/>
        </w:rPr>
        <w:t xml:space="preserve">to successfully monitor </w:t>
      </w:r>
      <w:r>
        <w:rPr>
          <w:lang w:val="en-GB"/>
        </w:rPr>
        <w:t>the</w:t>
      </w:r>
      <w:r w:rsidRPr="00BD365D">
        <w:rPr>
          <w:lang w:val="en-GB"/>
        </w:rPr>
        <w:t xml:space="preserve"> delivery of IAS funded secondary school scholarship</w:t>
      </w:r>
      <w:r>
        <w:rPr>
          <w:lang w:val="en-GB"/>
        </w:rPr>
        <w:t>s</w:t>
      </w:r>
    </w:p>
    <w:p w14:paraId="6A6E23FD" w14:textId="77777777" w:rsidR="00DE6C74" w:rsidRDefault="00DE6C74" w:rsidP="00DE6C74">
      <w:pPr>
        <w:pStyle w:val="ChapterNumberedList1"/>
        <w:numPr>
          <w:ilvl w:val="0"/>
          <w:numId w:val="0"/>
        </w:numPr>
        <w:rPr>
          <w:highlight w:val="yellow"/>
          <w:lang w:val="en-GB"/>
        </w:rPr>
      </w:pPr>
      <w:r w:rsidRPr="00D60D84">
        <w:rPr>
          <w:noProof/>
          <w:lang w:eastAsia="en-AU"/>
        </w:rPr>
        <w:drawing>
          <wp:inline distT="0" distB="0" distL="0" distR="0" wp14:anchorId="03FF671D" wp14:editId="245CAD00">
            <wp:extent cx="5419090" cy="3877391"/>
            <wp:effectExtent l="0" t="0" r="0" b="8890"/>
            <wp:docPr id="108" name="Picture 108" descr="This diagram identifies a number of data elements that could comprise a future minimum data set." title="Preliminary indication of the minimum data set that could be collected by the department from each scholarship provider to successfuly monitor the delivery of the IAS funded secondary school schola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5419090" cy="3877391"/>
                    </a:xfrm>
                    <a:prstGeom prst="rect">
                      <a:avLst/>
                    </a:prstGeom>
                    <a:noFill/>
                    <a:ln>
                      <a:noFill/>
                    </a:ln>
                  </pic:spPr>
                </pic:pic>
              </a:graphicData>
            </a:graphic>
          </wp:inline>
        </w:drawing>
      </w:r>
    </w:p>
    <w:p w14:paraId="1E678C23" w14:textId="77777777" w:rsidR="00DE6C74" w:rsidRPr="00B91A92" w:rsidRDefault="00DE6C74" w:rsidP="00DE12AF">
      <w:pPr>
        <w:pStyle w:val="ChapterNumberedList1"/>
        <w:keepNext/>
        <w:keepLines/>
        <w:numPr>
          <w:ilvl w:val="0"/>
          <w:numId w:val="40"/>
        </w:numPr>
        <w:rPr>
          <w:b/>
          <w:lang w:val="en-GB"/>
        </w:rPr>
      </w:pPr>
      <w:r>
        <w:rPr>
          <w:b/>
          <w:lang w:val="en-GB"/>
        </w:rPr>
        <w:lastRenderedPageBreak/>
        <w:t>Rigorous impact analysis</w:t>
      </w:r>
      <w:r w:rsidRPr="00B91A92">
        <w:rPr>
          <w:b/>
          <w:lang w:val="en-GB"/>
        </w:rPr>
        <w:t xml:space="preserve"> of the IAS funded secondary school scholarships</w:t>
      </w:r>
    </w:p>
    <w:p w14:paraId="0577CB6C" w14:textId="77777777" w:rsidR="00DE6C74" w:rsidRDefault="00DE6C74" w:rsidP="00DE12AF">
      <w:pPr>
        <w:pStyle w:val="ListBullet"/>
        <w:keepNext/>
        <w:keepLines/>
        <w:numPr>
          <w:ilvl w:val="0"/>
          <w:numId w:val="0"/>
        </w:numPr>
      </w:pPr>
      <w:r w:rsidRPr="00B91A92">
        <w:t xml:space="preserve">In addition to continuously monitoring scholarship provider outputs and outcomes, the second purpose of data </w:t>
      </w:r>
      <w:r>
        <w:t xml:space="preserve">collection and collation is to evaluate </w:t>
      </w:r>
      <w:r w:rsidRPr="00B91A92">
        <w:t>the impact (i.e. the appropriateness, effectiveness and efficiency) of the IAS funded secondary school scholarships</w:t>
      </w:r>
      <w:r>
        <w:t xml:space="preserve"> in its entirety.</w:t>
      </w:r>
    </w:p>
    <w:p w14:paraId="5FC3A442" w14:textId="52EC2BA9" w:rsidR="00DE6C74" w:rsidRPr="00D17237" w:rsidRDefault="00DE6C74" w:rsidP="00DE6C74">
      <w:pPr>
        <w:spacing w:after="240"/>
      </w:pPr>
      <w:r w:rsidRPr="00D17237">
        <w:rPr>
          <w:lang w:val="en-GB"/>
        </w:rPr>
        <w:t xml:space="preserve">In order to </w:t>
      </w:r>
      <w:r>
        <w:rPr>
          <w:lang w:val="en-GB"/>
        </w:rPr>
        <w:t>evaluate</w:t>
      </w:r>
      <w:r w:rsidRPr="00D17237">
        <w:rPr>
          <w:lang w:val="en-GB"/>
        </w:rPr>
        <w:t xml:space="preserve"> impact and outcomes of the </w:t>
      </w:r>
      <w:r>
        <w:rPr>
          <w:lang w:val="en-GB"/>
        </w:rPr>
        <w:t>IAS funded secondary schools scholarships</w:t>
      </w:r>
      <w:r w:rsidRPr="00D17237">
        <w:rPr>
          <w:lang w:val="en-GB"/>
        </w:rPr>
        <w:t xml:space="preserve">, it is crucial that all scholarship </w:t>
      </w:r>
      <w:r w:rsidRPr="00DE12AF">
        <w:rPr>
          <w:lang w:val="en-GB"/>
        </w:rPr>
        <w:t xml:space="preserve">providers and education partners are collecting and collating the appropriate data. As illustrated in </w:t>
      </w:r>
      <w:r w:rsidR="00DE12AF" w:rsidRPr="00DE12AF">
        <w:rPr>
          <w:lang w:val="en-GB"/>
        </w:rPr>
        <w:fldChar w:fldCharType="begin"/>
      </w:r>
      <w:r w:rsidR="00DE12AF" w:rsidRPr="00DE12AF">
        <w:rPr>
          <w:lang w:val="en-GB"/>
        </w:rPr>
        <w:instrText xml:space="preserve"> REF _Ref481687715 \h  \* MERGEFORMAT </w:instrText>
      </w:r>
      <w:r w:rsidR="00DE12AF" w:rsidRPr="00DE12AF">
        <w:rPr>
          <w:lang w:val="en-GB"/>
        </w:rPr>
      </w:r>
      <w:r w:rsidR="00DE12AF" w:rsidRPr="00DE12AF">
        <w:rPr>
          <w:lang w:val="en-GB"/>
        </w:rPr>
        <w:fldChar w:fldCharType="separate"/>
      </w:r>
      <w:r w:rsidR="009C78D7" w:rsidRPr="009C78D7">
        <w:rPr>
          <w:rFonts w:asciiTheme="majorHAnsi" w:hAnsiTheme="majorHAnsi"/>
          <w:bCs/>
          <w:szCs w:val="18"/>
        </w:rPr>
        <w:t xml:space="preserve">Figure </w:t>
      </w:r>
      <w:r w:rsidR="009C78D7" w:rsidRPr="009C78D7">
        <w:rPr>
          <w:rFonts w:asciiTheme="majorHAnsi" w:hAnsiTheme="majorHAnsi"/>
          <w:bCs/>
          <w:noProof/>
          <w:szCs w:val="18"/>
        </w:rPr>
        <w:t>22</w:t>
      </w:r>
      <w:r w:rsidR="00DE12AF" w:rsidRPr="00DE12AF">
        <w:rPr>
          <w:lang w:val="en-GB"/>
        </w:rPr>
        <w:fldChar w:fldCharType="end"/>
      </w:r>
      <w:r w:rsidRPr="00DE12AF">
        <w:rPr>
          <w:lang w:val="en-GB"/>
        </w:rPr>
        <w:t xml:space="preserve">, to accurately assess the impact of the IAS funded scholarships, it is necessary to </w:t>
      </w:r>
      <w:r w:rsidRPr="00DE12AF">
        <w:t xml:space="preserve">understand </w:t>
      </w:r>
      <w:r w:rsidRPr="00D17237">
        <w:t xml:space="preserve">the individual characteristics and academic performance of Indigenous young people before their engagement in the </w:t>
      </w:r>
      <w:r>
        <w:t>IAS funded scholarships</w:t>
      </w:r>
      <w:r w:rsidRPr="00D17237">
        <w:t xml:space="preserve">, their experiences and academic performance during </w:t>
      </w:r>
      <w:r>
        <w:t>scholarships</w:t>
      </w:r>
      <w:r w:rsidRPr="00D17237">
        <w:t xml:space="preserve"> and, ultimately, the destinations of the </w:t>
      </w:r>
      <w:r>
        <w:t>scholarship recipients upon graduation or exiting school</w:t>
      </w:r>
      <w:r w:rsidRPr="00D17237">
        <w:t xml:space="preserve">. The longitudinal data relating to these participants can then be compared with a </w:t>
      </w:r>
      <w:r>
        <w:t>matched</w:t>
      </w:r>
      <w:r w:rsidRPr="00D17237">
        <w:t xml:space="preserve"> group of students who did not </w:t>
      </w:r>
      <w:r>
        <w:t>receive a scholarship to attend secondary school</w:t>
      </w:r>
      <w:r w:rsidRPr="00D17237">
        <w:t xml:space="preserve">. By comparing the outcomes of the students participating in the </w:t>
      </w:r>
      <w:r>
        <w:t>IAS funded scholarships</w:t>
      </w:r>
      <w:r w:rsidRPr="00D17237">
        <w:t xml:space="preserve"> to those students in the </w:t>
      </w:r>
      <w:r>
        <w:t>matched</w:t>
      </w:r>
      <w:r w:rsidRPr="00D17237">
        <w:t xml:space="preserve"> group</w:t>
      </w:r>
      <w:r>
        <w:t>,</w:t>
      </w:r>
      <w:r w:rsidRPr="00D17237">
        <w:t xml:space="preserve"> the impact of the </w:t>
      </w:r>
      <w:r>
        <w:t>IAS funded scholarships can be determined</w:t>
      </w:r>
      <w:r w:rsidRPr="00D17237">
        <w:t>.</w:t>
      </w:r>
    </w:p>
    <w:p w14:paraId="6F815064" w14:textId="0407BCB6" w:rsidR="00DE6C74" w:rsidRPr="00D17237" w:rsidRDefault="00DE6C74" w:rsidP="00DE6C74">
      <w:pPr>
        <w:keepNext/>
        <w:keepLines/>
        <w:tabs>
          <w:tab w:val="left" w:pos="992"/>
        </w:tabs>
        <w:spacing w:before="240" w:after="120"/>
        <w:ind w:left="992" w:hanging="992"/>
        <w:rPr>
          <w:rFonts w:asciiTheme="majorHAnsi" w:hAnsiTheme="majorHAnsi"/>
          <w:b/>
          <w:bCs/>
          <w:color w:val="A32020" w:themeColor="text2"/>
          <w:szCs w:val="18"/>
        </w:rPr>
      </w:pPr>
      <w:bookmarkStart w:id="52" w:name="_Ref481687715"/>
      <w:r w:rsidRPr="00D17237">
        <w:rPr>
          <w:rFonts w:asciiTheme="majorHAnsi" w:hAnsiTheme="majorHAnsi"/>
          <w:b/>
          <w:bCs/>
          <w:color w:val="A32020" w:themeColor="text2"/>
          <w:szCs w:val="18"/>
        </w:rPr>
        <w:t xml:space="preserve">Figure </w:t>
      </w:r>
      <w:r w:rsidR="0032106D">
        <w:rPr>
          <w:rFonts w:asciiTheme="majorHAnsi" w:hAnsiTheme="majorHAnsi"/>
          <w:b/>
          <w:bCs/>
          <w:color w:val="A32020" w:themeColor="text2"/>
          <w:szCs w:val="18"/>
        </w:rPr>
        <w:fldChar w:fldCharType="begin"/>
      </w:r>
      <w:r w:rsidR="0032106D">
        <w:rPr>
          <w:rFonts w:asciiTheme="majorHAnsi" w:hAnsiTheme="majorHAnsi"/>
          <w:b/>
          <w:bCs/>
          <w:color w:val="A32020" w:themeColor="text2"/>
          <w:szCs w:val="18"/>
        </w:rPr>
        <w:instrText xml:space="preserve"> SEQ Figure \* ARABIC </w:instrText>
      </w:r>
      <w:r w:rsidR="0032106D">
        <w:rPr>
          <w:rFonts w:asciiTheme="majorHAnsi" w:hAnsiTheme="majorHAnsi"/>
          <w:b/>
          <w:bCs/>
          <w:color w:val="A32020" w:themeColor="text2"/>
          <w:szCs w:val="18"/>
        </w:rPr>
        <w:fldChar w:fldCharType="separate"/>
      </w:r>
      <w:r w:rsidR="009C78D7">
        <w:rPr>
          <w:rFonts w:asciiTheme="majorHAnsi" w:hAnsiTheme="majorHAnsi"/>
          <w:b/>
          <w:bCs/>
          <w:noProof/>
          <w:color w:val="A32020" w:themeColor="text2"/>
          <w:szCs w:val="18"/>
        </w:rPr>
        <w:t>22</w:t>
      </w:r>
      <w:r w:rsidR="0032106D">
        <w:rPr>
          <w:rFonts w:asciiTheme="majorHAnsi" w:hAnsiTheme="majorHAnsi"/>
          <w:b/>
          <w:bCs/>
          <w:color w:val="A32020" w:themeColor="text2"/>
          <w:szCs w:val="18"/>
        </w:rPr>
        <w:fldChar w:fldCharType="end"/>
      </w:r>
      <w:bookmarkEnd w:id="52"/>
      <w:r w:rsidRPr="00D17237">
        <w:rPr>
          <w:rFonts w:asciiTheme="majorHAnsi" w:hAnsiTheme="majorHAnsi"/>
          <w:b/>
          <w:bCs/>
          <w:color w:val="A32020" w:themeColor="text2"/>
          <w:szCs w:val="18"/>
        </w:rPr>
        <w:t>: An illustration of a longitudinal impact analysis</w:t>
      </w:r>
    </w:p>
    <w:p w14:paraId="4EF5F30E" w14:textId="77777777" w:rsidR="00DE6C74" w:rsidRPr="00D17237" w:rsidRDefault="00DE6C74" w:rsidP="00DE6C74">
      <w:pPr>
        <w:spacing w:after="240"/>
        <w:rPr>
          <w:lang w:val="en-GB"/>
        </w:rPr>
      </w:pPr>
      <w:r w:rsidRPr="00D64C96">
        <w:rPr>
          <w:noProof/>
          <w:lang w:eastAsia="en-AU"/>
        </w:rPr>
        <w:drawing>
          <wp:inline distT="0" distB="0" distL="0" distR="0" wp14:anchorId="05FAE459" wp14:editId="2CC60E11">
            <wp:extent cx="5419090" cy="2821367"/>
            <wp:effectExtent l="0" t="0" r="0" b="0"/>
            <wp:docPr id="106" name="Picture 106" descr="This diagram sets out the potential components of an impact assessment for scholarship funding including potential evaluation focus areas before, during and after scholarship completion compared to a comparison group." title="An illustration of a longitudinal impac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5419090" cy="2821367"/>
                    </a:xfrm>
                    <a:prstGeom prst="rect">
                      <a:avLst/>
                    </a:prstGeom>
                    <a:noFill/>
                    <a:ln>
                      <a:noFill/>
                    </a:ln>
                  </pic:spPr>
                </pic:pic>
              </a:graphicData>
            </a:graphic>
          </wp:inline>
        </w:drawing>
      </w:r>
    </w:p>
    <w:p w14:paraId="4C7A3B20" w14:textId="5ADDE77D" w:rsidR="00DE6C74" w:rsidRDefault="00DE1B71" w:rsidP="00DE6C74">
      <w:pPr>
        <w:pStyle w:val="ListBullet"/>
        <w:numPr>
          <w:ilvl w:val="0"/>
          <w:numId w:val="0"/>
        </w:numPr>
      </w:pPr>
      <w:r>
        <w:t>T</w:t>
      </w:r>
      <w:r w:rsidR="00DE6C74" w:rsidRPr="00D17237">
        <w:t>o conduct a longitudinal impact analysis, a robust and comprehensive data</w:t>
      </w:r>
      <w:r w:rsidR="00DE6C74">
        <w:t xml:space="preserve"> </w:t>
      </w:r>
      <w:r w:rsidR="00DE6C74" w:rsidRPr="00D17237">
        <w:t xml:space="preserve">set is necessary which captures a range of information relating to the experiences of </w:t>
      </w:r>
      <w:r w:rsidR="00DE6C74">
        <w:t xml:space="preserve">IAS funded scholarship recipients </w:t>
      </w:r>
      <w:r w:rsidR="00DE6C74" w:rsidRPr="00D17237">
        <w:t>before, during and a</w:t>
      </w:r>
      <w:r w:rsidR="00DE6C74">
        <w:t>fter their engagement in secondary school.</w:t>
      </w:r>
    </w:p>
    <w:p w14:paraId="083B08B4" w14:textId="77777777" w:rsidR="00DE6C74" w:rsidRDefault="00DE6C74" w:rsidP="00DE6C74">
      <w:pPr>
        <w:pStyle w:val="ListBullet"/>
        <w:numPr>
          <w:ilvl w:val="0"/>
          <w:numId w:val="0"/>
        </w:numPr>
      </w:pPr>
      <w:r>
        <w:t>Based on longitudinal studies</w:t>
      </w:r>
      <w:r>
        <w:rPr>
          <w:rStyle w:val="FootnoteReference"/>
        </w:rPr>
        <w:footnoteReference w:id="8"/>
      </w:r>
      <w:r>
        <w:t xml:space="preserve">, of educational experiences tracking cohorts of young people from childhood to adulthood as well as </w:t>
      </w:r>
      <w:r w:rsidRPr="00D17237">
        <w:t>discussions with scholarship providers around their</w:t>
      </w:r>
      <w:r>
        <w:t xml:space="preserve"> respective </w:t>
      </w:r>
      <w:r>
        <w:lastRenderedPageBreak/>
        <w:t>models and</w:t>
      </w:r>
      <w:r w:rsidRPr="00D17237">
        <w:t xml:space="preserve"> existing data processes,</w:t>
      </w:r>
      <w:r>
        <w:t xml:space="preserve"> a preliminary list of </w:t>
      </w:r>
      <w:r w:rsidRPr="00D17237">
        <w:t xml:space="preserve">the </w:t>
      </w:r>
      <w:r>
        <w:t>minimum data</w:t>
      </w:r>
      <w:r w:rsidRPr="00D17237">
        <w:t xml:space="preserve"> </w:t>
      </w:r>
      <w:r>
        <w:t xml:space="preserve">set required to inform a longitudinal impact analysis was compiled. </w:t>
      </w:r>
    </w:p>
    <w:p w14:paraId="5BC99F35" w14:textId="6C246B1F" w:rsidR="00DE6C74" w:rsidRDefault="00DE6C74" w:rsidP="00DE6C74">
      <w:pPr>
        <w:pStyle w:val="ListBullet"/>
        <w:numPr>
          <w:ilvl w:val="0"/>
          <w:numId w:val="0"/>
        </w:numPr>
      </w:pPr>
      <w:r>
        <w:t xml:space="preserve">This list, which outlined the minimum data set to be collected before, during and after engagement in secondary school, was tested with the department and circulated amongst all scholarship providers for refinement. All scholarship providers </w:t>
      </w:r>
      <w:r w:rsidR="001E1F9F">
        <w:t>provided</w:t>
      </w:r>
      <w:r>
        <w:t xml:space="preserve"> feedback on the list and </w:t>
      </w:r>
      <w:r w:rsidR="001E1F9F">
        <w:t>including</w:t>
      </w:r>
      <w:r>
        <w:t xml:space="preserve"> the feasibility of collecting this information based on their existing practices.</w:t>
      </w:r>
    </w:p>
    <w:p w14:paraId="60ED8879" w14:textId="567B1AF7" w:rsidR="00DE6C74" w:rsidRPr="00D17237" w:rsidRDefault="00DE6C74" w:rsidP="00DE6C74">
      <w:pPr>
        <w:pStyle w:val="ListBullet"/>
        <w:numPr>
          <w:ilvl w:val="0"/>
          <w:numId w:val="0"/>
        </w:numPr>
      </w:pPr>
      <w:r>
        <w:t xml:space="preserve">As outlined in </w:t>
      </w:r>
      <w:r w:rsidR="00DE12AF">
        <w:fldChar w:fldCharType="begin"/>
      </w:r>
      <w:r w:rsidR="00DE12AF">
        <w:instrText xml:space="preserve"> REF _Ref481687735 \h </w:instrText>
      </w:r>
      <w:r w:rsidR="00DE12AF">
        <w:fldChar w:fldCharType="separate"/>
      </w:r>
      <w:r w:rsidR="009C78D7">
        <w:t xml:space="preserve">Figure </w:t>
      </w:r>
      <w:r w:rsidR="009C78D7">
        <w:rPr>
          <w:noProof/>
        </w:rPr>
        <w:t>23</w:t>
      </w:r>
      <w:r w:rsidR="00DE12AF">
        <w:fldChar w:fldCharType="end"/>
      </w:r>
      <w:r>
        <w:t xml:space="preserve">, a traffic light coding system was utilised by each scholarship provider to illustrate the efficacy and feasibility of collecting the minimum data set for a rigorous, longitudinal impact analysis. </w:t>
      </w:r>
      <w:r w:rsidRPr="00D17237">
        <w:t>Specifically:</w:t>
      </w:r>
    </w:p>
    <w:p w14:paraId="13996A18" w14:textId="77777777" w:rsidR="00DE6C74" w:rsidRPr="00D17237" w:rsidRDefault="00DE6C74" w:rsidP="00DE6C74">
      <w:pPr>
        <w:spacing w:after="240"/>
        <w:ind w:left="567"/>
      </w:pPr>
      <w:r w:rsidRPr="00D17237">
        <w:rPr>
          <w:b/>
          <w:i/>
          <w:color w:val="E0301E" w:themeColor="accent2"/>
        </w:rPr>
        <w:t>‘Red’:</w:t>
      </w:r>
      <w:r w:rsidRPr="00D17237">
        <w:tab/>
      </w:r>
      <w:r w:rsidRPr="00D17237">
        <w:tab/>
        <w:t>No indication that scholarship providers currently collect or have access</w:t>
      </w:r>
      <w:r w:rsidRPr="00D17237">
        <w:tab/>
      </w:r>
      <w:r w:rsidRPr="00D17237">
        <w:tab/>
      </w:r>
      <w:r w:rsidRPr="00D17237">
        <w:tab/>
        <w:t>to this data.</w:t>
      </w:r>
    </w:p>
    <w:p w14:paraId="7F87CFEA" w14:textId="77777777" w:rsidR="00DE6C74" w:rsidRPr="00D17237" w:rsidRDefault="00DE6C74" w:rsidP="00DE6C74">
      <w:pPr>
        <w:spacing w:after="240"/>
        <w:ind w:left="2160" w:hanging="1593"/>
      </w:pPr>
      <w:r w:rsidRPr="00D17237">
        <w:rPr>
          <w:b/>
          <w:i/>
          <w:color w:val="DC6900" w:themeColor="accent5"/>
        </w:rPr>
        <w:t>‘Amber’:</w:t>
      </w:r>
      <w:r w:rsidRPr="00D17237">
        <w:rPr>
          <w:b/>
          <w:i/>
        </w:rPr>
        <w:tab/>
      </w:r>
      <w:r w:rsidRPr="00D17237">
        <w:t>Scholarship providers indicated that it may be possible to collect this data, they do not currently maintain records in a systematic way.</w:t>
      </w:r>
    </w:p>
    <w:p w14:paraId="184042DD" w14:textId="77777777" w:rsidR="00DE6C74" w:rsidRDefault="00DE6C74" w:rsidP="00DE6C74">
      <w:pPr>
        <w:spacing w:after="240"/>
        <w:ind w:left="2160" w:hanging="1593"/>
      </w:pPr>
      <w:r w:rsidRPr="00D17237">
        <w:rPr>
          <w:b/>
          <w:i/>
          <w:color w:val="00B050"/>
        </w:rPr>
        <w:t>‘Green’:</w:t>
      </w:r>
      <w:r w:rsidRPr="00D17237">
        <w:t xml:space="preserve"> </w:t>
      </w:r>
      <w:r w:rsidRPr="00D17237">
        <w:tab/>
        <w:t>Scholarship providers currently collect this data and have provided examples to PIC.</w:t>
      </w:r>
    </w:p>
    <w:p w14:paraId="7451DFB0" w14:textId="77777777" w:rsidR="00DE6C74" w:rsidRPr="005B2C3E" w:rsidRDefault="00DE6C74" w:rsidP="00DE6C74">
      <w:pPr>
        <w:pStyle w:val="PwCNormal"/>
        <w:numPr>
          <w:ilvl w:val="0"/>
          <w:numId w:val="9"/>
        </w:numPr>
      </w:pPr>
      <w:r w:rsidRPr="00D60D84">
        <w:t xml:space="preserve">It is important to note that this needs to be </w:t>
      </w:r>
      <w:r>
        <w:t>tested and refined via further collaboration and discussion with all scholarship providers.</w:t>
      </w:r>
    </w:p>
    <w:p w14:paraId="6E796720" w14:textId="1FBB48C0" w:rsidR="00DF33CB" w:rsidRDefault="00DF33CB" w:rsidP="00DF33CB">
      <w:pPr>
        <w:pStyle w:val="PwCNormal"/>
        <w:numPr>
          <w:ilvl w:val="0"/>
          <w:numId w:val="0"/>
        </w:numPr>
        <w:rPr>
          <w:lang w:val="en-GB"/>
        </w:rPr>
      </w:pPr>
    </w:p>
    <w:p w14:paraId="2FD56DE2" w14:textId="77777777" w:rsidR="00DE6C74" w:rsidRDefault="00DE6C74" w:rsidP="00DE6C74">
      <w:pPr>
        <w:pStyle w:val="PwCNormal"/>
        <w:rPr>
          <w:lang w:val="en-GB"/>
        </w:rPr>
        <w:sectPr w:rsidR="00DE6C74" w:rsidSect="00B54A8B">
          <w:pgSz w:w="11907" w:h="16840" w:code="9"/>
          <w:pgMar w:top="1588" w:right="1020" w:bottom="1418" w:left="2353" w:header="567" w:footer="567" w:gutter="0"/>
          <w:cols w:space="227"/>
          <w:titlePg/>
          <w:docGrid w:linePitch="360"/>
        </w:sectPr>
      </w:pPr>
    </w:p>
    <w:p w14:paraId="516F5F81" w14:textId="39525E2B" w:rsidR="00DE6C74" w:rsidRDefault="00DE6C74" w:rsidP="00DE6C74">
      <w:pPr>
        <w:pStyle w:val="Caption"/>
      </w:pPr>
      <w:bookmarkStart w:id="53" w:name="_Ref481687735"/>
      <w:r>
        <w:lastRenderedPageBreak/>
        <w:t xml:space="preserve">Figure </w:t>
      </w:r>
      <w:fldSimple w:instr=" SEQ Figure \* ARABIC ">
        <w:r w:rsidR="009C78D7">
          <w:rPr>
            <w:noProof/>
          </w:rPr>
          <w:t>23</w:t>
        </w:r>
      </w:fldSimple>
      <w:bookmarkEnd w:id="53"/>
      <w:r>
        <w:t>: A preliminary indication of the minimum data set for a longitudinal impact analysis &amp; an assessment by scholarship providers of the feasibility of its collection based on current practices</w:t>
      </w:r>
    </w:p>
    <w:p w14:paraId="38AFB48D" w14:textId="4FF16F46" w:rsidR="00DE6C74" w:rsidRDefault="009D4A32" w:rsidP="009D4A32">
      <w:pPr>
        <w:pStyle w:val="PwCNormal"/>
      </w:pPr>
      <w:r w:rsidRPr="009D4A32">
        <w:rPr>
          <w:noProof/>
          <w:lang w:eastAsia="en-AU"/>
        </w:rPr>
        <w:drawing>
          <wp:inline distT="0" distB="0" distL="0" distR="0" wp14:anchorId="0412AF54" wp14:editId="577320A7">
            <wp:extent cx="8551545" cy="4004724"/>
            <wp:effectExtent l="0" t="0" r="1905" b="0"/>
            <wp:docPr id="62" name="Picture 62" descr="Including:&#10;General information about the student/Application infomration&#10;Infomration collected about students whilst they are recipients of IAS funded secondary school scholarships&#10;Post-scholarship destination/outcomes" title="Figure 23: A preliminary indication of the minimum data set for a longitudinal impact analysis &amp; an assessment by scholarship providers of the feasibility of its collection based on current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551545" cy="4004724"/>
                    </a:xfrm>
                    <a:prstGeom prst="rect">
                      <a:avLst/>
                    </a:prstGeom>
                    <a:noFill/>
                    <a:ln>
                      <a:noFill/>
                    </a:ln>
                  </pic:spPr>
                </pic:pic>
              </a:graphicData>
            </a:graphic>
          </wp:inline>
        </w:drawing>
      </w:r>
    </w:p>
    <w:p w14:paraId="5F1C0818" w14:textId="77777777" w:rsidR="00DE6C74" w:rsidRDefault="00DE6C74" w:rsidP="00DE6C74">
      <w:pPr>
        <w:pStyle w:val="PwCNormal"/>
        <w:numPr>
          <w:ilvl w:val="0"/>
          <w:numId w:val="0"/>
        </w:numPr>
        <w:rPr>
          <w:lang w:val="en-GB"/>
        </w:rPr>
      </w:pPr>
    </w:p>
    <w:p w14:paraId="660C68B0" w14:textId="7831DA0E" w:rsidR="00DE6C74" w:rsidRDefault="00DE6C74" w:rsidP="00DE6C74">
      <w:pPr>
        <w:pStyle w:val="PwCNormal"/>
        <w:rPr>
          <w:lang w:val="en-GB"/>
        </w:rPr>
        <w:sectPr w:rsidR="00DE6C74" w:rsidSect="00DE6C74">
          <w:headerReference w:type="even" r:id="rId102"/>
          <w:headerReference w:type="default" r:id="rId103"/>
          <w:footerReference w:type="even" r:id="rId104"/>
          <w:footerReference w:type="default" r:id="rId105"/>
          <w:headerReference w:type="first" r:id="rId106"/>
          <w:footerReference w:type="first" r:id="rId107"/>
          <w:pgSz w:w="16840" w:h="11907" w:orient="landscape" w:code="9"/>
          <w:pgMar w:top="1644" w:right="1020" w:bottom="1417" w:left="2353" w:header="567" w:footer="567" w:gutter="0"/>
          <w:cols w:space="227"/>
          <w:docGrid w:linePitch="360"/>
        </w:sectPr>
      </w:pPr>
    </w:p>
    <w:p w14:paraId="5EDF2F23" w14:textId="58EE15F8" w:rsidR="00DE6C74" w:rsidRDefault="00DE6C74" w:rsidP="00DE6C74">
      <w:pPr>
        <w:pStyle w:val="ListBullet"/>
        <w:numPr>
          <w:ilvl w:val="0"/>
          <w:numId w:val="0"/>
        </w:numPr>
      </w:pPr>
      <w:r>
        <w:lastRenderedPageBreak/>
        <w:t xml:space="preserve">Despite the shortcomings of the current data holdings, the responses by each scholarship provider </w:t>
      </w:r>
      <w:r w:rsidR="00DE12AF">
        <w:t xml:space="preserve">in </w:t>
      </w:r>
      <w:r w:rsidR="00DE12AF">
        <w:fldChar w:fldCharType="begin"/>
      </w:r>
      <w:r w:rsidR="00DE12AF">
        <w:instrText xml:space="preserve"> REF _Ref481687735 \h </w:instrText>
      </w:r>
      <w:r w:rsidR="00DE12AF">
        <w:fldChar w:fldCharType="separate"/>
      </w:r>
      <w:r w:rsidR="009C78D7">
        <w:t xml:space="preserve">Figure </w:t>
      </w:r>
      <w:r w:rsidR="009C78D7">
        <w:rPr>
          <w:noProof/>
        </w:rPr>
        <w:t>23</w:t>
      </w:r>
      <w:r w:rsidR="00DE12AF">
        <w:fldChar w:fldCharType="end"/>
      </w:r>
      <w:r>
        <w:t xml:space="preserve"> demonstrates that there is significant potential to build the minimum evidence base required for the completion of a longitudinal impact analysis.</w:t>
      </w:r>
    </w:p>
    <w:p w14:paraId="332046E7" w14:textId="77777777" w:rsidR="00DE6C74" w:rsidRDefault="00DE6C74" w:rsidP="00DE6C74">
      <w:pPr>
        <w:pStyle w:val="ListBullet"/>
        <w:numPr>
          <w:ilvl w:val="0"/>
          <w:numId w:val="0"/>
        </w:numPr>
        <w:rPr>
          <w:lang w:val="en-GB"/>
        </w:rPr>
      </w:pPr>
      <w:r>
        <w:t xml:space="preserve">Although there are significant clusters of ‘Amber’ responses against data line items – particularly in relation to post scholarship destinations and outcomes – scholarship providers believe that it will be possible to collect and collate this data. It is important to acknowledge that the allocation of data collection responsibilities must be based on the principle of devolution </w:t>
      </w:r>
      <w:r>
        <w:rPr>
          <w:lang w:val="en-GB"/>
        </w:rPr>
        <w:t>so that scholarship providers or education partners are not faced with administrative burdens when avoidable. That is the responsibility for collecting the data sits with the most relevant, appropriate or best placed entity to do so.</w:t>
      </w:r>
    </w:p>
    <w:p w14:paraId="784CE90D" w14:textId="3CBA04CE" w:rsidR="00DE6C74" w:rsidRDefault="00DE1B71" w:rsidP="00DE6C74">
      <w:pPr>
        <w:pStyle w:val="ListBullet"/>
        <w:numPr>
          <w:ilvl w:val="0"/>
          <w:numId w:val="0"/>
        </w:numPr>
        <w:rPr>
          <w:lang w:val="en-GB"/>
        </w:rPr>
      </w:pPr>
      <w:r>
        <w:rPr>
          <w:lang w:val="en-GB"/>
        </w:rPr>
        <w:t>D</w:t>
      </w:r>
      <w:r w:rsidR="00DE6C74">
        <w:rPr>
          <w:lang w:val="en-GB"/>
        </w:rPr>
        <w:t>ata points that</w:t>
      </w:r>
      <w:r>
        <w:rPr>
          <w:lang w:val="en-GB"/>
        </w:rPr>
        <w:t xml:space="preserve"> a number of </w:t>
      </w:r>
      <w:r w:rsidR="00DE6C74">
        <w:rPr>
          <w:lang w:val="en-GB"/>
        </w:rPr>
        <w:t>scholarship providers indicated they cannot currently access or collect are the:</w:t>
      </w:r>
    </w:p>
    <w:p w14:paraId="39958F75" w14:textId="77777777" w:rsidR="00DE6C74" w:rsidRDefault="00DE6C74" w:rsidP="00DE6C74">
      <w:pPr>
        <w:pStyle w:val="ListBullet"/>
      </w:pPr>
      <w:r>
        <w:t>a</w:t>
      </w:r>
      <w:r w:rsidRPr="00040530">
        <w:t>vailability of secondary education in the applicant</w:t>
      </w:r>
      <w:r>
        <w:t>’</w:t>
      </w:r>
      <w:r w:rsidRPr="00040530">
        <w:t>s place of residence</w:t>
      </w:r>
    </w:p>
    <w:p w14:paraId="39AD5F89" w14:textId="77777777" w:rsidR="00DE6C74" w:rsidRDefault="00DE6C74" w:rsidP="00DE6C74">
      <w:pPr>
        <w:pStyle w:val="ListBullet"/>
      </w:pPr>
      <w:r>
        <w:t xml:space="preserve">NAPLAN </w:t>
      </w:r>
      <w:r w:rsidRPr="00040530">
        <w:t>result</w:t>
      </w:r>
      <w:r>
        <w:t>s prior to application</w:t>
      </w:r>
    </w:p>
    <w:p w14:paraId="4B36D10D" w14:textId="77777777" w:rsidR="00DE6C74" w:rsidRDefault="00DE6C74" w:rsidP="00DE6C74">
      <w:pPr>
        <w:pStyle w:val="ListBullet"/>
      </w:pPr>
      <w:r>
        <w:t xml:space="preserve">NAPLAN </w:t>
      </w:r>
      <w:r w:rsidRPr="00040530">
        <w:t>result</w:t>
      </w:r>
      <w:r>
        <w:t>s of scholarship recipients whilst at secondary school</w:t>
      </w:r>
    </w:p>
    <w:p w14:paraId="10FEC81A" w14:textId="77777777" w:rsidR="00DE6C74" w:rsidRDefault="00DE6C74" w:rsidP="00DE6C74">
      <w:pPr>
        <w:pStyle w:val="ListBullet"/>
      </w:pPr>
      <w:r>
        <w:t>ATAR results of scholarship recipients that complete school</w:t>
      </w:r>
    </w:p>
    <w:p w14:paraId="194F41E6" w14:textId="77777777" w:rsidR="00DE6C74" w:rsidRDefault="00DE6C74" w:rsidP="00DE6C74">
      <w:pPr>
        <w:pStyle w:val="ListBullet"/>
      </w:pPr>
      <w:r>
        <w:t>n</w:t>
      </w:r>
      <w:r w:rsidRPr="00040530">
        <w:t>umber of fo</w:t>
      </w:r>
      <w:r>
        <w:t>rmer scholarship recipients that have obtained a tertiary scholarship</w:t>
      </w:r>
    </w:p>
    <w:p w14:paraId="109FCDBA" w14:textId="77777777" w:rsidR="00DE6C74" w:rsidRDefault="00DE6C74" w:rsidP="00DE6C74">
      <w:pPr>
        <w:pStyle w:val="ListBullet"/>
      </w:pPr>
      <w:r>
        <w:t>n</w:t>
      </w:r>
      <w:r w:rsidRPr="00040530">
        <w:t>umber of former scholarship recipients now in full-time employment</w:t>
      </w:r>
    </w:p>
    <w:p w14:paraId="5DA422BF" w14:textId="77777777" w:rsidR="00DE6C74" w:rsidRDefault="00DE6C74" w:rsidP="00DE6C74">
      <w:pPr>
        <w:pStyle w:val="ListBullet"/>
      </w:pPr>
      <w:r>
        <w:t>n</w:t>
      </w:r>
      <w:r w:rsidRPr="00040530">
        <w:t>umber of former scholarship recipients now in part-time or casual employment</w:t>
      </w:r>
    </w:p>
    <w:p w14:paraId="7CD5F2D8" w14:textId="77777777" w:rsidR="00DE6C74" w:rsidRDefault="00DE6C74" w:rsidP="00DE6C74">
      <w:pPr>
        <w:pStyle w:val="ListBullet"/>
      </w:pPr>
      <w:r>
        <w:t>the place of work/industry where former scholarship recipients are currently employed</w:t>
      </w:r>
    </w:p>
    <w:p w14:paraId="36D2332B" w14:textId="77777777" w:rsidR="00DE6C74" w:rsidRDefault="00DE6C74" w:rsidP="00DE6C74">
      <w:pPr>
        <w:pStyle w:val="ListBullet"/>
      </w:pPr>
      <w:r>
        <w:t>the i</w:t>
      </w:r>
      <w:r w:rsidRPr="00040530">
        <w:t>ncome levels of former scholarship recipients</w:t>
      </w:r>
      <w:r>
        <w:t>.</w:t>
      </w:r>
    </w:p>
    <w:p w14:paraId="3901C546" w14:textId="77777777" w:rsidR="00DE6C74" w:rsidRDefault="00DE6C74" w:rsidP="00DE6C74">
      <w:pPr>
        <w:pStyle w:val="Heading7"/>
        <w:spacing w:after="240"/>
        <w:ind w:left="851" w:hanging="851"/>
        <w:rPr>
          <w:lang w:val="en-GB"/>
        </w:rPr>
      </w:pPr>
      <w:r>
        <w:rPr>
          <w:lang w:val="en-GB"/>
        </w:rPr>
        <w:t xml:space="preserve">Develop and implement a standard </w:t>
      </w:r>
      <w:r w:rsidRPr="00F02A37">
        <w:rPr>
          <w:lang w:val="en-GB"/>
        </w:rPr>
        <w:t>data reporting tool</w:t>
      </w:r>
    </w:p>
    <w:p w14:paraId="13F9E14E" w14:textId="1C6838C6" w:rsidR="00DE6C74" w:rsidRDefault="00DE6C74" w:rsidP="00DE6C74">
      <w:pPr>
        <w:pStyle w:val="ListBullet"/>
        <w:numPr>
          <w:ilvl w:val="0"/>
          <w:numId w:val="0"/>
        </w:numPr>
        <w:rPr>
          <w:lang w:val="en-GB"/>
        </w:rPr>
      </w:pPr>
      <w:r>
        <w:rPr>
          <w:lang w:val="en-GB"/>
        </w:rPr>
        <w:t>During the consultations, many scholarship providers indicated that they previously used the I</w:t>
      </w:r>
      <w:r w:rsidR="006B03A3">
        <w:rPr>
          <w:lang w:val="en-GB"/>
        </w:rPr>
        <w:t>NDIGO database as the mechanism</w:t>
      </w:r>
      <w:r>
        <w:rPr>
          <w:lang w:val="en-GB"/>
        </w:rPr>
        <w:t xml:space="preserve"> to report and store data relating to the IAS funded secondary school scholarships.</w:t>
      </w:r>
    </w:p>
    <w:p w14:paraId="031F711B" w14:textId="77777777" w:rsidR="004D7942" w:rsidRPr="00042F34" w:rsidRDefault="004D7942" w:rsidP="004D7942">
      <w:pPr>
        <w:pStyle w:val="PwCNormal"/>
        <w:numPr>
          <w:ilvl w:val="0"/>
          <w:numId w:val="9"/>
        </w:numPr>
        <w:rPr>
          <w:lang w:val="en-GB"/>
        </w:rPr>
      </w:pPr>
      <w:r w:rsidRPr="00901423">
        <w:rPr>
          <w:lang w:val="en-GB"/>
        </w:rPr>
        <w:t>A number of scholarship providers caution against data collection processe</w:t>
      </w:r>
      <w:r w:rsidRPr="00166496">
        <w:rPr>
          <w:lang w:val="en-GB"/>
        </w:rPr>
        <w:t>s standardis</w:t>
      </w:r>
      <w:r w:rsidRPr="00042F34">
        <w:rPr>
          <w:lang w:val="en-GB"/>
        </w:rPr>
        <w:t>ing scholarship provider activity resulting in a one size fits all approach to delivery.  It is vital that any new data collection requirements and processes are developed in consultation with scholarship providers to ensure data collection arrangements:</w:t>
      </w:r>
    </w:p>
    <w:p w14:paraId="6842B91A" w14:textId="77777777" w:rsidR="004D7942" w:rsidRDefault="004D7942" w:rsidP="004D7942">
      <w:pPr>
        <w:pStyle w:val="ListBullet"/>
        <w:rPr>
          <w:lang w:val="en-GB"/>
        </w:rPr>
      </w:pPr>
      <w:r>
        <w:rPr>
          <w:lang w:val="en-GB"/>
        </w:rPr>
        <w:t>reflect the range of circumstances of scholarship providers</w:t>
      </w:r>
    </w:p>
    <w:p w14:paraId="62C3FF4D" w14:textId="77777777" w:rsidR="004D7942" w:rsidRDefault="004D7942" w:rsidP="004D7942">
      <w:pPr>
        <w:pStyle w:val="ListBullet"/>
        <w:rPr>
          <w:lang w:val="en-GB"/>
        </w:rPr>
      </w:pPr>
      <w:r>
        <w:rPr>
          <w:lang w:val="en-GB"/>
        </w:rPr>
        <w:t>do not impose an undue administrative burden on scholarship providers</w:t>
      </w:r>
    </w:p>
    <w:p w14:paraId="14260A30" w14:textId="77777777" w:rsidR="004D7942" w:rsidRPr="006319F5" w:rsidRDefault="004D7942" w:rsidP="004D7942">
      <w:pPr>
        <w:pStyle w:val="ListBullet"/>
        <w:rPr>
          <w:lang w:val="en-GB"/>
        </w:rPr>
      </w:pPr>
      <w:r>
        <w:rPr>
          <w:lang w:val="en-GB"/>
        </w:rPr>
        <w:t>are proportionate and do not unintentionally stifle innovation, capacity of scholarship providers to meet specific needs or compromise the capacity of scholarship providers to implement their own service delivery model.</w:t>
      </w:r>
    </w:p>
    <w:p w14:paraId="74451CC3" w14:textId="77777777" w:rsidR="00DE6C74" w:rsidRDefault="00DE6C74" w:rsidP="00DE6C74">
      <w:pPr>
        <w:pStyle w:val="ListBullet"/>
        <w:numPr>
          <w:ilvl w:val="0"/>
          <w:numId w:val="0"/>
        </w:numPr>
        <w:rPr>
          <w:lang w:val="en-GB"/>
        </w:rPr>
      </w:pPr>
      <w:r>
        <w:rPr>
          <w:lang w:val="en-GB"/>
        </w:rPr>
        <w:t xml:space="preserve">Many scholarship providers expressed frustration at the INDIGO database claiming it was poorly designed with data compromised by system glitches. Nevertheless, it remained the repository for information relating to recipients of scholarships and was often relied upon for reporting. </w:t>
      </w:r>
    </w:p>
    <w:p w14:paraId="1A6D6438" w14:textId="05F59DD3" w:rsidR="00DE6C74" w:rsidRDefault="00DE6C74" w:rsidP="00DE6C74">
      <w:pPr>
        <w:pStyle w:val="ListBullet"/>
        <w:numPr>
          <w:ilvl w:val="0"/>
          <w:numId w:val="0"/>
        </w:numPr>
        <w:rPr>
          <w:lang w:val="en-GB"/>
        </w:rPr>
      </w:pPr>
      <w:r>
        <w:rPr>
          <w:lang w:val="en-GB"/>
        </w:rPr>
        <w:lastRenderedPageBreak/>
        <w:t xml:space="preserve">In the absence of the INDIGO database, it is apparent that there is a need for consistent reporting requirements for all scholarship providers so that the minimum data sets (for monitoring and evaluation and a longitudinal impact analysis) are being captured and stored appropriately. </w:t>
      </w:r>
      <w:r w:rsidR="008943AB">
        <w:rPr>
          <w:lang w:val="en-GB"/>
        </w:rPr>
        <w:t>A</w:t>
      </w:r>
      <w:r w:rsidR="005D7AB5" w:rsidRPr="007E25B6">
        <w:rPr>
          <w:lang w:val="en-GB"/>
        </w:rPr>
        <w:t>ll IAS funded scholarship providers are currently required to report on their activities and outcomes</w:t>
      </w:r>
      <w:r w:rsidR="005D7AB5">
        <w:rPr>
          <w:lang w:val="en-GB"/>
        </w:rPr>
        <w:t xml:space="preserve"> to the department. However, the reports are not comprehensive as they include qualitative case studies illustrating successful outcomes, list the key activities delivered by the scholarship provider within the designated time period and identify any key outcomes for scholars. AIEF has its own reporting documentation and requirements which is stored separately by the department. </w:t>
      </w:r>
      <w:r>
        <w:rPr>
          <w:lang w:val="en-GB"/>
        </w:rPr>
        <w:t>Two options the department could pursue are:</w:t>
      </w:r>
    </w:p>
    <w:p w14:paraId="71AA8A16" w14:textId="77777777" w:rsidR="00DE6C74" w:rsidRDefault="00DE6C74" w:rsidP="00DE6C74">
      <w:pPr>
        <w:pStyle w:val="ChapterNumberedList1"/>
        <w:rPr>
          <w:lang w:val="en-GB"/>
        </w:rPr>
      </w:pPr>
      <w:r>
        <w:rPr>
          <w:lang w:val="en-GB"/>
        </w:rPr>
        <w:t xml:space="preserve">Develop a detailed template for all scholarship providers to complete on an annual basis in order to meet the requirements of the minimum data sets. </w:t>
      </w:r>
    </w:p>
    <w:p w14:paraId="368074B7" w14:textId="77777777" w:rsidR="00DE6C74" w:rsidRDefault="00DE6C74" w:rsidP="00DE6C74">
      <w:pPr>
        <w:pStyle w:val="ChapterNumberedList1"/>
        <w:rPr>
          <w:lang w:val="en-GB"/>
        </w:rPr>
      </w:pPr>
      <w:r>
        <w:rPr>
          <w:lang w:val="en-GB"/>
        </w:rPr>
        <w:t>Invest in the development of a new data platform tailored to the IAS funded scholarship providers.</w:t>
      </w:r>
    </w:p>
    <w:p w14:paraId="790A5ABB" w14:textId="75C8D91B" w:rsidR="00DE6C74" w:rsidRDefault="00DE6C74" w:rsidP="00DE6C74">
      <w:pPr>
        <w:pStyle w:val="ChapterNumberedList1"/>
        <w:numPr>
          <w:ilvl w:val="0"/>
          <w:numId w:val="0"/>
        </w:numPr>
        <w:rPr>
          <w:lang w:val="en-GB"/>
        </w:rPr>
      </w:pPr>
      <w:r>
        <w:rPr>
          <w:lang w:val="en-GB"/>
        </w:rPr>
        <w:t>It is important that each of these options aligns with any infrastructure or IT systems that already exist</w:t>
      </w:r>
      <w:r w:rsidR="003B75D7">
        <w:rPr>
          <w:lang w:val="en-GB"/>
        </w:rPr>
        <w:t>, including those established by scholarship providers</w:t>
      </w:r>
      <w:r>
        <w:rPr>
          <w:lang w:val="en-GB"/>
        </w:rPr>
        <w:t>.</w:t>
      </w:r>
    </w:p>
    <w:p w14:paraId="1D47B85D" w14:textId="77777777" w:rsidR="00DE6C74" w:rsidRDefault="00DE6C74" w:rsidP="00DE6C74">
      <w:pPr>
        <w:pStyle w:val="Heading7"/>
        <w:spacing w:after="240"/>
        <w:ind w:left="851" w:hanging="851"/>
        <w:rPr>
          <w:lang w:val="en-GB"/>
        </w:rPr>
      </w:pPr>
      <w:r>
        <w:rPr>
          <w:lang w:val="en-GB"/>
        </w:rPr>
        <w:t>Establish data sharing protocols</w:t>
      </w:r>
    </w:p>
    <w:p w14:paraId="63788826" w14:textId="1E8A722C" w:rsidR="00DE6C74" w:rsidRPr="00880DDE" w:rsidRDefault="00DE6C74" w:rsidP="00DE6C74">
      <w:pPr>
        <w:pStyle w:val="ListBullet"/>
        <w:numPr>
          <w:ilvl w:val="0"/>
          <w:numId w:val="0"/>
        </w:numPr>
        <w:rPr>
          <w:lang w:val="en-GB"/>
        </w:rPr>
      </w:pPr>
      <w:r>
        <w:rPr>
          <w:lang w:val="en-GB"/>
        </w:rPr>
        <w:t xml:space="preserve">One of the most common explanations for the disparate and inconsistent responses to the data request, as well as the ‘Amber’ responses in </w:t>
      </w:r>
      <w:r w:rsidR="00DE12AF">
        <w:rPr>
          <w:lang w:val="en-GB"/>
        </w:rPr>
        <w:fldChar w:fldCharType="begin"/>
      </w:r>
      <w:r w:rsidR="00DE12AF">
        <w:rPr>
          <w:lang w:val="en-GB"/>
        </w:rPr>
        <w:instrText xml:space="preserve"> REF _Ref481687735 \h </w:instrText>
      </w:r>
      <w:r w:rsidR="00DE12AF">
        <w:rPr>
          <w:lang w:val="en-GB"/>
        </w:rPr>
      </w:r>
      <w:r w:rsidR="00DE12AF">
        <w:rPr>
          <w:lang w:val="en-GB"/>
        </w:rPr>
        <w:fldChar w:fldCharType="separate"/>
      </w:r>
      <w:r w:rsidR="009C78D7">
        <w:t xml:space="preserve">Figure </w:t>
      </w:r>
      <w:r w:rsidR="009C78D7">
        <w:rPr>
          <w:noProof/>
        </w:rPr>
        <w:t>23</w:t>
      </w:r>
      <w:r w:rsidR="00DE12AF">
        <w:rPr>
          <w:lang w:val="en-GB"/>
        </w:rPr>
        <w:fldChar w:fldCharType="end"/>
      </w:r>
      <w:r w:rsidRPr="00880DDE">
        <w:rPr>
          <w:lang w:val="en-GB"/>
        </w:rPr>
        <w:t>, is that scholarship providers do not collect certain data as it is the responsibility of their education partners</w:t>
      </w:r>
      <w:r>
        <w:rPr>
          <w:lang w:val="en-GB"/>
        </w:rPr>
        <w:t xml:space="preserve"> or not relevant to their respective models</w:t>
      </w:r>
      <w:r w:rsidRPr="00880DDE">
        <w:rPr>
          <w:lang w:val="en-GB"/>
        </w:rPr>
        <w:t>.</w:t>
      </w:r>
    </w:p>
    <w:p w14:paraId="220BF4C5" w14:textId="20DFEF01" w:rsidR="00DE6C74" w:rsidRPr="00880DDE" w:rsidRDefault="00DE6C74" w:rsidP="00DE6C74">
      <w:pPr>
        <w:pStyle w:val="NormalWeb"/>
        <w:spacing w:before="0" w:beforeAutospacing="0" w:after="360" w:afterAutospacing="0"/>
        <w:textAlignment w:val="baseline"/>
        <w:rPr>
          <w:rFonts w:ascii="Georgia" w:hAnsi="Georgia" w:cs="Arial"/>
          <w:snapToGrid w:val="0"/>
          <w:sz w:val="20"/>
          <w:szCs w:val="20"/>
          <w:lang w:val="en-GB" w:eastAsia="en-US"/>
        </w:rPr>
      </w:pPr>
      <w:r w:rsidRPr="00880DDE">
        <w:rPr>
          <w:rFonts w:ascii="Georgia" w:hAnsi="Georgia" w:cs="Arial"/>
          <w:snapToGrid w:val="0"/>
          <w:sz w:val="20"/>
          <w:szCs w:val="20"/>
          <w:lang w:val="en-GB" w:eastAsia="en-US"/>
        </w:rPr>
        <w:t xml:space="preserve">Effective information sharing is a key component to the successful functioning of a partnership. In order to start the information sharing process, it is important that all partners are able to commit to the sharing of their information guided by a </w:t>
      </w:r>
      <w:r>
        <w:rPr>
          <w:rFonts w:ascii="Georgia" w:hAnsi="Georgia" w:cs="Arial"/>
          <w:snapToGrid w:val="0"/>
          <w:sz w:val="20"/>
          <w:szCs w:val="20"/>
          <w:lang w:val="en-GB" w:eastAsia="en-US"/>
        </w:rPr>
        <w:t xml:space="preserve">negotiated </w:t>
      </w:r>
      <w:r w:rsidRPr="00880DDE">
        <w:rPr>
          <w:rFonts w:ascii="Georgia" w:hAnsi="Georgia" w:cs="Arial"/>
          <w:snapToGrid w:val="0"/>
          <w:sz w:val="20"/>
          <w:szCs w:val="20"/>
          <w:lang w:val="en-GB" w:eastAsia="en-US"/>
        </w:rPr>
        <w:t>data sharing protocol between scholarship providers and education partners. By clearly defining why data sharing is required to scholarship providers and their education partners, the principles that will govern the sharing and how it will support the functions of the partnership, a protocol can provide the foundations for partners to agree to share information.</w:t>
      </w:r>
    </w:p>
    <w:p w14:paraId="3FB9F0AC" w14:textId="65F34EE8" w:rsidR="00DE6C74" w:rsidRPr="00247640" w:rsidRDefault="004C6E0A" w:rsidP="00247640">
      <w:pPr>
        <w:pStyle w:val="Heading2"/>
      </w:pPr>
      <w:bookmarkStart w:id="55" w:name="_Toc482974463"/>
      <w:r w:rsidRPr="00247640">
        <w:lastRenderedPageBreak/>
        <w:t>N</w:t>
      </w:r>
      <w:r w:rsidR="00DE6C74" w:rsidRPr="00247640">
        <w:t>ext steps</w:t>
      </w:r>
      <w:r w:rsidRPr="00247640">
        <w:t xml:space="preserve"> &amp; broader implications</w:t>
      </w:r>
      <w:bookmarkEnd w:id="55"/>
    </w:p>
    <w:p w14:paraId="5B52DEC9" w14:textId="17089C3E" w:rsidR="00DE6C74" w:rsidRPr="000729DD" w:rsidRDefault="00DE6C74" w:rsidP="00DE6C74">
      <w:pPr>
        <w:spacing w:after="240"/>
        <w:rPr>
          <w:snapToGrid/>
          <w:lang w:val="en-GB"/>
        </w:rPr>
      </w:pPr>
      <w:r>
        <w:rPr>
          <w:snapToGrid/>
          <w:lang w:val="en-GB"/>
        </w:rPr>
        <w:t xml:space="preserve">Through this review </w:t>
      </w:r>
      <w:r w:rsidRPr="000729DD">
        <w:rPr>
          <w:snapToGrid/>
          <w:lang w:val="en-GB"/>
        </w:rPr>
        <w:t>PIC has identified a number of</w:t>
      </w:r>
      <w:r>
        <w:rPr>
          <w:snapToGrid/>
          <w:lang w:val="en-GB"/>
        </w:rPr>
        <w:t xml:space="preserve"> opportunities to improve</w:t>
      </w:r>
      <w:r w:rsidRPr="000729DD">
        <w:rPr>
          <w:snapToGrid/>
          <w:lang w:val="en-GB"/>
        </w:rPr>
        <w:t xml:space="preserve"> future collection of data </w:t>
      </w:r>
      <w:r>
        <w:rPr>
          <w:snapToGrid/>
          <w:lang w:val="en-GB"/>
        </w:rPr>
        <w:t xml:space="preserve">related to the operation of </w:t>
      </w:r>
      <w:r w:rsidRPr="000729DD">
        <w:rPr>
          <w:snapToGrid/>
          <w:lang w:val="en-GB"/>
        </w:rPr>
        <w:t>funded scholarships for Aboriginal and Torres Strait Islander secondary school students</w:t>
      </w:r>
      <w:r>
        <w:rPr>
          <w:snapToGrid/>
          <w:lang w:val="en-GB"/>
        </w:rPr>
        <w:t xml:space="preserve">.  These are </w:t>
      </w:r>
      <w:r w:rsidRPr="000729DD">
        <w:rPr>
          <w:snapToGrid/>
          <w:lang w:val="en-GB"/>
        </w:rPr>
        <w:t xml:space="preserve">set out in the data improvement plan at </w:t>
      </w:r>
      <w:r w:rsidRPr="00C43C38">
        <w:rPr>
          <w:snapToGrid/>
          <w:lang w:val="en-GB"/>
        </w:rPr>
        <w:fldChar w:fldCharType="begin"/>
      </w:r>
      <w:r w:rsidRPr="004E6DDE">
        <w:rPr>
          <w:snapToGrid/>
          <w:lang w:val="en-GB"/>
        </w:rPr>
        <w:instrText xml:space="preserve"> REF _Ref478659238 \h </w:instrText>
      </w:r>
      <w:r w:rsidRPr="00C00129">
        <w:rPr>
          <w:snapToGrid/>
          <w:lang w:val="en-GB"/>
        </w:rPr>
        <w:instrText xml:space="preserve"> \* MERGEFORMAT </w:instrText>
      </w:r>
      <w:r w:rsidRPr="00C43C38">
        <w:rPr>
          <w:snapToGrid/>
          <w:lang w:val="en-GB"/>
        </w:rPr>
      </w:r>
      <w:r w:rsidRPr="00C43C38">
        <w:rPr>
          <w:snapToGrid/>
          <w:lang w:val="en-GB"/>
        </w:rPr>
        <w:fldChar w:fldCharType="separate"/>
      </w:r>
      <w:r w:rsidR="009C78D7" w:rsidRPr="009C78D7">
        <w:rPr>
          <w:bCs/>
          <w:snapToGrid/>
          <w:szCs w:val="18"/>
        </w:rPr>
        <w:t xml:space="preserve">Figure </w:t>
      </w:r>
      <w:r w:rsidR="009C78D7" w:rsidRPr="009C78D7">
        <w:rPr>
          <w:bCs/>
          <w:noProof/>
          <w:snapToGrid/>
          <w:szCs w:val="18"/>
        </w:rPr>
        <w:t>6</w:t>
      </w:r>
      <w:r w:rsidRPr="00C43C38">
        <w:rPr>
          <w:snapToGrid/>
          <w:lang w:val="en-GB"/>
        </w:rPr>
        <w:fldChar w:fldCharType="end"/>
      </w:r>
      <w:r w:rsidRPr="004E6DDE">
        <w:rPr>
          <w:snapToGrid/>
          <w:lang w:val="en-GB"/>
        </w:rPr>
        <w:t>.</w:t>
      </w:r>
    </w:p>
    <w:p w14:paraId="153998DE" w14:textId="01108F0A" w:rsidR="00DE6C74" w:rsidRPr="000729DD" w:rsidRDefault="00DE6C74" w:rsidP="00DE6C74">
      <w:pPr>
        <w:keepNext/>
        <w:keepLines/>
        <w:tabs>
          <w:tab w:val="left" w:pos="992"/>
        </w:tabs>
        <w:spacing w:before="240" w:after="120"/>
        <w:rPr>
          <w:b/>
          <w:bCs/>
          <w:snapToGrid/>
          <w:color w:val="A32020" w:themeColor="text2"/>
          <w:szCs w:val="18"/>
          <w:lang w:val="en-GB"/>
        </w:rPr>
      </w:pPr>
      <w:r w:rsidRPr="000729DD">
        <w:rPr>
          <w:b/>
          <w:bCs/>
          <w:snapToGrid/>
          <w:color w:val="A32020" w:themeColor="text2"/>
          <w:szCs w:val="18"/>
        </w:rPr>
        <w:t xml:space="preserve">Figure </w:t>
      </w:r>
      <w:r w:rsidR="0032106D">
        <w:rPr>
          <w:b/>
          <w:bCs/>
          <w:snapToGrid/>
          <w:color w:val="A32020" w:themeColor="text2"/>
          <w:szCs w:val="18"/>
        </w:rPr>
        <w:fldChar w:fldCharType="begin"/>
      </w:r>
      <w:r w:rsidR="0032106D">
        <w:rPr>
          <w:b/>
          <w:bCs/>
          <w:snapToGrid/>
          <w:color w:val="A32020" w:themeColor="text2"/>
          <w:szCs w:val="18"/>
        </w:rPr>
        <w:instrText xml:space="preserve"> SEQ Figure \* ARABIC </w:instrText>
      </w:r>
      <w:r w:rsidR="0032106D">
        <w:rPr>
          <w:b/>
          <w:bCs/>
          <w:snapToGrid/>
          <w:color w:val="A32020" w:themeColor="text2"/>
          <w:szCs w:val="18"/>
        </w:rPr>
        <w:fldChar w:fldCharType="separate"/>
      </w:r>
      <w:r w:rsidR="009C78D7">
        <w:rPr>
          <w:b/>
          <w:bCs/>
          <w:noProof/>
          <w:snapToGrid/>
          <w:color w:val="A32020" w:themeColor="text2"/>
          <w:szCs w:val="18"/>
        </w:rPr>
        <w:t>24</w:t>
      </w:r>
      <w:r w:rsidR="0032106D">
        <w:rPr>
          <w:b/>
          <w:bCs/>
          <w:snapToGrid/>
          <w:color w:val="A32020" w:themeColor="text2"/>
          <w:szCs w:val="18"/>
        </w:rPr>
        <w:fldChar w:fldCharType="end"/>
      </w:r>
      <w:r w:rsidRPr="000729DD">
        <w:rPr>
          <w:b/>
          <w:bCs/>
          <w:snapToGrid/>
          <w:color w:val="A32020" w:themeColor="text2"/>
          <w:szCs w:val="18"/>
        </w:rPr>
        <w:t xml:space="preserve"> Data improvement plan</w:t>
      </w:r>
    </w:p>
    <w:p w14:paraId="5DAA39F0" w14:textId="77777777" w:rsidR="00DE6C74" w:rsidRDefault="00DE6C74" w:rsidP="00DE6C74">
      <w:pPr>
        <w:spacing w:after="240"/>
        <w:rPr>
          <w:snapToGrid/>
          <w:lang w:val="en-GB"/>
        </w:rPr>
      </w:pPr>
      <w:r w:rsidRPr="000729DD">
        <w:rPr>
          <w:noProof/>
          <w:snapToGrid/>
          <w:lang w:eastAsia="en-AU"/>
        </w:rPr>
        <w:drawing>
          <wp:inline distT="0" distB="0" distL="0" distR="0" wp14:anchorId="77FDC74F" wp14:editId="5F5CBB53">
            <wp:extent cx="5417820" cy="2598420"/>
            <wp:effectExtent l="0" t="0" r="0" b="0"/>
            <wp:docPr id="18" name="Picture 9" descr="Provides a summary of the six steps recommended below for the data improvement plan." title="Data improv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417820" cy="2598420"/>
                    </a:xfrm>
                    <a:prstGeom prst="rect">
                      <a:avLst/>
                    </a:prstGeom>
                    <a:noFill/>
                    <a:ln>
                      <a:noFill/>
                    </a:ln>
                  </pic:spPr>
                </pic:pic>
              </a:graphicData>
            </a:graphic>
          </wp:inline>
        </w:drawing>
      </w:r>
    </w:p>
    <w:p w14:paraId="667D9C5A" w14:textId="77777777" w:rsidR="00DE6C74" w:rsidRDefault="00DE6C74" w:rsidP="00DE6C74">
      <w:pPr>
        <w:pStyle w:val="PwCNormal"/>
        <w:numPr>
          <w:ilvl w:val="0"/>
          <w:numId w:val="9"/>
        </w:numPr>
        <w:rPr>
          <w:lang w:val="en-GB"/>
        </w:rPr>
      </w:pPr>
      <w:r>
        <w:rPr>
          <w:lang w:val="en-GB"/>
        </w:rPr>
        <w:t xml:space="preserve">The purpose of data collection should be to determine how funded scholarship contribute to achieving agreed outcomes.  A number of scholarship providers caution against data collection processed standardising scholarship provider activity resulting in a one size fits all approach to delivery.  </w:t>
      </w:r>
    </w:p>
    <w:p w14:paraId="7BE425AC" w14:textId="77777777" w:rsidR="00DE6C74" w:rsidRDefault="00DE6C74" w:rsidP="00DE6C74">
      <w:pPr>
        <w:pStyle w:val="PwCNormal"/>
        <w:numPr>
          <w:ilvl w:val="0"/>
          <w:numId w:val="9"/>
        </w:numPr>
        <w:rPr>
          <w:lang w:val="en-GB"/>
        </w:rPr>
      </w:pPr>
      <w:r>
        <w:rPr>
          <w:lang w:val="en-GB"/>
        </w:rPr>
        <w:t>It is vital that any new data collection requirements and processes are developed in consultation with scholarship providers to ensure data collection arrangements:</w:t>
      </w:r>
    </w:p>
    <w:p w14:paraId="7A8636C9" w14:textId="77777777" w:rsidR="00DE6C74" w:rsidRDefault="00DE6C74" w:rsidP="002F6312">
      <w:pPr>
        <w:pStyle w:val="ListBullet"/>
        <w:rPr>
          <w:lang w:val="en-GB"/>
        </w:rPr>
      </w:pPr>
      <w:r>
        <w:rPr>
          <w:lang w:val="en-GB"/>
        </w:rPr>
        <w:t>reflect the range of circumstances of scholarship providers</w:t>
      </w:r>
    </w:p>
    <w:p w14:paraId="09F0AE3D" w14:textId="77777777" w:rsidR="00DE6C74" w:rsidRDefault="00DE6C74" w:rsidP="002F6312">
      <w:pPr>
        <w:pStyle w:val="ListBullet"/>
        <w:rPr>
          <w:lang w:val="en-GB"/>
        </w:rPr>
      </w:pPr>
      <w:r>
        <w:rPr>
          <w:lang w:val="en-GB"/>
        </w:rPr>
        <w:t>do not impose an undue administrative burden on scholarship providers</w:t>
      </w:r>
    </w:p>
    <w:p w14:paraId="71591F51" w14:textId="77777777" w:rsidR="00DE6C74" w:rsidRPr="006319F5" w:rsidRDefault="00DE6C74" w:rsidP="002F6312">
      <w:pPr>
        <w:pStyle w:val="ListBullet"/>
        <w:rPr>
          <w:lang w:val="en-GB"/>
        </w:rPr>
      </w:pPr>
      <w:r>
        <w:rPr>
          <w:lang w:val="en-GB"/>
        </w:rPr>
        <w:t>are proportionate and do not unintentionally stifle innovation, capacity of scholarship providers to meet specific needs or compromise the capacity of scholarship providers to implement their own service delivery model.</w:t>
      </w:r>
    </w:p>
    <w:p w14:paraId="0313595F" w14:textId="77777777" w:rsidR="00DE6C74" w:rsidRPr="000729DD" w:rsidRDefault="00DE6C74" w:rsidP="00DE6C74">
      <w:pPr>
        <w:numPr>
          <w:ilvl w:val="0"/>
          <w:numId w:val="30"/>
        </w:numPr>
        <w:spacing w:after="240"/>
        <w:rPr>
          <w:b/>
          <w:snapToGrid/>
          <w:lang w:val="en-GB"/>
        </w:rPr>
      </w:pPr>
      <w:r w:rsidRPr="000729DD">
        <w:rPr>
          <w:b/>
          <w:snapToGrid/>
          <w:lang w:val="en-GB"/>
        </w:rPr>
        <w:t>Recommendation</w:t>
      </w:r>
      <w:r>
        <w:rPr>
          <w:b/>
          <w:snapToGrid/>
          <w:lang w:val="en-GB"/>
        </w:rPr>
        <w:t xml:space="preserve"> 1</w:t>
      </w:r>
    </w:p>
    <w:p w14:paraId="18583734" w14:textId="77777777" w:rsidR="00DE6C74" w:rsidRPr="000729DD" w:rsidRDefault="00DE6C74" w:rsidP="00DE6C74">
      <w:pPr>
        <w:numPr>
          <w:ilvl w:val="0"/>
          <w:numId w:val="30"/>
        </w:numPr>
        <w:spacing w:after="240"/>
        <w:rPr>
          <w:b/>
          <w:snapToGrid/>
          <w:lang w:val="en-GB"/>
        </w:rPr>
      </w:pPr>
      <w:r w:rsidRPr="000729DD">
        <w:rPr>
          <w:b/>
          <w:snapToGrid/>
          <w:lang w:val="en-GB"/>
        </w:rPr>
        <w:t xml:space="preserve">The </w:t>
      </w:r>
      <w:r>
        <w:rPr>
          <w:b/>
          <w:snapToGrid/>
          <w:lang w:val="en-GB"/>
        </w:rPr>
        <w:t>d</w:t>
      </w:r>
      <w:r w:rsidRPr="000729DD">
        <w:rPr>
          <w:b/>
          <w:snapToGrid/>
          <w:lang w:val="en-GB"/>
        </w:rPr>
        <w:t xml:space="preserve">epartment should </w:t>
      </w:r>
      <w:r>
        <w:rPr>
          <w:b/>
          <w:snapToGrid/>
          <w:lang w:val="en-GB"/>
        </w:rPr>
        <w:t>consult with funded scholarship providers on any proposed changes to data collection requirements to ensure that new data collection arrangements are proportionate, flexible and do not impose an undue administrative burden.</w:t>
      </w:r>
    </w:p>
    <w:p w14:paraId="45387BA4" w14:textId="77777777" w:rsidR="00DE6C74" w:rsidRPr="000729DD" w:rsidRDefault="00DE6C74" w:rsidP="00DE6C74">
      <w:pPr>
        <w:keepNext/>
        <w:keepLines/>
        <w:tabs>
          <w:tab w:val="left" w:pos="720"/>
        </w:tabs>
        <w:spacing w:after="40"/>
        <w:outlineLvl w:val="6"/>
        <w:rPr>
          <w:i/>
          <w:iCs/>
          <w:snapToGrid/>
          <w:color w:val="A32020" w:themeColor="text2"/>
          <w:sz w:val="28"/>
          <w:szCs w:val="28"/>
          <w:lang w:val="en-GB"/>
        </w:rPr>
      </w:pPr>
      <w:r w:rsidRPr="000729DD">
        <w:rPr>
          <w:i/>
          <w:iCs/>
          <w:snapToGrid/>
          <w:color w:val="A32020" w:themeColor="text2"/>
          <w:sz w:val="28"/>
          <w:szCs w:val="28"/>
          <w:lang w:val="en-GB"/>
        </w:rPr>
        <w:t>Discovery</w:t>
      </w:r>
    </w:p>
    <w:p w14:paraId="22EC0F88" w14:textId="77777777" w:rsidR="00DE6C74" w:rsidRPr="000729DD" w:rsidRDefault="00DE6C74" w:rsidP="00DE6C74">
      <w:pPr>
        <w:numPr>
          <w:ilvl w:val="0"/>
          <w:numId w:val="30"/>
        </w:numPr>
        <w:spacing w:after="240"/>
        <w:rPr>
          <w:snapToGrid/>
          <w:lang w:val="en-GB"/>
        </w:rPr>
      </w:pPr>
      <w:r w:rsidRPr="000729DD">
        <w:rPr>
          <w:snapToGrid/>
          <w:lang w:val="en-GB"/>
        </w:rPr>
        <w:t xml:space="preserve">PIC has gathered input from all currently funded scholarship providers on their current data collection.  On the basis of this work PIC has found that the current state </w:t>
      </w:r>
      <w:r>
        <w:rPr>
          <w:snapToGrid/>
          <w:lang w:val="en-GB"/>
        </w:rPr>
        <w:t xml:space="preserve">of the </w:t>
      </w:r>
      <w:r w:rsidRPr="000729DD">
        <w:rPr>
          <w:snapToGrid/>
          <w:lang w:val="en-GB"/>
        </w:rPr>
        <w:t xml:space="preserve">data is </w:t>
      </w:r>
      <w:r w:rsidRPr="000729DD">
        <w:rPr>
          <w:snapToGrid/>
          <w:lang w:val="en-GB"/>
        </w:rPr>
        <w:lastRenderedPageBreak/>
        <w:t>compromised by data gaps, inconsistencies and disparate data which will not, in its current form, support robust evaluation approaches in particular impact assessment</w:t>
      </w:r>
      <w:r>
        <w:rPr>
          <w:snapToGrid/>
          <w:lang w:val="en-GB"/>
        </w:rPr>
        <w:t xml:space="preserve"> to be conducted</w:t>
      </w:r>
      <w:r w:rsidRPr="000729DD">
        <w:rPr>
          <w:snapToGrid/>
          <w:lang w:val="en-GB"/>
        </w:rPr>
        <w:t>.</w:t>
      </w:r>
    </w:p>
    <w:p w14:paraId="551C9CC9" w14:textId="77777777" w:rsidR="00DE6C74" w:rsidRPr="000729DD" w:rsidRDefault="00DE6C74" w:rsidP="00DE6C74">
      <w:pPr>
        <w:numPr>
          <w:ilvl w:val="0"/>
          <w:numId w:val="30"/>
        </w:numPr>
        <w:spacing w:after="240"/>
        <w:rPr>
          <w:snapToGrid/>
          <w:lang w:val="en-GB"/>
        </w:rPr>
      </w:pPr>
      <w:r w:rsidRPr="000729DD">
        <w:rPr>
          <w:snapToGrid/>
          <w:lang w:val="en-GB"/>
        </w:rPr>
        <w:t>PIC developed a data ‘wish</w:t>
      </w:r>
      <w:r>
        <w:rPr>
          <w:snapToGrid/>
          <w:lang w:val="en-GB"/>
        </w:rPr>
        <w:t xml:space="preserve"> </w:t>
      </w:r>
      <w:r w:rsidRPr="000729DD">
        <w:rPr>
          <w:snapToGrid/>
          <w:lang w:val="en-GB"/>
        </w:rPr>
        <w:t xml:space="preserve">list’ for a range of primarily unit record data that will support evaluation design in three key domains: pre entry into a scholarship, during scholarship participation and post scholarship completion.  PIC sought input from currently funded scholarship providers to gain insights as to whether they currently collect this data, whether they have access to the data but do not currently collect </w:t>
      </w:r>
      <w:r>
        <w:rPr>
          <w:snapToGrid/>
          <w:lang w:val="en-GB"/>
        </w:rPr>
        <w:t>and</w:t>
      </w:r>
      <w:r w:rsidRPr="000729DD">
        <w:rPr>
          <w:snapToGrid/>
          <w:lang w:val="en-GB"/>
        </w:rPr>
        <w:t xml:space="preserve"> record it systematically or whether they do not have access to these data.</w:t>
      </w:r>
    </w:p>
    <w:p w14:paraId="45B7B6B1" w14:textId="77777777" w:rsidR="00DE6C74" w:rsidRDefault="00DE6C74" w:rsidP="00DE6C74">
      <w:pPr>
        <w:numPr>
          <w:ilvl w:val="0"/>
          <w:numId w:val="30"/>
        </w:numPr>
        <w:spacing w:after="240"/>
        <w:rPr>
          <w:snapToGrid/>
          <w:lang w:val="en-GB"/>
        </w:rPr>
      </w:pPr>
      <w:r w:rsidRPr="000729DD">
        <w:rPr>
          <w:snapToGrid/>
          <w:lang w:val="en-GB"/>
        </w:rPr>
        <w:t xml:space="preserve">In summary PIC has determined that scholarship providers have the capacity to collect </w:t>
      </w:r>
      <w:r>
        <w:rPr>
          <w:snapToGrid/>
          <w:lang w:val="en-GB"/>
        </w:rPr>
        <w:t xml:space="preserve">a range of </w:t>
      </w:r>
      <w:r w:rsidRPr="000729DD">
        <w:rPr>
          <w:snapToGrid/>
          <w:lang w:val="en-GB"/>
        </w:rPr>
        <w:t>relevant data to support evaluation activities but require guidance, direction</w:t>
      </w:r>
      <w:r>
        <w:rPr>
          <w:snapToGrid/>
          <w:lang w:val="en-GB"/>
        </w:rPr>
        <w:t>, resources</w:t>
      </w:r>
      <w:r w:rsidRPr="000729DD">
        <w:rPr>
          <w:snapToGrid/>
          <w:lang w:val="en-GB"/>
        </w:rPr>
        <w:t xml:space="preserve"> and structure for this collection.  Further</w:t>
      </w:r>
      <w:r>
        <w:rPr>
          <w:snapToGrid/>
          <w:lang w:val="en-GB"/>
        </w:rPr>
        <w:t>,</w:t>
      </w:r>
      <w:r w:rsidRPr="000729DD">
        <w:rPr>
          <w:snapToGrid/>
          <w:lang w:val="en-GB"/>
        </w:rPr>
        <w:t xml:space="preserve"> scholarship providers are keen to be consulted and involved in future discussions about data requirements and the development </w:t>
      </w:r>
      <w:r>
        <w:rPr>
          <w:snapToGrid/>
          <w:lang w:val="en-GB"/>
        </w:rPr>
        <w:t xml:space="preserve">of a </w:t>
      </w:r>
      <w:r w:rsidRPr="000729DD">
        <w:rPr>
          <w:snapToGrid/>
          <w:lang w:val="en-GB"/>
        </w:rPr>
        <w:t xml:space="preserve">monitoring </w:t>
      </w:r>
      <w:r>
        <w:rPr>
          <w:snapToGrid/>
          <w:lang w:val="en-GB"/>
        </w:rPr>
        <w:t>and</w:t>
      </w:r>
      <w:r w:rsidRPr="000729DD">
        <w:rPr>
          <w:snapToGrid/>
          <w:lang w:val="en-GB"/>
        </w:rPr>
        <w:t xml:space="preserve"> evaluation framework.</w:t>
      </w:r>
    </w:p>
    <w:p w14:paraId="33E87ED1" w14:textId="77777777" w:rsidR="00DE6C74" w:rsidRPr="000729DD" w:rsidRDefault="00DE6C74" w:rsidP="00DE6C74">
      <w:pPr>
        <w:keepNext/>
        <w:keepLines/>
        <w:tabs>
          <w:tab w:val="left" w:pos="720"/>
        </w:tabs>
        <w:spacing w:after="40"/>
        <w:outlineLvl w:val="6"/>
        <w:rPr>
          <w:i/>
          <w:iCs/>
          <w:snapToGrid/>
          <w:color w:val="A32020" w:themeColor="text2"/>
          <w:sz w:val="28"/>
          <w:szCs w:val="28"/>
          <w:lang w:val="en-GB"/>
        </w:rPr>
      </w:pPr>
      <w:r w:rsidRPr="000729DD">
        <w:rPr>
          <w:i/>
          <w:iCs/>
          <w:snapToGrid/>
          <w:color w:val="A32020" w:themeColor="text2"/>
          <w:sz w:val="28"/>
          <w:szCs w:val="28"/>
          <w:lang w:val="en-GB"/>
        </w:rPr>
        <w:t>Program logic</w:t>
      </w:r>
    </w:p>
    <w:p w14:paraId="7955DB95" w14:textId="77777777" w:rsidR="00DE6C74" w:rsidRPr="00D67AE0" w:rsidRDefault="00DE6C74" w:rsidP="00DE6C74">
      <w:pPr>
        <w:pStyle w:val="PwCNormal"/>
        <w:numPr>
          <w:ilvl w:val="0"/>
          <w:numId w:val="30"/>
        </w:numPr>
        <w:rPr>
          <w:snapToGrid/>
          <w:lang w:val="en-GB"/>
        </w:rPr>
      </w:pPr>
      <w:r w:rsidRPr="00D67AE0">
        <w:rPr>
          <w:snapToGrid/>
          <w:lang w:val="en-GB"/>
        </w:rPr>
        <w:t xml:space="preserve">PIC has developed a draft program logic for funded secondary school scholarships for Aboriginal and Torres Strait Islander students based on desktop analysis and review of grant requirements.  </w:t>
      </w:r>
      <w:r>
        <w:rPr>
          <w:snapToGrid/>
          <w:lang w:val="en-GB"/>
        </w:rPr>
        <w:t>P</w:t>
      </w:r>
      <w:r w:rsidRPr="00D67AE0">
        <w:rPr>
          <w:snapToGrid/>
          <w:lang w:val="en-GB"/>
        </w:rPr>
        <w:t xml:space="preserve">rogram logic models </w:t>
      </w:r>
      <w:r>
        <w:rPr>
          <w:snapToGrid/>
          <w:lang w:val="en-GB"/>
        </w:rPr>
        <w:t xml:space="preserve">outline the logic of funding activities, </w:t>
      </w:r>
      <w:r w:rsidRPr="00D67AE0">
        <w:rPr>
          <w:snapToGrid/>
          <w:lang w:val="en-GB"/>
        </w:rPr>
        <w:t>link the activities to the aims and intended outcomes.</w:t>
      </w:r>
    </w:p>
    <w:p w14:paraId="6DD5E427" w14:textId="77777777" w:rsidR="00DE6C74" w:rsidRPr="000729DD" w:rsidRDefault="00DE6C74" w:rsidP="00DE6C74">
      <w:pPr>
        <w:numPr>
          <w:ilvl w:val="0"/>
          <w:numId w:val="30"/>
        </w:numPr>
        <w:spacing w:after="240"/>
        <w:rPr>
          <w:snapToGrid/>
          <w:lang w:val="en-GB"/>
        </w:rPr>
      </w:pPr>
      <w:r>
        <w:rPr>
          <w:snapToGrid/>
          <w:lang w:val="en-GB"/>
        </w:rPr>
        <w:t>A</w:t>
      </w:r>
      <w:r w:rsidRPr="000729DD">
        <w:rPr>
          <w:snapToGrid/>
          <w:lang w:val="en-GB"/>
        </w:rPr>
        <w:t xml:space="preserve"> key part of the development of a program logic is engaging in </w:t>
      </w:r>
      <w:r>
        <w:rPr>
          <w:snapToGrid/>
          <w:lang w:val="en-GB"/>
        </w:rPr>
        <w:t>c</w:t>
      </w:r>
      <w:r w:rsidRPr="000729DD">
        <w:rPr>
          <w:snapToGrid/>
          <w:lang w:val="en-GB"/>
        </w:rPr>
        <w:t>onsultation to ensure that there is an agreed understanding and to support ownership of the program logic</w:t>
      </w:r>
      <w:r>
        <w:rPr>
          <w:snapToGrid/>
          <w:lang w:val="en-GB"/>
        </w:rPr>
        <w:t xml:space="preserve"> amongst key stakeholders</w:t>
      </w:r>
      <w:r w:rsidRPr="000729DD">
        <w:rPr>
          <w:snapToGrid/>
          <w:lang w:val="en-GB"/>
        </w:rPr>
        <w:t xml:space="preserve">.  Further consultation on the program logic is recommended in the development of the monitoring </w:t>
      </w:r>
      <w:r>
        <w:rPr>
          <w:snapToGrid/>
          <w:lang w:val="en-GB"/>
        </w:rPr>
        <w:t xml:space="preserve">and </w:t>
      </w:r>
      <w:r w:rsidRPr="000729DD">
        <w:rPr>
          <w:snapToGrid/>
          <w:lang w:val="en-GB"/>
        </w:rPr>
        <w:t>evaluation</w:t>
      </w:r>
      <w:r>
        <w:rPr>
          <w:snapToGrid/>
          <w:lang w:val="en-GB"/>
        </w:rPr>
        <w:t xml:space="preserve"> </w:t>
      </w:r>
      <w:r w:rsidRPr="000729DD">
        <w:rPr>
          <w:snapToGrid/>
          <w:lang w:val="en-GB"/>
        </w:rPr>
        <w:t xml:space="preserve">framework including with funded scholarship providers.  </w:t>
      </w:r>
    </w:p>
    <w:p w14:paraId="419EA447" w14:textId="77777777" w:rsidR="00DE6C74" w:rsidRPr="000729DD" w:rsidRDefault="00DE6C74" w:rsidP="00DE6C74">
      <w:pPr>
        <w:numPr>
          <w:ilvl w:val="0"/>
          <w:numId w:val="30"/>
        </w:numPr>
        <w:spacing w:after="240"/>
        <w:rPr>
          <w:b/>
          <w:snapToGrid/>
          <w:lang w:val="en-GB"/>
        </w:rPr>
      </w:pPr>
      <w:r w:rsidRPr="000729DD">
        <w:rPr>
          <w:b/>
          <w:snapToGrid/>
          <w:lang w:val="en-GB"/>
        </w:rPr>
        <w:t>Recommendation</w:t>
      </w:r>
      <w:r>
        <w:rPr>
          <w:b/>
          <w:snapToGrid/>
          <w:lang w:val="en-GB"/>
        </w:rPr>
        <w:t xml:space="preserve"> 2</w:t>
      </w:r>
    </w:p>
    <w:p w14:paraId="7E111839" w14:textId="405EBA55" w:rsidR="00DE6C74" w:rsidRPr="000729DD" w:rsidRDefault="00DE6C74" w:rsidP="00DE6C74">
      <w:pPr>
        <w:numPr>
          <w:ilvl w:val="0"/>
          <w:numId w:val="30"/>
        </w:numPr>
        <w:spacing w:after="240"/>
        <w:rPr>
          <w:b/>
          <w:snapToGrid/>
          <w:lang w:val="en-GB"/>
        </w:rPr>
      </w:pPr>
      <w:r w:rsidRPr="000729DD">
        <w:rPr>
          <w:b/>
          <w:snapToGrid/>
          <w:lang w:val="en-GB"/>
        </w:rPr>
        <w:t xml:space="preserve">The </w:t>
      </w:r>
      <w:r>
        <w:rPr>
          <w:b/>
          <w:snapToGrid/>
          <w:lang w:val="en-GB"/>
        </w:rPr>
        <w:t>d</w:t>
      </w:r>
      <w:r w:rsidRPr="000729DD">
        <w:rPr>
          <w:b/>
          <w:snapToGrid/>
          <w:lang w:val="en-GB"/>
        </w:rPr>
        <w:t>epartment should consult with current scholarship providers to test, validate and refine th</w:t>
      </w:r>
      <w:r>
        <w:rPr>
          <w:b/>
          <w:snapToGrid/>
          <w:lang w:val="en-GB"/>
        </w:rPr>
        <w:t>e</w:t>
      </w:r>
      <w:r w:rsidRPr="000729DD">
        <w:rPr>
          <w:b/>
          <w:snapToGrid/>
          <w:lang w:val="en-GB"/>
        </w:rPr>
        <w:t xml:space="preserve"> draft program logic which can then be used to help guide and frame a monitoring </w:t>
      </w:r>
      <w:r>
        <w:rPr>
          <w:b/>
          <w:snapToGrid/>
          <w:lang w:val="en-GB"/>
        </w:rPr>
        <w:t xml:space="preserve">and </w:t>
      </w:r>
      <w:r w:rsidRPr="000729DD">
        <w:rPr>
          <w:b/>
          <w:snapToGrid/>
          <w:lang w:val="en-GB"/>
        </w:rPr>
        <w:t>evaluation framework for funded scholarships for Aboriginal and Torres Strait Islander secondary school students.</w:t>
      </w:r>
    </w:p>
    <w:p w14:paraId="70DB3A24" w14:textId="77777777" w:rsidR="00DE6C74" w:rsidRPr="000729DD" w:rsidRDefault="00DE6C74" w:rsidP="00DE6C74">
      <w:pPr>
        <w:keepNext/>
        <w:keepLines/>
        <w:tabs>
          <w:tab w:val="left" w:pos="720"/>
        </w:tabs>
        <w:spacing w:after="40"/>
        <w:outlineLvl w:val="6"/>
        <w:rPr>
          <w:i/>
          <w:iCs/>
          <w:snapToGrid/>
          <w:color w:val="A32020" w:themeColor="text2"/>
          <w:sz w:val="28"/>
          <w:szCs w:val="28"/>
          <w:lang w:val="en-GB"/>
        </w:rPr>
      </w:pPr>
      <w:r w:rsidRPr="000729DD">
        <w:rPr>
          <w:i/>
          <w:iCs/>
          <w:snapToGrid/>
          <w:color w:val="A32020" w:themeColor="text2"/>
          <w:sz w:val="28"/>
          <w:szCs w:val="28"/>
          <w:lang w:val="en-GB"/>
        </w:rPr>
        <w:t>Monitoring and evaluation framework</w:t>
      </w:r>
    </w:p>
    <w:p w14:paraId="25526599" w14:textId="77777777" w:rsidR="00DE6C74" w:rsidRPr="000729DD" w:rsidRDefault="00DE6C74" w:rsidP="00DE6C74">
      <w:pPr>
        <w:numPr>
          <w:ilvl w:val="0"/>
          <w:numId w:val="30"/>
        </w:numPr>
        <w:spacing w:after="240"/>
        <w:rPr>
          <w:snapToGrid/>
          <w:lang w:val="en-GB"/>
        </w:rPr>
      </w:pPr>
      <w:r w:rsidRPr="000729DD">
        <w:rPr>
          <w:snapToGrid/>
          <w:lang w:val="en-GB"/>
        </w:rPr>
        <w:t>A monitoring</w:t>
      </w:r>
      <w:r>
        <w:rPr>
          <w:snapToGrid/>
          <w:lang w:val="en-GB"/>
        </w:rPr>
        <w:t xml:space="preserve"> and</w:t>
      </w:r>
      <w:r w:rsidRPr="000729DD">
        <w:rPr>
          <w:snapToGrid/>
          <w:lang w:val="en-GB"/>
        </w:rPr>
        <w:t xml:space="preserve"> evaluation framework</w:t>
      </w:r>
      <w:r>
        <w:rPr>
          <w:snapToGrid/>
          <w:lang w:val="en-GB"/>
        </w:rPr>
        <w:t xml:space="preserve"> for</w:t>
      </w:r>
      <w:r w:rsidRPr="000729DD">
        <w:rPr>
          <w:snapToGrid/>
          <w:lang w:val="en-GB"/>
        </w:rPr>
        <w:t xml:space="preserve"> funded scholarships for Aboriginal and Torres Strait Islander secondary school students is required to: </w:t>
      </w:r>
    </w:p>
    <w:p w14:paraId="6510756C" w14:textId="77777777" w:rsidR="00DE6C74" w:rsidRPr="000729DD" w:rsidRDefault="00DE6C74" w:rsidP="00DE6C74">
      <w:pPr>
        <w:numPr>
          <w:ilvl w:val="0"/>
          <w:numId w:val="31"/>
        </w:numPr>
        <w:spacing w:after="240"/>
        <w:ind w:left="426" w:hanging="426"/>
        <w:rPr>
          <w:snapToGrid/>
          <w:lang w:val="en-GB"/>
        </w:rPr>
      </w:pPr>
      <w:r w:rsidRPr="000729DD">
        <w:rPr>
          <w:snapToGrid/>
          <w:lang w:val="en-GB"/>
        </w:rPr>
        <w:t>ensure shared understanding and collective agreement across stakeholders about outcomes areas (shared vision)</w:t>
      </w:r>
    </w:p>
    <w:p w14:paraId="43759E14" w14:textId="77777777" w:rsidR="00DE6C74" w:rsidRPr="000729DD" w:rsidRDefault="00DE6C74" w:rsidP="00DE6C74">
      <w:pPr>
        <w:numPr>
          <w:ilvl w:val="0"/>
          <w:numId w:val="31"/>
        </w:numPr>
        <w:spacing w:after="240"/>
        <w:ind w:left="426" w:hanging="426"/>
        <w:rPr>
          <w:snapToGrid/>
          <w:lang w:val="en-GB"/>
        </w:rPr>
      </w:pPr>
      <w:r w:rsidRPr="000729DD">
        <w:rPr>
          <w:snapToGrid/>
          <w:lang w:val="en-GB"/>
        </w:rPr>
        <w:t xml:space="preserve">provide details about the indicators and measurements to be used to assess impact in relation to outcomes (measures) </w:t>
      </w:r>
    </w:p>
    <w:p w14:paraId="123E4A0C" w14:textId="77777777" w:rsidR="00DE6C74" w:rsidRPr="000729DD" w:rsidRDefault="00DE6C74" w:rsidP="00DE6C74">
      <w:pPr>
        <w:numPr>
          <w:ilvl w:val="0"/>
          <w:numId w:val="31"/>
        </w:numPr>
        <w:spacing w:after="240"/>
        <w:ind w:left="426" w:hanging="426"/>
        <w:rPr>
          <w:snapToGrid/>
          <w:lang w:val="en-GB"/>
        </w:rPr>
      </w:pPr>
      <w:r w:rsidRPr="000729DD">
        <w:rPr>
          <w:snapToGrid/>
          <w:lang w:val="en-GB"/>
        </w:rPr>
        <w:t>enable a consistent and joined-up approach to monitoring and assessing outcomes over time (transparency)</w:t>
      </w:r>
    </w:p>
    <w:p w14:paraId="7AAB6D98" w14:textId="77777777" w:rsidR="00DE6C74" w:rsidRPr="000729DD" w:rsidRDefault="00DE6C74" w:rsidP="00DE6C74">
      <w:pPr>
        <w:numPr>
          <w:ilvl w:val="0"/>
          <w:numId w:val="31"/>
        </w:numPr>
        <w:spacing w:after="240"/>
        <w:ind w:left="426" w:hanging="426"/>
        <w:rPr>
          <w:snapToGrid/>
          <w:lang w:val="en-GB"/>
        </w:rPr>
      </w:pPr>
      <w:r w:rsidRPr="000729DD">
        <w:rPr>
          <w:snapToGrid/>
          <w:lang w:val="en-GB"/>
        </w:rPr>
        <w:t>identify key methods and data requirements for building the evidence-base (application)</w:t>
      </w:r>
    </w:p>
    <w:p w14:paraId="1D986C1D" w14:textId="77777777" w:rsidR="00DE6C74" w:rsidRPr="000729DD" w:rsidRDefault="00DE6C74" w:rsidP="00DE6C74">
      <w:pPr>
        <w:numPr>
          <w:ilvl w:val="0"/>
          <w:numId w:val="31"/>
        </w:numPr>
        <w:spacing w:after="240"/>
        <w:ind w:left="426" w:hanging="426"/>
        <w:rPr>
          <w:snapToGrid/>
          <w:lang w:val="en-GB"/>
        </w:rPr>
      </w:pPr>
      <w:r w:rsidRPr="000729DD">
        <w:rPr>
          <w:snapToGrid/>
          <w:lang w:val="en-GB"/>
        </w:rPr>
        <w:t>enable stakeholders to understand and meet their data requirements (accountability)</w:t>
      </w:r>
    </w:p>
    <w:p w14:paraId="7B784CCE" w14:textId="77777777" w:rsidR="00DE6C74" w:rsidRPr="000729DD" w:rsidRDefault="00DE6C74" w:rsidP="00DE6C74">
      <w:pPr>
        <w:numPr>
          <w:ilvl w:val="0"/>
          <w:numId w:val="30"/>
        </w:numPr>
        <w:spacing w:after="240"/>
        <w:rPr>
          <w:snapToGrid/>
          <w:lang w:val="en-GB"/>
        </w:rPr>
      </w:pPr>
      <w:r w:rsidRPr="000729DD">
        <w:rPr>
          <w:snapToGrid/>
          <w:lang w:val="en-GB"/>
        </w:rPr>
        <w:t xml:space="preserve">As part of the monitoring and evaluation framework the department should specify a minimum data set.  Informed by the data gathering and consultation, the draft program logic and the consultation with the </w:t>
      </w:r>
      <w:r>
        <w:rPr>
          <w:snapToGrid/>
          <w:lang w:val="en-GB"/>
        </w:rPr>
        <w:t>d</w:t>
      </w:r>
      <w:r w:rsidRPr="000729DD">
        <w:rPr>
          <w:snapToGrid/>
          <w:lang w:val="en-GB"/>
        </w:rPr>
        <w:t>epartment, PIC has developed a draft minimum data set for program monitoring and to support evaluation activities as a starting point.</w:t>
      </w:r>
    </w:p>
    <w:p w14:paraId="5127647C" w14:textId="77777777" w:rsidR="00DE6C74" w:rsidRPr="000729DD" w:rsidRDefault="00DE6C74" w:rsidP="00DE6C74">
      <w:pPr>
        <w:spacing w:after="240"/>
        <w:rPr>
          <w:snapToGrid/>
          <w:lang w:val="en-GB"/>
        </w:rPr>
      </w:pPr>
      <w:r w:rsidRPr="000729DD">
        <w:rPr>
          <w:snapToGrid/>
          <w:lang w:val="en-GB"/>
        </w:rPr>
        <w:t xml:space="preserve">The monitoring and evaluation framework will need to balance the needs of program managers and to support robust evaluation.  As part of this it will be important to distinguish between </w:t>
      </w:r>
      <w:r w:rsidRPr="000729DD">
        <w:rPr>
          <w:snapToGrid/>
          <w:lang w:val="en-GB"/>
        </w:rPr>
        <w:lastRenderedPageBreak/>
        <w:t xml:space="preserve">those items which should be routinely collected and monitored with those that can be collected for a specific purpose or to address a specific evaluation question or set of questions.  </w:t>
      </w:r>
    </w:p>
    <w:p w14:paraId="6F46C761" w14:textId="77777777" w:rsidR="00DE6C74" w:rsidRPr="000729DD" w:rsidRDefault="00DE6C74" w:rsidP="00DE6C74">
      <w:pPr>
        <w:spacing w:after="240"/>
        <w:rPr>
          <w:snapToGrid/>
          <w:lang w:val="en-GB"/>
        </w:rPr>
      </w:pPr>
      <w:r w:rsidRPr="000729DD">
        <w:rPr>
          <w:snapToGrid/>
          <w:lang w:val="en-GB"/>
        </w:rPr>
        <w:t xml:space="preserve">As part of the monitoring </w:t>
      </w:r>
      <w:r>
        <w:rPr>
          <w:snapToGrid/>
          <w:lang w:val="en-GB"/>
        </w:rPr>
        <w:t xml:space="preserve">and </w:t>
      </w:r>
      <w:r w:rsidRPr="000729DD">
        <w:rPr>
          <w:snapToGrid/>
          <w:lang w:val="en-GB"/>
        </w:rPr>
        <w:t>evaluation</w:t>
      </w:r>
      <w:r>
        <w:rPr>
          <w:snapToGrid/>
          <w:lang w:val="en-GB"/>
        </w:rPr>
        <w:t xml:space="preserve"> </w:t>
      </w:r>
      <w:r w:rsidRPr="000729DD">
        <w:rPr>
          <w:snapToGrid/>
          <w:lang w:val="en-GB"/>
        </w:rPr>
        <w:t xml:space="preserve">framework consideration could be given to the specification and design of </w:t>
      </w:r>
      <w:r>
        <w:rPr>
          <w:snapToGrid/>
          <w:lang w:val="en-GB"/>
        </w:rPr>
        <w:t xml:space="preserve">a </w:t>
      </w:r>
      <w:r w:rsidRPr="000729DD">
        <w:rPr>
          <w:snapToGrid/>
          <w:lang w:val="en-GB"/>
        </w:rPr>
        <w:t xml:space="preserve">nested outcome evaluation project which could be undertaken in partnership with one or more funded scholarship providers.  </w:t>
      </w:r>
    </w:p>
    <w:p w14:paraId="095BC861" w14:textId="77777777" w:rsidR="00DE6C74" w:rsidRPr="000729DD" w:rsidRDefault="00DE6C74" w:rsidP="00DE6C74">
      <w:pPr>
        <w:numPr>
          <w:ilvl w:val="0"/>
          <w:numId w:val="30"/>
        </w:numPr>
        <w:spacing w:after="240"/>
        <w:rPr>
          <w:b/>
          <w:snapToGrid/>
          <w:lang w:val="en-GB"/>
        </w:rPr>
      </w:pPr>
      <w:r w:rsidRPr="000729DD">
        <w:rPr>
          <w:b/>
          <w:snapToGrid/>
          <w:lang w:val="en-GB"/>
        </w:rPr>
        <w:t>Recommendation</w:t>
      </w:r>
      <w:r>
        <w:rPr>
          <w:b/>
          <w:snapToGrid/>
          <w:lang w:val="en-GB"/>
        </w:rPr>
        <w:t xml:space="preserve"> 3</w:t>
      </w:r>
    </w:p>
    <w:p w14:paraId="2122F9B2" w14:textId="0E381E4F" w:rsidR="00DE6C74" w:rsidRPr="000729DD" w:rsidRDefault="00DE6C74" w:rsidP="00DE6C74">
      <w:pPr>
        <w:numPr>
          <w:ilvl w:val="0"/>
          <w:numId w:val="30"/>
        </w:numPr>
        <w:spacing w:after="240"/>
        <w:rPr>
          <w:b/>
          <w:snapToGrid/>
          <w:lang w:val="en-GB"/>
        </w:rPr>
      </w:pPr>
      <w:r w:rsidRPr="000729DD">
        <w:rPr>
          <w:b/>
          <w:snapToGrid/>
          <w:lang w:val="en-GB"/>
        </w:rPr>
        <w:t xml:space="preserve">The </w:t>
      </w:r>
      <w:r>
        <w:rPr>
          <w:b/>
          <w:snapToGrid/>
          <w:lang w:val="en-GB"/>
        </w:rPr>
        <w:t>d</w:t>
      </w:r>
      <w:r w:rsidRPr="000729DD">
        <w:rPr>
          <w:b/>
          <w:snapToGrid/>
          <w:lang w:val="en-GB"/>
        </w:rPr>
        <w:t>epartment should develop a monitoring and evaluation framework</w:t>
      </w:r>
      <w:r w:rsidR="003B75D7">
        <w:rPr>
          <w:b/>
          <w:snapToGrid/>
          <w:lang w:val="en-GB"/>
        </w:rPr>
        <w:t>,</w:t>
      </w:r>
      <w:r w:rsidRPr="000729DD">
        <w:rPr>
          <w:b/>
          <w:snapToGrid/>
          <w:lang w:val="en-GB"/>
        </w:rPr>
        <w:t xml:space="preserve"> in consultation with scholarship providers</w:t>
      </w:r>
      <w:r w:rsidR="003B75D7">
        <w:rPr>
          <w:b/>
          <w:snapToGrid/>
          <w:lang w:val="en-GB"/>
        </w:rPr>
        <w:t>,</w:t>
      </w:r>
      <w:r w:rsidRPr="000729DD">
        <w:rPr>
          <w:b/>
          <w:snapToGrid/>
          <w:lang w:val="en-GB"/>
        </w:rPr>
        <w:t xml:space="preserve"> which is informed by a finalised and agreed program logic.  At a minimum this monitoring and evaluation framework should:</w:t>
      </w:r>
    </w:p>
    <w:p w14:paraId="55D1EDF1" w14:textId="77777777" w:rsidR="00DE6C74" w:rsidRPr="000729DD" w:rsidRDefault="00DE6C74" w:rsidP="00DE6C74">
      <w:pPr>
        <w:numPr>
          <w:ilvl w:val="0"/>
          <w:numId w:val="31"/>
        </w:numPr>
        <w:spacing w:after="240"/>
        <w:ind w:left="426" w:hanging="426"/>
        <w:rPr>
          <w:b/>
          <w:snapToGrid/>
          <w:lang w:val="en-GB"/>
        </w:rPr>
      </w:pPr>
      <w:r w:rsidRPr="000729DD">
        <w:rPr>
          <w:b/>
          <w:snapToGrid/>
          <w:lang w:val="en-GB"/>
        </w:rPr>
        <w:t>specify data collection requirements for monitoring activities and for evaluation</w:t>
      </w:r>
    </w:p>
    <w:p w14:paraId="71A20CF1" w14:textId="77777777" w:rsidR="00DE6C74" w:rsidRPr="000729DD" w:rsidRDefault="00DE6C74" w:rsidP="00DE6C74">
      <w:pPr>
        <w:numPr>
          <w:ilvl w:val="0"/>
          <w:numId w:val="31"/>
        </w:numPr>
        <w:spacing w:after="240"/>
        <w:ind w:left="426" w:hanging="426"/>
        <w:rPr>
          <w:b/>
          <w:snapToGrid/>
          <w:lang w:val="en-GB"/>
        </w:rPr>
      </w:pPr>
      <w:r w:rsidRPr="000729DD">
        <w:rPr>
          <w:b/>
          <w:snapToGrid/>
          <w:lang w:val="en-GB"/>
        </w:rPr>
        <w:t xml:space="preserve">specify data terms in the form of a data dictionary to ensure consistency of collected information and identify data collection methods </w:t>
      </w:r>
    </w:p>
    <w:p w14:paraId="70D763F2" w14:textId="77777777" w:rsidR="00DE6C74" w:rsidRDefault="00DE6C74" w:rsidP="00DE6C74">
      <w:pPr>
        <w:numPr>
          <w:ilvl w:val="0"/>
          <w:numId w:val="31"/>
        </w:numPr>
        <w:spacing w:after="240"/>
        <w:ind w:left="426" w:hanging="426"/>
        <w:rPr>
          <w:b/>
          <w:snapToGrid/>
          <w:lang w:val="en-GB"/>
        </w:rPr>
      </w:pPr>
      <w:r w:rsidRPr="000729DD">
        <w:rPr>
          <w:b/>
          <w:snapToGrid/>
          <w:lang w:val="en-GB"/>
        </w:rPr>
        <w:t>articulate how data will be used and a reporting schedule for analysis</w:t>
      </w:r>
    </w:p>
    <w:p w14:paraId="1222386C" w14:textId="77777777" w:rsidR="00DE6C74" w:rsidRPr="00D32038" w:rsidRDefault="00DE6C74" w:rsidP="00DE6C74">
      <w:pPr>
        <w:pStyle w:val="ListParagraph"/>
        <w:numPr>
          <w:ilvl w:val="0"/>
          <w:numId w:val="31"/>
        </w:numPr>
        <w:spacing w:after="240"/>
        <w:ind w:left="426" w:hanging="426"/>
        <w:rPr>
          <w:b/>
          <w:snapToGrid/>
          <w:lang w:val="en-GB"/>
        </w:rPr>
      </w:pPr>
      <w:r w:rsidRPr="00D32038">
        <w:rPr>
          <w:b/>
          <w:snapToGrid/>
          <w:lang w:val="en-GB"/>
        </w:rPr>
        <w:t>reflect different delivery models of scholarship providers.</w:t>
      </w:r>
    </w:p>
    <w:p w14:paraId="45DB444D" w14:textId="77777777" w:rsidR="00DE6C74" w:rsidRPr="000729DD" w:rsidRDefault="00DE6C74" w:rsidP="00DE6C74">
      <w:pPr>
        <w:keepNext/>
        <w:keepLines/>
        <w:tabs>
          <w:tab w:val="left" w:pos="720"/>
        </w:tabs>
        <w:spacing w:after="40"/>
        <w:outlineLvl w:val="6"/>
        <w:rPr>
          <w:i/>
          <w:iCs/>
          <w:snapToGrid/>
          <w:color w:val="A32020" w:themeColor="text2"/>
          <w:sz w:val="28"/>
          <w:szCs w:val="28"/>
          <w:lang w:val="en-GB"/>
        </w:rPr>
      </w:pPr>
      <w:r w:rsidRPr="000729DD">
        <w:rPr>
          <w:i/>
          <w:iCs/>
          <w:snapToGrid/>
          <w:color w:val="A32020" w:themeColor="text2"/>
          <w:sz w:val="28"/>
          <w:szCs w:val="28"/>
          <w:lang w:val="en-GB"/>
        </w:rPr>
        <w:t>Design data collection tools and protocols</w:t>
      </w:r>
    </w:p>
    <w:p w14:paraId="07D8193D" w14:textId="77777777" w:rsidR="00DE6C74" w:rsidRPr="000729DD" w:rsidRDefault="00DE6C74" w:rsidP="00DE6C74">
      <w:pPr>
        <w:numPr>
          <w:ilvl w:val="0"/>
          <w:numId w:val="30"/>
        </w:numPr>
        <w:spacing w:after="240"/>
        <w:rPr>
          <w:snapToGrid/>
          <w:lang w:val="en-GB"/>
        </w:rPr>
      </w:pPr>
      <w:r w:rsidRPr="000729DD">
        <w:rPr>
          <w:snapToGrid/>
          <w:lang w:val="en-GB"/>
        </w:rPr>
        <w:t xml:space="preserve">PIC found that scholarship providers have the capacity to collect a range of relevant data but require guidance, direction and structure for this collection.  At a minimum this </w:t>
      </w:r>
      <w:r>
        <w:rPr>
          <w:snapToGrid/>
          <w:lang w:val="en-GB"/>
        </w:rPr>
        <w:t xml:space="preserve">should </w:t>
      </w:r>
      <w:r w:rsidRPr="000729DD">
        <w:rPr>
          <w:snapToGrid/>
          <w:lang w:val="en-GB"/>
        </w:rPr>
        <w:t xml:space="preserve">take the form of a standardised reporting template which can facilitate data collection.  </w:t>
      </w:r>
    </w:p>
    <w:p w14:paraId="084CF5C8" w14:textId="77777777" w:rsidR="00DE6C74" w:rsidRPr="000729DD" w:rsidRDefault="00DE6C74" w:rsidP="00DE6C74">
      <w:pPr>
        <w:numPr>
          <w:ilvl w:val="0"/>
          <w:numId w:val="30"/>
        </w:numPr>
        <w:spacing w:after="240"/>
        <w:rPr>
          <w:b/>
          <w:snapToGrid/>
          <w:lang w:val="en-GB"/>
        </w:rPr>
      </w:pPr>
      <w:r w:rsidRPr="000729DD">
        <w:rPr>
          <w:b/>
          <w:snapToGrid/>
          <w:lang w:val="en-GB"/>
        </w:rPr>
        <w:t>Recommendation</w:t>
      </w:r>
      <w:r>
        <w:rPr>
          <w:b/>
          <w:snapToGrid/>
          <w:lang w:val="en-GB"/>
        </w:rPr>
        <w:t xml:space="preserve"> 4</w:t>
      </w:r>
    </w:p>
    <w:p w14:paraId="0B7DAB1D" w14:textId="77777777" w:rsidR="00DE6C74" w:rsidRPr="000729DD" w:rsidRDefault="00DE6C74" w:rsidP="00DE6C74">
      <w:pPr>
        <w:numPr>
          <w:ilvl w:val="0"/>
          <w:numId w:val="30"/>
        </w:numPr>
        <w:spacing w:after="240"/>
        <w:rPr>
          <w:b/>
          <w:snapToGrid/>
          <w:lang w:val="en-GB"/>
        </w:rPr>
      </w:pPr>
      <w:r w:rsidRPr="000729DD">
        <w:rPr>
          <w:b/>
          <w:snapToGrid/>
          <w:lang w:val="en-GB"/>
        </w:rPr>
        <w:t xml:space="preserve">The </w:t>
      </w:r>
      <w:r>
        <w:rPr>
          <w:b/>
          <w:snapToGrid/>
          <w:lang w:val="en-GB"/>
        </w:rPr>
        <w:t>d</w:t>
      </w:r>
      <w:r w:rsidRPr="000729DD">
        <w:rPr>
          <w:b/>
          <w:snapToGrid/>
          <w:lang w:val="en-GB"/>
        </w:rPr>
        <w:t xml:space="preserve">epartment should develop a standardised reporting template or spreadsheet </w:t>
      </w:r>
      <w:r>
        <w:rPr>
          <w:b/>
          <w:snapToGrid/>
          <w:lang w:val="en-GB"/>
        </w:rPr>
        <w:t xml:space="preserve">in consultation with scholarship providers </w:t>
      </w:r>
      <w:r w:rsidRPr="000729DD">
        <w:rPr>
          <w:b/>
          <w:snapToGrid/>
          <w:lang w:val="en-GB"/>
        </w:rPr>
        <w:t>to facilitate the collection of data in line with the specified minimum data set.</w:t>
      </w:r>
    </w:p>
    <w:p w14:paraId="6F1A2683" w14:textId="77777777" w:rsidR="00DE6C74" w:rsidRPr="000729DD" w:rsidRDefault="00DE6C74" w:rsidP="00DE6C74">
      <w:pPr>
        <w:keepNext/>
        <w:keepLines/>
        <w:tabs>
          <w:tab w:val="left" w:pos="720"/>
        </w:tabs>
        <w:spacing w:after="40"/>
        <w:outlineLvl w:val="6"/>
        <w:rPr>
          <w:i/>
          <w:iCs/>
          <w:snapToGrid/>
          <w:color w:val="A32020" w:themeColor="text2"/>
          <w:sz w:val="28"/>
          <w:szCs w:val="28"/>
          <w:lang w:val="en-GB"/>
        </w:rPr>
      </w:pPr>
      <w:r w:rsidRPr="000729DD">
        <w:rPr>
          <w:i/>
          <w:iCs/>
          <w:snapToGrid/>
          <w:color w:val="A32020" w:themeColor="text2"/>
          <w:sz w:val="28"/>
          <w:szCs w:val="28"/>
          <w:lang w:val="en-GB"/>
        </w:rPr>
        <w:t xml:space="preserve">Embed new data collection </w:t>
      </w:r>
    </w:p>
    <w:p w14:paraId="59446B85" w14:textId="77777777" w:rsidR="00DE6C74" w:rsidRPr="000729DD" w:rsidRDefault="00DE6C74" w:rsidP="00DE6C74">
      <w:pPr>
        <w:numPr>
          <w:ilvl w:val="0"/>
          <w:numId w:val="30"/>
        </w:numPr>
        <w:spacing w:after="240"/>
        <w:rPr>
          <w:snapToGrid/>
          <w:lang w:val="en-GB"/>
        </w:rPr>
      </w:pPr>
      <w:r w:rsidRPr="000729DD">
        <w:rPr>
          <w:snapToGrid/>
          <w:lang w:val="en-GB"/>
        </w:rPr>
        <w:t xml:space="preserve">The </w:t>
      </w:r>
      <w:r>
        <w:rPr>
          <w:snapToGrid/>
          <w:lang w:val="en-GB"/>
        </w:rPr>
        <w:t>d</w:t>
      </w:r>
      <w:r w:rsidRPr="000729DD">
        <w:rPr>
          <w:snapToGrid/>
          <w:lang w:val="en-GB"/>
        </w:rPr>
        <w:t xml:space="preserve">epartment has significant leverage through the funding that it provides for the scholarships.  </w:t>
      </w:r>
    </w:p>
    <w:p w14:paraId="30DDB7F1" w14:textId="07019FD9" w:rsidR="00DE6C74" w:rsidRDefault="00DE6C74" w:rsidP="00DE6C74">
      <w:pPr>
        <w:numPr>
          <w:ilvl w:val="0"/>
          <w:numId w:val="30"/>
        </w:numPr>
        <w:spacing w:after="240"/>
        <w:rPr>
          <w:snapToGrid/>
          <w:lang w:val="en-GB"/>
        </w:rPr>
      </w:pPr>
      <w:r w:rsidRPr="000729DD">
        <w:rPr>
          <w:snapToGrid/>
          <w:lang w:val="en-GB"/>
        </w:rPr>
        <w:t xml:space="preserve">The </w:t>
      </w:r>
      <w:r>
        <w:rPr>
          <w:snapToGrid/>
          <w:lang w:val="en-GB"/>
        </w:rPr>
        <w:t>d</w:t>
      </w:r>
      <w:r w:rsidRPr="000729DD">
        <w:rPr>
          <w:snapToGrid/>
          <w:lang w:val="en-GB"/>
        </w:rPr>
        <w:t>epartment</w:t>
      </w:r>
      <w:r w:rsidR="00214CC5">
        <w:rPr>
          <w:snapToGrid/>
          <w:lang w:val="en-GB"/>
        </w:rPr>
        <w:t xml:space="preserve"> should seek to utilise any new</w:t>
      </w:r>
      <w:r w:rsidRPr="000729DD">
        <w:rPr>
          <w:snapToGrid/>
          <w:lang w:val="en-GB"/>
        </w:rPr>
        <w:t xml:space="preserve"> funding or grant agreement</w:t>
      </w:r>
      <w:r>
        <w:rPr>
          <w:snapToGrid/>
          <w:lang w:val="en-GB"/>
        </w:rPr>
        <w:t>s</w:t>
      </w:r>
      <w:r w:rsidR="00214CC5">
        <w:rPr>
          <w:snapToGrid/>
          <w:lang w:val="en-GB"/>
        </w:rPr>
        <w:t xml:space="preserve"> </w:t>
      </w:r>
      <w:r w:rsidRPr="000729DD">
        <w:rPr>
          <w:snapToGrid/>
          <w:lang w:val="en-GB"/>
        </w:rPr>
        <w:t xml:space="preserve">to embed any new data collection requirements </w:t>
      </w:r>
      <w:r w:rsidR="00214CC5">
        <w:rPr>
          <w:snapToGrid/>
          <w:lang w:val="en-GB"/>
        </w:rPr>
        <w:t xml:space="preserve">subject to agreement </w:t>
      </w:r>
      <w:r w:rsidRPr="000729DD">
        <w:rPr>
          <w:snapToGrid/>
          <w:lang w:val="en-GB"/>
        </w:rPr>
        <w:t xml:space="preserve">with scholarship providers. </w:t>
      </w:r>
    </w:p>
    <w:p w14:paraId="44E65E3C" w14:textId="77777777" w:rsidR="00DE6C74" w:rsidRPr="00C00129" w:rsidRDefault="00DE6C74" w:rsidP="00DE6C74">
      <w:pPr>
        <w:pStyle w:val="PwCNormal"/>
        <w:numPr>
          <w:ilvl w:val="0"/>
          <w:numId w:val="9"/>
        </w:numPr>
        <w:rPr>
          <w:lang w:val="en-GB"/>
        </w:rPr>
      </w:pPr>
      <w:r w:rsidRPr="00D32038">
        <w:rPr>
          <w:lang w:val="en-GB"/>
        </w:rPr>
        <w:t>Some scholarship providers have invested significant resources into data collection, analysis or reporting systems.  It is therefore critical that the department consult with scholarship providers in the development of new, modified or enhanced data collection requirements.</w:t>
      </w:r>
    </w:p>
    <w:p w14:paraId="54B9FACA" w14:textId="77777777" w:rsidR="00DE6C74" w:rsidRPr="000729DD" w:rsidRDefault="00DE6C74" w:rsidP="00DE6C74">
      <w:pPr>
        <w:numPr>
          <w:ilvl w:val="0"/>
          <w:numId w:val="30"/>
        </w:numPr>
        <w:spacing w:after="240"/>
        <w:rPr>
          <w:snapToGrid/>
          <w:lang w:val="en-GB"/>
        </w:rPr>
      </w:pPr>
      <w:r w:rsidRPr="000729DD">
        <w:rPr>
          <w:snapToGrid/>
          <w:lang w:val="en-GB"/>
        </w:rPr>
        <w:t>It will be important that consideration is given to the costs and administrative burden of additional data collection requirements on scholarship providers.</w:t>
      </w:r>
    </w:p>
    <w:p w14:paraId="7DD6ECCC" w14:textId="77777777" w:rsidR="00DE6C74" w:rsidRPr="000729DD" w:rsidRDefault="00DE6C74" w:rsidP="00DE6C74">
      <w:pPr>
        <w:numPr>
          <w:ilvl w:val="0"/>
          <w:numId w:val="30"/>
        </w:numPr>
        <w:spacing w:after="240"/>
        <w:rPr>
          <w:b/>
          <w:snapToGrid/>
          <w:lang w:val="en-GB"/>
        </w:rPr>
      </w:pPr>
      <w:r w:rsidRPr="000729DD">
        <w:rPr>
          <w:b/>
          <w:snapToGrid/>
          <w:lang w:val="en-GB"/>
        </w:rPr>
        <w:t>Recommendation</w:t>
      </w:r>
      <w:r>
        <w:rPr>
          <w:b/>
          <w:snapToGrid/>
          <w:lang w:val="en-GB"/>
        </w:rPr>
        <w:t xml:space="preserve"> 5</w:t>
      </w:r>
    </w:p>
    <w:p w14:paraId="39475103" w14:textId="77777777" w:rsidR="00DE6C74" w:rsidRPr="000729DD" w:rsidRDefault="00DE6C74" w:rsidP="00DE6C74">
      <w:pPr>
        <w:spacing w:after="240"/>
        <w:rPr>
          <w:b/>
          <w:snapToGrid/>
          <w:lang w:val="en-GB"/>
        </w:rPr>
      </w:pPr>
      <w:r w:rsidRPr="000729DD">
        <w:rPr>
          <w:b/>
          <w:snapToGrid/>
          <w:lang w:val="en-GB"/>
        </w:rPr>
        <w:t xml:space="preserve">The </w:t>
      </w:r>
      <w:r>
        <w:rPr>
          <w:b/>
          <w:snapToGrid/>
          <w:lang w:val="en-GB"/>
        </w:rPr>
        <w:t>d</w:t>
      </w:r>
      <w:r w:rsidRPr="000729DD">
        <w:rPr>
          <w:b/>
          <w:snapToGrid/>
          <w:lang w:val="en-GB"/>
        </w:rPr>
        <w:t xml:space="preserve">epartment should embed any new, modified or enhanced data collection requirements agreed with scholarship providers in future grant agreements.  These new modified or enhanced data collection should be determined with reference to the cost and administrative burden on scholarship providers and education partners. </w:t>
      </w:r>
    </w:p>
    <w:p w14:paraId="7FFBA026" w14:textId="77777777" w:rsidR="00DE6C74" w:rsidRPr="000729DD" w:rsidRDefault="00DE6C74" w:rsidP="00DE6C74">
      <w:pPr>
        <w:keepNext/>
        <w:keepLines/>
        <w:tabs>
          <w:tab w:val="left" w:pos="720"/>
        </w:tabs>
        <w:spacing w:after="40"/>
        <w:outlineLvl w:val="6"/>
        <w:rPr>
          <w:i/>
          <w:iCs/>
          <w:snapToGrid/>
          <w:color w:val="A32020" w:themeColor="text2"/>
          <w:sz w:val="28"/>
          <w:szCs w:val="28"/>
          <w:lang w:val="en-GB"/>
        </w:rPr>
      </w:pPr>
      <w:r w:rsidRPr="000729DD">
        <w:rPr>
          <w:i/>
          <w:iCs/>
          <w:snapToGrid/>
          <w:color w:val="A32020" w:themeColor="text2"/>
          <w:sz w:val="28"/>
          <w:szCs w:val="28"/>
          <w:lang w:val="en-GB"/>
        </w:rPr>
        <w:lastRenderedPageBreak/>
        <w:t>Implement monitoring and evaluation activities</w:t>
      </w:r>
    </w:p>
    <w:p w14:paraId="733BDD9E" w14:textId="77777777" w:rsidR="00DE6C74" w:rsidRPr="000729DD" w:rsidRDefault="00DE6C74" w:rsidP="00DE6C74">
      <w:pPr>
        <w:numPr>
          <w:ilvl w:val="0"/>
          <w:numId w:val="30"/>
        </w:numPr>
        <w:spacing w:after="240"/>
        <w:rPr>
          <w:snapToGrid/>
          <w:lang w:val="en-GB"/>
        </w:rPr>
      </w:pPr>
      <w:r w:rsidRPr="000729DD">
        <w:rPr>
          <w:snapToGrid/>
          <w:lang w:val="en-GB"/>
        </w:rPr>
        <w:t xml:space="preserve">Review and evaluation activities should be implemented in line with the agreed monitoring and evaluation framework.  </w:t>
      </w:r>
    </w:p>
    <w:p w14:paraId="5AB1F480" w14:textId="77777777" w:rsidR="00DE6C74" w:rsidRPr="000729DD" w:rsidRDefault="00DE6C74" w:rsidP="00DE6C74">
      <w:pPr>
        <w:spacing w:after="240"/>
        <w:rPr>
          <w:snapToGrid/>
          <w:lang w:val="en-GB"/>
        </w:rPr>
      </w:pPr>
      <w:r w:rsidRPr="000729DD">
        <w:rPr>
          <w:snapToGrid/>
          <w:lang w:val="en-GB"/>
        </w:rPr>
        <w:t>Providing feedback and sharing insights from these activities will be important for the credibility of the framework and will also contribute to ensuring scholarship providers’ data collection efforts are recognised and evidence collected on the contribution that funded scholarships for secondary school student</w:t>
      </w:r>
      <w:r>
        <w:rPr>
          <w:snapToGrid/>
          <w:lang w:val="en-GB"/>
        </w:rPr>
        <w:t>s</w:t>
      </w:r>
      <w:r w:rsidRPr="000729DD">
        <w:rPr>
          <w:snapToGrid/>
          <w:lang w:val="en-GB"/>
        </w:rPr>
        <w:t xml:space="preserve"> are making to closing the gap in </w:t>
      </w:r>
      <w:r>
        <w:rPr>
          <w:snapToGrid/>
          <w:lang w:val="en-GB"/>
        </w:rPr>
        <w:t>Y</w:t>
      </w:r>
      <w:r w:rsidRPr="000729DD">
        <w:rPr>
          <w:snapToGrid/>
          <w:lang w:val="en-GB"/>
        </w:rPr>
        <w:t xml:space="preserve">ear 12 or equivalent attainment by Aboriginal and Torres Strait Islander young people.  </w:t>
      </w:r>
    </w:p>
    <w:p w14:paraId="6F230864" w14:textId="2FF456E5" w:rsidR="00DE6C74" w:rsidRDefault="004C6E0A" w:rsidP="004C6E0A">
      <w:pPr>
        <w:pStyle w:val="Heading6"/>
        <w:spacing w:after="240"/>
        <w:ind w:left="851" w:hanging="851"/>
        <w:rPr>
          <w:lang w:val="en-GB"/>
        </w:rPr>
      </w:pPr>
      <w:r>
        <w:rPr>
          <w:lang w:val="en-GB"/>
        </w:rPr>
        <w:t>Broader implications</w:t>
      </w:r>
    </w:p>
    <w:p w14:paraId="560FF517" w14:textId="77777777" w:rsidR="004C6E0A" w:rsidRDefault="004C6E0A" w:rsidP="004C6E0A">
      <w:pPr>
        <w:pStyle w:val="ListBullet"/>
        <w:numPr>
          <w:ilvl w:val="0"/>
          <w:numId w:val="0"/>
        </w:numPr>
        <w:tabs>
          <w:tab w:val="left" w:pos="720"/>
        </w:tabs>
        <w:rPr>
          <w:lang w:val="en-US"/>
        </w:rPr>
      </w:pPr>
      <w:r>
        <w:rPr>
          <w:lang w:val="en-US"/>
        </w:rPr>
        <w:t>While variable current data quality and the limited time frame for this review precluded the formation of broader specific recommendations for the operations of the grant program there are a number of observations which are supported by our analysis and consultations with scholarship providers, education partners and the department.</w:t>
      </w:r>
    </w:p>
    <w:p w14:paraId="029612FC" w14:textId="77777777" w:rsidR="004C6E0A" w:rsidRDefault="004C6E0A" w:rsidP="004C6E0A">
      <w:pPr>
        <w:pStyle w:val="ListBullet"/>
        <w:numPr>
          <w:ilvl w:val="0"/>
          <w:numId w:val="0"/>
        </w:numPr>
        <w:tabs>
          <w:tab w:val="left" w:pos="720"/>
        </w:tabs>
        <w:rPr>
          <w:b/>
          <w:i/>
          <w:color w:val="A32020" w:themeColor="accent1"/>
          <w:lang w:val="en-US"/>
        </w:rPr>
      </w:pPr>
      <w:r>
        <w:rPr>
          <w:b/>
          <w:i/>
          <w:color w:val="A32020" w:themeColor="accent1"/>
          <w:lang w:val="en-US"/>
        </w:rPr>
        <w:t>Diverse service models and organisation types</w:t>
      </w:r>
    </w:p>
    <w:p w14:paraId="5262FAA7" w14:textId="77777777" w:rsidR="004C6E0A" w:rsidRDefault="004C6E0A" w:rsidP="004C6E0A">
      <w:pPr>
        <w:pStyle w:val="ListBullet"/>
        <w:numPr>
          <w:ilvl w:val="0"/>
          <w:numId w:val="0"/>
        </w:numPr>
        <w:tabs>
          <w:tab w:val="left" w:pos="720"/>
        </w:tabs>
        <w:rPr>
          <w:lang w:val="en-US"/>
        </w:rPr>
      </w:pPr>
      <w:r>
        <w:rPr>
          <w:lang w:val="en-US"/>
        </w:rPr>
        <w:t>The department funds a diverse range of scholarship providers in terms of:</w:t>
      </w:r>
    </w:p>
    <w:p w14:paraId="3A36BFD9" w14:textId="0D1F377B" w:rsidR="004C6E0A" w:rsidRDefault="004C6E0A" w:rsidP="004C6E0A">
      <w:pPr>
        <w:pStyle w:val="ListBullet"/>
        <w:rPr>
          <w:lang w:val="en-US"/>
        </w:rPr>
      </w:pPr>
      <w:r>
        <w:rPr>
          <w:lang w:val="en-US"/>
        </w:rPr>
        <w:t xml:space="preserve">scale/size of </w:t>
      </w:r>
      <w:r w:rsidR="005F3B4B">
        <w:rPr>
          <w:lang w:val="en-US"/>
        </w:rPr>
        <w:t>organisation</w:t>
      </w:r>
    </w:p>
    <w:p w14:paraId="616AB6E1" w14:textId="19EF8143" w:rsidR="004C6E0A" w:rsidRDefault="004C6E0A" w:rsidP="004C6E0A">
      <w:pPr>
        <w:pStyle w:val="ListBullet"/>
        <w:rPr>
          <w:lang w:val="en-US"/>
        </w:rPr>
      </w:pPr>
      <w:r>
        <w:rPr>
          <w:lang w:val="en-US"/>
        </w:rPr>
        <w:t>organisation purpose/mission (ranging from organisations whose sole purpose is the delivery of scholarships to those for whom the delivery of scholarships forms one part of a broader portfolio of activities</w:t>
      </w:r>
      <w:r w:rsidR="003B75D7">
        <w:rPr>
          <w:lang w:val="en-US"/>
        </w:rPr>
        <w:t>)</w:t>
      </w:r>
    </w:p>
    <w:p w14:paraId="55F6C7C7" w14:textId="77777777" w:rsidR="004C6E0A" w:rsidRDefault="004C6E0A" w:rsidP="004C6E0A">
      <w:pPr>
        <w:pStyle w:val="ListBullet"/>
        <w:rPr>
          <w:lang w:val="en-US"/>
        </w:rPr>
      </w:pPr>
      <w:r>
        <w:rPr>
          <w:lang w:val="en-US"/>
        </w:rPr>
        <w:t>organisation type (including not for profit, schools and Aboriginal Community Controlled Organisations)</w:t>
      </w:r>
    </w:p>
    <w:p w14:paraId="775B08AA" w14:textId="16DC3A63" w:rsidR="004C6E0A" w:rsidRDefault="004C6E0A" w:rsidP="004C6E0A">
      <w:pPr>
        <w:pStyle w:val="ListBullet"/>
        <w:rPr>
          <w:lang w:val="en-US"/>
        </w:rPr>
      </w:pPr>
      <w:r>
        <w:rPr>
          <w:lang w:val="en-US"/>
        </w:rPr>
        <w:t xml:space="preserve">service model with grant funding two key dominant models amongst scholarship providers: the school-led model and the </w:t>
      </w:r>
      <w:r w:rsidR="0020267E">
        <w:rPr>
          <w:lang w:val="en-US"/>
        </w:rPr>
        <w:t>community/</w:t>
      </w:r>
      <w:r>
        <w:rPr>
          <w:lang w:val="en-US"/>
        </w:rPr>
        <w:t>broker-led model</w:t>
      </w:r>
    </w:p>
    <w:p w14:paraId="7A6846C2" w14:textId="77777777" w:rsidR="004C6E0A" w:rsidRDefault="004C6E0A" w:rsidP="004C6E0A">
      <w:pPr>
        <w:pStyle w:val="ListBullet"/>
        <w:numPr>
          <w:ilvl w:val="0"/>
          <w:numId w:val="0"/>
        </w:numPr>
        <w:tabs>
          <w:tab w:val="left" w:pos="720"/>
        </w:tabs>
        <w:rPr>
          <w:lang w:val="en-US"/>
        </w:rPr>
      </w:pPr>
      <w:r>
        <w:rPr>
          <w:lang w:val="en-US"/>
        </w:rPr>
        <w:t>The diversity of scholarship providers appears to be a strength of the grant funding as it:</w:t>
      </w:r>
    </w:p>
    <w:p w14:paraId="0D6F7AFD" w14:textId="77777777" w:rsidR="004C6E0A" w:rsidRDefault="004C6E0A" w:rsidP="004C6E0A">
      <w:pPr>
        <w:pStyle w:val="ListBullet"/>
        <w:rPr>
          <w:lang w:val="en-US"/>
        </w:rPr>
      </w:pPr>
      <w:r>
        <w:rPr>
          <w:lang w:val="en-US"/>
        </w:rPr>
        <w:t>enables organisations of scale to, in some instances, achieve national reach and critical mass</w:t>
      </w:r>
    </w:p>
    <w:p w14:paraId="08CDEECA" w14:textId="77777777" w:rsidR="004C6E0A" w:rsidRDefault="004C6E0A" w:rsidP="004C6E0A">
      <w:pPr>
        <w:pStyle w:val="ListBullet"/>
        <w:rPr>
          <w:lang w:val="en-US"/>
        </w:rPr>
      </w:pPr>
      <w:r>
        <w:rPr>
          <w:lang w:val="en-US"/>
        </w:rPr>
        <w:t>enables organisations to design programs to meet specific community needs</w:t>
      </w:r>
    </w:p>
    <w:p w14:paraId="5F4E7BAB" w14:textId="01A0330B" w:rsidR="004C6E0A" w:rsidRDefault="004C6E0A" w:rsidP="004C6E0A">
      <w:pPr>
        <w:pStyle w:val="ListBullet"/>
        <w:rPr>
          <w:lang w:val="en-US"/>
        </w:rPr>
      </w:pPr>
      <w:r>
        <w:rPr>
          <w:lang w:val="en-US"/>
        </w:rPr>
        <w:t xml:space="preserve">provides Aboriginal families with choice of provider and scholarship which is consistent with the principle of self-determination </w:t>
      </w:r>
    </w:p>
    <w:p w14:paraId="60EB497A" w14:textId="2CEC5C39" w:rsidR="004C6E0A" w:rsidRDefault="004C6E0A" w:rsidP="004C6E0A">
      <w:pPr>
        <w:pStyle w:val="ListBullet"/>
        <w:rPr>
          <w:lang w:val="en-US"/>
        </w:rPr>
      </w:pPr>
      <w:r>
        <w:rPr>
          <w:lang w:val="en-US"/>
        </w:rPr>
        <w:t xml:space="preserve">supports innovation and ensures that a </w:t>
      </w:r>
      <w:r w:rsidR="003B75D7">
        <w:rPr>
          <w:lang w:val="en-US"/>
        </w:rPr>
        <w:t>‘</w:t>
      </w:r>
      <w:r>
        <w:rPr>
          <w:lang w:val="en-US"/>
        </w:rPr>
        <w:t>one</w:t>
      </w:r>
      <w:r w:rsidR="003B75D7">
        <w:rPr>
          <w:lang w:val="en-US"/>
        </w:rPr>
        <w:t>-</w:t>
      </w:r>
      <w:r>
        <w:rPr>
          <w:lang w:val="en-US"/>
        </w:rPr>
        <w:t>size</w:t>
      </w:r>
      <w:r w:rsidR="003B75D7">
        <w:rPr>
          <w:lang w:val="en-US"/>
        </w:rPr>
        <w:t>-</w:t>
      </w:r>
      <w:r>
        <w:rPr>
          <w:lang w:val="en-US"/>
        </w:rPr>
        <w:t>fits</w:t>
      </w:r>
      <w:r w:rsidR="003B75D7">
        <w:rPr>
          <w:lang w:val="en-US"/>
        </w:rPr>
        <w:t>-</w:t>
      </w:r>
      <w:r>
        <w:rPr>
          <w:lang w:val="en-US"/>
        </w:rPr>
        <w:t>all</w:t>
      </w:r>
      <w:r w:rsidR="003B75D7">
        <w:rPr>
          <w:lang w:val="en-US"/>
        </w:rPr>
        <w:t>’</w:t>
      </w:r>
      <w:r>
        <w:rPr>
          <w:lang w:val="en-US"/>
        </w:rPr>
        <w:t xml:space="preserve"> approach is not imposed.  This is a key factor in ensuring that government funding provided leverages corporate and philanthropic co-contributions.</w:t>
      </w:r>
    </w:p>
    <w:p w14:paraId="3D6EBEE9" w14:textId="77777777" w:rsidR="004C6E0A" w:rsidRDefault="004C6E0A" w:rsidP="004C6E0A">
      <w:pPr>
        <w:pStyle w:val="ListBullet"/>
        <w:numPr>
          <w:ilvl w:val="0"/>
          <w:numId w:val="0"/>
        </w:numPr>
        <w:tabs>
          <w:tab w:val="left" w:pos="720"/>
        </w:tabs>
        <w:rPr>
          <w:lang w:val="en-US"/>
        </w:rPr>
      </w:pPr>
      <w:r>
        <w:rPr>
          <w:lang w:val="en-US"/>
        </w:rPr>
        <w:t>Future questions for consideration include:</w:t>
      </w:r>
    </w:p>
    <w:p w14:paraId="5C9ED892" w14:textId="029ACFE0" w:rsidR="004C6E0A" w:rsidRDefault="004C6E0A" w:rsidP="004C6E0A">
      <w:pPr>
        <w:pStyle w:val="ListBullet"/>
        <w:rPr>
          <w:lang w:val="en-US"/>
        </w:rPr>
      </w:pPr>
      <w:r>
        <w:rPr>
          <w:lang w:val="en-US"/>
        </w:rPr>
        <w:t>whether there are differences in outcomes achieved depending on the organisation or model types</w:t>
      </w:r>
    </w:p>
    <w:p w14:paraId="54E73068" w14:textId="19B89333" w:rsidR="004C6E0A" w:rsidRDefault="004C6E0A" w:rsidP="004C6E0A">
      <w:pPr>
        <w:pStyle w:val="ListBullet"/>
        <w:rPr>
          <w:lang w:val="en-US"/>
        </w:rPr>
      </w:pPr>
      <w:r>
        <w:rPr>
          <w:lang w:val="en-US"/>
        </w:rPr>
        <w:t xml:space="preserve">whether administrative costs differ between school led and </w:t>
      </w:r>
      <w:r w:rsidR="0020267E">
        <w:rPr>
          <w:lang w:val="en-US"/>
        </w:rPr>
        <w:t>community/</w:t>
      </w:r>
      <w:r>
        <w:rPr>
          <w:lang w:val="en-US"/>
        </w:rPr>
        <w:t>broker led models or organisation type or size.</w:t>
      </w:r>
    </w:p>
    <w:p w14:paraId="4438D7AE" w14:textId="77777777" w:rsidR="004C6E0A" w:rsidRDefault="004C6E0A" w:rsidP="004C6E0A">
      <w:pPr>
        <w:pStyle w:val="ListBullet"/>
        <w:keepNext/>
        <w:keepLines/>
        <w:numPr>
          <w:ilvl w:val="0"/>
          <w:numId w:val="0"/>
        </w:numPr>
        <w:tabs>
          <w:tab w:val="left" w:pos="720"/>
        </w:tabs>
        <w:rPr>
          <w:b/>
          <w:i/>
          <w:color w:val="A32020" w:themeColor="accent1"/>
          <w:lang w:val="en-US"/>
        </w:rPr>
      </w:pPr>
      <w:r>
        <w:rPr>
          <w:b/>
          <w:i/>
          <w:color w:val="A32020" w:themeColor="accent1"/>
          <w:lang w:val="en-US"/>
        </w:rPr>
        <w:lastRenderedPageBreak/>
        <w:t>Striking the right balance between providing direction and enabling innovation</w:t>
      </w:r>
    </w:p>
    <w:p w14:paraId="53B6F624" w14:textId="77777777" w:rsidR="004C6E0A" w:rsidRDefault="004C6E0A" w:rsidP="004C6E0A">
      <w:pPr>
        <w:pStyle w:val="ListBullet"/>
        <w:keepNext/>
        <w:keepLines/>
        <w:numPr>
          <w:ilvl w:val="0"/>
          <w:numId w:val="0"/>
        </w:numPr>
        <w:tabs>
          <w:tab w:val="left" w:pos="720"/>
        </w:tabs>
        <w:rPr>
          <w:lang w:val="en-US"/>
        </w:rPr>
      </w:pPr>
      <w:r>
        <w:rPr>
          <w:lang w:val="en-US"/>
        </w:rPr>
        <w:t>Scholarship providers expressed a range of views around measures to provide greater clarity in the form of more consistent grant guidelines.  Views expressed included:</w:t>
      </w:r>
    </w:p>
    <w:p w14:paraId="2D0DAB4E" w14:textId="08257DB3" w:rsidR="004C6E0A" w:rsidRDefault="004C6E0A" w:rsidP="004C6E0A">
      <w:pPr>
        <w:pStyle w:val="ListBullet"/>
        <w:rPr>
          <w:lang w:val="en-US"/>
        </w:rPr>
      </w:pPr>
      <w:r>
        <w:rPr>
          <w:lang w:val="en-US"/>
        </w:rPr>
        <w:t xml:space="preserve">the potential </w:t>
      </w:r>
      <w:r w:rsidR="003B75D7">
        <w:rPr>
          <w:lang w:val="en-US"/>
        </w:rPr>
        <w:t xml:space="preserve">for </w:t>
      </w:r>
      <w:r>
        <w:rPr>
          <w:lang w:val="en-US"/>
        </w:rPr>
        <w:t>more consistent grant guidelines to assist in monitoring and reporting and providing clarity around expectations.  This view was more commonly expressed by previously IYLP funded scholarship providers</w:t>
      </w:r>
    </w:p>
    <w:p w14:paraId="00719C37" w14:textId="2BD5F381" w:rsidR="004C6E0A" w:rsidRDefault="004C6E0A" w:rsidP="004C6E0A">
      <w:pPr>
        <w:pStyle w:val="ListBullet"/>
        <w:rPr>
          <w:lang w:val="en-US"/>
        </w:rPr>
      </w:pPr>
      <w:r>
        <w:rPr>
          <w:lang w:val="en-US"/>
        </w:rPr>
        <w:t>the concern that more consistent guidelines might undermine the benefits of diverse service delivery models identified above</w:t>
      </w:r>
      <w:r w:rsidR="003B75D7">
        <w:rPr>
          <w:lang w:val="en-US"/>
        </w:rPr>
        <w:t xml:space="preserve"> and </w:t>
      </w:r>
      <w:r>
        <w:rPr>
          <w:lang w:val="en-US"/>
        </w:rPr>
        <w:t>result</w:t>
      </w:r>
      <w:r w:rsidR="003B75D7">
        <w:rPr>
          <w:lang w:val="en-US"/>
        </w:rPr>
        <w:t xml:space="preserve"> </w:t>
      </w:r>
      <w:r>
        <w:rPr>
          <w:lang w:val="en-US"/>
        </w:rPr>
        <w:t xml:space="preserve">in a </w:t>
      </w:r>
      <w:r w:rsidR="003B75D7">
        <w:rPr>
          <w:lang w:val="en-US"/>
        </w:rPr>
        <w:t>‘</w:t>
      </w:r>
      <w:r>
        <w:rPr>
          <w:lang w:val="en-US"/>
        </w:rPr>
        <w:t>one-size-fits all</w:t>
      </w:r>
      <w:r w:rsidR="003B75D7">
        <w:rPr>
          <w:lang w:val="en-US"/>
        </w:rPr>
        <w:t>’</w:t>
      </w:r>
      <w:r>
        <w:rPr>
          <w:lang w:val="en-US"/>
        </w:rPr>
        <w:t xml:space="preserve"> approach</w:t>
      </w:r>
    </w:p>
    <w:p w14:paraId="2182AB65" w14:textId="77777777" w:rsidR="004C6E0A" w:rsidRDefault="004C6E0A" w:rsidP="004C6E0A">
      <w:pPr>
        <w:pStyle w:val="ListBullet"/>
        <w:rPr>
          <w:lang w:val="en-US"/>
        </w:rPr>
      </w:pPr>
      <w:r>
        <w:rPr>
          <w:lang w:val="en-US"/>
        </w:rPr>
        <w:t>the need to define and agree the full dimensions of what success looks like for scholarship funding.</w:t>
      </w:r>
    </w:p>
    <w:p w14:paraId="2CF60B20" w14:textId="77777777" w:rsidR="004C6E0A" w:rsidRDefault="004C6E0A" w:rsidP="004C6E0A">
      <w:pPr>
        <w:pStyle w:val="ListBullet"/>
        <w:numPr>
          <w:ilvl w:val="0"/>
          <w:numId w:val="0"/>
        </w:numPr>
        <w:tabs>
          <w:tab w:val="left" w:pos="720"/>
        </w:tabs>
        <w:rPr>
          <w:lang w:val="en-US"/>
        </w:rPr>
      </w:pPr>
      <w:r>
        <w:rPr>
          <w:lang w:val="en-US"/>
        </w:rPr>
        <w:t>This should be explored in future discussions the department will have with scholarship providers in line with recommendation 1.</w:t>
      </w:r>
    </w:p>
    <w:p w14:paraId="335838C0" w14:textId="77777777" w:rsidR="004C6E0A" w:rsidRDefault="004C6E0A" w:rsidP="004C6E0A">
      <w:pPr>
        <w:pStyle w:val="ListBullet"/>
        <w:numPr>
          <w:ilvl w:val="0"/>
          <w:numId w:val="0"/>
        </w:numPr>
        <w:tabs>
          <w:tab w:val="left" w:pos="720"/>
        </w:tabs>
        <w:rPr>
          <w:b/>
          <w:i/>
          <w:color w:val="A32020" w:themeColor="accent1"/>
          <w:lang w:val="en-US"/>
        </w:rPr>
      </w:pPr>
      <w:r>
        <w:rPr>
          <w:b/>
          <w:i/>
          <w:color w:val="A32020" w:themeColor="accent1"/>
          <w:lang w:val="en-US"/>
        </w:rPr>
        <w:t>Student need and demand</w:t>
      </w:r>
    </w:p>
    <w:p w14:paraId="5A85E71A" w14:textId="49EB6EFF" w:rsidR="004C6E0A" w:rsidRDefault="004C6E0A" w:rsidP="004C6E0A">
      <w:pPr>
        <w:pStyle w:val="ListBullet"/>
        <w:numPr>
          <w:ilvl w:val="0"/>
          <w:numId w:val="0"/>
        </w:numPr>
        <w:tabs>
          <w:tab w:val="left" w:pos="720"/>
        </w:tabs>
        <w:rPr>
          <w:lang w:val="en-US"/>
        </w:rPr>
      </w:pPr>
      <w:r>
        <w:rPr>
          <w:lang w:val="en-US"/>
        </w:rPr>
        <w:t xml:space="preserve">While all scholarship providers assert they are meeting, or exceeding their obligations under funding agreements further work is needed to better understand need and demand.  </w:t>
      </w:r>
    </w:p>
    <w:p w14:paraId="5DFFC9FA" w14:textId="77777777" w:rsidR="004C6E0A" w:rsidRDefault="004C6E0A" w:rsidP="004C6E0A">
      <w:pPr>
        <w:pStyle w:val="ListBullet"/>
        <w:numPr>
          <w:ilvl w:val="0"/>
          <w:numId w:val="0"/>
        </w:numPr>
        <w:tabs>
          <w:tab w:val="left" w:pos="720"/>
        </w:tabs>
        <w:rPr>
          <w:lang w:val="en-US"/>
        </w:rPr>
      </w:pPr>
      <w:r>
        <w:rPr>
          <w:lang w:val="en-US"/>
        </w:rPr>
        <w:t>Determining unmet demand is challenging as:</w:t>
      </w:r>
    </w:p>
    <w:p w14:paraId="38F46D7D" w14:textId="77777777" w:rsidR="004C6E0A" w:rsidRDefault="004C6E0A" w:rsidP="004C6E0A">
      <w:pPr>
        <w:pStyle w:val="ListBullet"/>
        <w:rPr>
          <w:lang w:val="en-US"/>
        </w:rPr>
      </w:pPr>
      <w:r>
        <w:rPr>
          <w:lang w:val="en-US"/>
        </w:rPr>
        <w:t xml:space="preserve">placing students in high performing schools often requires a judgement to be made of the student’s capacity to thrive and succeed in these environments.  This is particularly the case where students are boarding.  Developing a deep understanding the pool of </w:t>
      </w:r>
      <w:r>
        <w:rPr>
          <w:i/>
          <w:lang w:val="en-US"/>
        </w:rPr>
        <w:t>potential</w:t>
      </w:r>
      <w:r>
        <w:rPr>
          <w:lang w:val="en-US"/>
        </w:rPr>
        <w:t xml:space="preserve"> applicants is challenging due to the subjective nature of assessment processes</w:t>
      </w:r>
    </w:p>
    <w:p w14:paraId="14191CF2" w14:textId="58F3DDF3" w:rsidR="004C6E0A" w:rsidRDefault="004C6E0A" w:rsidP="004C6E0A">
      <w:pPr>
        <w:pStyle w:val="ListBullet"/>
        <w:rPr>
          <w:lang w:val="en-US"/>
        </w:rPr>
      </w:pPr>
      <w:r>
        <w:rPr>
          <w:lang w:val="en-US"/>
        </w:rPr>
        <w:t xml:space="preserve">the school-led and the </w:t>
      </w:r>
      <w:r w:rsidR="0020267E">
        <w:rPr>
          <w:lang w:val="en-US"/>
        </w:rPr>
        <w:t>community/</w:t>
      </w:r>
      <w:r>
        <w:rPr>
          <w:lang w:val="en-US"/>
        </w:rPr>
        <w:t>broker-led models have significant differences in the direct relationship between the scholarship provider and scholarship applicants</w:t>
      </w:r>
    </w:p>
    <w:p w14:paraId="22781CCC" w14:textId="77777777" w:rsidR="004C6E0A" w:rsidRDefault="004C6E0A" w:rsidP="004C6E0A">
      <w:pPr>
        <w:pStyle w:val="ListBullet"/>
        <w:rPr>
          <w:lang w:val="en-US"/>
        </w:rPr>
      </w:pPr>
      <w:r>
        <w:rPr>
          <w:lang w:val="en-US"/>
        </w:rPr>
        <w:t>the rate limiting factor of availability of places with suitable education partners including in some instances constraints on boarding facilities.</w:t>
      </w:r>
    </w:p>
    <w:p w14:paraId="74F59061" w14:textId="77777777" w:rsidR="004C6E0A" w:rsidRDefault="004C6E0A" w:rsidP="004C6E0A">
      <w:pPr>
        <w:pStyle w:val="ListBullet"/>
        <w:rPr>
          <w:lang w:val="en-US"/>
        </w:rPr>
      </w:pPr>
      <w:r>
        <w:rPr>
          <w:lang w:val="en-US"/>
        </w:rPr>
        <w:t xml:space="preserve">data collection particularly of applicant data is inconsistent. </w:t>
      </w:r>
    </w:p>
    <w:p w14:paraId="0BB0C404" w14:textId="24B5A409" w:rsidR="004C6E0A" w:rsidRDefault="004C6E0A" w:rsidP="004C6E0A">
      <w:pPr>
        <w:pStyle w:val="ListBullet"/>
        <w:numPr>
          <w:ilvl w:val="0"/>
          <w:numId w:val="0"/>
        </w:numPr>
        <w:tabs>
          <w:tab w:val="left" w:pos="720"/>
        </w:tabs>
        <w:rPr>
          <w:lang w:val="en-US"/>
        </w:rPr>
      </w:pPr>
      <w:r>
        <w:rPr>
          <w:lang w:val="en-US"/>
        </w:rPr>
        <w:t>While anecdotally some scholarship providers noted practices of no longer promoting the availability of scholarships as demand outstrips supply, others indicated that they could double the number of scholarships they provide, including leveraging corporate or philanthropic funding</w:t>
      </w:r>
      <w:r w:rsidR="006D7B03">
        <w:rPr>
          <w:lang w:val="en-US"/>
        </w:rPr>
        <w:t xml:space="preserve"> dependent on additional IAS funding being provided</w:t>
      </w:r>
      <w:r>
        <w:rPr>
          <w:lang w:val="en-US"/>
        </w:rPr>
        <w:t>.</w:t>
      </w:r>
    </w:p>
    <w:p w14:paraId="32CACE7F" w14:textId="175C7ACA" w:rsidR="004C6E0A" w:rsidRDefault="004C6E0A" w:rsidP="004C6E0A">
      <w:pPr>
        <w:pStyle w:val="PwCNormal"/>
        <w:numPr>
          <w:ilvl w:val="0"/>
          <w:numId w:val="0"/>
        </w:numPr>
        <w:rPr>
          <w:lang w:val="en-US"/>
        </w:rPr>
      </w:pPr>
      <w:r>
        <w:rPr>
          <w:lang w:val="en-US"/>
        </w:rPr>
        <w:t>Better data is needed to support comparative analysis and to identify grant refinements.  The department should seek evidence from scholarship providers of unmet demand in order to inform decisions around funding allocation in future rounds including any potential increase to funding allocations.  This evidence should include geographic area of scholarship need and include an estimate of numbers and rationale in addition to track record of the scholarship provider in delivering, or exceeding scholarship grant requirements.</w:t>
      </w:r>
    </w:p>
    <w:p w14:paraId="4FD39E74" w14:textId="77777777" w:rsidR="00E56475" w:rsidRPr="007560B4" w:rsidRDefault="00E56475" w:rsidP="00E56475">
      <w:pPr>
        <w:pStyle w:val="PwCNormal"/>
        <w:numPr>
          <w:ilvl w:val="0"/>
          <w:numId w:val="0"/>
        </w:numPr>
        <w:rPr>
          <w:lang w:val="en-GB"/>
        </w:rPr>
      </w:pPr>
    </w:p>
    <w:p w14:paraId="04729E63" w14:textId="77777777" w:rsidR="00F06C19" w:rsidRPr="007560B4" w:rsidRDefault="00F06C19" w:rsidP="00F06C19">
      <w:pPr>
        <w:pStyle w:val="PwCNormal"/>
        <w:rPr>
          <w:lang w:val="en-GB"/>
        </w:rPr>
        <w:sectPr w:rsidR="00F06C19" w:rsidRPr="007560B4" w:rsidSect="006937E8">
          <w:headerReference w:type="default" r:id="rId108"/>
          <w:footerReference w:type="even" r:id="rId109"/>
          <w:footerReference w:type="default" r:id="rId110"/>
          <w:headerReference w:type="first" r:id="rId111"/>
          <w:footerReference w:type="first" r:id="rId112"/>
          <w:pgSz w:w="11907" w:h="16840" w:code="9"/>
          <w:pgMar w:top="1588" w:right="1020" w:bottom="1418" w:left="2353" w:header="567" w:footer="567" w:gutter="0"/>
          <w:cols w:space="227"/>
          <w:docGrid w:linePitch="360"/>
        </w:sectPr>
      </w:pPr>
    </w:p>
    <w:p w14:paraId="3C32F210" w14:textId="77777777" w:rsidR="00D736E7" w:rsidRDefault="00D736E7">
      <w:pPr>
        <w:kinsoku/>
        <w:overflowPunct/>
        <w:autoSpaceDE/>
        <w:autoSpaceDN/>
        <w:adjustRightInd/>
        <w:snapToGrid/>
        <w:rPr>
          <w:lang w:val="en-GB"/>
        </w:rPr>
      </w:pPr>
    </w:p>
    <w:sectPr w:rsidR="00D736E7" w:rsidSect="003A009A">
      <w:headerReference w:type="even" r:id="rId113"/>
      <w:headerReference w:type="default" r:id="rId114"/>
      <w:footerReference w:type="even" r:id="rId115"/>
      <w:footerReference w:type="default" r:id="rId116"/>
      <w:headerReference w:type="first" r:id="rId117"/>
      <w:type w:val="evenPage"/>
      <w:pgSz w:w="11907" w:h="16840" w:code="9"/>
      <w:pgMar w:top="1701" w:right="1020" w:bottom="1418" w:left="2353"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E6CCF" w14:textId="77777777" w:rsidR="001837BD" w:rsidRDefault="001837BD" w:rsidP="004343B3">
      <w:pPr>
        <w:pStyle w:val="Separator"/>
      </w:pPr>
      <w:r>
        <w:separator/>
      </w:r>
    </w:p>
    <w:p w14:paraId="2750F520" w14:textId="77777777" w:rsidR="001837BD" w:rsidRDefault="001837BD"/>
  </w:endnote>
  <w:endnote w:type="continuationSeparator" w:id="0">
    <w:p w14:paraId="7CC1E88C" w14:textId="77777777" w:rsidR="001837BD" w:rsidRDefault="001837BD" w:rsidP="004343B3">
      <w:pPr>
        <w:pStyle w:val="Separator"/>
      </w:pPr>
      <w:r>
        <w:continuationSeparator/>
      </w:r>
    </w:p>
    <w:p w14:paraId="36034862" w14:textId="77777777" w:rsidR="001837BD" w:rsidRDefault="001837BD"/>
  </w:endnote>
  <w:endnote w:type="continuationNotice" w:id="1">
    <w:p w14:paraId="1564226B" w14:textId="77777777" w:rsidR="001837BD" w:rsidRDefault="001837BD" w:rsidP="004343B3">
      <w:pPr>
        <w:pStyle w:val="Separator"/>
      </w:pPr>
    </w:p>
    <w:p w14:paraId="3D891D17" w14:textId="77777777" w:rsidR="001837BD" w:rsidRDefault="00183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83824" w14:textId="77777777" w:rsidR="00AD1FB0" w:rsidRDefault="00AD1FB0" w:rsidP="00314A1B">
    <w:pPr>
      <w:pStyle w:val="Copyright2"/>
      <w:framePr w:wrap="around"/>
    </w:pPr>
    <w:bookmarkStart w:id="0" w:name="DisclaimerEven"/>
    <w:r>
      <w:t xml:space="preserve"> </w:t>
    </w:r>
    <w:bookmarkEnd w:id="0"/>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2E67B" w14:textId="1FE92020" w:rsidR="00AD1FB0" w:rsidRDefault="00AD1FB0" w:rsidP="003A009A">
    <w:pPr>
      <w:pStyle w:val="Footer"/>
    </w:pPr>
    <w:r>
      <w:fldChar w:fldCharType="begin"/>
    </w:r>
    <w:r>
      <w:instrText xml:space="preserve"> STYLEREF "Cover Outcome Headline" </w:instrText>
    </w:r>
    <w:r>
      <w:rPr>
        <w:noProof/>
      </w:rPr>
      <w:fldChar w:fldCharType="end"/>
    </w:r>
  </w:p>
  <w:p w14:paraId="7510FE02" w14:textId="13D33B6A" w:rsidR="00AD1FB0" w:rsidRPr="005D1FC6" w:rsidRDefault="00AD1FB0" w:rsidP="003A009A">
    <w:pPr>
      <w:pStyle w:val="Footer"/>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3</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05DDB" w14:textId="74018E91" w:rsidR="00AD1FB0" w:rsidRDefault="00AD1FB0" w:rsidP="00A82926">
    <w:pPr>
      <w:pStyle w:val="Footer-Even"/>
    </w:pPr>
    <w:r>
      <w:fldChar w:fldCharType="begin"/>
    </w:r>
    <w:r>
      <w:instrText xml:space="preserve"> STYLEREF "Cover Outcome Headline" </w:instrText>
    </w:r>
    <w:r>
      <w:rPr>
        <w:noProof/>
      </w:rPr>
      <w:fldChar w:fldCharType="end"/>
    </w:r>
  </w:p>
  <w:p w14:paraId="338D6E2E" w14:textId="4A76C512" w:rsidR="00AD1FB0" w:rsidRPr="005D1FC6" w:rsidRDefault="00AD1FB0" w:rsidP="00A82926">
    <w:pPr>
      <w:pStyle w:val="Footer-Even"/>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9FCD1" w14:textId="071B192B" w:rsidR="00AD1FB0" w:rsidRDefault="00AD1FB0" w:rsidP="00B54A8B">
    <w:pPr>
      <w:pStyle w:val="Footer-Landscape"/>
    </w:pPr>
    <w:r>
      <w:fldChar w:fldCharType="begin"/>
    </w:r>
    <w:r>
      <w:instrText xml:space="preserve"> STYLEREF "Cover Outcome Headline" </w:instrText>
    </w:r>
    <w:r>
      <w:rPr>
        <w:noProof/>
      </w:rPr>
      <w:fldChar w:fldCharType="end"/>
    </w:r>
  </w:p>
  <w:p w14:paraId="3D949FCA" w14:textId="05D6FBE7"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6</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C2CC1" w14:textId="7BFC2602" w:rsidR="00AD1FB0" w:rsidRDefault="00AD1FB0" w:rsidP="00B54A8B">
    <w:pPr>
      <w:pStyle w:val="Footer-Landscape"/>
    </w:pPr>
    <w:r>
      <w:fldChar w:fldCharType="begin"/>
    </w:r>
    <w:r>
      <w:instrText xml:space="preserve"> STYLEREF "Cover Outcome Headline" </w:instrText>
    </w:r>
    <w:r>
      <w:rPr>
        <w:noProof/>
      </w:rPr>
      <w:fldChar w:fldCharType="end"/>
    </w:r>
  </w:p>
  <w:p w14:paraId="40CDB18B" w14:textId="3FE275D6"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5</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27444" w14:textId="2598FF4F" w:rsidR="00AD1FB0" w:rsidRDefault="00AD1FB0" w:rsidP="00B54A8B">
    <w:pPr>
      <w:pStyle w:val="Footer-Landscape"/>
    </w:pPr>
    <w:r>
      <w:fldChar w:fldCharType="begin"/>
    </w:r>
    <w:r>
      <w:instrText xml:space="preserve"> STYLEREF "Cover Outcome Headline" </w:instrText>
    </w:r>
    <w:r>
      <w:rPr>
        <w:noProof/>
      </w:rPr>
      <w:fldChar w:fldCharType="end"/>
    </w:r>
  </w:p>
  <w:p w14:paraId="6D730927" w14:textId="5626F79E"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4</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EE3DB" w14:textId="3C03E9FC" w:rsidR="00AD1FB0" w:rsidRDefault="00AD1FB0" w:rsidP="00407065">
    <w:pPr>
      <w:pStyle w:val="Footer-Landscape"/>
    </w:pPr>
    <w:r>
      <w:fldChar w:fldCharType="begin"/>
    </w:r>
    <w:r>
      <w:instrText xml:space="preserve"> STYLEREF "Cover Outcome Headline" </w:instrText>
    </w:r>
    <w:r>
      <w:rPr>
        <w:noProof/>
      </w:rPr>
      <w:fldChar w:fldCharType="end"/>
    </w:r>
  </w:p>
  <w:p w14:paraId="3C985520" w14:textId="55518AC3" w:rsidR="00AD1FB0" w:rsidRPr="005D1FC6" w:rsidRDefault="00AD1FB0" w:rsidP="00407065">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8</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00B2" w14:textId="3D72F431" w:rsidR="00AD1FB0" w:rsidRDefault="00AD1FB0" w:rsidP="00407065">
    <w:pPr>
      <w:pStyle w:val="Footer-Landscape"/>
    </w:pPr>
    <w:r>
      <w:fldChar w:fldCharType="begin"/>
    </w:r>
    <w:r>
      <w:instrText xml:space="preserve"> STYLEREF "Cover Outcome Headline" </w:instrText>
    </w:r>
    <w:r>
      <w:rPr>
        <w:noProof/>
      </w:rPr>
      <w:fldChar w:fldCharType="end"/>
    </w:r>
  </w:p>
  <w:p w14:paraId="05E7A2D4" w14:textId="18D67562" w:rsidR="00AD1FB0" w:rsidRPr="005D1FC6" w:rsidRDefault="00AD1FB0" w:rsidP="00407065">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7</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2D919" w14:textId="77777777" w:rsidR="00AD1FB0" w:rsidRDefault="00AD1FB0" w:rsidP="00407065">
    <w:pPr>
      <w:pStyle w:val="Footer-Landscape"/>
    </w:pPr>
    <w:r>
      <w:fldChar w:fldCharType="begin"/>
    </w:r>
    <w:r>
      <w:instrText xml:space="preserve"> STYLEREF "Cover Outcome Headline" </w:instrText>
    </w:r>
    <w:r>
      <w:rPr>
        <w:noProof/>
      </w:rPr>
      <w:fldChar w:fldCharType="end"/>
    </w:r>
  </w:p>
  <w:p w14:paraId="2BBF5499" w14:textId="77777777" w:rsidR="00AD1FB0" w:rsidRPr="005D1FC6" w:rsidRDefault="00AD1FB0" w:rsidP="00407065">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Pr>
        <w:noProof/>
      </w:rPr>
      <w:t>7</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BDB52" w14:textId="7B0BE922" w:rsidR="00AD1FB0" w:rsidRDefault="00AD1FB0" w:rsidP="00B54A8B">
    <w:pPr>
      <w:pStyle w:val="Footer-Landscape"/>
    </w:pPr>
    <w:r>
      <w:fldChar w:fldCharType="begin"/>
    </w:r>
    <w:r>
      <w:instrText xml:space="preserve"> STYLEREF "Cover Outcome Headline" </w:instrText>
    </w:r>
    <w:r>
      <w:rPr>
        <w:noProof/>
      </w:rPr>
      <w:fldChar w:fldCharType="end"/>
    </w:r>
  </w:p>
  <w:p w14:paraId="3FC99A5A" w14:textId="5EF15EEA"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10</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B390E" w14:textId="7AC10268" w:rsidR="00AD1FB0" w:rsidRDefault="00AD1FB0" w:rsidP="00B54A8B">
    <w:pPr>
      <w:pStyle w:val="Footer-Landscape"/>
    </w:pPr>
    <w:r>
      <w:fldChar w:fldCharType="begin"/>
    </w:r>
    <w:r>
      <w:instrText xml:space="preserve"> STYLEREF "Cover Outcome Headline" </w:instrText>
    </w:r>
    <w:r>
      <w:rPr>
        <w:noProof/>
      </w:rPr>
      <w:fldChar w:fldCharType="end"/>
    </w:r>
  </w:p>
  <w:p w14:paraId="6D68A3CD" w14:textId="0EBD5F0F"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B94DA" w14:textId="77777777" w:rsidR="00AD1FB0" w:rsidRDefault="00AD1FB0" w:rsidP="00FB1345">
    <w:pPr>
      <w:pStyle w:val="Copyright2"/>
      <w:framePr w:wrap="around"/>
    </w:pPr>
    <w:bookmarkStart w:id="1" w:name="DisclaimerOdd"/>
    <w:r>
      <w:t xml:space="preserve"> </w:t>
    </w:r>
    <w:bookmarkEnd w:id="1"/>
  </w:p>
  <w:p w14:paraId="2FEA20CD" w14:textId="77777777" w:rsidR="00AD1FB0" w:rsidRDefault="00AD1FB0" w:rsidP="00FB134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16FD8" w14:textId="77777777" w:rsidR="00AD1FB0" w:rsidRDefault="00AD1FB0" w:rsidP="00B54A8B">
    <w:pPr>
      <w:pStyle w:val="Footer-Landscape"/>
    </w:pPr>
    <w:r>
      <w:fldChar w:fldCharType="begin"/>
    </w:r>
    <w:r>
      <w:instrText xml:space="preserve"> STYLEREF "Cover Outcome Headline" </w:instrText>
    </w:r>
    <w:r>
      <w:rPr>
        <w:noProof/>
      </w:rPr>
      <w:fldChar w:fldCharType="end"/>
    </w:r>
  </w:p>
  <w:p w14:paraId="33FC8158" w14:textId="77777777"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Pr>
        <w:noProof/>
      </w:rPr>
      <w:t>7</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C77C0" w14:textId="77777777" w:rsidR="00AD1FB0" w:rsidRDefault="00AD1FB0" w:rsidP="001E6EBC">
    <w:pPr>
      <w:pStyle w:val="Footer-Landscape"/>
    </w:pPr>
    <w:r>
      <w:fldChar w:fldCharType="begin"/>
    </w:r>
    <w:r>
      <w:instrText xml:space="preserve"> STYLEREF "Cover Outcome Headline" </w:instrText>
    </w:r>
    <w:r>
      <w:rPr>
        <w:noProof/>
      </w:rPr>
      <w:fldChar w:fldCharType="end"/>
    </w:r>
  </w:p>
  <w:p w14:paraId="4AAADEDC" w14:textId="77777777" w:rsidR="00AD1FB0" w:rsidRPr="005D1FC6" w:rsidRDefault="00AD1FB0" w:rsidP="001E6EBC">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Pr>
        <w:noProof/>
      </w:rPr>
      <w:t>10</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8EC47" w14:textId="6430569F" w:rsidR="00AD1FB0" w:rsidRDefault="00AD1FB0" w:rsidP="001E6EBC">
    <w:pPr>
      <w:pStyle w:val="Footer-Landscape"/>
    </w:pPr>
    <w:r>
      <w:fldChar w:fldCharType="begin"/>
    </w:r>
    <w:r>
      <w:instrText xml:space="preserve"> STYLEREF "Cover Outcome Headline" </w:instrText>
    </w:r>
    <w:r>
      <w:rPr>
        <w:noProof/>
      </w:rPr>
      <w:fldChar w:fldCharType="end"/>
    </w:r>
  </w:p>
  <w:p w14:paraId="408D26C0" w14:textId="6F7BE340" w:rsidR="00AD1FB0" w:rsidRPr="005D1FC6" w:rsidRDefault="00AD1FB0" w:rsidP="001E6EBC">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11</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3EE3B" w14:textId="77777777" w:rsidR="00AD1FB0" w:rsidRDefault="00AD1FB0" w:rsidP="001E6EBC">
    <w:pPr>
      <w:pStyle w:val="Footer-Landscape"/>
    </w:pPr>
    <w:r>
      <w:fldChar w:fldCharType="begin"/>
    </w:r>
    <w:r>
      <w:instrText xml:space="preserve"> STYLEREF "Cover Outcome Headline" </w:instrText>
    </w:r>
    <w:r>
      <w:rPr>
        <w:noProof/>
      </w:rPr>
      <w:fldChar w:fldCharType="end"/>
    </w:r>
  </w:p>
  <w:p w14:paraId="355727B9" w14:textId="77777777" w:rsidR="00AD1FB0" w:rsidRPr="005D1FC6" w:rsidRDefault="00AD1FB0" w:rsidP="001E6EBC">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Pr>
        <w:noProof/>
      </w:rPr>
      <w:t>7</w:t>
    </w:r>
    <w:r>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2DB77" w14:textId="2CF4D883" w:rsidR="00AD1FB0" w:rsidRDefault="00AD1FB0" w:rsidP="00B54A8B">
    <w:pPr>
      <w:pStyle w:val="Footer-Landscape"/>
    </w:pPr>
    <w:r>
      <w:fldChar w:fldCharType="begin"/>
    </w:r>
    <w:r>
      <w:instrText xml:space="preserve"> STYLEREF "Cover Outcome Headline" </w:instrText>
    </w:r>
    <w:r>
      <w:rPr>
        <w:noProof/>
      </w:rPr>
      <w:fldChar w:fldCharType="end"/>
    </w:r>
  </w:p>
  <w:p w14:paraId="273A1250" w14:textId="7C861B4C"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16</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93DE" w14:textId="30DA99F9" w:rsidR="00AD1FB0" w:rsidRDefault="00AD1FB0" w:rsidP="00B54A8B">
    <w:pPr>
      <w:pStyle w:val="Footer-Landscape"/>
    </w:pPr>
    <w:r>
      <w:fldChar w:fldCharType="begin"/>
    </w:r>
    <w:r>
      <w:instrText xml:space="preserve"> STYLEREF "Cover Outcome Headline" </w:instrText>
    </w:r>
    <w:r>
      <w:rPr>
        <w:noProof/>
      </w:rPr>
      <w:fldChar w:fldCharType="end"/>
    </w:r>
  </w:p>
  <w:p w14:paraId="20388BDC" w14:textId="549D52D9"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15</w:t>
    </w:r>
    <w:r>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91E20" w14:textId="77777777" w:rsidR="00AD1FB0" w:rsidRDefault="00AD1FB0" w:rsidP="00B54A8B">
    <w:pPr>
      <w:pStyle w:val="Footer-Landscape"/>
    </w:pPr>
    <w:r>
      <w:fldChar w:fldCharType="begin"/>
    </w:r>
    <w:r>
      <w:instrText xml:space="preserve"> STYLEREF "Cover Outcome Headline" </w:instrText>
    </w:r>
    <w:r>
      <w:rPr>
        <w:noProof/>
      </w:rPr>
      <w:fldChar w:fldCharType="end"/>
    </w:r>
  </w:p>
  <w:p w14:paraId="04857CDB" w14:textId="77777777"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Pr>
        <w:noProof/>
      </w:rPr>
      <w:t>7</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2E39B" w14:textId="06B1F46E" w:rsidR="00AD1FB0" w:rsidRDefault="00AD1FB0" w:rsidP="00B54A8B">
    <w:pPr>
      <w:pStyle w:val="Footer-Landscape"/>
    </w:pPr>
    <w:r>
      <w:fldChar w:fldCharType="begin"/>
    </w:r>
    <w:r>
      <w:instrText xml:space="preserve"> STYLEREF "Cover Outcome Headline" </w:instrText>
    </w:r>
    <w:r>
      <w:rPr>
        <w:noProof/>
      </w:rPr>
      <w:fldChar w:fldCharType="end"/>
    </w:r>
  </w:p>
  <w:p w14:paraId="1A025A26" w14:textId="76551AF6"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18</w:t>
    </w:r>
    <w:r>
      <w:rPr>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65736" w14:textId="0E3816B3" w:rsidR="00AD1FB0" w:rsidRDefault="00AD1FB0" w:rsidP="00B54A8B">
    <w:pPr>
      <w:pStyle w:val="Footer-Landscape"/>
    </w:pPr>
    <w:r>
      <w:fldChar w:fldCharType="begin"/>
    </w:r>
    <w:r>
      <w:instrText xml:space="preserve"> STYLEREF "Cover Outcome Headline" </w:instrText>
    </w:r>
    <w:r>
      <w:rPr>
        <w:noProof/>
      </w:rPr>
      <w:fldChar w:fldCharType="end"/>
    </w:r>
  </w:p>
  <w:p w14:paraId="604CBEBB" w14:textId="53B26E82"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19</w:t>
    </w:r>
    <w:r>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90403" w14:textId="1424BBF0" w:rsidR="00AD1FB0" w:rsidRDefault="00AD1FB0" w:rsidP="00B54A8B">
    <w:pPr>
      <w:pStyle w:val="Footer-Landscape"/>
    </w:pPr>
    <w:r>
      <w:fldChar w:fldCharType="begin"/>
    </w:r>
    <w:r>
      <w:instrText xml:space="preserve"> STYLEREF "Cover Outcome Headline" </w:instrText>
    </w:r>
    <w:r>
      <w:rPr>
        <w:noProof/>
      </w:rPr>
      <w:fldChar w:fldCharType="end"/>
    </w:r>
  </w:p>
  <w:p w14:paraId="38ABA0B6" w14:textId="2A0CB3E3"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17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35C04" w14:textId="51BAD534" w:rsidR="00AD1FB0" w:rsidRDefault="00AD1FB0" w:rsidP="003A009A">
    <w:pPr>
      <w:pStyle w:val="Footer-Even"/>
    </w:pPr>
    <w:r>
      <w:fldChar w:fldCharType="begin"/>
    </w:r>
    <w:r>
      <w:instrText xml:space="preserve"> STYLEREF "Cover Outcome Headline" </w:instrText>
    </w:r>
    <w:r>
      <w:rPr>
        <w:noProof/>
      </w:rPr>
      <w:fldChar w:fldCharType="end"/>
    </w:r>
  </w:p>
  <w:p w14:paraId="236DE0B8" w14:textId="09235AE7" w:rsidR="00AD1FB0" w:rsidRPr="005D1FC6" w:rsidRDefault="00AD1FB0" w:rsidP="003A009A">
    <w:pPr>
      <w:pStyle w:val="Footer-Even"/>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xii</w:t>
    </w:r>
    <w:r>
      <w:rPr>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AF0DC" w14:textId="77777777" w:rsidR="00AD1FB0" w:rsidRDefault="00AD1FB0" w:rsidP="00E0770B">
    <w:pPr>
      <w:pStyle w:val="Footer-Landscape"/>
    </w:pPr>
    <w:r>
      <w:fldChar w:fldCharType="begin"/>
    </w:r>
    <w:r>
      <w:instrText xml:space="preserve"> STYLEREF "Cover Outcome Headline" </w:instrText>
    </w:r>
    <w:r>
      <w:rPr>
        <w:noProof/>
      </w:rPr>
      <w:fldChar w:fldCharType="end"/>
    </w:r>
  </w:p>
  <w:p w14:paraId="5576DEFE" w14:textId="77777777" w:rsidR="00AD1FB0" w:rsidRPr="005D1FC6" w:rsidRDefault="00AD1FB0" w:rsidP="00E0770B">
    <w:pPr>
      <w:pStyle w:val="Footer-Landscape"/>
    </w:pPr>
    <w:r>
      <w:rPr>
        <w:snapToGrid/>
        <w:lang w:eastAsia="en-AU"/>
      </w:rPr>
      <w:t>PwC’s Indigenous Consulting</w:t>
    </w:r>
    <w:r>
      <w:rPr>
        <w:snapToGrid/>
        <w:lang w:eastAsia="en-AU"/>
      </w:rPr>
      <w:ptab w:relativeTo="margin" w:alignment="right" w:leader="none"/>
    </w:r>
    <w:r>
      <w:fldChar w:fldCharType="begin"/>
    </w:r>
    <w:r>
      <w:instrText xml:space="preserve"> PAGE  \* MERGEFORMAT </w:instrText>
    </w:r>
    <w:r>
      <w:fldChar w:fldCharType="separate"/>
    </w:r>
    <w:r>
      <w:rPr>
        <w:noProof/>
      </w:rPr>
      <w:t>20</w:t>
    </w:r>
    <w:r>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6B01E" w14:textId="05269E1D" w:rsidR="00AD1FB0" w:rsidRDefault="00AD1FB0" w:rsidP="00E0770B">
    <w:pPr>
      <w:pStyle w:val="Footer-Landscape"/>
    </w:pPr>
    <w:r>
      <w:fldChar w:fldCharType="begin"/>
    </w:r>
    <w:r>
      <w:instrText xml:space="preserve"> STYLEREF "Cover Outcome Headline" </w:instrText>
    </w:r>
    <w:r>
      <w:rPr>
        <w:noProof/>
      </w:rPr>
      <w:fldChar w:fldCharType="end"/>
    </w:r>
  </w:p>
  <w:p w14:paraId="02CF40CD" w14:textId="65442E30" w:rsidR="00AD1FB0" w:rsidRPr="005D1FC6" w:rsidRDefault="00AD1FB0" w:rsidP="00E0770B">
    <w:pPr>
      <w:pStyle w:val="Footer-Landscape"/>
    </w:pPr>
    <w:r>
      <w:rPr>
        <w:snapToGrid/>
        <w:lang w:eastAsia="en-AU"/>
      </w:rPr>
      <w:t>PwC’s Indigenous Consulting</w:t>
    </w:r>
    <w:r>
      <w:rPr>
        <w:snapToGrid/>
        <w:lang w:eastAsia="en-AU"/>
      </w:rPr>
      <w:ptab w:relativeTo="margin" w:alignment="right" w:leader="none"/>
    </w:r>
    <w:r>
      <w:fldChar w:fldCharType="begin"/>
    </w:r>
    <w:r>
      <w:instrText xml:space="preserve"> PAGE  \* MERGEFORMAT </w:instrText>
    </w:r>
    <w:r>
      <w:fldChar w:fldCharType="separate"/>
    </w:r>
    <w:r w:rsidR="00296186">
      <w:rPr>
        <w:noProof/>
      </w:rPr>
      <w:t>21</w:t>
    </w:r>
    <w:r>
      <w:rPr>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7B6BA" w14:textId="77777777" w:rsidR="00AD1FB0" w:rsidRDefault="00AD1FB0" w:rsidP="00E0770B">
    <w:pPr>
      <w:pStyle w:val="Footer-Landscape"/>
    </w:pPr>
    <w:r>
      <w:fldChar w:fldCharType="begin"/>
    </w:r>
    <w:r>
      <w:instrText xml:space="preserve"> STYLEREF "Cover Outcome Headline" </w:instrText>
    </w:r>
    <w:r>
      <w:rPr>
        <w:noProof/>
      </w:rPr>
      <w:fldChar w:fldCharType="end"/>
    </w:r>
  </w:p>
  <w:p w14:paraId="68C9DA41" w14:textId="77777777" w:rsidR="00AD1FB0" w:rsidRPr="005D1FC6" w:rsidRDefault="00AD1FB0" w:rsidP="00E0770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Pr>
        <w:noProof/>
      </w:rPr>
      <w:t>18</w:t>
    </w:r>
    <w:r>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A9195" w14:textId="4AFDFC26" w:rsidR="00AD1FB0" w:rsidRDefault="00AD1FB0" w:rsidP="00B54A8B">
    <w:pPr>
      <w:pStyle w:val="Footer-Landscape"/>
    </w:pPr>
    <w:r>
      <w:fldChar w:fldCharType="begin"/>
    </w:r>
    <w:r>
      <w:instrText xml:space="preserve"> STYLEREF "Cover Outcome Headline" </w:instrText>
    </w:r>
    <w:r>
      <w:rPr>
        <w:noProof/>
      </w:rPr>
      <w:fldChar w:fldCharType="end"/>
    </w:r>
  </w:p>
  <w:p w14:paraId="279FC6F7" w14:textId="1AE0DC45"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38</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007E0" w14:textId="0EE18B56" w:rsidR="00AD1FB0" w:rsidRDefault="00AD1FB0" w:rsidP="00B54A8B">
    <w:pPr>
      <w:pStyle w:val="Footer-Landscape"/>
    </w:pPr>
    <w:r>
      <w:fldChar w:fldCharType="begin"/>
    </w:r>
    <w:r>
      <w:instrText xml:space="preserve"> STYLEREF "Cover Outcome Headline" </w:instrText>
    </w:r>
    <w:r>
      <w:rPr>
        <w:noProof/>
      </w:rPr>
      <w:fldChar w:fldCharType="end"/>
    </w:r>
  </w:p>
  <w:p w14:paraId="643B038D" w14:textId="26BACD89"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37</w:t>
    </w:r>
    <w:r>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65B93" w14:textId="6B4358FB" w:rsidR="00AD1FB0" w:rsidRDefault="00AD1FB0" w:rsidP="00B54A8B">
    <w:pPr>
      <w:pStyle w:val="Footer-Landscape"/>
    </w:pPr>
    <w:r>
      <w:fldChar w:fldCharType="begin"/>
    </w:r>
    <w:r>
      <w:instrText xml:space="preserve"> STYLEREF "Cover Outcome Headline" </w:instrText>
    </w:r>
    <w:r>
      <w:rPr>
        <w:noProof/>
      </w:rPr>
      <w:fldChar w:fldCharType="end"/>
    </w:r>
  </w:p>
  <w:p w14:paraId="6833D6C3" w14:textId="14FE673C" w:rsidR="00AD1FB0" w:rsidRPr="005D1FC6" w:rsidRDefault="00AD1FB0" w:rsidP="00B54A8B">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33</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472A4" w14:textId="77777777" w:rsidR="00AD1FB0" w:rsidRDefault="00AD1FB0" w:rsidP="00DE6C74">
    <w:pPr>
      <w:pStyle w:val="Footer-Landscape"/>
    </w:pPr>
    <w:r>
      <w:fldChar w:fldCharType="begin"/>
    </w:r>
    <w:r>
      <w:instrText xml:space="preserve"> STYLEREF "Cover Outcome Headline" </w:instrText>
    </w:r>
    <w:r>
      <w:rPr>
        <w:noProof/>
      </w:rPr>
      <w:fldChar w:fldCharType="end"/>
    </w:r>
  </w:p>
  <w:p w14:paraId="6B6EF563" w14:textId="77777777" w:rsidR="00AD1FB0" w:rsidRPr="005D1FC6" w:rsidRDefault="00AD1FB0" w:rsidP="00DE6C74">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Pr>
        <w:noProof/>
      </w:rPr>
      <w:t>38</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DF04A" w14:textId="16BCED47" w:rsidR="00AD1FB0" w:rsidRDefault="00AD1FB0" w:rsidP="00DE6C74">
    <w:pPr>
      <w:pStyle w:val="Footer-Landscape"/>
    </w:pPr>
    <w:r>
      <w:fldChar w:fldCharType="begin"/>
    </w:r>
    <w:r>
      <w:instrText xml:space="preserve"> STYLEREF "Cover Outcome Headline" </w:instrText>
    </w:r>
    <w:r>
      <w:rPr>
        <w:noProof/>
      </w:rPr>
      <w:fldChar w:fldCharType="end"/>
    </w:r>
  </w:p>
  <w:p w14:paraId="20D81137" w14:textId="124F12CB" w:rsidR="00AD1FB0" w:rsidRPr="005D1FC6" w:rsidRDefault="00AD1FB0" w:rsidP="00DE6C74">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39</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7C7D1" w14:textId="77777777" w:rsidR="00AD1FB0" w:rsidRDefault="00AD1FB0" w:rsidP="00DE6C74">
    <w:pPr>
      <w:pStyle w:val="Footer-Landscape"/>
    </w:pPr>
    <w:r>
      <w:fldChar w:fldCharType="begin"/>
    </w:r>
    <w:r>
      <w:instrText xml:space="preserve"> STYLEREF "Cover Outcome Headline" </w:instrText>
    </w:r>
    <w:r>
      <w:rPr>
        <w:noProof/>
      </w:rPr>
      <w:fldChar w:fldCharType="end"/>
    </w:r>
  </w:p>
  <w:p w14:paraId="31B9A226" w14:textId="77777777" w:rsidR="00AD1FB0" w:rsidRPr="005D1FC6" w:rsidRDefault="00AD1FB0" w:rsidP="00DE6C74">
    <w:pPr>
      <w:pStyle w:val="Footer-Landscape"/>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Pr>
        <w:noProof/>
      </w:rPr>
      <w:t>39</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B12F" w14:textId="15BB81F7" w:rsidR="00AD1FB0" w:rsidRDefault="00AD1FB0" w:rsidP="003A009A">
    <w:pPr>
      <w:pStyle w:val="Footer-Even"/>
    </w:pPr>
    <w:r>
      <w:fldChar w:fldCharType="begin"/>
    </w:r>
    <w:r>
      <w:instrText xml:space="preserve"> STYLEREF "Cover Outcome Headline" </w:instrText>
    </w:r>
    <w:r>
      <w:rPr>
        <w:noProof/>
      </w:rPr>
      <w:fldChar w:fldCharType="end"/>
    </w:r>
  </w:p>
  <w:p w14:paraId="372D56C7" w14:textId="1E4CFE31" w:rsidR="00AD1FB0" w:rsidRPr="002628D1" w:rsidRDefault="00AD1FB0" w:rsidP="003A009A">
    <w:pPr>
      <w:pStyle w:val="Footer-Even"/>
    </w:pPr>
    <w:r>
      <w:rPr>
        <w:snapToGrid/>
        <w:color w:val="000000"/>
        <w:lang w:eastAsia="en-AU"/>
      </w:rPr>
      <w:t xml:space="preserve">PwC’s Indigenous Consulting </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46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219B0" w14:textId="76324B48" w:rsidR="00AD1FB0" w:rsidRDefault="00AD1FB0" w:rsidP="003A009A">
    <w:pPr>
      <w:pStyle w:val="Footer"/>
    </w:pPr>
    <w:r>
      <w:fldChar w:fldCharType="begin"/>
    </w:r>
    <w:r>
      <w:instrText xml:space="preserve"> STYLEREF "Cover Outcome Headline" </w:instrText>
    </w:r>
    <w:r>
      <w:rPr>
        <w:noProof/>
      </w:rPr>
      <w:fldChar w:fldCharType="end"/>
    </w:r>
  </w:p>
  <w:p w14:paraId="2B4023EB" w14:textId="5BF35E7C" w:rsidR="00AD1FB0" w:rsidRPr="00A84ADF" w:rsidRDefault="00AD1FB0" w:rsidP="003A009A">
    <w:pPr>
      <w:pStyle w:val="Footer"/>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xiii</w:t>
    </w:r>
    <w:r>
      <w:rPr>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E0FD3" w14:textId="75886F0A" w:rsidR="00AD1FB0" w:rsidRPr="008C6722" w:rsidRDefault="00AD1FB0" w:rsidP="003A009A">
    <w:pPr>
      <w:pStyle w:val="Footer"/>
    </w:pPr>
    <w:r>
      <w:fldChar w:fldCharType="begin"/>
    </w:r>
    <w:r>
      <w:instrText xml:space="preserve"> STYLEREF "Cover Outcome Headline" </w:instrText>
    </w:r>
    <w:r>
      <w:rPr>
        <w:noProof/>
      </w:rPr>
      <w:fldChar w:fldCharType="end"/>
    </w:r>
  </w:p>
  <w:p w14:paraId="0B41E919" w14:textId="67BF401C" w:rsidR="00AD1FB0" w:rsidRPr="008C6722" w:rsidRDefault="00AD1FB0" w:rsidP="003A009A">
    <w:pPr>
      <w:pStyle w:val="Footer"/>
    </w:pPr>
    <w:r>
      <w:rPr>
        <w:snapToGrid/>
        <w:color w:val="000000"/>
        <w:lang w:eastAsia="en-AU"/>
      </w:rPr>
      <w:t xml:space="preserve">PwC’s Indigenous Consulting </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45</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3803C" w14:textId="77777777" w:rsidR="00AD1FB0" w:rsidRDefault="00AD1FB0" w:rsidP="00A82926">
    <w:pPr>
      <w:pStyle w:val="Footer-Even"/>
    </w:pPr>
    <w:r>
      <w:fldChar w:fldCharType="begin"/>
    </w:r>
    <w:r>
      <w:instrText xml:space="preserve"> STYLEREF "Cover Outcome Headline" </w:instrText>
    </w:r>
    <w:r>
      <w:rPr>
        <w:noProof/>
      </w:rPr>
      <w:fldChar w:fldCharType="end"/>
    </w:r>
  </w:p>
  <w:p w14:paraId="347B5F94" w14:textId="77777777" w:rsidR="00AD1FB0" w:rsidRPr="005D1FC6" w:rsidRDefault="00AD1FB0" w:rsidP="00A82926">
    <w:pPr>
      <w:pStyle w:val="Footer-Even"/>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Pr>
        <w:noProof/>
      </w:rPr>
      <w:t>81</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DE432" w14:textId="77777777" w:rsidR="00AD1FB0" w:rsidRPr="00723B3F" w:rsidRDefault="00AD1FB0" w:rsidP="003A009A">
    <w:pPr>
      <w:pStyle w:val="Footer-Even"/>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CFE71" w14:textId="77777777" w:rsidR="00AD1FB0" w:rsidRDefault="00AD1FB0" w:rsidP="003A009A">
    <w:pPr>
      <w:pStyle w:val="Footer"/>
    </w:pPr>
    <w:bookmarkStart w:id="57" w:name="URLOdd"/>
    <w:r>
      <w:t>www.pwc.com.au/pic</w:t>
    </w:r>
    <w:bookmarkEnd w:id="57"/>
  </w:p>
  <w:p w14:paraId="6849EA66" w14:textId="77777777" w:rsidR="00AD1FB0" w:rsidRPr="0006127D" w:rsidRDefault="00AD1FB0" w:rsidP="003A009A">
    <w:pPr>
      <w:pStyle w:val="Footer"/>
      <w:rPr>
        <w:lang w:eastAsia="en-AU"/>
      </w:rPr>
    </w:pPr>
  </w:p>
  <w:p w14:paraId="76B2317B" w14:textId="77777777" w:rsidR="00AD1FB0" w:rsidRPr="00FF5EAC" w:rsidRDefault="00AD1FB0" w:rsidP="003A009A">
    <w:pPr>
      <w:pStyle w:val="Footer"/>
    </w:pPr>
    <w:bookmarkStart w:id="58" w:name="CopyrightOdd"/>
    <w:r>
      <w:t>© 2017 PricewaterhouseCoopers Indigenous Consulting Pty Limited (PIC). All rights reserved.</w:t>
    </w:r>
    <w:r>
      <w:br/>
      <w:t>PwC refers to the Australian member firm, and may sometimes refer to the PwC network.</w:t>
    </w:r>
    <w:r>
      <w:br/>
      <w:t>PIC refers to the PwC member firm. PwC refers to the PwC network.</w:t>
    </w:r>
    <w:r>
      <w:br/>
      <w:t>Each member firm is a separate legal entity. Please see www.pwc.com/structure for further details.</w:t>
    </w:r>
    <w:r>
      <w:br/>
    </w:r>
    <w:r>
      <w:br/>
      <w:t>Liability limited by a scheme approved under Professional Standards Legislation</w:t>
    </w:r>
    <w:bookmarkEnd w:id="58"/>
  </w:p>
  <w:p w14:paraId="2D212123" w14:textId="77777777" w:rsidR="00AD1FB0" w:rsidRPr="0006127D" w:rsidRDefault="00AD1FB0" w:rsidP="003A00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21155" w14:textId="30E8C5BE" w:rsidR="00AD1FB0" w:rsidRDefault="00AD1FB0" w:rsidP="007560B4">
    <w:pPr>
      <w:pStyle w:val="Footer"/>
    </w:pPr>
    <w:r>
      <w:fldChar w:fldCharType="begin"/>
    </w:r>
    <w:r>
      <w:instrText xml:space="preserve"> STYLEREF "Cover Outcome Headline" </w:instrText>
    </w:r>
    <w:r>
      <w:rPr>
        <w:noProof/>
      </w:rPr>
      <w:fldChar w:fldCharType="end"/>
    </w:r>
  </w:p>
  <w:p w14:paraId="49FFACCA" w14:textId="5251D7D7" w:rsidR="00AD1FB0" w:rsidRPr="005D1FC6" w:rsidRDefault="00AD1FB0" w:rsidP="00A82926">
    <w:pPr>
      <w:pStyle w:val="Footer-Even"/>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94627" w14:textId="77777777" w:rsidR="00AD1FB0" w:rsidRDefault="00AD1FB0" w:rsidP="003A009A">
    <w:pPr>
      <w:pStyle w:val="Footer-ToCEven"/>
    </w:pPr>
    <w:r>
      <w:fldChar w:fldCharType="begin"/>
    </w:r>
    <w:r>
      <w:instrText xml:space="preserve"> STYLEREF "Cover Outcome Headline" </w:instrText>
    </w:r>
    <w:r>
      <w:rPr>
        <w:noProof/>
      </w:rPr>
      <w:fldChar w:fldCharType="end"/>
    </w:r>
  </w:p>
  <w:p w14:paraId="7B352865" w14:textId="77777777" w:rsidR="00AD1FB0" w:rsidRPr="005D1FC6" w:rsidRDefault="00AD1FB0" w:rsidP="003A009A">
    <w:pPr>
      <w:pStyle w:val="Footer-ToCEven"/>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Pr>
        <w:noProof/>
      </w:rPr>
      <w:t>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87C58" w14:textId="77777777" w:rsidR="00AD1FB0" w:rsidRDefault="00AD1FB0" w:rsidP="003A009A">
    <w:pPr>
      <w:pStyle w:val="Footer-ToC"/>
    </w:pPr>
    <w:r>
      <w:fldChar w:fldCharType="begin"/>
    </w:r>
    <w:r>
      <w:instrText xml:space="preserve"> STYLEREF "Cover Outcome Headline" </w:instrText>
    </w:r>
    <w:r>
      <w:rPr>
        <w:noProof/>
      </w:rPr>
      <w:fldChar w:fldCharType="end"/>
    </w:r>
  </w:p>
  <w:p w14:paraId="2A474218" w14:textId="77777777" w:rsidR="00AD1FB0" w:rsidRPr="00A84ADF" w:rsidRDefault="00AD1FB0" w:rsidP="003A009A">
    <w:pPr>
      <w:pStyle w:val="Footer-ToC"/>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Pr>
        <w:noProof/>
      </w:rPr>
      <w:t>i</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B7A90" w14:textId="7C42927E" w:rsidR="00AD1FB0" w:rsidRDefault="00AD1FB0" w:rsidP="003A009A">
    <w:pPr>
      <w:pStyle w:val="Footer-ToC"/>
    </w:pPr>
    <w:r>
      <w:fldChar w:fldCharType="begin"/>
    </w:r>
    <w:r>
      <w:instrText xml:space="preserve"> STYLEREF "Cover Outcome Headline" </w:instrText>
    </w:r>
    <w:r>
      <w:rPr>
        <w:noProof/>
      </w:rPr>
      <w:fldChar w:fldCharType="end"/>
    </w:r>
  </w:p>
  <w:p w14:paraId="0F598E41" w14:textId="528CA666" w:rsidR="00AD1FB0" w:rsidRPr="005D1FC6" w:rsidRDefault="00AD1FB0" w:rsidP="003A009A">
    <w:pPr>
      <w:pStyle w:val="Footer-ToC"/>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i</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4F281" w14:textId="6635CD92" w:rsidR="00AD1FB0" w:rsidRDefault="00AD1FB0" w:rsidP="003A009A">
    <w:pPr>
      <w:pStyle w:val="Footer-Even"/>
    </w:pPr>
    <w:r>
      <w:fldChar w:fldCharType="begin"/>
    </w:r>
    <w:r>
      <w:instrText xml:space="preserve"> STYLEREF "Cover Outcome Headline" </w:instrText>
    </w:r>
    <w:r>
      <w:rPr>
        <w:noProof/>
      </w:rPr>
      <w:fldChar w:fldCharType="end"/>
    </w:r>
  </w:p>
  <w:p w14:paraId="36381B40" w14:textId="0DDBE3ED" w:rsidR="00AD1FB0" w:rsidRPr="005D1FC6" w:rsidRDefault="00AD1FB0" w:rsidP="003A009A">
    <w:pPr>
      <w:pStyle w:val="Footer-Even"/>
    </w:pPr>
    <w:r>
      <w:rPr>
        <w:snapToGrid/>
        <w:color w:val="000000"/>
        <w:lang w:eastAsia="en-AU"/>
      </w:rPr>
      <w:t>PwC’s Indigenous Consulting</w:t>
    </w:r>
    <w:r>
      <w:rPr>
        <w:snapToGrid/>
        <w:color w:val="000000"/>
        <w:lang w:eastAsia="en-AU"/>
      </w:rPr>
      <w:ptab w:relativeTo="margin" w:alignment="right" w:leader="none"/>
    </w:r>
    <w:r>
      <w:fldChar w:fldCharType="begin"/>
    </w:r>
    <w:r>
      <w:instrText xml:space="preserve"> PAGE  \* MERGEFORMAT </w:instrText>
    </w:r>
    <w:r>
      <w:fldChar w:fldCharType="separate"/>
    </w:r>
    <w:r w:rsidR="00296186">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F70F2" w14:textId="77777777" w:rsidR="001837BD" w:rsidRDefault="001837BD" w:rsidP="004343B3">
      <w:pPr>
        <w:pStyle w:val="Separator"/>
      </w:pPr>
      <w:r>
        <w:separator/>
      </w:r>
    </w:p>
    <w:p w14:paraId="590CAC2F" w14:textId="77777777" w:rsidR="001837BD" w:rsidRDefault="001837BD"/>
  </w:footnote>
  <w:footnote w:type="continuationSeparator" w:id="0">
    <w:p w14:paraId="018F4765" w14:textId="77777777" w:rsidR="001837BD" w:rsidRDefault="001837BD" w:rsidP="004343B3">
      <w:pPr>
        <w:pStyle w:val="Separator"/>
      </w:pPr>
      <w:r>
        <w:continuationSeparator/>
      </w:r>
    </w:p>
    <w:p w14:paraId="70B2AD87" w14:textId="77777777" w:rsidR="001837BD" w:rsidRDefault="001837BD"/>
  </w:footnote>
  <w:footnote w:type="continuationNotice" w:id="1">
    <w:p w14:paraId="5C892235" w14:textId="77777777" w:rsidR="001837BD" w:rsidRPr="00F20B7D" w:rsidRDefault="001837BD" w:rsidP="00F20B7D">
      <w:pPr>
        <w:pStyle w:val="Footer"/>
        <w:rPr>
          <w:sz w:val="2"/>
          <w:szCs w:val="2"/>
        </w:rPr>
      </w:pPr>
    </w:p>
    <w:p w14:paraId="13F236DB" w14:textId="77777777" w:rsidR="001837BD" w:rsidRDefault="001837BD"/>
  </w:footnote>
  <w:footnote w:id="2">
    <w:p w14:paraId="0AA9262F" w14:textId="004DDFF2" w:rsidR="00AD1FB0" w:rsidRDefault="00AD1FB0" w:rsidP="002D69E9">
      <w:pPr>
        <w:pStyle w:val="FootnoteText"/>
      </w:pPr>
      <w:r>
        <w:rPr>
          <w:rStyle w:val="FootnoteReference"/>
        </w:rPr>
        <w:footnoteRef/>
      </w:r>
      <w:r>
        <w:t xml:space="preserve"> Australian Bureau of Statistics, </w:t>
      </w:r>
      <w:r>
        <w:rPr>
          <w:lang w:val="en"/>
        </w:rPr>
        <w:t>4704.0 - The Health and Welfare of Australia's Aboriginal and Torres Strait Islander Peoples, Oct 2010 </w:t>
      </w:r>
      <w:r>
        <w:rPr>
          <w:sz w:val="16"/>
          <w:szCs w:val="16"/>
          <w:lang w:val="en"/>
        </w:rPr>
        <w:t> </w:t>
      </w:r>
      <w:r>
        <w:t xml:space="preserve">  available at </w:t>
      </w:r>
      <w:hyperlink r:id="rId1" w:history="1">
        <w:r w:rsidRPr="00B97BA7">
          <w:rPr>
            <w:rStyle w:val="Hyperlink"/>
          </w:rPr>
          <w:t>http://www.abs.gov.au/AUSSTATS/abs@.nsf/lookup/4704.0Chapter365Oct+2010</w:t>
        </w:r>
      </w:hyperlink>
      <w:r>
        <w:t xml:space="preserve">; </w:t>
      </w:r>
      <w:hyperlink r:id="rId2" w:history="1">
        <w:r w:rsidRPr="00B97BA7">
          <w:rPr>
            <w:rStyle w:val="Hyperlink"/>
          </w:rPr>
          <w:t>http://www.oecd.org/edu/education-at-a-glance-19991487.htm</w:t>
        </w:r>
      </w:hyperlink>
    </w:p>
  </w:footnote>
  <w:footnote w:id="3">
    <w:p w14:paraId="03060135" w14:textId="7E5D847A" w:rsidR="00AD1FB0" w:rsidRPr="003D30BD" w:rsidRDefault="00AD1FB0" w:rsidP="001E6EBC">
      <w:pPr>
        <w:pStyle w:val="FootnoteText"/>
        <w:rPr>
          <w:lang w:val="en-US"/>
        </w:rPr>
      </w:pPr>
      <w:r>
        <w:rPr>
          <w:rStyle w:val="FootnoteReference"/>
        </w:rPr>
        <w:footnoteRef/>
      </w:r>
      <w:r>
        <w:t xml:space="preserve"> </w:t>
      </w:r>
      <w:r>
        <w:rPr>
          <w:lang w:val="en-US"/>
        </w:rPr>
        <w:t>Transition scholarships refer to funding provided to assist students in Year 13 make the transition from secondary school to employment or tertiary education.</w:t>
      </w:r>
    </w:p>
  </w:footnote>
  <w:footnote w:id="4">
    <w:p w14:paraId="1D76A073" w14:textId="77777777" w:rsidR="00AD1FB0" w:rsidRPr="00D60D84" w:rsidRDefault="00AD1FB0" w:rsidP="00DF33CB">
      <w:pPr>
        <w:pStyle w:val="FootnoteText"/>
        <w:rPr>
          <w:lang w:val="en-US"/>
        </w:rPr>
      </w:pPr>
      <w:r>
        <w:rPr>
          <w:rStyle w:val="FootnoteReference"/>
        </w:rPr>
        <w:footnoteRef/>
      </w:r>
      <w:r>
        <w:t xml:space="preserve"> </w:t>
      </w:r>
      <w:r>
        <w:rPr>
          <w:lang w:eastAsia="en-AU"/>
        </w:rPr>
        <w:t>T</w:t>
      </w:r>
      <w:r w:rsidRPr="00156622">
        <w:rPr>
          <w:lang w:eastAsia="en-AU"/>
        </w:rPr>
        <w:t xml:space="preserve">his information can be collected for each cohort of scholarship recipients with the respective retention rates compared with the apparent retention rates from </w:t>
      </w:r>
      <w:r>
        <w:rPr>
          <w:lang w:eastAsia="en-AU"/>
        </w:rPr>
        <w:t>Y</w:t>
      </w:r>
      <w:r w:rsidRPr="00156622">
        <w:rPr>
          <w:lang w:eastAsia="en-AU"/>
        </w:rPr>
        <w:t xml:space="preserve">ear 7/8 to </w:t>
      </w:r>
      <w:r>
        <w:rPr>
          <w:lang w:eastAsia="en-AU"/>
        </w:rPr>
        <w:t>Y</w:t>
      </w:r>
      <w:r w:rsidRPr="00156622">
        <w:rPr>
          <w:lang w:eastAsia="en-AU"/>
        </w:rPr>
        <w:t>ear 12 c</w:t>
      </w:r>
      <w:r>
        <w:rPr>
          <w:lang w:eastAsia="en-AU"/>
        </w:rPr>
        <w:t xml:space="preserve">ompiled </w:t>
      </w:r>
      <w:r w:rsidRPr="00156622">
        <w:rPr>
          <w:lang w:eastAsia="en-AU"/>
        </w:rPr>
        <w:t>by the Australian Bureau of Statistics for all full-time studen</w:t>
      </w:r>
      <w:r>
        <w:rPr>
          <w:lang w:eastAsia="en-AU"/>
        </w:rPr>
        <w:t>ts and for Indigenous students</w:t>
      </w:r>
    </w:p>
  </w:footnote>
  <w:footnote w:id="5">
    <w:p w14:paraId="6AF61339" w14:textId="77777777" w:rsidR="00AD1FB0" w:rsidRPr="00062C53" w:rsidRDefault="00AD1FB0" w:rsidP="00DF33CB">
      <w:pPr>
        <w:pStyle w:val="FootnoteText"/>
        <w:rPr>
          <w:lang w:val="en-US"/>
        </w:rPr>
      </w:pPr>
      <w:r>
        <w:rPr>
          <w:rStyle w:val="FootnoteReference"/>
        </w:rPr>
        <w:footnoteRef/>
      </w:r>
      <w:r>
        <w:t xml:space="preserve"> </w:t>
      </w:r>
      <w:r>
        <w:rPr>
          <w:lang w:val="en-US"/>
        </w:rPr>
        <w:t xml:space="preserve">Australian Bureau of Statistics, (2016), </w:t>
      </w:r>
      <w:r w:rsidRPr="00062C53">
        <w:rPr>
          <w:i/>
          <w:lang w:val="en-US"/>
        </w:rPr>
        <w:t>Education</w:t>
      </w:r>
      <w:r>
        <w:rPr>
          <w:lang w:val="en-US"/>
        </w:rPr>
        <w:t xml:space="preserve">, 4714.0 – National Aboriginal and Torres Strait Islander Social Survey, 2014-15. </w:t>
      </w:r>
    </w:p>
  </w:footnote>
  <w:footnote w:id="6">
    <w:p w14:paraId="5A8A1163" w14:textId="77777777" w:rsidR="00AD1FB0" w:rsidRDefault="00AD1FB0" w:rsidP="00DE6C74">
      <w:pPr>
        <w:pStyle w:val="FootnoteText"/>
      </w:pPr>
      <w:r>
        <w:rPr>
          <w:rStyle w:val="FootnoteReference"/>
        </w:rPr>
        <w:footnoteRef/>
      </w:r>
      <w:r>
        <w:t xml:space="preserve"> Lawton, B., Brandon, P.R., Cicchinelli, L., &amp; Kekahio, W. (2014). Logic models: A tool for designing and monitoring program evaluations. (REL 2014–007). Washington, DC: U.S. Department of Education, Institute of Education Sciences, National Center for Education Evaluation and Regional Assistance, Regional Educational Laboratory Pacific. Retrieved from </w:t>
      </w:r>
      <w:hyperlink r:id="rId3" w:history="1">
        <w:r w:rsidRPr="009813DB">
          <w:rPr>
            <w:rStyle w:val="Hyperlink"/>
          </w:rPr>
          <w:t>http://ies.ed.gov/ncee/</w:t>
        </w:r>
      </w:hyperlink>
      <w:r>
        <w:t xml:space="preserve"> edlabs.</w:t>
      </w:r>
    </w:p>
  </w:footnote>
  <w:footnote w:id="7">
    <w:p w14:paraId="7DC9DB27" w14:textId="77777777" w:rsidR="00AD1FB0" w:rsidRDefault="00AD1FB0" w:rsidP="00DE6C74">
      <w:pPr>
        <w:pStyle w:val="FootnoteText"/>
        <w:rPr>
          <w:rFonts w:eastAsiaTheme="minorHAnsi" w:cstheme="minorBidi"/>
          <w:sz w:val="20"/>
        </w:rPr>
      </w:pPr>
      <w:r>
        <w:rPr>
          <w:rStyle w:val="FootnoteReference"/>
        </w:rPr>
        <w:footnoteRef/>
      </w:r>
      <w:r>
        <w:t xml:space="preserve"> </w:t>
      </w:r>
      <w:r>
        <w:tab/>
        <w:t xml:space="preserve">Moore, T. (2016) Towards a model of evidence-informed decision making and service delivery. Working Paper #5. Murdoch Children’s Research Institute. May 2016. Available at: </w:t>
      </w:r>
      <w:hyperlink r:id="rId4" w:history="1">
        <w:r>
          <w:rPr>
            <w:rStyle w:val="Hyperlink1"/>
          </w:rPr>
          <w:t>http://apo.org.au/files/Resource/working_paper_5.pdf</w:t>
        </w:r>
      </w:hyperlink>
      <w:r>
        <w:t xml:space="preserve"> </w:t>
      </w:r>
    </w:p>
  </w:footnote>
  <w:footnote w:id="8">
    <w:p w14:paraId="43E95F5A" w14:textId="77777777" w:rsidR="00AD1FB0" w:rsidRDefault="00AD1FB0" w:rsidP="00DE6C74">
      <w:pPr>
        <w:pStyle w:val="FootnoteText"/>
        <w:rPr>
          <w:rFonts w:asciiTheme="majorHAnsi" w:hAnsiTheme="majorHAnsi"/>
          <w:sz w:val="16"/>
          <w:szCs w:val="16"/>
        </w:rPr>
      </w:pPr>
      <w:r>
        <w:rPr>
          <w:rStyle w:val="FootnoteReference"/>
        </w:rPr>
        <w:footnoteRef/>
      </w:r>
      <w:r>
        <w:t xml:space="preserve"> </w:t>
      </w:r>
      <w:r>
        <w:rPr>
          <w:rFonts w:asciiTheme="majorHAnsi" w:hAnsiTheme="majorHAnsi"/>
          <w:sz w:val="16"/>
          <w:szCs w:val="16"/>
          <w:lang w:val="en-US"/>
        </w:rPr>
        <w:t>This analysis was informed by the approaches adopted in longitudinal studies such as</w:t>
      </w:r>
      <w:r w:rsidRPr="004C384C">
        <w:rPr>
          <w:rFonts w:asciiTheme="majorHAnsi" w:hAnsiTheme="majorHAnsi"/>
          <w:sz w:val="16"/>
          <w:szCs w:val="16"/>
          <w:lang w:val="en-US"/>
        </w:rPr>
        <w:t xml:space="preserve"> Reinhertz, H. (1976), ‘</w:t>
      </w:r>
      <w:r w:rsidRPr="004C384C">
        <w:rPr>
          <w:rFonts w:asciiTheme="majorHAnsi" w:hAnsiTheme="majorHAnsi"/>
          <w:sz w:val="16"/>
          <w:szCs w:val="16"/>
        </w:rPr>
        <w:t>Simmons Longitudinal Study – Adaptation &amp; Development Across the Life Span’, National Institute of Mental Health (USA)</w:t>
      </w:r>
      <w:r>
        <w:rPr>
          <w:rFonts w:asciiTheme="majorHAnsi" w:hAnsiTheme="majorHAnsi"/>
          <w:sz w:val="16"/>
          <w:szCs w:val="16"/>
        </w:rPr>
        <w:t>;</w:t>
      </w:r>
      <w:r w:rsidRPr="004C384C">
        <w:rPr>
          <w:rFonts w:asciiTheme="majorHAnsi" w:hAnsiTheme="majorHAnsi"/>
          <w:sz w:val="16"/>
          <w:szCs w:val="16"/>
        </w:rPr>
        <w:t xml:space="preserve"> and</w:t>
      </w:r>
      <w:r>
        <w:rPr>
          <w:rFonts w:asciiTheme="majorHAnsi" w:hAnsiTheme="majorHAnsi"/>
          <w:sz w:val="16"/>
          <w:szCs w:val="16"/>
        </w:rPr>
        <w:t>,</w:t>
      </w:r>
      <w:r w:rsidRPr="004C384C">
        <w:rPr>
          <w:rFonts w:asciiTheme="majorHAnsi" w:hAnsiTheme="majorHAnsi"/>
          <w:sz w:val="16"/>
          <w:szCs w:val="16"/>
        </w:rPr>
        <w:t xml:space="preserve"> </w:t>
      </w:r>
      <w:r>
        <w:rPr>
          <w:rFonts w:asciiTheme="majorHAnsi" w:hAnsiTheme="majorHAnsi"/>
          <w:sz w:val="16"/>
          <w:szCs w:val="16"/>
        </w:rPr>
        <w:t>N</w:t>
      </w:r>
      <w:r w:rsidRPr="004C384C">
        <w:rPr>
          <w:rFonts w:asciiTheme="majorHAnsi" w:hAnsiTheme="majorHAnsi"/>
          <w:color w:val="000000"/>
          <w:sz w:val="16"/>
          <w:szCs w:val="16"/>
          <w:shd w:val="clear" w:color="auto" w:fill="FFFFFF"/>
        </w:rPr>
        <w:t>ew Zealand Council for Educational Research</w:t>
      </w:r>
      <w:r>
        <w:rPr>
          <w:rFonts w:asciiTheme="majorHAnsi" w:hAnsiTheme="majorHAnsi"/>
          <w:color w:val="000000"/>
          <w:sz w:val="16"/>
          <w:szCs w:val="16"/>
          <w:shd w:val="clear" w:color="auto" w:fill="FFFFFF"/>
        </w:rPr>
        <w:t xml:space="preserve"> (NZCER)</w:t>
      </w:r>
      <w:r w:rsidRPr="004C384C">
        <w:rPr>
          <w:rFonts w:asciiTheme="majorHAnsi" w:hAnsiTheme="majorHAnsi"/>
          <w:sz w:val="16"/>
          <w:szCs w:val="16"/>
        </w:rPr>
        <w:t>, (1993), ‘Competent Children, Competent Learners’, Ministry of Education (New Zealand).</w:t>
      </w:r>
    </w:p>
    <w:p w14:paraId="6AFBE705" w14:textId="77777777" w:rsidR="00AD1FB0" w:rsidRDefault="00AD1FB0" w:rsidP="00DE6C74">
      <w:pPr>
        <w:pStyle w:val="FootnoteText"/>
        <w:rPr>
          <w:rFonts w:asciiTheme="majorHAnsi" w:hAnsiTheme="majorHAnsi"/>
          <w:sz w:val="16"/>
          <w:szCs w:val="16"/>
        </w:rPr>
      </w:pPr>
    </w:p>
    <w:p w14:paraId="5CDA9729" w14:textId="77777777" w:rsidR="00AD1FB0" w:rsidRDefault="00AD1FB0" w:rsidP="00DE6C74">
      <w:pPr>
        <w:pStyle w:val="FootnoteText"/>
        <w:rPr>
          <w:rFonts w:asciiTheme="majorHAnsi" w:hAnsiTheme="majorHAnsi"/>
          <w:sz w:val="16"/>
          <w:szCs w:val="16"/>
        </w:rPr>
      </w:pPr>
      <w:r>
        <w:rPr>
          <w:rFonts w:asciiTheme="majorHAnsi" w:hAnsiTheme="majorHAnsi"/>
          <w:sz w:val="16"/>
          <w:szCs w:val="16"/>
        </w:rPr>
        <w:tab/>
      </w:r>
      <w:r w:rsidRPr="00C00129">
        <w:rPr>
          <w:rFonts w:asciiTheme="majorHAnsi" w:hAnsiTheme="majorHAnsi"/>
          <w:sz w:val="16"/>
          <w:szCs w:val="16"/>
        </w:rPr>
        <w:t xml:space="preserve">The Simmons Longitudinal Study (SLS) </w:t>
      </w:r>
      <w:r>
        <w:rPr>
          <w:rFonts w:asciiTheme="majorHAnsi" w:hAnsiTheme="majorHAnsi"/>
          <w:sz w:val="16"/>
          <w:szCs w:val="16"/>
        </w:rPr>
        <w:t>h</w:t>
      </w:r>
      <w:r w:rsidRPr="00C00129">
        <w:rPr>
          <w:rFonts w:asciiTheme="majorHAnsi" w:hAnsiTheme="majorHAnsi"/>
          <w:sz w:val="16"/>
          <w:szCs w:val="16"/>
        </w:rPr>
        <w:t xml:space="preserve">as prospectively traced the life course of a single-aged cohort from childhood (age 5) to adulthood (age 26). Data were collected from each participant at seven major time points: age 5 (1977), age 6 (1978), age </w:t>
      </w:r>
      <w:r>
        <w:rPr>
          <w:rFonts w:asciiTheme="majorHAnsi" w:hAnsiTheme="majorHAnsi"/>
          <w:sz w:val="16"/>
          <w:szCs w:val="16"/>
        </w:rPr>
        <w:t xml:space="preserve">throughout their </w:t>
      </w:r>
      <w:r w:rsidRPr="00C00129">
        <w:rPr>
          <w:rFonts w:asciiTheme="majorHAnsi" w:hAnsiTheme="majorHAnsi"/>
          <w:sz w:val="16"/>
          <w:szCs w:val="16"/>
        </w:rPr>
        <w:t>schooling</w:t>
      </w:r>
      <w:r>
        <w:rPr>
          <w:rFonts w:asciiTheme="majorHAnsi" w:hAnsiTheme="majorHAnsi"/>
          <w:sz w:val="16"/>
          <w:szCs w:val="16"/>
        </w:rPr>
        <w:t xml:space="preserve"> (i.e. preschool, kindergarten, Year 3, Year 9, Year 12 and age 21) to track their pathways</w:t>
      </w:r>
      <w:r w:rsidRPr="00C00129">
        <w:rPr>
          <w:rFonts w:asciiTheme="majorHAnsi" w:hAnsiTheme="majorHAnsi"/>
          <w:sz w:val="16"/>
          <w:szCs w:val="16"/>
        </w:rPr>
        <w:t xml:space="preserve"> </w:t>
      </w:r>
      <w:r>
        <w:rPr>
          <w:rFonts w:asciiTheme="majorHAnsi" w:hAnsiTheme="majorHAnsi"/>
          <w:sz w:val="16"/>
          <w:szCs w:val="16"/>
        </w:rPr>
        <w:t>in terms of their</w:t>
      </w:r>
      <w:r w:rsidRPr="00C00129">
        <w:rPr>
          <w:rFonts w:asciiTheme="majorHAnsi" w:hAnsiTheme="majorHAnsi"/>
          <w:sz w:val="16"/>
          <w:szCs w:val="16"/>
        </w:rPr>
        <w:t xml:space="preserve"> employment, social functioning, and family relationships.</w:t>
      </w:r>
      <w:r>
        <w:rPr>
          <w:rFonts w:asciiTheme="majorHAnsi" w:hAnsiTheme="majorHAnsi"/>
          <w:sz w:val="16"/>
          <w:szCs w:val="16"/>
        </w:rPr>
        <w:t xml:space="preserve"> </w:t>
      </w:r>
      <w:r w:rsidRPr="00C00129">
        <w:rPr>
          <w:rFonts w:asciiTheme="majorHAnsi" w:hAnsiTheme="majorHAnsi"/>
          <w:sz w:val="16"/>
          <w:szCs w:val="16"/>
        </w:rPr>
        <w:t>The study began as a broad-based effort to determine behavioural, health, and family factors that identify preschool youth at risk for poor academic performance and adjustment in the early school years. Data collection has focused on important developmental stages in childhood, adolescence, and adulthood.</w:t>
      </w:r>
    </w:p>
    <w:p w14:paraId="38A4A784" w14:textId="77777777" w:rsidR="00AD1FB0" w:rsidRPr="00C00129" w:rsidRDefault="00AD1FB0" w:rsidP="00DE6C74">
      <w:pPr>
        <w:pStyle w:val="FootnoteText"/>
        <w:rPr>
          <w:rFonts w:asciiTheme="majorHAnsi" w:hAnsiTheme="majorHAnsi"/>
          <w:sz w:val="16"/>
          <w:szCs w:val="16"/>
        </w:rPr>
      </w:pPr>
      <w:r>
        <w:rPr>
          <w:rFonts w:asciiTheme="majorHAnsi" w:hAnsiTheme="majorHAnsi"/>
          <w:sz w:val="16"/>
          <w:szCs w:val="16"/>
        </w:rPr>
        <w:tab/>
        <w:t xml:space="preserve">Similarly, the NZCER </w:t>
      </w:r>
      <w:r w:rsidRPr="00C00129">
        <w:rPr>
          <w:rFonts w:asciiTheme="majorHAnsi" w:hAnsiTheme="majorHAnsi"/>
          <w:sz w:val="16"/>
          <w:szCs w:val="16"/>
        </w:rPr>
        <w:t>project, ‘Competent Children, Competent Learners’ has tracked the development of a single cohort of young people in New Zealand from when they were in early childhood education (1993), through school and into adulthood. Seven phases of the project have now been completed - the first when the students were near age 5, the next when they were at age 6 and then at ages 8, 10, 12,</w:t>
      </w:r>
      <w:r>
        <w:rPr>
          <w:rFonts w:asciiTheme="majorHAnsi" w:hAnsiTheme="majorHAnsi"/>
          <w:sz w:val="16"/>
          <w:szCs w:val="16"/>
        </w:rPr>
        <w:t xml:space="preserve"> </w:t>
      </w:r>
      <w:r w:rsidRPr="00C00129">
        <w:rPr>
          <w:rFonts w:asciiTheme="majorHAnsi" w:hAnsiTheme="majorHAnsi"/>
          <w:sz w:val="16"/>
          <w:szCs w:val="16"/>
        </w:rPr>
        <w:t>14 and 16. A further phase is currently underway collecting data from the sample of young people at age 20.</w:t>
      </w:r>
      <w:r>
        <w:rPr>
          <w:rFonts w:asciiTheme="majorHAnsi" w:hAnsiTheme="majorHAnsi"/>
          <w:sz w:val="16"/>
          <w:szCs w:val="16"/>
        </w:rPr>
        <w:t xml:space="preserve"> The findings are used to inform policy-makers on the concurrent, short-term and long-term impacts of educational experiences.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18B45" w14:textId="6C4CA1BF" w:rsidR="00AD1FB0" w:rsidRPr="008F0566" w:rsidRDefault="00AD1FB0" w:rsidP="008F0566">
    <w:pPr>
      <w:pStyle w:val="Header"/>
    </w:pPr>
    <w:r>
      <w:rPr>
        <w:noProof/>
        <w:snapToGrid/>
        <w:lang w:eastAsia="en-AU"/>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2BB50" w14:textId="5FBC6999" w:rsidR="00AD1FB0" w:rsidRDefault="009B6094" w:rsidP="003A009A">
    <w:pPr>
      <w:pStyle w:val="Header-Even"/>
    </w:pPr>
    <w:fldSimple w:instr=" STYLEREF &quot;Heading 2&quot; ">
      <w:r w:rsidR="00296186">
        <w:rPr>
          <w:noProof/>
        </w:rPr>
        <w:t>Methodology</w:t>
      </w:r>
    </w:fldSimple>
  </w:p>
  <w:p w14:paraId="60A8CD65" w14:textId="77777777" w:rsidR="00AD1FB0" w:rsidRPr="007560B4" w:rsidRDefault="00AD1FB0" w:rsidP="003A009A">
    <w:pPr>
      <w:pStyle w:val="Header"/>
      <w:rPr>
        <w:lang w:val="en-GB"/>
      </w:rPr>
    </w:pPr>
    <w:r w:rsidRPr="00FA6699">
      <w:rPr>
        <w:noProof/>
        <w:snapToGrid/>
        <w:lang w:eastAsia="en-AU"/>
      </w:rPr>
      <w:drawing>
        <wp:anchor distT="0" distB="0" distL="114300" distR="114300" simplePos="0" relativeHeight="251606016" behindDoc="0" locked="0" layoutInCell="1" allowOverlap="1" wp14:anchorId="4C5DA754" wp14:editId="7ABCB9F9">
          <wp:simplePos x="0" y="0"/>
          <wp:positionH relativeFrom="page">
            <wp:posOffset>648335</wp:posOffset>
          </wp:positionH>
          <wp:positionV relativeFrom="page">
            <wp:posOffset>900430</wp:posOffset>
          </wp:positionV>
          <wp:extent cx="543600" cy="8740800"/>
          <wp:effectExtent l="0" t="0" r="8890" b="3175"/>
          <wp:wrapNone/>
          <wp:docPr id="15"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DD750" w14:textId="3940CCBF" w:rsidR="00AD1FB0" w:rsidRPr="002D69E9" w:rsidRDefault="009B6094" w:rsidP="003A009A">
    <w:pPr>
      <w:pStyle w:val="Header"/>
    </w:pPr>
    <w:fldSimple w:instr=" STYLEREF &quot;Heading 2&quot; ">
      <w:r w:rsidR="00296186">
        <w:rPr>
          <w:noProof/>
        </w:rPr>
        <w:t>Methodology</w:t>
      </w:r>
    </w:fldSimple>
  </w:p>
  <w:p w14:paraId="4F49E563" w14:textId="77777777" w:rsidR="00AD1FB0" w:rsidRPr="002D69E9" w:rsidRDefault="00AD1FB0" w:rsidP="003A009A">
    <w:pPr>
      <w:pStyle w:val="Header"/>
      <w:rPr>
        <w:lang w:val="en-GB"/>
      </w:rPr>
    </w:pPr>
    <w:bookmarkStart w:id="25" w:name="Sidebar"/>
    <w:r w:rsidRPr="002D69E9">
      <w:rPr>
        <w:noProof/>
        <w:snapToGrid/>
        <w:lang w:eastAsia="en-AU"/>
      </w:rPr>
      <w:drawing>
        <wp:anchor distT="0" distB="0" distL="114300" distR="114300" simplePos="0" relativeHeight="251607040" behindDoc="0" locked="0" layoutInCell="1" allowOverlap="1" wp14:anchorId="6B1097A5" wp14:editId="35377FD1">
          <wp:simplePos x="0" y="0"/>
          <wp:positionH relativeFrom="page">
            <wp:posOffset>648335</wp:posOffset>
          </wp:positionH>
          <wp:positionV relativeFrom="page">
            <wp:posOffset>900430</wp:posOffset>
          </wp:positionV>
          <wp:extent cx="543600" cy="8740800"/>
          <wp:effectExtent l="0" t="0" r="8890" b="3175"/>
          <wp:wrapNone/>
          <wp:docPr id="49"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5"/>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BE68A" w14:textId="0A22D31A" w:rsidR="00AD1FB0" w:rsidRDefault="00AD1FB0" w:rsidP="00194E04">
    <w:pPr>
      <w:pStyle w:val="Header-FirstPage"/>
    </w:pPr>
  </w:p>
  <w:p w14:paraId="29A816F3" w14:textId="77777777" w:rsidR="00AD1FB0" w:rsidRPr="00D61BF2" w:rsidRDefault="00AD1FB0" w:rsidP="00D736E7">
    <w:pPr>
      <w:pStyle w:val="FirstPagePanelFrame"/>
      <w:framePr w:wrap="notBeside"/>
    </w:pPr>
  </w:p>
  <w:p w14:paraId="30852173" w14:textId="77777777" w:rsidR="00AD1FB0" w:rsidRDefault="00AD1FB0" w:rsidP="00194E04">
    <w:pPr>
      <w:pStyle w:val="Header"/>
    </w:pPr>
  </w:p>
  <w:p w14:paraId="7E6102F4" w14:textId="77777777" w:rsidR="00AD1FB0" w:rsidRPr="007560B4" w:rsidRDefault="00AD1FB0" w:rsidP="003A009A">
    <w:pPr>
      <w:pStyle w:val="Header"/>
      <w:rPr>
        <w:lang w:val="en-GB"/>
      </w:rPr>
    </w:pPr>
    <w:r w:rsidRPr="00FA6699">
      <w:rPr>
        <w:noProof/>
        <w:snapToGrid/>
        <w:lang w:eastAsia="en-AU"/>
      </w:rPr>
      <w:drawing>
        <wp:anchor distT="0" distB="0" distL="114300" distR="114300" simplePos="0" relativeHeight="251583488" behindDoc="0" locked="0" layoutInCell="1" allowOverlap="1" wp14:anchorId="07329D3B" wp14:editId="2D2F4BC5">
          <wp:simplePos x="0" y="0"/>
          <wp:positionH relativeFrom="page">
            <wp:posOffset>648335</wp:posOffset>
          </wp:positionH>
          <wp:positionV relativeFrom="page">
            <wp:posOffset>900430</wp:posOffset>
          </wp:positionV>
          <wp:extent cx="543600" cy="8740800"/>
          <wp:effectExtent l="0" t="0" r="8890" b="3175"/>
          <wp:wrapNone/>
          <wp:docPr id="9"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9EA09" w14:textId="6A13770A" w:rsidR="00AD1FB0" w:rsidRDefault="009B6094" w:rsidP="00B54A8B">
    <w:pPr>
      <w:pStyle w:val="Header-Landscape"/>
    </w:pPr>
    <w:fldSimple w:instr=" STYLEREF &quot;Heading 2&quot; ">
      <w:r w:rsidR="00296186">
        <w:rPr>
          <w:noProof/>
        </w:rPr>
        <w:t>Scholarship overview</w:t>
      </w:r>
    </w:fldSimple>
  </w:p>
  <w:p w14:paraId="013430C4" w14:textId="77777777" w:rsidR="00AD1FB0" w:rsidRDefault="00AD1FB0" w:rsidP="00B54A8B">
    <w:pPr>
      <w:pStyle w:val="Header-Landscape"/>
      <w:rPr>
        <w:lang w:val="en-GB"/>
      </w:rPr>
    </w:pPr>
    <w:r w:rsidRPr="00FA6699">
      <w:rPr>
        <w:noProof/>
        <w:snapToGrid/>
        <w:lang w:eastAsia="en-AU"/>
      </w:rPr>
      <w:drawing>
        <wp:anchor distT="0" distB="0" distL="114300" distR="114300" simplePos="0" relativeHeight="251611136" behindDoc="0" locked="0" layoutInCell="1" allowOverlap="1" wp14:anchorId="7D819E10" wp14:editId="1A5B8D24">
          <wp:simplePos x="0" y="0"/>
          <wp:positionH relativeFrom="page">
            <wp:posOffset>648335</wp:posOffset>
          </wp:positionH>
          <wp:positionV relativeFrom="page">
            <wp:posOffset>900430</wp:posOffset>
          </wp:positionV>
          <wp:extent cx="543600" cy="8740800"/>
          <wp:effectExtent l="0" t="0" r="8890" b="3175"/>
          <wp:wrapNone/>
          <wp:docPr id="10"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3F8C58" w14:textId="77777777" w:rsidR="00AD1FB0" w:rsidRPr="007560B4" w:rsidRDefault="00AD1FB0" w:rsidP="00B54A8B">
    <w:pPr>
      <w:pStyle w:val="Header-Landscape"/>
      <w:rPr>
        <w:lang w:val="en-GB"/>
      </w:rPr>
    </w:pPr>
    <w:r w:rsidRPr="00FA6699">
      <w:rPr>
        <w:noProof/>
        <w:snapToGrid/>
        <w:lang w:eastAsia="en-AU"/>
      </w:rPr>
      <w:drawing>
        <wp:anchor distT="0" distB="0" distL="114300" distR="114300" simplePos="0" relativeHeight="251613184" behindDoc="0" locked="0" layoutInCell="1" allowOverlap="1" wp14:anchorId="547FC671" wp14:editId="45425D51">
          <wp:simplePos x="0" y="0"/>
          <wp:positionH relativeFrom="page">
            <wp:posOffset>648335</wp:posOffset>
          </wp:positionH>
          <wp:positionV relativeFrom="page">
            <wp:posOffset>900430</wp:posOffset>
          </wp:positionV>
          <wp:extent cx="543600" cy="6314400"/>
          <wp:effectExtent l="0" t="0" r="8890" b="0"/>
          <wp:wrapNone/>
          <wp:docPr id="51"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A04D9" w14:textId="5155A757" w:rsidR="00AD1FB0" w:rsidRPr="002D69E9" w:rsidRDefault="009B6094" w:rsidP="00B54A8B">
    <w:pPr>
      <w:pStyle w:val="Header-Landscape"/>
    </w:pPr>
    <w:fldSimple w:instr=" STYLEREF &quot;Heading 2&quot; ">
      <w:r w:rsidR="00296186">
        <w:rPr>
          <w:noProof/>
        </w:rPr>
        <w:t>Scholarship overview</w:t>
      </w:r>
    </w:fldSimple>
  </w:p>
  <w:p w14:paraId="7018EF5E" w14:textId="77777777" w:rsidR="00AD1FB0" w:rsidRPr="002D69E9" w:rsidRDefault="00AD1FB0" w:rsidP="00B54A8B">
    <w:pPr>
      <w:pStyle w:val="Header-Landscape"/>
      <w:rPr>
        <w:lang w:val="en-GB"/>
      </w:rPr>
    </w:pPr>
    <w:r w:rsidRPr="002D69E9">
      <w:rPr>
        <w:noProof/>
        <w:snapToGrid/>
        <w:lang w:eastAsia="en-AU"/>
      </w:rPr>
      <w:drawing>
        <wp:anchor distT="0" distB="0" distL="114300" distR="114300" simplePos="0" relativeHeight="251609088" behindDoc="0" locked="0" layoutInCell="1" allowOverlap="1" wp14:anchorId="08EDC456" wp14:editId="1E02D1F5">
          <wp:simplePos x="0" y="0"/>
          <wp:positionH relativeFrom="page">
            <wp:posOffset>648335</wp:posOffset>
          </wp:positionH>
          <wp:positionV relativeFrom="page">
            <wp:posOffset>900430</wp:posOffset>
          </wp:positionV>
          <wp:extent cx="543600" cy="8740800"/>
          <wp:effectExtent l="0" t="0" r="8890" b="3175"/>
          <wp:wrapNone/>
          <wp:docPr id="52"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3E7B5" w14:textId="77777777" w:rsidR="00AD1FB0" w:rsidRPr="002D69E9" w:rsidRDefault="00AD1FB0" w:rsidP="00B54A8B">
    <w:pPr>
      <w:pStyle w:val="Header-Landscape"/>
      <w:rPr>
        <w:lang w:val="en-GB"/>
      </w:rPr>
    </w:pPr>
    <w:r w:rsidRPr="002D69E9">
      <w:rPr>
        <w:noProof/>
        <w:snapToGrid/>
        <w:lang w:eastAsia="en-AU"/>
      </w:rPr>
      <w:drawing>
        <wp:anchor distT="0" distB="0" distL="114300" distR="114300" simplePos="0" relativeHeight="251612160" behindDoc="0" locked="0" layoutInCell="1" allowOverlap="1" wp14:anchorId="0793AC99" wp14:editId="6D3D5C33">
          <wp:simplePos x="0" y="0"/>
          <wp:positionH relativeFrom="page">
            <wp:posOffset>648335</wp:posOffset>
          </wp:positionH>
          <wp:positionV relativeFrom="page">
            <wp:posOffset>900430</wp:posOffset>
          </wp:positionV>
          <wp:extent cx="543600" cy="6314400"/>
          <wp:effectExtent l="0" t="0" r="8890" b="0"/>
          <wp:wrapNone/>
          <wp:docPr id="50"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26366" w14:textId="6D301E79" w:rsidR="00AD1FB0" w:rsidRDefault="00AD1FB0" w:rsidP="00B54A8B">
    <w:pPr>
      <w:pStyle w:val="Header-Landscape"/>
    </w:pPr>
  </w:p>
  <w:p w14:paraId="538C08F6" w14:textId="77777777" w:rsidR="00AD1FB0" w:rsidRDefault="00AD1FB0" w:rsidP="00B54A8B">
    <w:pPr>
      <w:pStyle w:val="Header-Landscape"/>
    </w:pPr>
  </w:p>
  <w:p w14:paraId="3E409517" w14:textId="77777777" w:rsidR="00AD1FB0" w:rsidRDefault="00AD1FB0" w:rsidP="00B54A8B">
    <w:pPr>
      <w:pStyle w:val="Header-Landscape"/>
      <w:rPr>
        <w:lang w:val="en-GB"/>
      </w:rPr>
    </w:pPr>
    <w:r w:rsidRPr="00FA6699">
      <w:rPr>
        <w:noProof/>
        <w:snapToGrid/>
        <w:lang w:eastAsia="en-AU"/>
      </w:rPr>
      <w:drawing>
        <wp:anchor distT="0" distB="0" distL="114300" distR="114300" simplePos="0" relativeHeight="251584512" behindDoc="0" locked="0" layoutInCell="1" allowOverlap="1" wp14:anchorId="0B8E0CF5" wp14:editId="33AD1AA3">
          <wp:simplePos x="0" y="0"/>
          <wp:positionH relativeFrom="page">
            <wp:posOffset>648335</wp:posOffset>
          </wp:positionH>
          <wp:positionV relativeFrom="page">
            <wp:posOffset>900430</wp:posOffset>
          </wp:positionV>
          <wp:extent cx="543600" cy="8740800"/>
          <wp:effectExtent l="0" t="0" r="8890" b="3175"/>
          <wp:wrapNone/>
          <wp:docPr id="53"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47762" w14:textId="77777777" w:rsidR="00AD1FB0" w:rsidRPr="007560B4" w:rsidRDefault="00AD1FB0" w:rsidP="00B54A8B">
    <w:pPr>
      <w:pStyle w:val="FirstPagePanelFrameLandscape"/>
      <w:framePr w:wrap="notBeside"/>
    </w:pPr>
    <w:r w:rsidRPr="00FA6699">
      <w:rPr>
        <w:noProof/>
        <w:snapToGrid/>
        <w:lang w:val="en-AU" w:eastAsia="en-AU"/>
      </w:rPr>
      <w:drawing>
        <wp:anchor distT="0" distB="0" distL="114300" distR="114300" simplePos="0" relativeHeight="251585536" behindDoc="0" locked="0" layoutInCell="1" allowOverlap="1" wp14:anchorId="39B61163" wp14:editId="12E3A5A7">
          <wp:simplePos x="0" y="0"/>
          <wp:positionH relativeFrom="page">
            <wp:posOffset>648335</wp:posOffset>
          </wp:positionH>
          <wp:positionV relativeFrom="page">
            <wp:posOffset>900430</wp:posOffset>
          </wp:positionV>
          <wp:extent cx="543600" cy="6314400"/>
          <wp:effectExtent l="0" t="0" r="8890" b="0"/>
          <wp:wrapNone/>
          <wp:docPr id="54"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31BEF" w14:textId="27ADBFF4" w:rsidR="00AD1FB0" w:rsidRDefault="00AD1FB0" w:rsidP="00407065">
    <w:pPr>
      <w:pStyle w:val="Header-Landscape"/>
    </w:pPr>
    <w:r>
      <w:rPr>
        <w:noProof/>
        <w:lang w:eastAsia="en-AU"/>
      </w:rPr>
      <mc:AlternateContent>
        <mc:Choice Requires="wps">
          <w:drawing>
            <wp:anchor distT="0" distB="0" distL="114300" distR="114300" simplePos="0" relativeHeight="251634688" behindDoc="1" locked="0" layoutInCell="0" allowOverlap="1" wp14:anchorId="74435B3F" wp14:editId="4256A141">
              <wp:simplePos x="0" y="0"/>
              <wp:positionH relativeFrom="margin">
                <wp:align>center</wp:align>
              </wp:positionH>
              <wp:positionV relativeFrom="margin">
                <wp:align>center</wp:align>
              </wp:positionV>
              <wp:extent cx="5730240" cy="1910080"/>
              <wp:effectExtent l="0" t="1619250" r="0" b="139509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0240" cy="1910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A2CB81"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435B3F" id="_x0000_t202" coordsize="21600,21600" o:spt="202" path="m,l,21600r21600,l21600,xe">
              <v:stroke joinstyle="miter"/>
              <v:path gradientshapeok="t" o:connecttype="rect"/>
            </v:shapetype>
            <v:shape id="Text Box 191" o:spid="_x0000_s1026" type="#_x0000_t202" style="position:absolute;margin-left:0;margin-top:0;width:451.2pt;height:150.4pt;rotation:-45;z-index:-251681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" o:allowincell="f" filled="f" stroked="f">
              <v:stroke joinstyle="round"/>
              <o:lock v:ext="edit" shapetype="t"/>
              <v:textbox style="mso-fit-shape-to-text:t">
                <w:txbxContent>
                  <w:p w14:paraId="11A2CB81"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fldSimple w:instr=" STYLEREF &quot;Heading 2&quot; ">
      <w:r w:rsidR="00296186">
        <w:rPr>
          <w:noProof/>
        </w:rPr>
        <w:t>Scholarship overview</w:t>
      </w:r>
    </w:fldSimple>
  </w:p>
  <w:p w14:paraId="01D36271" w14:textId="77777777" w:rsidR="00AD1FB0" w:rsidRDefault="00AD1FB0" w:rsidP="00407065">
    <w:pPr>
      <w:pStyle w:val="Header-Landscape"/>
      <w:rPr>
        <w:lang w:val="en-GB"/>
      </w:rPr>
    </w:pPr>
    <w:r w:rsidRPr="00FA6699">
      <w:rPr>
        <w:noProof/>
        <w:snapToGrid/>
        <w:lang w:eastAsia="en-AU"/>
      </w:rPr>
      <w:drawing>
        <wp:anchor distT="0" distB="0" distL="114300" distR="114300" simplePos="0" relativeHeight="251631616" behindDoc="0" locked="0" layoutInCell="1" allowOverlap="1" wp14:anchorId="2ADBB479" wp14:editId="10750D30">
          <wp:simplePos x="0" y="0"/>
          <wp:positionH relativeFrom="page">
            <wp:posOffset>648335</wp:posOffset>
          </wp:positionH>
          <wp:positionV relativeFrom="page">
            <wp:posOffset>900430</wp:posOffset>
          </wp:positionV>
          <wp:extent cx="543600" cy="8740800"/>
          <wp:effectExtent l="0" t="0" r="8890" b="3175"/>
          <wp:wrapNone/>
          <wp:docPr id="64"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EE983B" w14:textId="77777777" w:rsidR="00AD1FB0" w:rsidRDefault="00AD1FB0" w:rsidP="00407065">
    <w:pPr>
      <w:pStyle w:val="Header-Landscape"/>
      <w:rPr>
        <w:lang w:val="en-GB"/>
      </w:rPr>
    </w:pPr>
    <w:r w:rsidRPr="00FA6699">
      <w:rPr>
        <w:noProof/>
        <w:snapToGrid/>
        <w:lang w:eastAsia="en-AU"/>
      </w:rPr>
      <w:drawing>
        <wp:anchor distT="0" distB="0" distL="114300" distR="114300" simplePos="0" relativeHeight="251632640" behindDoc="0" locked="0" layoutInCell="1" allowOverlap="1" wp14:anchorId="314FF21B" wp14:editId="7587A45B">
          <wp:simplePos x="0" y="0"/>
          <wp:positionH relativeFrom="page">
            <wp:posOffset>648335</wp:posOffset>
          </wp:positionH>
          <wp:positionV relativeFrom="page">
            <wp:posOffset>900430</wp:posOffset>
          </wp:positionV>
          <wp:extent cx="543600" cy="6314400"/>
          <wp:effectExtent l="0" t="0" r="8890" b="0"/>
          <wp:wrapNone/>
          <wp:docPr id="65"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3B00A" w14:textId="77777777" w:rsidR="00AD1FB0" w:rsidRPr="007560B4" w:rsidRDefault="00AD1FB0" w:rsidP="00407065">
    <w:pPr>
      <w:pStyle w:val="Header-Landscape"/>
      <w:rPr>
        <w:lang w:val="en-GB"/>
      </w:rPr>
    </w:pPr>
    <w:r w:rsidRPr="00FA6699">
      <w:rPr>
        <w:noProof/>
        <w:snapToGrid/>
        <w:lang w:eastAsia="en-AU"/>
      </w:rPr>
      <w:drawing>
        <wp:anchor distT="0" distB="0" distL="114300" distR="114300" simplePos="0" relativeHeight="251636736" behindDoc="0" locked="0" layoutInCell="1" allowOverlap="1" wp14:anchorId="254542BB" wp14:editId="6FB9208E">
          <wp:simplePos x="0" y="0"/>
          <wp:positionH relativeFrom="page">
            <wp:posOffset>648335</wp:posOffset>
          </wp:positionH>
          <wp:positionV relativeFrom="page">
            <wp:posOffset>900430</wp:posOffset>
          </wp:positionV>
          <wp:extent cx="543600" cy="6314400"/>
          <wp:effectExtent l="0" t="0" r="8890" b="0"/>
          <wp:wrapNone/>
          <wp:docPr id="70"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CDE4C" w14:textId="151E80D7" w:rsidR="00AD1FB0" w:rsidRPr="002D69E9" w:rsidRDefault="009B6094" w:rsidP="00407065">
    <w:pPr>
      <w:pStyle w:val="Header-Landscape"/>
    </w:pPr>
    <w:fldSimple w:instr=" STYLEREF &quot;Heading 2&quot; ">
      <w:r w:rsidR="00296186">
        <w:rPr>
          <w:noProof/>
        </w:rPr>
        <w:t>Scholarship overview</w:t>
      </w:r>
    </w:fldSimple>
  </w:p>
  <w:p w14:paraId="7E390EFA" w14:textId="77777777" w:rsidR="00AD1FB0" w:rsidRPr="002D69E9" w:rsidRDefault="00AD1FB0" w:rsidP="00407065">
    <w:pPr>
      <w:pStyle w:val="Header-Landscape"/>
      <w:rPr>
        <w:lang w:val="en-GB"/>
      </w:rPr>
    </w:pPr>
    <w:r w:rsidRPr="002D69E9">
      <w:rPr>
        <w:noProof/>
        <w:snapToGrid/>
        <w:lang w:eastAsia="en-AU"/>
      </w:rPr>
      <w:drawing>
        <wp:anchor distT="0" distB="0" distL="114300" distR="114300" simplePos="0" relativeHeight="251628544" behindDoc="0" locked="0" layoutInCell="1" allowOverlap="1" wp14:anchorId="28065BB8" wp14:editId="2C22DE33">
          <wp:simplePos x="0" y="0"/>
          <wp:positionH relativeFrom="page">
            <wp:posOffset>648335</wp:posOffset>
          </wp:positionH>
          <wp:positionV relativeFrom="page">
            <wp:posOffset>900430</wp:posOffset>
          </wp:positionV>
          <wp:extent cx="543600" cy="8740800"/>
          <wp:effectExtent l="0" t="0" r="8890" b="3175"/>
          <wp:wrapNone/>
          <wp:docPr id="186"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EDC33A" w14:textId="77777777" w:rsidR="00AD1FB0" w:rsidRDefault="00AD1FB0" w:rsidP="00407065">
    <w:pPr>
      <w:pStyle w:val="Header-Landscape"/>
      <w:rPr>
        <w:lang w:val="en-GB"/>
      </w:rPr>
    </w:pPr>
    <w:r w:rsidRPr="002D69E9">
      <w:rPr>
        <w:noProof/>
        <w:snapToGrid/>
        <w:lang w:eastAsia="en-AU"/>
      </w:rPr>
      <w:drawing>
        <wp:anchor distT="0" distB="0" distL="114300" distR="114300" simplePos="0" relativeHeight="251629568" behindDoc="0" locked="0" layoutInCell="1" allowOverlap="1" wp14:anchorId="797B57BB" wp14:editId="50B312AF">
          <wp:simplePos x="0" y="0"/>
          <wp:positionH relativeFrom="page">
            <wp:posOffset>648335</wp:posOffset>
          </wp:positionH>
          <wp:positionV relativeFrom="page">
            <wp:posOffset>900430</wp:posOffset>
          </wp:positionV>
          <wp:extent cx="543600" cy="6314400"/>
          <wp:effectExtent l="0" t="0" r="8890" b="0"/>
          <wp:wrapNone/>
          <wp:docPr id="187"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3F90AC" w14:textId="77777777" w:rsidR="00AD1FB0" w:rsidRPr="007560B4" w:rsidRDefault="00AD1FB0" w:rsidP="00407065">
    <w:pPr>
      <w:pStyle w:val="Header-Landscape"/>
      <w:rPr>
        <w:lang w:val="en-GB"/>
      </w:rPr>
    </w:pPr>
    <w:r w:rsidRPr="00FA6699">
      <w:rPr>
        <w:noProof/>
        <w:snapToGrid/>
        <w:lang w:eastAsia="en-AU"/>
      </w:rPr>
      <w:drawing>
        <wp:anchor distT="0" distB="0" distL="114300" distR="114300" simplePos="0" relativeHeight="251635712" behindDoc="0" locked="0" layoutInCell="1" allowOverlap="1" wp14:anchorId="549DE695" wp14:editId="00E09A58">
          <wp:simplePos x="0" y="0"/>
          <wp:positionH relativeFrom="page">
            <wp:posOffset>648335</wp:posOffset>
          </wp:positionH>
          <wp:positionV relativeFrom="page">
            <wp:posOffset>900430</wp:posOffset>
          </wp:positionV>
          <wp:extent cx="543600" cy="6314400"/>
          <wp:effectExtent l="0" t="0" r="8890" b="0"/>
          <wp:wrapNone/>
          <wp:docPr id="66"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3478A" w14:textId="75897B94" w:rsidR="00AD1FB0" w:rsidRDefault="00AD1FB0" w:rsidP="00407065">
    <w:pPr>
      <w:pStyle w:val="Header-Landscape"/>
    </w:pPr>
    <w:r>
      <w:rPr>
        <w:noProof/>
        <w:lang w:eastAsia="en-AU"/>
      </w:rPr>
      <mc:AlternateContent>
        <mc:Choice Requires="wps">
          <w:drawing>
            <wp:anchor distT="0" distB="0" distL="114300" distR="114300" simplePos="0" relativeHeight="251590656" behindDoc="1" locked="0" layoutInCell="0" allowOverlap="1" wp14:anchorId="4A5D5B12" wp14:editId="438DE27B">
              <wp:simplePos x="0" y="0"/>
              <wp:positionH relativeFrom="margin">
                <wp:align>center</wp:align>
              </wp:positionH>
              <wp:positionV relativeFrom="margin">
                <wp:align>center</wp:align>
              </wp:positionV>
              <wp:extent cx="5730240" cy="1910080"/>
              <wp:effectExtent l="0" t="1619250" r="0" b="139509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0240" cy="1910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EA6EE1"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5D5B12" id="_x0000_t202" coordsize="21600,21600" o:spt="202" path="m,l,21600r21600,l21600,xe">
              <v:stroke joinstyle="miter"/>
              <v:path gradientshapeok="t" o:connecttype="rect"/>
            </v:shapetype>
            <v:shape id="Text Box 188" o:spid="_x0000_s1027" type="#_x0000_t202" style="position:absolute;margin-left:0;margin-top:0;width:451.2pt;height:150.4pt;rotation:-45;z-index:-251725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" o:allowincell="f" filled="f" stroked="f">
              <v:stroke joinstyle="round"/>
              <o:lock v:ext="edit" shapetype="t"/>
              <v:textbox style="mso-fit-shape-to-text:t">
                <w:txbxContent>
                  <w:p w14:paraId="3DEA6EE1"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p w14:paraId="29EC32AE" w14:textId="77777777" w:rsidR="00AD1FB0" w:rsidRDefault="00AD1FB0" w:rsidP="00407065">
    <w:pPr>
      <w:pStyle w:val="Header-Landscape"/>
    </w:pPr>
  </w:p>
  <w:p w14:paraId="656103DE" w14:textId="77777777" w:rsidR="00AD1FB0" w:rsidRDefault="00AD1FB0" w:rsidP="00407065">
    <w:pPr>
      <w:pStyle w:val="Header-Landscape"/>
      <w:rPr>
        <w:lang w:val="en-GB"/>
      </w:rPr>
    </w:pPr>
    <w:r w:rsidRPr="00FA6699">
      <w:rPr>
        <w:noProof/>
        <w:snapToGrid/>
        <w:lang w:eastAsia="en-AU"/>
      </w:rPr>
      <w:drawing>
        <wp:anchor distT="0" distB="0" distL="114300" distR="114300" simplePos="0" relativeHeight="251587584" behindDoc="0" locked="0" layoutInCell="1" allowOverlap="1" wp14:anchorId="7426FCD8" wp14:editId="35367196">
          <wp:simplePos x="0" y="0"/>
          <wp:positionH relativeFrom="page">
            <wp:posOffset>648335</wp:posOffset>
          </wp:positionH>
          <wp:positionV relativeFrom="page">
            <wp:posOffset>900430</wp:posOffset>
          </wp:positionV>
          <wp:extent cx="543600" cy="8740800"/>
          <wp:effectExtent l="0" t="0" r="8890" b="3175"/>
          <wp:wrapNone/>
          <wp:docPr id="189"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8C6C02" w14:textId="77777777" w:rsidR="00AD1FB0" w:rsidRDefault="00AD1FB0" w:rsidP="00407065">
    <w:pPr>
      <w:pStyle w:val="Header-Landscape"/>
    </w:pPr>
    <w:r w:rsidRPr="00FA6699">
      <w:rPr>
        <w:noProof/>
        <w:snapToGrid/>
        <w:lang w:eastAsia="en-AU"/>
      </w:rPr>
      <w:drawing>
        <wp:anchor distT="0" distB="0" distL="114300" distR="114300" simplePos="0" relativeHeight="251588608" behindDoc="0" locked="0" layoutInCell="1" allowOverlap="1" wp14:anchorId="360C90EC" wp14:editId="04B051D3">
          <wp:simplePos x="0" y="0"/>
          <wp:positionH relativeFrom="page">
            <wp:posOffset>648335</wp:posOffset>
          </wp:positionH>
          <wp:positionV relativeFrom="page">
            <wp:posOffset>900430</wp:posOffset>
          </wp:positionV>
          <wp:extent cx="543600" cy="6314400"/>
          <wp:effectExtent l="0" t="0" r="8890" b="0"/>
          <wp:wrapNone/>
          <wp:docPr id="190"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E7315" w14:textId="77777777" w:rsidR="00AD1FB0" w:rsidRPr="007560B4" w:rsidRDefault="00AD1FB0" w:rsidP="00407065">
    <w:pPr>
      <w:pStyle w:val="Header-Landscape"/>
      <w:rPr>
        <w:lang w:val="en-GB"/>
      </w:rPr>
    </w:pPr>
    <w:r w:rsidRPr="00FA6699">
      <w:rPr>
        <w:noProof/>
        <w:snapToGrid/>
        <w:lang w:eastAsia="en-AU"/>
      </w:rPr>
      <w:drawing>
        <wp:anchor distT="0" distB="0" distL="114300" distR="114300" simplePos="0" relativeHeight="251596800" behindDoc="0" locked="0" layoutInCell="1" allowOverlap="1" wp14:anchorId="1751BD1B" wp14:editId="7B3FC651">
          <wp:simplePos x="0" y="0"/>
          <wp:positionH relativeFrom="page">
            <wp:posOffset>648335</wp:posOffset>
          </wp:positionH>
          <wp:positionV relativeFrom="page">
            <wp:posOffset>900430</wp:posOffset>
          </wp:positionV>
          <wp:extent cx="543600" cy="6314400"/>
          <wp:effectExtent l="0" t="0" r="8890" b="0"/>
          <wp:wrapNone/>
          <wp:docPr id="68"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DE4080" w14:textId="5F29897D" w:rsidR="00AD1FB0" w:rsidRPr="007560B4" w:rsidRDefault="00AD1FB0" w:rsidP="00407065">
    <w:pPr>
      <w:pStyle w:val="FirstPagePanelFrameLandscape"/>
      <w:framePr w:wrap="notBesid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6C341" w14:textId="6ACCF1B9" w:rsidR="00AD1FB0" w:rsidRDefault="00AD1FB0" w:rsidP="00B54A8B">
    <w:pPr>
      <w:pStyle w:val="Header-Landscape"/>
    </w:pPr>
    <w:r>
      <w:rPr>
        <w:noProof/>
        <w:lang w:eastAsia="en-AU"/>
      </w:rPr>
      <mc:AlternateContent>
        <mc:Choice Requires="wps">
          <w:drawing>
            <wp:anchor distT="0" distB="0" distL="114300" distR="114300" simplePos="0" relativeHeight="251662336" behindDoc="1" locked="0" layoutInCell="0" allowOverlap="1" wp14:anchorId="39C1AF71" wp14:editId="58A81A3E">
              <wp:simplePos x="0" y="0"/>
              <wp:positionH relativeFrom="margin">
                <wp:align>center</wp:align>
              </wp:positionH>
              <wp:positionV relativeFrom="margin">
                <wp:align>center</wp:align>
              </wp:positionV>
              <wp:extent cx="5730240" cy="1910080"/>
              <wp:effectExtent l="0" t="1619250" r="0" b="139509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0240" cy="1910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A5C9B0"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C1AF71" id="_x0000_t202" coordsize="21600,21600" o:spt="202" path="m,l,21600r21600,l21600,xe">
              <v:stroke joinstyle="miter"/>
              <v:path gradientshapeok="t" o:connecttype="rect"/>
            </v:shapetype>
            <v:shape id="Text Box 183" o:spid="_x0000_s1028" type="#_x0000_t202" style="position:absolute;margin-left:0;margin-top:0;width:451.2pt;height:150.4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" o:allowincell="f" filled="f" stroked="f">
              <v:stroke joinstyle="round"/>
              <o:lock v:ext="edit" shapetype="t"/>
              <v:textbox style="mso-fit-shape-to-text:t">
                <w:txbxContent>
                  <w:p w14:paraId="0FA5C9B0"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fldSimple w:instr=" STYLEREF &quot;Heading 2&quot; ">
      <w:r w:rsidR="00296186">
        <w:rPr>
          <w:noProof/>
        </w:rPr>
        <w:t>Scholarship overview</w:t>
      </w:r>
    </w:fldSimple>
  </w:p>
  <w:p w14:paraId="462D848E" w14:textId="77777777" w:rsidR="00AD1FB0" w:rsidRDefault="00AD1FB0" w:rsidP="00B54A8B">
    <w:pPr>
      <w:pStyle w:val="Header-Landscape"/>
      <w:rPr>
        <w:lang w:val="en-GB"/>
      </w:rPr>
    </w:pPr>
    <w:r w:rsidRPr="00FA6699">
      <w:rPr>
        <w:noProof/>
        <w:snapToGrid/>
        <w:lang w:eastAsia="en-AU"/>
      </w:rPr>
      <w:drawing>
        <wp:anchor distT="0" distB="0" distL="114300" distR="114300" simplePos="0" relativeHeight="251658240" behindDoc="0" locked="0" layoutInCell="1" allowOverlap="1" wp14:anchorId="454CF5A9" wp14:editId="4403B070">
          <wp:simplePos x="0" y="0"/>
          <wp:positionH relativeFrom="page">
            <wp:posOffset>648335</wp:posOffset>
          </wp:positionH>
          <wp:positionV relativeFrom="page">
            <wp:posOffset>900430</wp:posOffset>
          </wp:positionV>
          <wp:extent cx="543600" cy="8740800"/>
          <wp:effectExtent l="0" t="0" r="8890" b="3175"/>
          <wp:wrapNone/>
          <wp:docPr id="184"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4323CF" w14:textId="77777777" w:rsidR="00AD1FB0" w:rsidRPr="007560B4" w:rsidRDefault="00AD1FB0" w:rsidP="00B54A8B">
    <w:pPr>
      <w:pStyle w:val="Header-Landscape"/>
      <w:rPr>
        <w:lang w:val="en-GB"/>
      </w:rPr>
    </w:pPr>
    <w:r w:rsidRPr="00FA6699">
      <w:rPr>
        <w:noProof/>
        <w:snapToGrid/>
        <w:lang w:eastAsia="en-AU"/>
      </w:rPr>
      <w:drawing>
        <wp:anchor distT="0" distB="0" distL="114300" distR="114300" simplePos="0" relativeHeight="251661312" behindDoc="0" locked="0" layoutInCell="1" allowOverlap="1" wp14:anchorId="27FB04F4" wp14:editId="5C949273">
          <wp:simplePos x="0" y="0"/>
          <wp:positionH relativeFrom="page">
            <wp:posOffset>648335</wp:posOffset>
          </wp:positionH>
          <wp:positionV relativeFrom="page">
            <wp:posOffset>900430</wp:posOffset>
          </wp:positionV>
          <wp:extent cx="543600" cy="6314400"/>
          <wp:effectExtent l="0" t="0" r="8890" b="0"/>
          <wp:wrapNone/>
          <wp:docPr id="185"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D059B" w14:textId="52E61193" w:rsidR="00AD1FB0" w:rsidRPr="008F0566" w:rsidRDefault="00AD1FB0" w:rsidP="008F0566">
    <w:pPr>
      <w:pStyle w:val="Header"/>
    </w:pPr>
    <w:r>
      <w:rPr>
        <w:noProof/>
        <w:snapToGrid/>
        <w:lang w:eastAsia="en-AU"/>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8F052" w14:textId="5EDD3F0D" w:rsidR="00AD1FB0" w:rsidRPr="002D69E9" w:rsidRDefault="009B6094" w:rsidP="00B54A8B">
    <w:pPr>
      <w:pStyle w:val="Header-Landscape"/>
    </w:pPr>
    <w:fldSimple w:instr=" STYLEREF &quot;Heading 2&quot; ">
      <w:r w:rsidR="00296186">
        <w:rPr>
          <w:noProof/>
        </w:rPr>
        <w:t>Scholarship overview</w:t>
      </w:r>
    </w:fldSimple>
  </w:p>
  <w:p w14:paraId="22A81C09" w14:textId="77777777" w:rsidR="00AD1FB0" w:rsidRPr="002D69E9" w:rsidRDefault="00AD1FB0" w:rsidP="00B54A8B">
    <w:pPr>
      <w:pStyle w:val="Header-Landscape"/>
      <w:rPr>
        <w:lang w:val="en-GB"/>
      </w:rPr>
    </w:pPr>
    <w:r w:rsidRPr="002D69E9">
      <w:rPr>
        <w:noProof/>
        <w:snapToGrid/>
        <w:lang w:eastAsia="en-AU"/>
      </w:rPr>
      <w:drawing>
        <wp:anchor distT="0" distB="0" distL="114300" distR="114300" simplePos="0" relativeHeight="251656192" behindDoc="0" locked="0" layoutInCell="1" allowOverlap="1" wp14:anchorId="3BC4286A" wp14:editId="4AC336D8">
          <wp:simplePos x="0" y="0"/>
          <wp:positionH relativeFrom="page">
            <wp:posOffset>648335</wp:posOffset>
          </wp:positionH>
          <wp:positionV relativeFrom="page">
            <wp:posOffset>900430</wp:posOffset>
          </wp:positionV>
          <wp:extent cx="543600" cy="8740800"/>
          <wp:effectExtent l="0" t="0" r="8890" b="3175"/>
          <wp:wrapNone/>
          <wp:docPr id="178"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8391F" w14:textId="77777777" w:rsidR="00AD1FB0" w:rsidRPr="002D69E9" w:rsidRDefault="00AD1FB0" w:rsidP="00B54A8B">
    <w:pPr>
      <w:pStyle w:val="Header-Landscape"/>
      <w:rPr>
        <w:lang w:val="en-GB"/>
      </w:rPr>
    </w:pPr>
    <w:r w:rsidRPr="002D69E9">
      <w:rPr>
        <w:noProof/>
        <w:snapToGrid/>
        <w:lang w:eastAsia="en-AU"/>
      </w:rPr>
      <w:drawing>
        <wp:anchor distT="0" distB="0" distL="114300" distR="114300" simplePos="0" relativeHeight="251657216" behindDoc="0" locked="0" layoutInCell="1" allowOverlap="1" wp14:anchorId="4BD62058" wp14:editId="3E1BD9FB">
          <wp:simplePos x="0" y="0"/>
          <wp:positionH relativeFrom="page">
            <wp:posOffset>648335</wp:posOffset>
          </wp:positionH>
          <wp:positionV relativeFrom="page">
            <wp:posOffset>900430</wp:posOffset>
          </wp:positionV>
          <wp:extent cx="543600" cy="6314400"/>
          <wp:effectExtent l="0" t="0" r="8890" b="0"/>
          <wp:wrapNone/>
          <wp:docPr id="179"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88C47" w14:textId="0F8DE53E" w:rsidR="00AD1FB0" w:rsidRDefault="00AD1FB0" w:rsidP="00B54A8B">
    <w:pPr>
      <w:pStyle w:val="Header-Landscape"/>
    </w:pPr>
    <w:r>
      <w:rPr>
        <w:noProof/>
        <w:lang w:eastAsia="en-AU"/>
      </w:rPr>
      <mc:AlternateContent>
        <mc:Choice Requires="wps">
          <w:drawing>
            <wp:anchor distT="0" distB="0" distL="114300" distR="114300" simplePos="0" relativeHeight="251664384" behindDoc="1" locked="0" layoutInCell="0" allowOverlap="1" wp14:anchorId="669FA591" wp14:editId="4D864009">
              <wp:simplePos x="0" y="0"/>
              <wp:positionH relativeFrom="margin">
                <wp:align>center</wp:align>
              </wp:positionH>
              <wp:positionV relativeFrom="margin">
                <wp:align>center</wp:align>
              </wp:positionV>
              <wp:extent cx="5730240" cy="1910080"/>
              <wp:effectExtent l="0" t="1619250" r="0" b="139509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0240" cy="1910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04D17E"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9FA591" id="_x0000_t202" coordsize="21600,21600" o:spt="202" path="m,l,21600r21600,l21600,xe">
              <v:stroke joinstyle="miter"/>
              <v:path gradientshapeok="t" o:connecttype="rect"/>
            </v:shapetype>
            <v:shape id="Text Box 180" o:spid="_x0000_s1029" type="#_x0000_t202" style="position:absolute;margin-left:0;margin-top:0;width:451.2pt;height:150.4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" o:allowincell="f" filled="f" stroked="f">
              <v:stroke joinstyle="round"/>
              <o:lock v:ext="edit" shapetype="t"/>
              <v:textbox style="mso-fit-shape-to-text:t">
                <w:txbxContent>
                  <w:p w14:paraId="6704D17E"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p w14:paraId="333A33DF" w14:textId="77777777" w:rsidR="00AD1FB0" w:rsidRDefault="00AD1FB0" w:rsidP="00B54A8B">
    <w:pPr>
      <w:pStyle w:val="Header-Landscape"/>
    </w:pPr>
  </w:p>
  <w:p w14:paraId="5AE4AEB4" w14:textId="77777777" w:rsidR="00AD1FB0" w:rsidRDefault="00AD1FB0" w:rsidP="00B54A8B">
    <w:pPr>
      <w:pStyle w:val="Header-Landscape"/>
      <w:rPr>
        <w:lang w:val="en-GB"/>
      </w:rPr>
    </w:pPr>
    <w:r w:rsidRPr="00FA6699">
      <w:rPr>
        <w:noProof/>
        <w:snapToGrid/>
        <w:lang w:eastAsia="en-AU"/>
      </w:rPr>
      <w:drawing>
        <wp:anchor distT="0" distB="0" distL="114300" distR="114300" simplePos="0" relativeHeight="251652096" behindDoc="0" locked="0" layoutInCell="1" allowOverlap="1" wp14:anchorId="28FC2F23" wp14:editId="3253688B">
          <wp:simplePos x="0" y="0"/>
          <wp:positionH relativeFrom="page">
            <wp:posOffset>648335</wp:posOffset>
          </wp:positionH>
          <wp:positionV relativeFrom="page">
            <wp:posOffset>900430</wp:posOffset>
          </wp:positionV>
          <wp:extent cx="543600" cy="8740800"/>
          <wp:effectExtent l="0" t="0" r="8890" b="3175"/>
          <wp:wrapNone/>
          <wp:docPr id="181"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F0E2E" w14:textId="77777777" w:rsidR="00AD1FB0" w:rsidRPr="007560B4" w:rsidRDefault="00AD1FB0" w:rsidP="00B54A8B">
    <w:pPr>
      <w:pStyle w:val="FirstPagePanelFrameLandscape"/>
      <w:framePr w:wrap="notBeside"/>
    </w:pPr>
    <w:r w:rsidRPr="00FA6699">
      <w:rPr>
        <w:noProof/>
        <w:snapToGrid/>
        <w:lang w:val="en-AU" w:eastAsia="en-AU"/>
      </w:rPr>
      <w:drawing>
        <wp:anchor distT="0" distB="0" distL="114300" distR="114300" simplePos="0" relativeHeight="251659264" behindDoc="0" locked="0" layoutInCell="1" allowOverlap="1" wp14:anchorId="0B861474" wp14:editId="44DE7D14">
          <wp:simplePos x="0" y="0"/>
          <wp:positionH relativeFrom="page">
            <wp:posOffset>648335</wp:posOffset>
          </wp:positionH>
          <wp:positionV relativeFrom="page">
            <wp:posOffset>900430</wp:posOffset>
          </wp:positionV>
          <wp:extent cx="543600" cy="6314400"/>
          <wp:effectExtent l="0" t="0" r="8890" b="0"/>
          <wp:wrapNone/>
          <wp:docPr id="182"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59DC5" w14:textId="2EDFCBE9" w:rsidR="00AD1FB0" w:rsidRDefault="00AD1FB0" w:rsidP="001E6EBC">
    <w:pPr>
      <w:pStyle w:val="Header-Landscape"/>
    </w:pPr>
    <w:r>
      <w:rPr>
        <w:noProof/>
        <w:lang w:eastAsia="en-AU"/>
      </w:rPr>
      <mc:AlternateContent>
        <mc:Choice Requires="wps">
          <w:drawing>
            <wp:anchor distT="0" distB="0" distL="114300" distR="114300" simplePos="0" relativeHeight="251645952" behindDoc="1" locked="0" layoutInCell="0" allowOverlap="1" wp14:anchorId="239ED330" wp14:editId="26714747">
              <wp:simplePos x="0" y="0"/>
              <wp:positionH relativeFrom="margin">
                <wp:align>center</wp:align>
              </wp:positionH>
              <wp:positionV relativeFrom="margin">
                <wp:align>center</wp:align>
              </wp:positionV>
              <wp:extent cx="5730240" cy="1910080"/>
              <wp:effectExtent l="0" t="1619250" r="0" b="1395095"/>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0240" cy="1910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D76E0F"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9ED330" id="_x0000_t202" coordsize="21600,21600" o:spt="202" path="m,l,21600r21600,l21600,xe">
              <v:stroke joinstyle="miter"/>
              <v:path gradientshapeok="t" o:connecttype="rect"/>
            </v:shapetype>
            <v:shape id="Text Box 362" o:spid="_x0000_s1030" type="#_x0000_t202" style="position:absolute;margin-left:0;margin-top:0;width:451.2pt;height:150.4pt;rotation:-45;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" o:allowincell="f" filled="f" stroked="f">
              <v:stroke joinstyle="round"/>
              <o:lock v:ext="edit" shapetype="t"/>
              <v:textbox style="mso-fit-shape-to-text:t">
                <w:txbxContent>
                  <w:p w14:paraId="0CD76E0F"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fldSimple w:instr=" STYLEREF &quot;Heading 2&quot; ">
      <w:r>
        <w:rPr>
          <w:noProof/>
        </w:rPr>
        <w:t>Scholarship overview</w:t>
      </w:r>
    </w:fldSimple>
  </w:p>
  <w:p w14:paraId="35E267F5" w14:textId="77777777" w:rsidR="00AD1FB0" w:rsidRDefault="00AD1FB0" w:rsidP="001E6EBC">
    <w:pPr>
      <w:pStyle w:val="Header-Landscape"/>
      <w:rPr>
        <w:lang w:val="en-GB"/>
      </w:rPr>
    </w:pPr>
    <w:r w:rsidRPr="00FA6699">
      <w:rPr>
        <w:noProof/>
        <w:snapToGrid/>
        <w:lang w:eastAsia="en-AU"/>
      </w:rPr>
      <w:drawing>
        <wp:anchor distT="0" distB="0" distL="114300" distR="114300" simplePos="0" relativeHeight="251641856" behindDoc="0" locked="0" layoutInCell="1" allowOverlap="1" wp14:anchorId="0F685765" wp14:editId="62C82E8E">
          <wp:simplePos x="0" y="0"/>
          <wp:positionH relativeFrom="page">
            <wp:posOffset>648335</wp:posOffset>
          </wp:positionH>
          <wp:positionV relativeFrom="page">
            <wp:posOffset>900430</wp:posOffset>
          </wp:positionV>
          <wp:extent cx="543600" cy="8740800"/>
          <wp:effectExtent l="0" t="0" r="8890" b="3175"/>
          <wp:wrapNone/>
          <wp:docPr id="363"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6CA574" w14:textId="77777777" w:rsidR="00AD1FB0" w:rsidRDefault="00AD1FB0" w:rsidP="001E6EBC">
    <w:pPr>
      <w:pStyle w:val="Header-Landscape"/>
      <w:rPr>
        <w:lang w:val="en-GB"/>
      </w:rPr>
    </w:pPr>
    <w:r w:rsidRPr="00FA6699">
      <w:rPr>
        <w:noProof/>
        <w:snapToGrid/>
        <w:lang w:eastAsia="en-AU"/>
      </w:rPr>
      <w:drawing>
        <wp:anchor distT="0" distB="0" distL="114300" distR="114300" simplePos="0" relativeHeight="251643904" behindDoc="0" locked="0" layoutInCell="1" allowOverlap="1" wp14:anchorId="1F4F397A" wp14:editId="34AEED88">
          <wp:simplePos x="0" y="0"/>
          <wp:positionH relativeFrom="page">
            <wp:posOffset>648335</wp:posOffset>
          </wp:positionH>
          <wp:positionV relativeFrom="page">
            <wp:posOffset>900430</wp:posOffset>
          </wp:positionV>
          <wp:extent cx="543600" cy="6314400"/>
          <wp:effectExtent l="0" t="0" r="8890" b="0"/>
          <wp:wrapNone/>
          <wp:docPr id="364"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46BD3" w14:textId="77777777" w:rsidR="00AD1FB0" w:rsidRPr="007560B4" w:rsidRDefault="00AD1FB0" w:rsidP="001E6EBC">
    <w:pPr>
      <w:pStyle w:val="Header-Landscape"/>
      <w:rPr>
        <w:lang w:val="en-GB"/>
      </w:rPr>
    </w:pPr>
    <w:r w:rsidRPr="00FA6699">
      <w:rPr>
        <w:noProof/>
        <w:snapToGrid/>
        <w:lang w:eastAsia="en-AU"/>
      </w:rPr>
      <w:drawing>
        <wp:anchor distT="0" distB="0" distL="114300" distR="114300" simplePos="0" relativeHeight="251649024" behindDoc="0" locked="0" layoutInCell="1" allowOverlap="1" wp14:anchorId="43F97384" wp14:editId="35DB3C1F">
          <wp:simplePos x="0" y="0"/>
          <wp:positionH relativeFrom="page">
            <wp:posOffset>648335</wp:posOffset>
          </wp:positionH>
          <wp:positionV relativeFrom="page">
            <wp:posOffset>900430</wp:posOffset>
          </wp:positionV>
          <wp:extent cx="543600" cy="6314400"/>
          <wp:effectExtent l="0" t="0" r="8890" b="0"/>
          <wp:wrapNone/>
          <wp:docPr id="367"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8245" w14:textId="7AD228A0" w:rsidR="00AD1FB0" w:rsidRPr="002D69E9" w:rsidRDefault="009B6094" w:rsidP="001E6EBC">
    <w:pPr>
      <w:pStyle w:val="Header-Landscape"/>
    </w:pPr>
    <w:fldSimple w:instr=" STYLEREF &quot;Heading 2&quot; ">
      <w:r w:rsidR="00296186">
        <w:rPr>
          <w:noProof/>
        </w:rPr>
        <w:t>Scholarship overview</w:t>
      </w:r>
    </w:fldSimple>
  </w:p>
  <w:p w14:paraId="79EF6EE0" w14:textId="77777777" w:rsidR="00AD1FB0" w:rsidRPr="002D69E9" w:rsidRDefault="00AD1FB0" w:rsidP="001E6EBC">
    <w:pPr>
      <w:pStyle w:val="Header-Landscape"/>
      <w:rPr>
        <w:lang w:val="en-GB"/>
      </w:rPr>
    </w:pPr>
    <w:r w:rsidRPr="002D69E9">
      <w:rPr>
        <w:noProof/>
        <w:snapToGrid/>
        <w:lang w:eastAsia="en-AU"/>
      </w:rPr>
      <w:drawing>
        <wp:anchor distT="0" distB="0" distL="114300" distR="114300" simplePos="0" relativeHeight="251639808" behindDoc="0" locked="0" layoutInCell="1" allowOverlap="1" wp14:anchorId="7468B14F" wp14:editId="369E3034">
          <wp:simplePos x="0" y="0"/>
          <wp:positionH relativeFrom="page">
            <wp:posOffset>648335</wp:posOffset>
          </wp:positionH>
          <wp:positionV relativeFrom="page">
            <wp:posOffset>900430</wp:posOffset>
          </wp:positionV>
          <wp:extent cx="543600" cy="8740800"/>
          <wp:effectExtent l="0" t="0" r="8890" b="3175"/>
          <wp:wrapNone/>
          <wp:docPr id="79"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6358F" w14:textId="77777777" w:rsidR="00AD1FB0" w:rsidRDefault="00AD1FB0" w:rsidP="001E6EBC">
    <w:pPr>
      <w:pStyle w:val="Header-Landscape"/>
      <w:rPr>
        <w:lang w:val="en-GB"/>
      </w:rPr>
    </w:pPr>
    <w:r w:rsidRPr="002D69E9">
      <w:rPr>
        <w:noProof/>
        <w:snapToGrid/>
        <w:lang w:eastAsia="en-AU"/>
      </w:rPr>
      <w:drawing>
        <wp:anchor distT="0" distB="0" distL="114300" distR="114300" simplePos="0" relativeHeight="251640832" behindDoc="0" locked="0" layoutInCell="1" allowOverlap="1" wp14:anchorId="5F63CE7F" wp14:editId="6DAC048B">
          <wp:simplePos x="0" y="0"/>
          <wp:positionH relativeFrom="page">
            <wp:posOffset>648335</wp:posOffset>
          </wp:positionH>
          <wp:positionV relativeFrom="page">
            <wp:posOffset>900430</wp:posOffset>
          </wp:positionV>
          <wp:extent cx="543600" cy="6314400"/>
          <wp:effectExtent l="0" t="0" r="8890" b="0"/>
          <wp:wrapNone/>
          <wp:docPr id="80"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13A00" w14:textId="77777777" w:rsidR="00AD1FB0" w:rsidRPr="007560B4" w:rsidRDefault="00AD1FB0" w:rsidP="001E6EBC">
    <w:pPr>
      <w:pStyle w:val="Header-Landscape"/>
      <w:rPr>
        <w:lang w:val="en-GB"/>
      </w:rPr>
    </w:pPr>
    <w:r w:rsidRPr="00FA6699">
      <w:rPr>
        <w:noProof/>
        <w:snapToGrid/>
        <w:lang w:eastAsia="en-AU"/>
      </w:rPr>
      <w:drawing>
        <wp:anchor distT="0" distB="0" distL="114300" distR="114300" simplePos="0" relativeHeight="251648000" behindDoc="0" locked="0" layoutInCell="1" allowOverlap="1" wp14:anchorId="432AD031" wp14:editId="7B373789">
          <wp:simplePos x="0" y="0"/>
          <wp:positionH relativeFrom="page">
            <wp:posOffset>648335</wp:posOffset>
          </wp:positionH>
          <wp:positionV relativeFrom="page">
            <wp:posOffset>900430</wp:posOffset>
          </wp:positionV>
          <wp:extent cx="543600" cy="6314400"/>
          <wp:effectExtent l="0" t="0" r="8890" b="0"/>
          <wp:wrapNone/>
          <wp:docPr id="365"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104C2" w14:textId="02E88FC3" w:rsidR="00AD1FB0" w:rsidRDefault="00AD1FB0" w:rsidP="001E6EBC">
    <w:pPr>
      <w:pStyle w:val="Header-Landscape"/>
    </w:pPr>
    <w:r>
      <w:rPr>
        <w:noProof/>
        <w:lang w:eastAsia="en-AU"/>
      </w:rPr>
      <mc:AlternateContent>
        <mc:Choice Requires="wps">
          <w:drawing>
            <wp:anchor distT="0" distB="0" distL="114300" distR="114300" simplePos="0" relativeHeight="251600896" behindDoc="1" locked="0" layoutInCell="0" allowOverlap="1" wp14:anchorId="34D9E051" wp14:editId="105A8A78">
              <wp:simplePos x="0" y="0"/>
              <wp:positionH relativeFrom="margin">
                <wp:align>center</wp:align>
              </wp:positionH>
              <wp:positionV relativeFrom="margin">
                <wp:align>center</wp:align>
              </wp:positionV>
              <wp:extent cx="5730240" cy="1910080"/>
              <wp:effectExtent l="0" t="1619250" r="0" b="139509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0240" cy="1910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E98DF6"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D9E051" id="_x0000_t202" coordsize="21600,21600" o:spt="202" path="m,l,21600r21600,l21600,xe">
              <v:stroke joinstyle="miter"/>
              <v:path gradientshapeok="t" o:connecttype="rect"/>
            </v:shapetype>
            <v:shape id="Text Box 93" o:spid="_x0000_s1031" type="#_x0000_t202" style="position:absolute;margin-left:0;margin-top:0;width:451.2pt;height:150.4pt;rotation:-45;z-index:-251715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" o:allowincell="f" filled="f" stroked="f">
              <v:stroke joinstyle="round"/>
              <o:lock v:ext="edit" shapetype="t"/>
              <v:textbox style="mso-fit-shape-to-text:t">
                <w:txbxContent>
                  <w:p w14:paraId="43E98DF6"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p w14:paraId="3D905E85" w14:textId="77777777" w:rsidR="00AD1FB0" w:rsidRDefault="00AD1FB0" w:rsidP="001E6EBC">
    <w:pPr>
      <w:pStyle w:val="Header-Landscape"/>
    </w:pPr>
  </w:p>
  <w:p w14:paraId="6686D833" w14:textId="77777777" w:rsidR="00AD1FB0" w:rsidRDefault="00AD1FB0" w:rsidP="001E6EBC">
    <w:pPr>
      <w:pStyle w:val="Header-Landscape"/>
      <w:rPr>
        <w:lang w:val="en-GB"/>
      </w:rPr>
    </w:pPr>
    <w:r w:rsidRPr="00FA6699">
      <w:rPr>
        <w:noProof/>
        <w:snapToGrid/>
        <w:lang w:eastAsia="en-AU"/>
      </w:rPr>
      <w:drawing>
        <wp:anchor distT="0" distB="0" distL="114300" distR="114300" simplePos="0" relativeHeight="251598848" behindDoc="0" locked="0" layoutInCell="1" allowOverlap="1" wp14:anchorId="2138563E" wp14:editId="7C7ECF45">
          <wp:simplePos x="0" y="0"/>
          <wp:positionH relativeFrom="page">
            <wp:posOffset>648335</wp:posOffset>
          </wp:positionH>
          <wp:positionV relativeFrom="page">
            <wp:posOffset>900430</wp:posOffset>
          </wp:positionV>
          <wp:extent cx="543600" cy="8740800"/>
          <wp:effectExtent l="0" t="0" r="8890" b="3175"/>
          <wp:wrapNone/>
          <wp:docPr id="94"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089E72" w14:textId="77777777" w:rsidR="00AD1FB0" w:rsidRDefault="00AD1FB0" w:rsidP="001E6EBC">
    <w:pPr>
      <w:pStyle w:val="Header-Landscape"/>
    </w:pPr>
    <w:r w:rsidRPr="00FA6699">
      <w:rPr>
        <w:noProof/>
        <w:snapToGrid/>
        <w:lang w:eastAsia="en-AU"/>
      </w:rPr>
      <w:drawing>
        <wp:anchor distT="0" distB="0" distL="114300" distR="114300" simplePos="0" relativeHeight="251599872" behindDoc="0" locked="0" layoutInCell="1" allowOverlap="1" wp14:anchorId="0C88DCE6" wp14:editId="27E27451">
          <wp:simplePos x="0" y="0"/>
          <wp:positionH relativeFrom="page">
            <wp:posOffset>648335</wp:posOffset>
          </wp:positionH>
          <wp:positionV relativeFrom="page">
            <wp:posOffset>900430</wp:posOffset>
          </wp:positionV>
          <wp:extent cx="543600" cy="6314400"/>
          <wp:effectExtent l="0" t="0" r="8890" b="0"/>
          <wp:wrapNone/>
          <wp:docPr id="361"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D48FE8" w14:textId="77777777" w:rsidR="00AD1FB0" w:rsidRPr="007560B4" w:rsidRDefault="00AD1FB0" w:rsidP="001E6EBC">
    <w:pPr>
      <w:pStyle w:val="Header-Landscape"/>
      <w:rPr>
        <w:lang w:val="en-GB"/>
      </w:rPr>
    </w:pPr>
    <w:r w:rsidRPr="00FA6699">
      <w:rPr>
        <w:noProof/>
        <w:snapToGrid/>
        <w:lang w:eastAsia="en-AU"/>
      </w:rPr>
      <w:drawing>
        <wp:anchor distT="0" distB="0" distL="114300" distR="114300" simplePos="0" relativeHeight="251637760" behindDoc="0" locked="0" layoutInCell="1" allowOverlap="1" wp14:anchorId="4AA1A55A" wp14:editId="359510C8">
          <wp:simplePos x="0" y="0"/>
          <wp:positionH relativeFrom="page">
            <wp:posOffset>648335</wp:posOffset>
          </wp:positionH>
          <wp:positionV relativeFrom="page">
            <wp:posOffset>900430</wp:posOffset>
          </wp:positionV>
          <wp:extent cx="543600" cy="6314400"/>
          <wp:effectExtent l="0" t="0" r="8890" b="0"/>
          <wp:wrapNone/>
          <wp:docPr id="366"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10C18" w14:textId="3BCBEB24" w:rsidR="00AD1FB0" w:rsidRPr="007560B4" w:rsidRDefault="00AD1FB0" w:rsidP="001E6EBC">
    <w:pPr>
      <w:pStyle w:val="FirstPagePanelFrameLandscape"/>
      <w:framePr w:wrap="notBesid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B2916" w14:textId="7C628099" w:rsidR="00AD1FB0" w:rsidRDefault="009B6094" w:rsidP="00B54A8B">
    <w:pPr>
      <w:pStyle w:val="Header-Landscape"/>
    </w:pPr>
    <w:fldSimple w:instr=" STYLEREF &quot;Heading 2&quot; ">
      <w:r w:rsidR="00296186">
        <w:rPr>
          <w:noProof/>
        </w:rPr>
        <w:t>Scholarship overview</w:t>
      </w:r>
    </w:fldSimple>
  </w:p>
  <w:p w14:paraId="43B3ECA3" w14:textId="77777777" w:rsidR="00AD1FB0" w:rsidRDefault="00AD1FB0" w:rsidP="00B54A8B">
    <w:pPr>
      <w:pStyle w:val="Header-Landscape"/>
      <w:rPr>
        <w:lang w:val="en-GB"/>
      </w:rPr>
    </w:pPr>
    <w:r w:rsidRPr="00FA6699">
      <w:rPr>
        <w:noProof/>
        <w:snapToGrid/>
        <w:lang w:eastAsia="en-AU"/>
      </w:rPr>
      <w:drawing>
        <wp:anchor distT="0" distB="0" distL="114300" distR="114300" simplePos="0" relativeHeight="251667456" behindDoc="0" locked="0" layoutInCell="1" allowOverlap="1" wp14:anchorId="24C7862F" wp14:editId="62B3DF51">
          <wp:simplePos x="0" y="0"/>
          <wp:positionH relativeFrom="page">
            <wp:posOffset>648335</wp:posOffset>
          </wp:positionH>
          <wp:positionV relativeFrom="page">
            <wp:posOffset>900430</wp:posOffset>
          </wp:positionV>
          <wp:extent cx="543600" cy="8740800"/>
          <wp:effectExtent l="0" t="0" r="8890" b="3175"/>
          <wp:wrapNone/>
          <wp:docPr id="77"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89F32B" w14:textId="77777777" w:rsidR="00AD1FB0" w:rsidRPr="007560B4" w:rsidRDefault="00AD1FB0" w:rsidP="00B54A8B">
    <w:pPr>
      <w:pStyle w:val="Header-Landscape"/>
      <w:rPr>
        <w:lang w:val="en-GB"/>
      </w:rPr>
    </w:pPr>
    <w:r w:rsidRPr="00FA6699">
      <w:rPr>
        <w:noProof/>
        <w:snapToGrid/>
        <w:lang w:eastAsia="en-AU"/>
      </w:rPr>
      <w:drawing>
        <wp:anchor distT="0" distB="0" distL="114300" distR="114300" simplePos="0" relativeHeight="251668480" behindDoc="0" locked="0" layoutInCell="1" allowOverlap="1" wp14:anchorId="08434CF5" wp14:editId="298B1552">
          <wp:simplePos x="0" y="0"/>
          <wp:positionH relativeFrom="page">
            <wp:posOffset>648335</wp:posOffset>
          </wp:positionH>
          <wp:positionV relativeFrom="page">
            <wp:posOffset>900430</wp:posOffset>
          </wp:positionV>
          <wp:extent cx="543600" cy="6314400"/>
          <wp:effectExtent l="0" t="0" r="8890" b="0"/>
          <wp:wrapNone/>
          <wp:docPr id="78"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4980D" w14:textId="09B18B58" w:rsidR="00AD1FB0" w:rsidRPr="002D69E9" w:rsidRDefault="009B6094" w:rsidP="00B54A8B">
    <w:pPr>
      <w:pStyle w:val="Header-Landscape"/>
    </w:pPr>
    <w:fldSimple w:instr=" STYLEREF &quot;Heading 2&quot; ">
      <w:r w:rsidR="00296186">
        <w:rPr>
          <w:noProof/>
        </w:rPr>
        <w:t>Scholarship overview</w:t>
      </w:r>
    </w:fldSimple>
  </w:p>
  <w:p w14:paraId="2499CFE4" w14:textId="77777777" w:rsidR="00AD1FB0" w:rsidRPr="002D69E9" w:rsidRDefault="00AD1FB0" w:rsidP="00B54A8B">
    <w:pPr>
      <w:pStyle w:val="Header-Landscape"/>
      <w:rPr>
        <w:lang w:val="en-GB"/>
      </w:rPr>
    </w:pPr>
    <w:r w:rsidRPr="002D69E9">
      <w:rPr>
        <w:noProof/>
        <w:snapToGrid/>
        <w:lang w:eastAsia="en-AU"/>
      </w:rPr>
      <w:drawing>
        <wp:anchor distT="0" distB="0" distL="114300" distR="114300" simplePos="0" relativeHeight="251663360" behindDoc="0" locked="0" layoutInCell="1" allowOverlap="1" wp14:anchorId="1B0F394B" wp14:editId="57BDBE09">
          <wp:simplePos x="0" y="0"/>
          <wp:positionH relativeFrom="page">
            <wp:posOffset>648335</wp:posOffset>
          </wp:positionH>
          <wp:positionV relativeFrom="page">
            <wp:posOffset>900430</wp:posOffset>
          </wp:positionV>
          <wp:extent cx="543600" cy="8740800"/>
          <wp:effectExtent l="0" t="0" r="8890" b="3175"/>
          <wp:wrapNone/>
          <wp:docPr id="71"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914E7" w14:textId="77777777" w:rsidR="00AD1FB0" w:rsidRPr="002D69E9" w:rsidRDefault="00AD1FB0" w:rsidP="00B54A8B">
    <w:pPr>
      <w:pStyle w:val="Header-Landscape"/>
      <w:rPr>
        <w:lang w:val="en-GB"/>
      </w:rPr>
    </w:pPr>
    <w:r w:rsidRPr="002D69E9">
      <w:rPr>
        <w:noProof/>
        <w:snapToGrid/>
        <w:lang w:eastAsia="en-AU"/>
      </w:rPr>
      <w:drawing>
        <wp:anchor distT="0" distB="0" distL="114300" distR="114300" simplePos="0" relativeHeight="251665408" behindDoc="0" locked="0" layoutInCell="1" allowOverlap="1" wp14:anchorId="04807081" wp14:editId="2530318B">
          <wp:simplePos x="0" y="0"/>
          <wp:positionH relativeFrom="page">
            <wp:posOffset>648335</wp:posOffset>
          </wp:positionH>
          <wp:positionV relativeFrom="page">
            <wp:posOffset>900430</wp:posOffset>
          </wp:positionV>
          <wp:extent cx="543600" cy="6314400"/>
          <wp:effectExtent l="0" t="0" r="8890" b="0"/>
          <wp:wrapNone/>
          <wp:docPr id="72"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6CDBB" w14:textId="0CABA5CC" w:rsidR="00AD1FB0" w:rsidRDefault="00AD1FB0" w:rsidP="00B54A8B">
    <w:pPr>
      <w:pStyle w:val="Header-Landscape"/>
    </w:pPr>
    <w:r>
      <w:rPr>
        <w:noProof/>
        <w:lang w:eastAsia="en-AU"/>
      </w:rPr>
      <mc:AlternateContent>
        <mc:Choice Requires="wps">
          <w:drawing>
            <wp:anchor distT="0" distB="0" distL="114300" distR="114300" simplePos="0" relativeHeight="251683840" behindDoc="1" locked="0" layoutInCell="0" allowOverlap="1" wp14:anchorId="17D6755F" wp14:editId="44E965E8">
              <wp:simplePos x="0" y="0"/>
              <wp:positionH relativeFrom="margin">
                <wp:align>center</wp:align>
              </wp:positionH>
              <wp:positionV relativeFrom="margin">
                <wp:align>center</wp:align>
              </wp:positionV>
              <wp:extent cx="5730240" cy="1910080"/>
              <wp:effectExtent l="0" t="1619250" r="0" b="139509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0240" cy="1910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5C92FB"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D6755F" id="_x0000_t202" coordsize="21600,21600" o:spt="202" path="m,l,21600r21600,l21600,xe">
              <v:stroke joinstyle="miter"/>
              <v:path gradientshapeok="t" o:connecttype="rect"/>
            </v:shapetype>
            <v:shape id="Text Box 73" o:spid="_x0000_s1032" type="#_x0000_t202" style="position:absolute;margin-left:0;margin-top:0;width:451.2pt;height:150.4pt;rotation:-45;z-index:-25163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" o:allowincell="f" filled="f" stroked="f">
              <v:stroke joinstyle="round"/>
              <o:lock v:ext="edit" shapetype="t"/>
              <v:textbox style="mso-fit-shape-to-text:t">
                <w:txbxContent>
                  <w:p w14:paraId="355C92FB" w14:textId="77777777" w:rsidR="00AD1FB0" w:rsidRDefault="00AD1FB0" w:rsidP="00B54A8B">
                    <w:pPr>
                      <w:pStyle w:val="NormalWeb"/>
                      <w:spacing w:before="0" w:beforeAutospacing="0" w:after="0" w:afterAutospacing="0"/>
                      <w:jc w:val="center"/>
                    </w:pPr>
                    <w:r>
                      <w:rPr>
                        <w:rFonts w:ascii="Georgia" w:hAnsi="Georgia"/>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p w14:paraId="19EF2048" w14:textId="77777777" w:rsidR="00AD1FB0" w:rsidRDefault="00AD1FB0" w:rsidP="00B54A8B">
    <w:pPr>
      <w:pStyle w:val="Header-Landscape"/>
    </w:pPr>
  </w:p>
  <w:p w14:paraId="05B6171E" w14:textId="77777777" w:rsidR="00AD1FB0" w:rsidRDefault="00AD1FB0" w:rsidP="00B54A8B">
    <w:pPr>
      <w:pStyle w:val="Header-Landscape"/>
      <w:rPr>
        <w:lang w:val="en-GB"/>
      </w:rPr>
    </w:pPr>
    <w:r w:rsidRPr="00FA6699">
      <w:rPr>
        <w:noProof/>
        <w:snapToGrid/>
        <w:lang w:eastAsia="en-AU"/>
      </w:rPr>
      <w:drawing>
        <wp:anchor distT="0" distB="0" distL="114300" distR="114300" simplePos="0" relativeHeight="251678720" behindDoc="0" locked="0" layoutInCell="1" allowOverlap="1" wp14:anchorId="4C7191FA" wp14:editId="48F748E7">
          <wp:simplePos x="0" y="0"/>
          <wp:positionH relativeFrom="page">
            <wp:posOffset>648335</wp:posOffset>
          </wp:positionH>
          <wp:positionV relativeFrom="page">
            <wp:posOffset>900430</wp:posOffset>
          </wp:positionV>
          <wp:extent cx="543600" cy="8740800"/>
          <wp:effectExtent l="0" t="0" r="8890" b="3175"/>
          <wp:wrapNone/>
          <wp:docPr id="74"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18CC7" w14:textId="77777777" w:rsidR="00AD1FB0" w:rsidRPr="007560B4" w:rsidRDefault="00AD1FB0" w:rsidP="00B54A8B">
    <w:pPr>
      <w:pStyle w:val="FirstPagePanelFrameLandscape"/>
      <w:framePr w:wrap="notBeside"/>
    </w:pPr>
    <w:r w:rsidRPr="00FA6699">
      <w:rPr>
        <w:noProof/>
        <w:snapToGrid/>
        <w:lang w:val="en-AU" w:eastAsia="en-AU"/>
      </w:rPr>
      <w:drawing>
        <wp:anchor distT="0" distB="0" distL="114300" distR="114300" simplePos="0" relativeHeight="251682816" behindDoc="0" locked="0" layoutInCell="1" allowOverlap="1" wp14:anchorId="7EE720B0" wp14:editId="51B494AB">
          <wp:simplePos x="0" y="0"/>
          <wp:positionH relativeFrom="page">
            <wp:posOffset>648335</wp:posOffset>
          </wp:positionH>
          <wp:positionV relativeFrom="page">
            <wp:posOffset>900430</wp:posOffset>
          </wp:positionV>
          <wp:extent cx="543600" cy="6314400"/>
          <wp:effectExtent l="0" t="0" r="8890" b="0"/>
          <wp:wrapNone/>
          <wp:docPr id="75"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ED210" w14:textId="3AB52AC9" w:rsidR="00AD1FB0" w:rsidRDefault="009B6094" w:rsidP="00B54A8B">
    <w:pPr>
      <w:pStyle w:val="Header-Landscape"/>
    </w:pPr>
    <w:fldSimple w:instr=" STYLEREF &quot;Heading 2&quot; ">
      <w:r w:rsidR="00296186">
        <w:rPr>
          <w:noProof/>
        </w:rPr>
        <w:t>Overview of current data holdings</w:t>
      </w:r>
    </w:fldSimple>
  </w:p>
  <w:p w14:paraId="2B7DA288" w14:textId="77777777" w:rsidR="00AD1FB0" w:rsidRDefault="00AD1FB0" w:rsidP="00B54A8B">
    <w:pPr>
      <w:pStyle w:val="Header-Landscape"/>
      <w:rPr>
        <w:lang w:val="en-GB"/>
      </w:rPr>
    </w:pPr>
    <w:r w:rsidRPr="00FA6699">
      <w:rPr>
        <w:noProof/>
        <w:snapToGrid/>
        <w:lang w:eastAsia="en-AU"/>
      </w:rPr>
      <w:drawing>
        <wp:anchor distT="0" distB="0" distL="114300" distR="114300" simplePos="0" relativeHeight="251617280" behindDoc="0" locked="0" layoutInCell="1" allowOverlap="1" wp14:anchorId="7071561F" wp14:editId="11A0FE61">
          <wp:simplePos x="0" y="0"/>
          <wp:positionH relativeFrom="page">
            <wp:posOffset>648335</wp:posOffset>
          </wp:positionH>
          <wp:positionV relativeFrom="page">
            <wp:posOffset>900430</wp:posOffset>
          </wp:positionV>
          <wp:extent cx="543600" cy="8740800"/>
          <wp:effectExtent l="0" t="0" r="8890" b="3175"/>
          <wp:wrapNone/>
          <wp:docPr id="1"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0F27B" w14:textId="77777777" w:rsidR="00AD1FB0" w:rsidRPr="007560B4" w:rsidRDefault="00AD1FB0" w:rsidP="00B54A8B">
    <w:pPr>
      <w:pStyle w:val="Header-Landscape"/>
      <w:rPr>
        <w:lang w:val="en-GB"/>
      </w:rPr>
    </w:pPr>
    <w:r w:rsidRPr="00FA6699">
      <w:rPr>
        <w:noProof/>
        <w:snapToGrid/>
        <w:lang w:eastAsia="en-AU"/>
      </w:rPr>
      <w:drawing>
        <wp:anchor distT="0" distB="0" distL="114300" distR="114300" simplePos="0" relativeHeight="251623424" behindDoc="0" locked="0" layoutInCell="1" allowOverlap="1" wp14:anchorId="2D1BAE04" wp14:editId="684B8C61">
          <wp:simplePos x="0" y="0"/>
          <wp:positionH relativeFrom="page">
            <wp:posOffset>648335</wp:posOffset>
          </wp:positionH>
          <wp:positionV relativeFrom="page">
            <wp:posOffset>900430</wp:posOffset>
          </wp:positionV>
          <wp:extent cx="543600" cy="6314400"/>
          <wp:effectExtent l="0" t="0" r="8890" b="0"/>
          <wp:wrapNone/>
          <wp:docPr id="5"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ED112" w14:textId="47DEC6CC" w:rsidR="00AD1FB0" w:rsidRDefault="009B6094" w:rsidP="001E6EBC">
    <w:pPr>
      <w:pStyle w:val="Header-Landscape"/>
    </w:pPr>
    <w:fldSimple w:instr=" STYLEREF &quot;Heading 2&quot; ">
      <w:r w:rsidR="00296186">
        <w:rPr>
          <w:noProof/>
        </w:rPr>
        <w:t>Overview of current data holdings</w:t>
      </w:r>
    </w:fldSimple>
  </w:p>
  <w:p w14:paraId="70777FBF" w14:textId="77777777" w:rsidR="00AD1FB0" w:rsidRDefault="00AD1FB0" w:rsidP="001E6EBC">
    <w:pPr>
      <w:pStyle w:val="Header-Landscape"/>
      <w:rPr>
        <w:lang w:val="en-GB"/>
      </w:rPr>
    </w:pPr>
    <w:r w:rsidRPr="00FA6699">
      <w:rPr>
        <w:noProof/>
        <w:snapToGrid/>
        <w:lang w:eastAsia="en-AU"/>
      </w:rPr>
      <w:drawing>
        <wp:anchor distT="0" distB="0" distL="114300" distR="114300" simplePos="0" relativeHeight="251615232" behindDoc="0" locked="0" layoutInCell="1" allowOverlap="1" wp14:anchorId="44215D25" wp14:editId="23A3A574">
          <wp:simplePos x="0" y="0"/>
          <wp:positionH relativeFrom="page">
            <wp:posOffset>648335</wp:posOffset>
          </wp:positionH>
          <wp:positionV relativeFrom="page">
            <wp:posOffset>900430</wp:posOffset>
          </wp:positionV>
          <wp:extent cx="543600" cy="8740800"/>
          <wp:effectExtent l="0" t="0" r="8890" b="3175"/>
          <wp:wrapNone/>
          <wp:docPr id="11"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6CA4EB" w14:textId="77777777" w:rsidR="00AD1FB0" w:rsidRPr="007560B4" w:rsidRDefault="00AD1FB0" w:rsidP="001E6EBC">
    <w:pPr>
      <w:pStyle w:val="Header-Landscape"/>
      <w:rPr>
        <w:lang w:val="en-GB"/>
      </w:rPr>
    </w:pPr>
    <w:r w:rsidRPr="00FA6699">
      <w:rPr>
        <w:noProof/>
        <w:snapToGrid/>
        <w:lang w:eastAsia="en-AU"/>
      </w:rPr>
      <w:drawing>
        <wp:anchor distT="0" distB="0" distL="114300" distR="114300" simplePos="0" relativeHeight="251619328" behindDoc="0" locked="0" layoutInCell="1" allowOverlap="1" wp14:anchorId="2C496CBB" wp14:editId="580F2B55">
          <wp:simplePos x="0" y="0"/>
          <wp:positionH relativeFrom="page">
            <wp:posOffset>648335</wp:posOffset>
          </wp:positionH>
          <wp:positionV relativeFrom="page">
            <wp:posOffset>900430</wp:posOffset>
          </wp:positionV>
          <wp:extent cx="543600" cy="6314400"/>
          <wp:effectExtent l="0" t="0" r="8890" b="0"/>
          <wp:wrapNone/>
          <wp:docPr id="16"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66AA7" w14:textId="582DB384" w:rsidR="00AD1FB0" w:rsidRDefault="00AD1FB0" w:rsidP="00D05927">
    <w:pPr>
      <w:pStyle w:val="URLCover"/>
      <w:rPr>
        <w:noProof/>
        <w:snapToGrid/>
        <w:lang w:eastAsia="en-AU"/>
      </w:rPr>
    </w:pPr>
    <w:r>
      <w:rPr>
        <w:noProof/>
        <w:snapToGrid/>
        <w:lang w:eastAsia="en-AU"/>
      </w:rPr>
      <w:t>www.pwc.com.au/pic</w:t>
    </w:r>
  </w:p>
  <w:p w14:paraId="022673E5" w14:textId="77777777" w:rsidR="00AD1FB0" w:rsidRDefault="00AD1FB0" w:rsidP="00D05927">
    <w:pPr>
      <w:pStyle w:val="Header"/>
    </w:pPr>
    <w:r>
      <w:rPr>
        <w:rFonts w:eastAsia="+mn-ea"/>
        <w:noProof/>
        <w:snapToGrid/>
        <w:lang w:eastAsia="en-AU"/>
      </w:rPr>
      <mc:AlternateContent>
        <mc:Choice Requires="wps">
          <w:drawing>
            <wp:anchor distT="0" distB="0" distL="114300" distR="114300" simplePos="0" relativeHeight="251626496" behindDoc="0" locked="1" layoutInCell="1" allowOverlap="1" wp14:anchorId="1D75D107" wp14:editId="22B60D0F">
              <wp:simplePos x="0" y="0"/>
              <wp:positionH relativeFrom="page">
                <wp:posOffset>1873885</wp:posOffset>
              </wp:positionH>
              <wp:positionV relativeFrom="page">
                <wp:posOffset>9780270</wp:posOffset>
              </wp:positionV>
              <wp:extent cx="230505" cy="50165"/>
              <wp:effectExtent l="0" t="0" r="0" b="6985"/>
              <wp:wrapNone/>
              <wp:docPr id="30" name="Rectangle 5625" descr="PwC border" title="Border around Disclaimer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50165"/>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93556" id="Rectangle 5625" o:spid="_x0000_s1026" alt="Title: Border around Disclaimer page - Description: PwC border" style="position:absolute;margin-left:147.55pt;margin-top:770.1pt;width:18.15pt;height:3.9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" fillcolor="#a32020 [3215]" stroked="f">
              <w10:wrap anchorx="page" anchory="page"/>
              <w10:anchorlock/>
            </v:rect>
          </w:pict>
        </mc:Fallback>
      </mc:AlternateContent>
    </w:r>
    <w:r>
      <w:rPr>
        <w:rFonts w:eastAsia="+mn-ea"/>
        <w:noProof/>
        <w:snapToGrid/>
        <w:lang w:eastAsia="en-AU"/>
      </w:rPr>
      <mc:AlternateContent>
        <mc:Choice Requires="wpg">
          <w:drawing>
            <wp:anchor distT="0" distB="0" distL="114300" distR="114300" simplePos="0" relativeHeight="251624448" behindDoc="0" locked="0" layoutInCell="1" allowOverlap="1" wp14:anchorId="05CD6552" wp14:editId="707C36F4">
              <wp:simplePos x="0" y="0"/>
              <wp:positionH relativeFrom="column">
                <wp:posOffset>-147955</wp:posOffset>
              </wp:positionH>
              <wp:positionV relativeFrom="paragraph">
                <wp:posOffset>233045</wp:posOffset>
              </wp:positionV>
              <wp:extent cx="5295900" cy="9149080"/>
              <wp:effectExtent l="0" t="0" r="0" b="0"/>
              <wp:wrapNone/>
              <wp:docPr id="23" name="Group 5602" descr="PwC Border" title="Report Bor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9149080"/>
                        <a:chOff x="3311" y="991"/>
                        <a:chExt cx="8340" cy="14408"/>
                      </a:xfrm>
                    </wpg:grpSpPr>
                    <wps:wsp>
                      <wps:cNvPr id="24" name="Rectangle 5603"/>
                      <wps:cNvSpPr>
                        <a:spLocks noChangeArrowheads="1"/>
                      </wps:cNvSpPr>
                      <wps:spPr bwMode="auto">
                        <a:xfrm>
                          <a:off x="3311" y="991"/>
                          <a:ext cx="7162" cy="14408"/>
                        </a:xfrm>
                        <a:prstGeom prst="rect">
                          <a:avLst/>
                        </a:prstGeom>
                        <a:solidFill>
                          <a:srgbClr val="F396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5604"/>
                      <wps:cNvSpPr>
                        <a:spLocks noChangeArrowheads="1"/>
                      </wps:cNvSpPr>
                      <wps:spPr bwMode="auto">
                        <a:xfrm>
                          <a:off x="3311" y="3161"/>
                          <a:ext cx="8340" cy="12238"/>
                        </a:xfrm>
                        <a:prstGeom prst="rect">
                          <a:avLst/>
                        </a:prstGeom>
                        <a:solidFill>
                          <a:srgbClr val="FAC6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5605"/>
                      <wps:cNvSpPr>
                        <a:spLocks noChangeArrowheads="1"/>
                      </wps:cNvSpPr>
                      <wps:spPr bwMode="auto">
                        <a:xfrm>
                          <a:off x="3311" y="1945"/>
                          <a:ext cx="7570" cy="13454"/>
                        </a:xfrm>
                        <a:prstGeom prst="rect">
                          <a:avLst/>
                        </a:prstGeom>
                        <a:solidFill>
                          <a:srgbClr val="EAB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606"/>
                      <wps:cNvSpPr>
                        <a:spLocks noChangeArrowheads="1"/>
                      </wps:cNvSpPr>
                      <wps:spPr bwMode="auto">
                        <a:xfrm>
                          <a:off x="3311" y="1945"/>
                          <a:ext cx="7162" cy="13454"/>
                        </a:xfrm>
                        <a:prstGeom prst="rect">
                          <a:avLst/>
                        </a:prstGeom>
                        <a:solidFill>
                          <a:srgbClr val="E070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5607"/>
                      <wps:cNvSpPr>
                        <a:spLocks noChangeArrowheads="1"/>
                      </wps:cNvSpPr>
                      <wps:spPr bwMode="auto">
                        <a:xfrm>
                          <a:off x="3311" y="3161"/>
                          <a:ext cx="7570" cy="12238"/>
                        </a:xfrm>
                        <a:prstGeom prst="rect">
                          <a:avLst/>
                        </a:prstGeom>
                        <a:solidFill>
                          <a:srgbClr val="E593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5608" descr="Final Report&#10;Part 1&#10;PwC's Indigenous Consulting" title="Review of the IAS funded secondary school scholarshipsfor Aboriginal and Torres Strait Islander Students"/>
                      <wps:cNvSpPr>
                        <a:spLocks noChangeArrowheads="1"/>
                      </wps:cNvSpPr>
                      <wps:spPr bwMode="auto">
                        <a:xfrm>
                          <a:off x="3311" y="3161"/>
                          <a:ext cx="7162" cy="12238"/>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870AE" id="Group 5602" o:spid="_x0000_s1026" alt="Title: Report Border - Description: PwC Border" style="position:absolute;margin-left:-11.65pt;margin-top:18.35pt;width:417pt;height:720.4pt;z-index:251624448" coordorigin="3311,991" coordsize="8340,1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">
              <v:rect id="Rectangle 5603" o:spid="_x0000_s1027" style="position:absolute;left:3311;top:991;width:7162;height:1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" fillcolor="#f39655" stroked="f"/>
              <v:rect id="Rectangle 5604" o:spid="_x0000_s1028" style="position:absolute;left:3311;top:3161;width:8340;height:1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" fillcolor="#fac69f" stroked="f"/>
              <v:rect id="Rectangle 5605" o:spid="_x0000_s1029" style="position:absolute;left:3311;top:1945;width:7570;height:1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" fillcolor="#eabeb4" stroked="f"/>
              <v:rect id="Rectangle 5606" o:spid="_x0000_s1030" style="position:absolute;left:3311;top:1945;width:7162;height:1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" fillcolor="#e0703e" stroked="f"/>
              <v:rect id="Rectangle 5607" o:spid="_x0000_s1031" style="position:absolute;left:3311;top:3161;width:7570;height:1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" fillcolor="#e59370" stroked="f"/>
              <v:rect id="Rectangle 5608" o:spid="_x0000_s1032" alt="Final Report&#10;Part 1&#10;PwC's Indigenous Consulting" style="position:absolute;left:3311;top:3161;width:7162;height:1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" fillcolor="#a32020 [3215]" stroked="f"/>
            </v:group>
          </w:pict>
        </mc:Fallback>
      </mc:AlternateContent>
    </w:r>
    <w:r>
      <w:rPr>
        <w:rFonts w:eastAsia="+mn-ea"/>
        <w:noProof/>
        <w:snapToGrid/>
        <w:lang w:eastAsia="en-AU"/>
      </w:rPr>
      <mc:AlternateContent>
        <mc:Choice Requires="wps">
          <w:drawing>
            <wp:anchor distT="0" distB="0" distL="114300" distR="114300" simplePos="0" relativeHeight="251622400" behindDoc="0" locked="0" layoutInCell="1" allowOverlap="1" wp14:anchorId="33C80CCF" wp14:editId="103F6AD3">
              <wp:simplePos x="0" y="0"/>
              <wp:positionH relativeFrom="column">
                <wp:posOffset>-147955</wp:posOffset>
              </wp:positionH>
              <wp:positionV relativeFrom="paragraph">
                <wp:posOffset>3044825</wp:posOffset>
              </wp:positionV>
              <wp:extent cx="4806950" cy="6337300"/>
              <wp:effectExtent l="0" t="0" r="0" b="6350"/>
              <wp:wrapNone/>
              <wp:docPr id="22" name="Rectangle 5601" title="PwC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0" cy="633730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E8758" id="Rectangle 5601" o:spid="_x0000_s1026" alt="Title: PwC Border" style="position:absolute;margin-left:-11.65pt;margin-top:239.75pt;width:378.5pt;height:49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" fillcolor="#a32020 [3215]" stroked="f"/>
          </w:pict>
        </mc:Fallback>
      </mc:AlternateContent>
    </w:r>
    <w:r>
      <w:rPr>
        <w:rFonts w:eastAsia="+mn-ea"/>
        <w:noProof/>
        <w:snapToGrid/>
        <w:lang w:eastAsia="en-AU"/>
      </w:rPr>
      <w:drawing>
        <wp:anchor distT="0" distB="0" distL="114300" distR="114300" simplePos="0" relativeHeight="251620352" behindDoc="1" locked="1" layoutInCell="1" allowOverlap="1" wp14:anchorId="49CC42E4" wp14:editId="58342F4B">
          <wp:simplePos x="0" y="0"/>
          <wp:positionH relativeFrom="page">
            <wp:posOffset>1333500</wp:posOffset>
          </wp:positionH>
          <wp:positionV relativeFrom="page">
            <wp:posOffset>9772650</wp:posOffset>
          </wp:positionV>
          <wp:extent cx="914400" cy="533400"/>
          <wp:effectExtent l="0" t="0" r="0" b="0"/>
          <wp:wrapNone/>
          <wp:docPr id="3" name="PwCLogoPAL2" title="Pag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914400" cy="533400"/>
                  </a:xfrm>
                  <a:prstGeom prst="rect">
                    <a:avLst/>
                  </a:prstGeom>
                  <a:noFill/>
                  <a:ln w="9525">
                    <a:noFill/>
                    <a:miter lim="800000"/>
                    <a:headEnd/>
                    <a:tailEnd/>
                  </a:ln>
                </pic:spPr>
              </pic:pic>
            </a:graphicData>
          </a:graphic>
        </wp:anchor>
      </w:drawing>
    </w:r>
  </w:p>
  <w:p w14:paraId="1838C8E6" w14:textId="77777777" w:rsidR="00AD1FB0" w:rsidRPr="00D05927" w:rsidRDefault="00AD1FB0" w:rsidP="00D0592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1821E" w14:textId="4CA94048" w:rsidR="00AD1FB0" w:rsidRDefault="00AD1FB0" w:rsidP="00B54A8B">
    <w:pPr>
      <w:pStyle w:val="Header-Landscape"/>
    </w:pPr>
  </w:p>
  <w:p w14:paraId="47696DDF" w14:textId="77777777" w:rsidR="00AD1FB0" w:rsidRPr="00D61BF2" w:rsidRDefault="00AD1FB0" w:rsidP="00B54A8B">
    <w:pPr>
      <w:pStyle w:val="Header-Landscape"/>
    </w:pPr>
  </w:p>
  <w:p w14:paraId="32A8EDF6" w14:textId="77777777" w:rsidR="00AD1FB0" w:rsidRDefault="00AD1FB0" w:rsidP="00B54A8B">
    <w:pPr>
      <w:pStyle w:val="Header-Landscape"/>
    </w:pPr>
  </w:p>
  <w:p w14:paraId="15BDCA11" w14:textId="77777777" w:rsidR="00AD1FB0" w:rsidRDefault="00AD1FB0" w:rsidP="00B54A8B">
    <w:pPr>
      <w:pStyle w:val="Header-Landscape"/>
      <w:rPr>
        <w:lang w:val="en-GB"/>
      </w:rPr>
    </w:pPr>
    <w:r w:rsidRPr="00FA6699">
      <w:rPr>
        <w:noProof/>
        <w:snapToGrid/>
        <w:lang w:eastAsia="en-AU"/>
      </w:rPr>
      <w:drawing>
        <wp:anchor distT="0" distB="0" distL="114300" distR="114300" simplePos="0" relativeHeight="251589632" behindDoc="0" locked="0" layoutInCell="1" allowOverlap="1" wp14:anchorId="4F70511F" wp14:editId="2A2C135B">
          <wp:simplePos x="0" y="0"/>
          <wp:positionH relativeFrom="page">
            <wp:posOffset>648335</wp:posOffset>
          </wp:positionH>
          <wp:positionV relativeFrom="page">
            <wp:posOffset>900430</wp:posOffset>
          </wp:positionV>
          <wp:extent cx="543600" cy="8740800"/>
          <wp:effectExtent l="0" t="0" r="8890" b="3175"/>
          <wp:wrapNone/>
          <wp:docPr id="17"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D9D88" w14:textId="77777777" w:rsidR="00AD1FB0" w:rsidRPr="007560B4" w:rsidRDefault="00AD1FB0" w:rsidP="00B54A8B">
    <w:pPr>
      <w:pStyle w:val="FirstPagePanelFrameLandscape"/>
      <w:framePr w:wrap="notBeside"/>
    </w:pPr>
    <w:r w:rsidRPr="00FA6699">
      <w:rPr>
        <w:noProof/>
        <w:snapToGrid/>
        <w:lang w:val="en-AU" w:eastAsia="en-AU"/>
      </w:rPr>
      <w:drawing>
        <wp:anchor distT="0" distB="0" distL="114300" distR="114300" simplePos="0" relativeHeight="251591680" behindDoc="0" locked="0" layoutInCell="1" allowOverlap="1" wp14:anchorId="436AB14F" wp14:editId="77EF500A">
          <wp:simplePos x="0" y="0"/>
          <wp:positionH relativeFrom="page">
            <wp:posOffset>648335</wp:posOffset>
          </wp:positionH>
          <wp:positionV relativeFrom="page">
            <wp:posOffset>900430</wp:posOffset>
          </wp:positionV>
          <wp:extent cx="543600" cy="6314400"/>
          <wp:effectExtent l="0" t="0" r="8890" b="0"/>
          <wp:wrapNone/>
          <wp:docPr id="19"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50326" w14:textId="58ADF77D" w:rsidR="00AD1FB0" w:rsidRDefault="00AD1FB0" w:rsidP="00E0770B">
    <w:pPr>
      <w:pStyle w:val="Header-Landscape"/>
    </w:pPr>
    <w:r>
      <w:rPr>
        <w:noProof/>
        <w:lang w:eastAsia="en-AU"/>
      </w:rPr>
      <mc:AlternateContent>
        <mc:Choice Requires="wps">
          <w:drawing>
            <wp:anchor distT="0" distB="0" distL="114300" distR="114300" simplePos="0" relativeHeight="251671552" behindDoc="1" locked="0" layoutInCell="0" allowOverlap="1" wp14:anchorId="1A574E57" wp14:editId="32DE8280">
              <wp:simplePos x="0" y="0"/>
              <wp:positionH relativeFrom="margin">
                <wp:align>center</wp:align>
              </wp:positionH>
              <wp:positionV relativeFrom="margin">
                <wp:align>center</wp:align>
              </wp:positionV>
              <wp:extent cx="5730240" cy="1910080"/>
              <wp:effectExtent l="0" t="1619250" r="0" b="139509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0240" cy="1910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C7F21C" w14:textId="77777777" w:rsidR="00AD1FB0" w:rsidRDefault="00AD1FB0" w:rsidP="00B54A8B">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574E57" id="_x0000_t202" coordsize="21600,21600" o:spt="202" path="m,l,21600r21600,l21600,xe">
              <v:stroke joinstyle="miter"/>
              <v:path gradientshapeok="t" o:connecttype="rect"/>
            </v:shapetype>
            <v:shape id="Text Box 384" o:spid="_x0000_s1033" type="#_x0000_t202" style="position:absolute;margin-left:0;margin-top:0;width:451.2pt;height:150.4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" o:allowincell="f" filled="f" stroked="f">
              <v:stroke joinstyle="round"/>
              <o:lock v:ext="edit" shapetype="t"/>
              <v:textbox style="mso-fit-shape-to-text:t">
                <w:txbxContent>
                  <w:p w14:paraId="25C7F21C" w14:textId="77777777" w:rsidR="00AD1FB0" w:rsidRDefault="00AD1FB0" w:rsidP="00B54A8B">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w:r>
        <w:rPr>
          <w:noProof/>
        </w:rPr>
        <w:t>Overview of current data holdings</w:t>
      </w:r>
    </w:fldSimple>
  </w:p>
  <w:p w14:paraId="4E76AE8F" w14:textId="77777777" w:rsidR="00AD1FB0" w:rsidRDefault="00AD1FB0" w:rsidP="00E0770B">
    <w:pPr>
      <w:pStyle w:val="Header-Landscape"/>
      <w:rPr>
        <w:lang w:val="en-GB"/>
      </w:rPr>
    </w:pPr>
    <w:r w:rsidRPr="00FA6699">
      <w:rPr>
        <w:noProof/>
        <w:snapToGrid/>
        <w:lang w:eastAsia="en-AU"/>
      </w:rPr>
      <w:drawing>
        <wp:anchor distT="0" distB="0" distL="114300" distR="114300" simplePos="0" relativeHeight="251666432" behindDoc="0" locked="0" layoutInCell="1" allowOverlap="1" wp14:anchorId="1C296C54" wp14:editId="1D412D83">
          <wp:simplePos x="0" y="0"/>
          <wp:positionH relativeFrom="page">
            <wp:posOffset>648335</wp:posOffset>
          </wp:positionH>
          <wp:positionV relativeFrom="page">
            <wp:posOffset>900430</wp:posOffset>
          </wp:positionV>
          <wp:extent cx="543600" cy="8740800"/>
          <wp:effectExtent l="0" t="0" r="8890" b="3175"/>
          <wp:wrapNone/>
          <wp:docPr id="32"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5EDF7" w14:textId="77777777" w:rsidR="00AD1FB0" w:rsidRDefault="00AD1FB0" w:rsidP="00E0770B">
    <w:pPr>
      <w:pStyle w:val="Header-Landscape"/>
      <w:rPr>
        <w:lang w:val="en-GB"/>
      </w:rPr>
    </w:pPr>
    <w:r w:rsidRPr="00FA6699">
      <w:rPr>
        <w:noProof/>
        <w:snapToGrid/>
        <w:lang w:eastAsia="en-AU"/>
      </w:rPr>
      <w:drawing>
        <wp:anchor distT="0" distB="0" distL="114300" distR="114300" simplePos="0" relativeHeight="251670528" behindDoc="0" locked="0" layoutInCell="1" allowOverlap="1" wp14:anchorId="79CD8F31" wp14:editId="687BB93A">
          <wp:simplePos x="0" y="0"/>
          <wp:positionH relativeFrom="page">
            <wp:posOffset>648335</wp:posOffset>
          </wp:positionH>
          <wp:positionV relativeFrom="page">
            <wp:posOffset>900430</wp:posOffset>
          </wp:positionV>
          <wp:extent cx="543600" cy="6314400"/>
          <wp:effectExtent l="0" t="0" r="8890" b="0"/>
          <wp:wrapNone/>
          <wp:docPr id="33"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9A6DBD" w14:textId="77777777" w:rsidR="00AD1FB0" w:rsidRPr="007560B4" w:rsidRDefault="00AD1FB0" w:rsidP="00E0770B">
    <w:pPr>
      <w:pStyle w:val="Header-Landscape"/>
      <w:rPr>
        <w:lang w:val="en-GB"/>
      </w:rPr>
    </w:pPr>
    <w:r w:rsidRPr="00FA6699">
      <w:rPr>
        <w:noProof/>
        <w:snapToGrid/>
        <w:lang w:eastAsia="en-AU"/>
      </w:rPr>
      <w:drawing>
        <wp:anchor distT="0" distB="0" distL="114300" distR="114300" simplePos="0" relativeHeight="251674624" behindDoc="0" locked="0" layoutInCell="1" allowOverlap="1" wp14:anchorId="7C70DCB9" wp14:editId="6D7DE093">
          <wp:simplePos x="0" y="0"/>
          <wp:positionH relativeFrom="page">
            <wp:posOffset>648335</wp:posOffset>
          </wp:positionH>
          <wp:positionV relativeFrom="page">
            <wp:posOffset>900430</wp:posOffset>
          </wp:positionV>
          <wp:extent cx="543600" cy="6314400"/>
          <wp:effectExtent l="0" t="0" r="8890" b="0"/>
          <wp:wrapNone/>
          <wp:docPr id="35"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98EE9" w14:textId="078CD4B8" w:rsidR="00AD1FB0" w:rsidRDefault="00AD1FB0" w:rsidP="00E0770B">
    <w:pPr>
      <w:pStyle w:val="Header-Landscape"/>
    </w:pPr>
    <w:r>
      <w:rPr>
        <w:noProof/>
        <w:lang w:eastAsia="en-AU"/>
      </w:rPr>
      <mc:AlternateContent>
        <mc:Choice Requires="wps">
          <w:drawing>
            <wp:anchor distT="0" distB="0" distL="114300" distR="114300" simplePos="0" relativeHeight="251660288" behindDoc="1" locked="0" layoutInCell="0" allowOverlap="1" wp14:anchorId="6147F370" wp14:editId="111D66EF">
              <wp:simplePos x="0" y="0"/>
              <wp:positionH relativeFrom="margin">
                <wp:align>center</wp:align>
              </wp:positionH>
              <wp:positionV relativeFrom="margin">
                <wp:align>center</wp:align>
              </wp:positionV>
              <wp:extent cx="5730240" cy="1910080"/>
              <wp:effectExtent l="0" t="1619250" r="0" b="1395095"/>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0240" cy="1910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F6FA1F" w14:textId="77777777" w:rsidR="00AD1FB0" w:rsidRDefault="00AD1FB0" w:rsidP="001E6EBC">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47F370" id="_x0000_t202" coordsize="21600,21600" o:spt="202" path="m,l,21600r21600,l21600,xe">
              <v:stroke joinstyle="miter"/>
              <v:path gradientshapeok="t" o:connecttype="rect"/>
            </v:shapetype>
            <v:shape id="Text Box 378" o:spid="_x0000_s1034" type="#_x0000_t202" style="position:absolute;margin-left:0;margin-top:0;width:451.2pt;height:150.4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" o:allowincell="f" filled="f" stroked="f">
              <v:stroke joinstyle="round"/>
              <o:lock v:ext="edit" shapetype="t"/>
              <v:textbox style="mso-fit-shape-to-text:t">
                <w:txbxContent>
                  <w:p w14:paraId="46F6FA1F" w14:textId="77777777" w:rsidR="00AD1FB0" w:rsidRDefault="00AD1FB0" w:rsidP="001E6EBC">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w:r w:rsidR="00296186">
        <w:rPr>
          <w:noProof/>
        </w:rPr>
        <w:t>Overview of current data holdings</w:t>
      </w:r>
    </w:fldSimple>
  </w:p>
  <w:p w14:paraId="610C425B" w14:textId="77777777" w:rsidR="00AD1FB0" w:rsidRDefault="00AD1FB0" w:rsidP="00E0770B">
    <w:pPr>
      <w:pStyle w:val="Header-Landscape"/>
      <w:rPr>
        <w:lang w:val="en-GB"/>
      </w:rPr>
    </w:pPr>
    <w:r w:rsidRPr="00FA6699">
      <w:rPr>
        <w:noProof/>
        <w:snapToGrid/>
        <w:lang w:eastAsia="en-AU"/>
      </w:rPr>
      <w:drawing>
        <wp:anchor distT="0" distB="0" distL="114300" distR="114300" simplePos="0" relativeHeight="251654144" behindDoc="0" locked="0" layoutInCell="1" allowOverlap="1" wp14:anchorId="2B032D1E" wp14:editId="3002984C">
          <wp:simplePos x="0" y="0"/>
          <wp:positionH relativeFrom="page">
            <wp:posOffset>648335</wp:posOffset>
          </wp:positionH>
          <wp:positionV relativeFrom="page">
            <wp:posOffset>900430</wp:posOffset>
          </wp:positionV>
          <wp:extent cx="543600" cy="8740800"/>
          <wp:effectExtent l="0" t="0" r="8890" b="3175"/>
          <wp:wrapNone/>
          <wp:docPr id="36"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551315" w14:textId="77777777" w:rsidR="00AD1FB0" w:rsidRDefault="00AD1FB0" w:rsidP="00E0770B">
    <w:pPr>
      <w:pStyle w:val="Header-Landscape"/>
      <w:rPr>
        <w:lang w:val="en-GB"/>
      </w:rPr>
    </w:pPr>
    <w:r w:rsidRPr="00FA6699">
      <w:rPr>
        <w:noProof/>
        <w:snapToGrid/>
        <w:lang w:eastAsia="en-AU"/>
      </w:rPr>
      <w:drawing>
        <wp:anchor distT="0" distB="0" distL="114300" distR="114300" simplePos="0" relativeHeight="251655168" behindDoc="0" locked="0" layoutInCell="1" allowOverlap="1" wp14:anchorId="31DEEC9F" wp14:editId="6E995B4C">
          <wp:simplePos x="0" y="0"/>
          <wp:positionH relativeFrom="page">
            <wp:posOffset>648335</wp:posOffset>
          </wp:positionH>
          <wp:positionV relativeFrom="page">
            <wp:posOffset>900430</wp:posOffset>
          </wp:positionV>
          <wp:extent cx="543600" cy="6314400"/>
          <wp:effectExtent l="0" t="0" r="8890" b="0"/>
          <wp:wrapNone/>
          <wp:docPr id="37"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DD03B7" w14:textId="77777777" w:rsidR="00AD1FB0" w:rsidRPr="007560B4" w:rsidRDefault="00AD1FB0" w:rsidP="00E0770B">
    <w:pPr>
      <w:pStyle w:val="Header-Landscape"/>
      <w:rPr>
        <w:lang w:val="en-GB"/>
      </w:rPr>
    </w:pPr>
    <w:r w:rsidRPr="00FA6699">
      <w:rPr>
        <w:noProof/>
        <w:snapToGrid/>
        <w:lang w:eastAsia="en-AU"/>
      </w:rPr>
      <w:drawing>
        <wp:anchor distT="0" distB="0" distL="114300" distR="114300" simplePos="0" relativeHeight="251672576" behindDoc="0" locked="0" layoutInCell="1" allowOverlap="1" wp14:anchorId="3FE45AD9" wp14:editId="0C505B96">
          <wp:simplePos x="0" y="0"/>
          <wp:positionH relativeFrom="page">
            <wp:posOffset>648335</wp:posOffset>
          </wp:positionH>
          <wp:positionV relativeFrom="page">
            <wp:posOffset>900430</wp:posOffset>
          </wp:positionV>
          <wp:extent cx="543600" cy="6314400"/>
          <wp:effectExtent l="0" t="0" r="8890" b="0"/>
          <wp:wrapNone/>
          <wp:docPr id="38"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F761" w14:textId="33518026" w:rsidR="00AD1FB0" w:rsidRDefault="00AD1FB0" w:rsidP="00E0770B">
    <w:pPr>
      <w:pStyle w:val="Header-Landscape"/>
    </w:pPr>
    <w:r>
      <w:rPr>
        <w:noProof/>
        <w:lang w:eastAsia="en-AU"/>
      </w:rPr>
      <mc:AlternateContent>
        <mc:Choice Requires="wps">
          <w:drawing>
            <wp:anchor distT="0" distB="0" distL="114300" distR="114300" simplePos="0" relativeHeight="251684864" behindDoc="1" locked="0" layoutInCell="0" allowOverlap="1" wp14:anchorId="014805B2" wp14:editId="01D64F68">
              <wp:simplePos x="0" y="0"/>
              <wp:positionH relativeFrom="margin">
                <wp:align>center</wp:align>
              </wp:positionH>
              <wp:positionV relativeFrom="margin">
                <wp:align>center</wp:align>
              </wp:positionV>
              <wp:extent cx="5730240" cy="1910080"/>
              <wp:effectExtent l="0" t="1619250" r="0" b="139509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0240" cy="1910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CBDB6D" w14:textId="77777777" w:rsidR="00AD1FB0" w:rsidRDefault="00AD1FB0" w:rsidP="00B54A8B">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4805B2" id="_x0000_t202" coordsize="21600,21600" o:spt="202" path="m,l,21600r21600,l21600,xe">
              <v:stroke joinstyle="miter"/>
              <v:path gradientshapeok="t" o:connecttype="rect"/>
            </v:shapetype>
            <v:shape id="Text Box 381" o:spid="_x0000_s1035" type="#_x0000_t202" style="position:absolute;margin-left:0;margin-top:0;width:451.2pt;height:150.4pt;rotation:-45;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" o:allowincell="f" filled="f" stroked="f">
              <v:stroke joinstyle="round"/>
              <o:lock v:ext="edit" shapetype="t"/>
              <v:textbox style="mso-fit-shape-to-text:t">
                <w:txbxContent>
                  <w:p w14:paraId="33CBDB6D" w14:textId="77777777" w:rsidR="00AD1FB0" w:rsidRDefault="00AD1FB0" w:rsidP="00B54A8B">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5A722246" w14:textId="77777777" w:rsidR="00AD1FB0" w:rsidRPr="00D61BF2" w:rsidRDefault="00AD1FB0" w:rsidP="00E0770B">
    <w:pPr>
      <w:pStyle w:val="Header-Landscape"/>
    </w:pPr>
  </w:p>
  <w:p w14:paraId="6799AFB1" w14:textId="77777777" w:rsidR="00AD1FB0" w:rsidRDefault="00AD1FB0" w:rsidP="00E0770B">
    <w:pPr>
      <w:pStyle w:val="Header-Landscape"/>
    </w:pPr>
  </w:p>
  <w:p w14:paraId="0DF61875" w14:textId="77777777" w:rsidR="00AD1FB0" w:rsidRDefault="00AD1FB0" w:rsidP="00E0770B">
    <w:pPr>
      <w:pStyle w:val="Header-Landscape"/>
      <w:rPr>
        <w:lang w:val="en-GB"/>
      </w:rPr>
    </w:pPr>
    <w:r w:rsidRPr="00FA6699">
      <w:rPr>
        <w:noProof/>
        <w:snapToGrid/>
        <w:lang w:eastAsia="en-AU"/>
      </w:rPr>
      <w:drawing>
        <wp:anchor distT="0" distB="0" distL="114300" distR="114300" simplePos="0" relativeHeight="251644928" behindDoc="0" locked="0" layoutInCell="1" allowOverlap="1" wp14:anchorId="365640DA" wp14:editId="15B0E7F4">
          <wp:simplePos x="0" y="0"/>
          <wp:positionH relativeFrom="page">
            <wp:posOffset>648335</wp:posOffset>
          </wp:positionH>
          <wp:positionV relativeFrom="page">
            <wp:posOffset>900430</wp:posOffset>
          </wp:positionV>
          <wp:extent cx="543600" cy="8740800"/>
          <wp:effectExtent l="0" t="0" r="8890" b="3175"/>
          <wp:wrapNone/>
          <wp:docPr id="39"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FEBF4" w14:textId="77777777" w:rsidR="00AD1FB0" w:rsidRDefault="00AD1FB0" w:rsidP="00E0770B">
    <w:pPr>
      <w:pStyle w:val="Header-Landscape"/>
    </w:pPr>
    <w:r w:rsidRPr="00FA6699">
      <w:rPr>
        <w:noProof/>
        <w:snapToGrid/>
        <w:lang w:eastAsia="en-AU"/>
      </w:rPr>
      <w:drawing>
        <wp:anchor distT="0" distB="0" distL="114300" distR="114300" simplePos="0" relativeHeight="251673600" behindDoc="0" locked="0" layoutInCell="1" allowOverlap="1" wp14:anchorId="502E9FE5" wp14:editId="3EBF44B3">
          <wp:simplePos x="0" y="0"/>
          <wp:positionH relativeFrom="page">
            <wp:posOffset>648335</wp:posOffset>
          </wp:positionH>
          <wp:positionV relativeFrom="page">
            <wp:posOffset>900430</wp:posOffset>
          </wp:positionV>
          <wp:extent cx="543600" cy="6314400"/>
          <wp:effectExtent l="0" t="0" r="8890" b="0"/>
          <wp:wrapNone/>
          <wp:docPr id="40"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1A3F8" w14:textId="77777777" w:rsidR="00AD1FB0" w:rsidRPr="007560B4" w:rsidRDefault="00AD1FB0" w:rsidP="00E0770B">
    <w:pPr>
      <w:pStyle w:val="Header-Landscape"/>
      <w:rPr>
        <w:lang w:val="en-GB"/>
      </w:rPr>
    </w:pPr>
    <w:r w:rsidRPr="00FA6699">
      <w:rPr>
        <w:noProof/>
        <w:snapToGrid/>
        <w:lang w:eastAsia="en-AU"/>
      </w:rPr>
      <w:drawing>
        <wp:anchor distT="0" distB="0" distL="114300" distR="114300" simplePos="0" relativeHeight="251685888" behindDoc="0" locked="0" layoutInCell="1" allowOverlap="1" wp14:anchorId="162C2163" wp14:editId="4ABB5554">
          <wp:simplePos x="0" y="0"/>
          <wp:positionH relativeFrom="page">
            <wp:posOffset>648335</wp:posOffset>
          </wp:positionH>
          <wp:positionV relativeFrom="page">
            <wp:posOffset>900430</wp:posOffset>
          </wp:positionV>
          <wp:extent cx="543600" cy="6314400"/>
          <wp:effectExtent l="0" t="0" r="8890" b="0"/>
          <wp:wrapNone/>
          <wp:docPr id="46"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14FD59" w14:textId="0254DAF0" w:rsidR="00AD1FB0" w:rsidRPr="007560B4" w:rsidRDefault="00AD1FB0" w:rsidP="00E0770B">
    <w:pPr>
      <w:pStyle w:val="FirstPagePanelFrameLandscape"/>
      <w:framePr w:wrap="notBeside"/>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F751" w14:textId="2DA8FBA0" w:rsidR="00AD1FB0" w:rsidRDefault="009B6094" w:rsidP="00B54A8B">
    <w:pPr>
      <w:pStyle w:val="Header-Landscape"/>
    </w:pPr>
    <w:fldSimple w:instr=" STYLEREF &quot;Heading 2&quot; ">
      <w:r w:rsidR="00296186">
        <w:rPr>
          <w:noProof/>
        </w:rPr>
        <w:t>Future data improvement plan and options</w:t>
      </w:r>
    </w:fldSimple>
  </w:p>
  <w:p w14:paraId="0D2DDB56" w14:textId="77777777" w:rsidR="00AD1FB0" w:rsidRDefault="00AD1FB0" w:rsidP="00B54A8B">
    <w:pPr>
      <w:pStyle w:val="Header-Landscape"/>
      <w:rPr>
        <w:lang w:val="en-GB"/>
      </w:rPr>
    </w:pPr>
    <w:r w:rsidRPr="00FA6699">
      <w:rPr>
        <w:noProof/>
        <w:snapToGrid/>
        <w:lang w:eastAsia="en-AU"/>
      </w:rPr>
      <w:drawing>
        <wp:anchor distT="0" distB="0" distL="114300" distR="114300" simplePos="0" relativeHeight="251679744" behindDoc="0" locked="0" layoutInCell="1" allowOverlap="1" wp14:anchorId="73A1231A" wp14:editId="1EBDCE05">
          <wp:simplePos x="0" y="0"/>
          <wp:positionH relativeFrom="page">
            <wp:posOffset>648335</wp:posOffset>
          </wp:positionH>
          <wp:positionV relativeFrom="page">
            <wp:posOffset>900430</wp:posOffset>
          </wp:positionV>
          <wp:extent cx="543600" cy="8740800"/>
          <wp:effectExtent l="0" t="0" r="8890" b="3175"/>
          <wp:wrapNone/>
          <wp:docPr id="376"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41DED" w14:textId="77777777" w:rsidR="00AD1FB0" w:rsidRPr="007560B4" w:rsidRDefault="00AD1FB0" w:rsidP="00B54A8B">
    <w:pPr>
      <w:pStyle w:val="Header-Landscape"/>
      <w:rPr>
        <w:lang w:val="en-GB"/>
      </w:rPr>
    </w:pPr>
    <w:r w:rsidRPr="00FA6699">
      <w:rPr>
        <w:noProof/>
        <w:snapToGrid/>
        <w:lang w:eastAsia="en-AU"/>
      </w:rPr>
      <w:drawing>
        <wp:anchor distT="0" distB="0" distL="114300" distR="114300" simplePos="0" relativeHeight="251680768" behindDoc="0" locked="0" layoutInCell="1" allowOverlap="1" wp14:anchorId="50AAD227" wp14:editId="729550B5">
          <wp:simplePos x="0" y="0"/>
          <wp:positionH relativeFrom="page">
            <wp:posOffset>648335</wp:posOffset>
          </wp:positionH>
          <wp:positionV relativeFrom="page">
            <wp:posOffset>900430</wp:posOffset>
          </wp:positionV>
          <wp:extent cx="543600" cy="6314400"/>
          <wp:effectExtent l="0" t="0" r="8890" b="0"/>
          <wp:wrapNone/>
          <wp:docPr id="377"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400B3" w14:textId="18C48541" w:rsidR="00AD1FB0" w:rsidRDefault="009B6094" w:rsidP="001E6EBC">
    <w:pPr>
      <w:pStyle w:val="Header-Landscape"/>
    </w:pPr>
    <w:fldSimple w:instr=" STYLEREF &quot;Heading 2&quot; ">
      <w:r w:rsidR="00296186">
        <w:rPr>
          <w:noProof/>
        </w:rPr>
        <w:t>Future data improvement plan and options</w:t>
      </w:r>
    </w:fldSimple>
  </w:p>
  <w:p w14:paraId="620B8F58" w14:textId="77777777" w:rsidR="00AD1FB0" w:rsidRDefault="00AD1FB0" w:rsidP="001E6EBC">
    <w:pPr>
      <w:pStyle w:val="Header-Landscape"/>
      <w:rPr>
        <w:lang w:val="en-GB"/>
      </w:rPr>
    </w:pPr>
    <w:r w:rsidRPr="00FA6699">
      <w:rPr>
        <w:noProof/>
        <w:snapToGrid/>
        <w:lang w:eastAsia="en-AU"/>
      </w:rPr>
      <w:drawing>
        <wp:anchor distT="0" distB="0" distL="114300" distR="114300" simplePos="0" relativeHeight="251675648" behindDoc="0" locked="0" layoutInCell="1" allowOverlap="1" wp14:anchorId="05A12A6E" wp14:editId="4F576B03">
          <wp:simplePos x="0" y="0"/>
          <wp:positionH relativeFrom="page">
            <wp:posOffset>648335</wp:posOffset>
          </wp:positionH>
          <wp:positionV relativeFrom="page">
            <wp:posOffset>900430</wp:posOffset>
          </wp:positionV>
          <wp:extent cx="543600" cy="8740800"/>
          <wp:effectExtent l="0" t="0" r="8890" b="3175"/>
          <wp:wrapNone/>
          <wp:docPr id="370"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70546" w14:textId="77777777" w:rsidR="00AD1FB0" w:rsidRPr="007560B4" w:rsidRDefault="00AD1FB0" w:rsidP="001E6EBC">
    <w:pPr>
      <w:pStyle w:val="Header-Landscape"/>
      <w:rPr>
        <w:lang w:val="en-GB"/>
      </w:rPr>
    </w:pPr>
    <w:r w:rsidRPr="00FA6699">
      <w:rPr>
        <w:noProof/>
        <w:snapToGrid/>
        <w:lang w:eastAsia="en-AU"/>
      </w:rPr>
      <w:drawing>
        <wp:anchor distT="0" distB="0" distL="114300" distR="114300" simplePos="0" relativeHeight="251676672" behindDoc="0" locked="0" layoutInCell="1" allowOverlap="1" wp14:anchorId="081DDD47" wp14:editId="67B12602">
          <wp:simplePos x="0" y="0"/>
          <wp:positionH relativeFrom="page">
            <wp:posOffset>648335</wp:posOffset>
          </wp:positionH>
          <wp:positionV relativeFrom="page">
            <wp:posOffset>900430</wp:posOffset>
          </wp:positionV>
          <wp:extent cx="543600" cy="6314400"/>
          <wp:effectExtent l="0" t="0" r="8890" b="0"/>
          <wp:wrapNone/>
          <wp:docPr id="371"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3DE38" w14:textId="3A97EAB9" w:rsidR="00AD1FB0" w:rsidRDefault="00AD1FB0" w:rsidP="00B54A8B">
    <w:pPr>
      <w:pStyle w:val="Header-Landscape"/>
    </w:pPr>
  </w:p>
  <w:p w14:paraId="0A20DEA4" w14:textId="77777777" w:rsidR="00AD1FB0" w:rsidRPr="00D61BF2" w:rsidRDefault="00AD1FB0" w:rsidP="00B54A8B">
    <w:pPr>
      <w:pStyle w:val="Header-Landscape"/>
    </w:pPr>
  </w:p>
  <w:p w14:paraId="2A09FA51" w14:textId="77777777" w:rsidR="00AD1FB0" w:rsidRDefault="00AD1FB0" w:rsidP="00B54A8B">
    <w:pPr>
      <w:pStyle w:val="Header-Landscape"/>
    </w:pPr>
  </w:p>
  <w:p w14:paraId="5BD4CCDE" w14:textId="77777777" w:rsidR="00AD1FB0" w:rsidRDefault="00AD1FB0" w:rsidP="00B54A8B">
    <w:pPr>
      <w:pStyle w:val="Header-Landscape"/>
      <w:rPr>
        <w:lang w:val="en-GB"/>
      </w:rPr>
    </w:pPr>
    <w:r w:rsidRPr="00FA6699">
      <w:rPr>
        <w:noProof/>
        <w:snapToGrid/>
        <w:lang w:eastAsia="en-AU"/>
      </w:rPr>
      <w:drawing>
        <wp:anchor distT="0" distB="0" distL="114300" distR="114300" simplePos="0" relativeHeight="251686912" behindDoc="0" locked="0" layoutInCell="1" allowOverlap="1" wp14:anchorId="4EDAF568" wp14:editId="72361360">
          <wp:simplePos x="0" y="0"/>
          <wp:positionH relativeFrom="page">
            <wp:posOffset>648335</wp:posOffset>
          </wp:positionH>
          <wp:positionV relativeFrom="page">
            <wp:posOffset>900430</wp:posOffset>
          </wp:positionV>
          <wp:extent cx="543600" cy="8740800"/>
          <wp:effectExtent l="0" t="0" r="8890" b="3175"/>
          <wp:wrapNone/>
          <wp:docPr id="373"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C43984" w14:textId="77777777" w:rsidR="00AD1FB0" w:rsidRPr="007560B4" w:rsidRDefault="00AD1FB0" w:rsidP="00B54A8B">
    <w:pPr>
      <w:pStyle w:val="FirstPagePanelFrameLandscape"/>
      <w:framePr w:wrap="notBeside"/>
    </w:pPr>
    <w:r w:rsidRPr="00FA6699">
      <w:rPr>
        <w:noProof/>
        <w:snapToGrid/>
        <w:lang w:val="en-AU" w:eastAsia="en-AU"/>
      </w:rPr>
      <w:drawing>
        <wp:anchor distT="0" distB="0" distL="114300" distR="114300" simplePos="0" relativeHeight="251687936" behindDoc="0" locked="0" layoutInCell="1" allowOverlap="1" wp14:anchorId="07C160D1" wp14:editId="1F92473B">
          <wp:simplePos x="0" y="0"/>
          <wp:positionH relativeFrom="page">
            <wp:posOffset>648335</wp:posOffset>
          </wp:positionH>
          <wp:positionV relativeFrom="page">
            <wp:posOffset>900430</wp:posOffset>
          </wp:positionV>
          <wp:extent cx="543600" cy="6314400"/>
          <wp:effectExtent l="0" t="0" r="8890" b="0"/>
          <wp:wrapNone/>
          <wp:docPr id="374"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BEB54" w14:textId="631BD678" w:rsidR="00AD1FB0" w:rsidRDefault="009B6094" w:rsidP="00DE6C74">
    <w:pPr>
      <w:pStyle w:val="Header-Landscape"/>
    </w:pPr>
    <w:fldSimple w:instr=" STYLEREF &quot;Heading 2&quot; ">
      <w:r w:rsidR="00296186">
        <w:rPr>
          <w:noProof/>
        </w:rPr>
        <w:t>Next steps &amp; broader implications</w:t>
      </w:r>
    </w:fldSimple>
  </w:p>
  <w:p w14:paraId="6BAFE648" w14:textId="77777777" w:rsidR="00AD1FB0" w:rsidRDefault="00AD1FB0" w:rsidP="00DE6C74">
    <w:pPr>
      <w:pStyle w:val="Header-Landscape"/>
      <w:rPr>
        <w:lang w:val="en-GB"/>
      </w:rPr>
    </w:pPr>
    <w:r w:rsidRPr="00FA6699">
      <w:rPr>
        <w:noProof/>
        <w:snapToGrid/>
        <w:lang w:eastAsia="en-AU"/>
      </w:rPr>
      <w:drawing>
        <wp:anchor distT="0" distB="0" distL="114300" distR="114300" simplePos="0" relativeHeight="251642880" behindDoc="0" locked="0" layoutInCell="1" allowOverlap="1" wp14:anchorId="45FE5DFF" wp14:editId="6ADCA29A">
          <wp:simplePos x="0" y="0"/>
          <wp:positionH relativeFrom="page">
            <wp:posOffset>648335</wp:posOffset>
          </wp:positionH>
          <wp:positionV relativeFrom="page">
            <wp:posOffset>900430</wp:posOffset>
          </wp:positionV>
          <wp:extent cx="543600" cy="8740800"/>
          <wp:effectExtent l="0" t="0" r="8890" b="3175"/>
          <wp:wrapNone/>
          <wp:docPr id="123"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43479" w14:textId="77777777" w:rsidR="00AD1FB0" w:rsidRDefault="00AD1FB0" w:rsidP="00DE6C74">
    <w:pPr>
      <w:pStyle w:val="Header-Landscape"/>
      <w:rPr>
        <w:lang w:val="en-GB"/>
      </w:rPr>
    </w:pPr>
    <w:r w:rsidRPr="00FA6699">
      <w:rPr>
        <w:noProof/>
        <w:snapToGrid/>
        <w:lang w:eastAsia="en-AU"/>
      </w:rPr>
      <w:drawing>
        <wp:anchor distT="0" distB="0" distL="114300" distR="114300" simplePos="0" relativeHeight="251646976" behindDoc="0" locked="0" layoutInCell="1" allowOverlap="1" wp14:anchorId="349401AC" wp14:editId="2D56D02E">
          <wp:simplePos x="0" y="0"/>
          <wp:positionH relativeFrom="page">
            <wp:posOffset>648335</wp:posOffset>
          </wp:positionH>
          <wp:positionV relativeFrom="page">
            <wp:posOffset>900430</wp:posOffset>
          </wp:positionV>
          <wp:extent cx="543600" cy="6314400"/>
          <wp:effectExtent l="0" t="0" r="8890" b="0"/>
          <wp:wrapNone/>
          <wp:docPr id="124"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162F1" w14:textId="77777777" w:rsidR="00AD1FB0" w:rsidRPr="007560B4" w:rsidRDefault="00AD1FB0" w:rsidP="00DE6C74">
    <w:pPr>
      <w:pStyle w:val="Header-Landscape"/>
      <w:rPr>
        <w:lang w:val="en-GB"/>
      </w:rPr>
    </w:pPr>
    <w:r w:rsidRPr="00FA6699">
      <w:rPr>
        <w:noProof/>
        <w:snapToGrid/>
        <w:lang w:eastAsia="en-AU"/>
      </w:rPr>
      <w:drawing>
        <wp:anchor distT="0" distB="0" distL="114300" distR="114300" simplePos="0" relativeHeight="251653120" behindDoc="0" locked="0" layoutInCell="1" allowOverlap="1" wp14:anchorId="71BD61BC" wp14:editId="767D2D47">
          <wp:simplePos x="0" y="0"/>
          <wp:positionH relativeFrom="page">
            <wp:posOffset>648335</wp:posOffset>
          </wp:positionH>
          <wp:positionV relativeFrom="page">
            <wp:posOffset>900430</wp:posOffset>
          </wp:positionV>
          <wp:extent cx="543600" cy="6314400"/>
          <wp:effectExtent l="0" t="0" r="8890" b="0"/>
          <wp:wrapNone/>
          <wp:docPr id="127"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CEAD9" w14:textId="2139AA0C" w:rsidR="00AD1FB0" w:rsidRDefault="009B6094" w:rsidP="00DE6C74">
    <w:pPr>
      <w:pStyle w:val="Header-Landscape"/>
    </w:pPr>
    <w:fldSimple w:instr=" STYLEREF &quot;Heading 2&quot; ">
      <w:r w:rsidR="00296186">
        <w:rPr>
          <w:noProof/>
        </w:rPr>
        <w:t>Future data improvement plan and options</w:t>
      </w:r>
    </w:fldSimple>
  </w:p>
  <w:p w14:paraId="604A6B3C" w14:textId="77777777" w:rsidR="00AD1FB0" w:rsidRDefault="00AD1FB0" w:rsidP="00DE6C74">
    <w:pPr>
      <w:pStyle w:val="Header-Landscape"/>
      <w:rPr>
        <w:lang w:val="en-GB"/>
      </w:rPr>
    </w:pPr>
    <w:r w:rsidRPr="00FA6699">
      <w:rPr>
        <w:noProof/>
        <w:snapToGrid/>
        <w:lang w:eastAsia="en-AU"/>
      </w:rPr>
      <w:drawing>
        <wp:anchor distT="0" distB="0" distL="114300" distR="114300" simplePos="0" relativeHeight="251630592" behindDoc="0" locked="0" layoutInCell="1" allowOverlap="1" wp14:anchorId="5C090E26" wp14:editId="7B48AB46">
          <wp:simplePos x="0" y="0"/>
          <wp:positionH relativeFrom="page">
            <wp:posOffset>648335</wp:posOffset>
          </wp:positionH>
          <wp:positionV relativeFrom="page">
            <wp:posOffset>900430</wp:posOffset>
          </wp:positionV>
          <wp:extent cx="543600" cy="8740800"/>
          <wp:effectExtent l="0" t="0" r="8890" b="3175"/>
          <wp:wrapNone/>
          <wp:docPr id="109"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C9551" w14:textId="77777777" w:rsidR="00AD1FB0" w:rsidRDefault="00AD1FB0" w:rsidP="00DE6C74">
    <w:pPr>
      <w:pStyle w:val="Header-Landscape"/>
      <w:rPr>
        <w:lang w:val="en-GB"/>
      </w:rPr>
    </w:pPr>
    <w:r w:rsidRPr="00FA6699">
      <w:rPr>
        <w:noProof/>
        <w:snapToGrid/>
        <w:lang w:eastAsia="en-AU"/>
      </w:rPr>
      <w:drawing>
        <wp:anchor distT="0" distB="0" distL="114300" distR="114300" simplePos="0" relativeHeight="251633664" behindDoc="0" locked="0" layoutInCell="1" allowOverlap="1" wp14:anchorId="156C0ED3" wp14:editId="2DDF9212">
          <wp:simplePos x="0" y="0"/>
          <wp:positionH relativeFrom="page">
            <wp:posOffset>648335</wp:posOffset>
          </wp:positionH>
          <wp:positionV relativeFrom="page">
            <wp:posOffset>900430</wp:posOffset>
          </wp:positionV>
          <wp:extent cx="543600" cy="6314400"/>
          <wp:effectExtent l="0" t="0" r="8890" b="0"/>
          <wp:wrapNone/>
          <wp:docPr id="114"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F9B24" w14:textId="77777777" w:rsidR="00AD1FB0" w:rsidRPr="007560B4" w:rsidRDefault="00AD1FB0" w:rsidP="00DE6C74">
    <w:pPr>
      <w:pStyle w:val="Header-Landscape"/>
      <w:rPr>
        <w:lang w:val="en-GB"/>
      </w:rPr>
    </w:pPr>
    <w:bookmarkStart w:id="54" w:name="SidebarLand"/>
    <w:r w:rsidRPr="00FA6699">
      <w:rPr>
        <w:noProof/>
        <w:snapToGrid/>
        <w:lang w:eastAsia="en-AU"/>
      </w:rPr>
      <w:drawing>
        <wp:anchor distT="0" distB="0" distL="114300" distR="114300" simplePos="0" relativeHeight="251651072" behindDoc="0" locked="0" layoutInCell="1" allowOverlap="1" wp14:anchorId="10BF7113" wp14:editId="74F376E8">
          <wp:simplePos x="0" y="0"/>
          <wp:positionH relativeFrom="page">
            <wp:posOffset>648335</wp:posOffset>
          </wp:positionH>
          <wp:positionV relativeFrom="page">
            <wp:posOffset>900430</wp:posOffset>
          </wp:positionV>
          <wp:extent cx="543600" cy="6314400"/>
          <wp:effectExtent l="0" t="0" r="8890" b="0"/>
          <wp:wrapNone/>
          <wp:docPr id="125"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4"/>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43DE3" w14:textId="02BE7ACD" w:rsidR="00AD1FB0" w:rsidRDefault="00AD1FB0" w:rsidP="00DE6C74">
    <w:pPr>
      <w:pStyle w:val="Header-Landscape"/>
    </w:pPr>
    <w:r>
      <w:rPr>
        <w:noProof/>
        <w:lang w:eastAsia="en-AU"/>
      </w:rPr>
      <mc:AlternateContent>
        <mc:Choice Requires="wps">
          <w:drawing>
            <wp:anchor distT="0" distB="0" distL="114300" distR="114300" simplePos="0" relativeHeight="251595776" behindDoc="1" locked="0" layoutInCell="0" allowOverlap="1" wp14:anchorId="5964ECEB" wp14:editId="3B258F3A">
              <wp:simplePos x="0" y="0"/>
              <wp:positionH relativeFrom="margin">
                <wp:align>center</wp:align>
              </wp:positionH>
              <wp:positionV relativeFrom="margin">
                <wp:align>center</wp:align>
              </wp:positionV>
              <wp:extent cx="5730240" cy="1910080"/>
              <wp:effectExtent l="0" t="1619250" r="0" b="139509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0240" cy="1910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3A40FE" w14:textId="77777777" w:rsidR="00AD1FB0" w:rsidRDefault="00AD1FB0" w:rsidP="00B54A8B">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64ECEB" id="_x0000_t202" coordsize="21600,21600" o:spt="202" path="m,l,21600r21600,l21600,xe">
              <v:stroke joinstyle="miter"/>
              <v:path gradientshapeok="t" o:connecttype="rect"/>
            </v:shapetype>
            <v:shape id="Text Box 115" o:spid="_x0000_s1036" type="#_x0000_t202" style="position:absolute;margin-left:0;margin-top:0;width:451.2pt;height:150.4pt;rotation:-45;z-index:-251720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" o:allowincell="f" filled="f" stroked="f">
              <v:stroke joinstyle="round"/>
              <o:lock v:ext="edit" shapetype="t"/>
              <v:textbox style="mso-fit-shape-to-text:t">
                <w:txbxContent>
                  <w:p w14:paraId="673A40FE" w14:textId="77777777" w:rsidR="00AD1FB0" w:rsidRDefault="00AD1FB0" w:rsidP="00B54A8B">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08871026" w14:textId="77777777" w:rsidR="00AD1FB0" w:rsidRPr="00D61BF2" w:rsidRDefault="00AD1FB0" w:rsidP="00DE6C74">
    <w:pPr>
      <w:pStyle w:val="Header-Landscape"/>
    </w:pPr>
  </w:p>
  <w:p w14:paraId="40833DBF" w14:textId="77777777" w:rsidR="00AD1FB0" w:rsidRDefault="00AD1FB0" w:rsidP="00DE6C74">
    <w:pPr>
      <w:pStyle w:val="Header-Landscape"/>
    </w:pPr>
  </w:p>
  <w:p w14:paraId="05E4AE38" w14:textId="77777777" w:rsidR="00AD1FB0" w:rsidRDefault="00AD1FB0" w:rsidP="00DE6C74">
    <w:pPr>
      <w:pStyle w:val="Header-Landscape"/>
      <w:rPr>
        <w:lang w:val="en-GB"/>
      </w:rPr>
    </w:pPr>
    <w:r w:rsidRPr="00FA6699">
      <w:rPr>
        <w:noProof/>
        <w:snapToGrid/>
        <w:lang w:eastAsia="en-AU"/>
      </w:rPr>
      <w:drawing>
        <wp:anchor distT="0" distB="0" distL="114300" distR="114300" simplePos="0" relativeHeight="251593728" behindDoc="0" locked="0" layoutInCell="1" allowOverlap="1" wp14:anchorId="6608B116" wp14:editId="2AF4821B">
          <wp:simplePos x="0" y="0"/>
          <wp:positionH relativeFrom="page">
            <wp:posOffset>648335</wp:posOffset>
          </wp:positionH>
          <wp:positionV relativeFrom="page">
            <wp:posOffset>900430</wp:posOffset>
          </wp:positionV>
          <wp:extent cx="543600" cy="8740800"/>
          <wp:effectExtent l="0" t="0" r="8890" b="3175"/>
          <wp:wrapNone/>
          <wp:docPr id="116"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108C6D" w14:textId="77777777" w:rsidR="00AD1FB0" w:rsidRDefault="00AD1FB0" w:rsidP="00DE6C74">
    <w:pPr>
      <w:pStyle w:val="Header-Landscape"/>
    </w:pPr>
    <w:r w:rsidRPr="00FA6699">
      <w:rPr>
        <w:noProof/>
        <w:snapToGrid/>
        <w:lang w:eastAsia="en-AU"/>
      </w:rPr>
      <w:drawing>
        <wp:anchor distT="0" distB="0" distL="114300" distR="114300" simplePos="0" relativeHeight="251594752" behindDoc="0" locked="0" layoutInCell="1" allowOverlap="1" wp14:anchorId="7010189F" wp14:editId="01301E14">
          <wp:simplePos x="0" y="0"/>
          <wp:positionH relativeFrom="page">
            <wp:posOffset>648335</wp:posOffset>
          </wp:positionH>
          <wp:positionV relativeFrom="page">
            <wp:posOffset>900430</wp:posOffset>
          </wp:positionV>
          <wp:extent cx="543600" cy="6314400"/>
          <wp:effectExtent l="0" t="0" r="8890" b="0"/>
          <wp:wrapNone/>
          <wp:docPr id="117"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967C0E" w14:textId="77777777" w:rsidR="00AD1FB0" w:rsidRPr="007560B4" w:rsidRDefault="00AD1FB0" w:rsidP="00DE6C74">
    <w:pPr>
      <w:pStyle w:val="Header-Landscape"/>
      <w:rPr>
        <w:lang w:val="en-GB"/>
      </w:rPr>
    </w:pPr>
    <w:r w:rsidRPr="00FA6699">
      <w:rPr>
        <w:noProof/>
        <w:snapToGrid/>
        <w:lang w:eastAsia="en-AU"/>
      </w:rPr>
      <w:drawing>
        <wp:anchor distT="0" distB="0" distL="114300" distR="114300" simplePos="0" relativeHeight="251597824" behindDoc="0" locked="0" layoutInCell="1" allowOverlap="1" wp14:anchorId="2E21FD47" wp14:editId="2DFE97B2">
          <wp:simplePos x="0" y="0"/>
          <wp:positionH relativeFrom="page">
            <wp:posOffset>648335</wp:posOffset>
          </wp:positionH>
          <wp:positionV relativeFrom="page">
            <wp:posOffset>900430</wp:posOffset>
          </wp:positionV>
          <wp:extent cx="543600" cy="6314400"/>
          <wp:effectExtent l="0" t="0" r="8890" b="0"/>
          <wp:wrapNone/>
          <wp:docPr id="126"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59" r="65308" b="26207"/>
                  <a:stretch/>
                </pic:blipFill>
                <pic:spPr bwMode="auto">
                  <a:xfrm>
                    <a:off x="0" y="0"/>
                    <a:ext cx="543600" cy="63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FC480D" w14:textId="615FDF90" w:rsidR="00AD1FB0" w:rsidRPr="007560B4" w:rsidRDefault="00AD1FB0" w:rsidP="00DE6C74">
    <w:pPr>
      <w:pStyle w:val="FirstPagePanelFrameLandscape"/>
      <w:framePr w:wrap="notBesid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17E30" w14:textId="5C8CD93F" w:rsidR="00AD1FB0" w:rsidRDefault="009B6094" w:rsidP="00CC2651">
    <w:pPr>
      <w:pStyle w:val="Header"/>
      <w:rPr>
        <w:noProof/>
      </w:rPr>
    </w:pPr>
    <w:fldSimple w:instr=" STYLEREF &quot;Preface Title&quot; ">
      <w:r w:rsidR="00296186">
        <w:rPr>
          <w:noProof/>
        </w:rPr>
        <w:t>Executive summary</w:t>
      </w:r>
    </w:fldSimple>
  </w:p>
  <w:p w14:paraId="19C2AEBD" w14:textId="77777777" w:rsidR="00AD1FB0" w:rsidRPr="005D1FC6" w:rsidRDefault="00AD1FB0" w:rsidP="00CC2651">
    <w:pPr>
      <w:pStyle w:val="Header"/>
    </w:pPr>
    <w:r w:rsidRPr="008A3D75">
      <w:rPr>
        <w:noProof/>
        <w:lang w:eastAsia="en-AU"/>
      </w:rPr>
      <w:drawing>
        <wp:anchor distT="0" distB="0" distL="114300" distR="114300" simplePos="0" relativeHeight="251601920" behindDoc="0" locked="0" layoutInCell="1" allowOverlap="1" wp14:anchorId="72B5EEBD" wp14:editId="451DDB08">
          <wp:simplePos x="0" y="0"/>
          <wp:positionH relativeFrom="page">
            <wp:posOffset>648335</wp:posOffset>
          </wp:positionH>
          <wp:positionV relativeFrom="page">
            <wp:posOffset>896620</wp:posOffset>
          </wp:positionV>
          <wp:extent cx="543600" cy="8762400"/>
          <wp:effectExtent l="0" t="0" r="0" b="0"/>
          <wp:wrapNone/>
          <wp:docPr id="7"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156" r="65308"/>
                  <a:stretch/>
                </pic:blipFill>
                <pic:spPr bwMode="auto">
                  <a:xfrm>
                    <a:off x="0" y="0"/>
                    <a:ext cx="543600" cy="876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4CDEF" w14:textId="68BDDB8F" w:rsidR="00AD1FB0" w:rsidRDefault="00AD1FB0" w:rsidP="003A009A">
    <w:pPr>
      <w:pStyle w:val="Header"/>
    </w:pPr>
  </w:p>
  <w:p w14:paraId="666D1221" w14:textId="77777777" w:rsidR="00AD1FB0" w:rsidRPr="007560B4" w:rsidRDefault="00AD1FB0" w:rsidP="003A009A">
    <w:pPr>
      <w:pStyle w:val="Header"/>
      <w:rPr>
        <w:lang w:val="en-GB"/>
      </w:rPr>
    </w:pPr>
    <w:r w:rsidRPr="00FA6699">
      <w:rPr>
        <w:noProof/>
        <w:snapToGrid/>
        <w:lang w:eastAsia="en-AU"/>
      </w:rPr>
      <w:drawing>
        <wp:anchor distT="0" distB="0" distL="114300" distR="114300" simplePos="0" relativeHeight="251610112" behindDoc="0" locked="0" layoutInCell="1" allowOverlap="1" wp14:anchorId="015D60B2" wp14:editId="1B0E4482">
          <wp:simplePos x="0" y="0"/>
          <wp:positionH relativeFrom="page">
            <wp:posOffset>648335</wp:posOffset>
          </wp:positionH>
          <wp:positionV relativeFrom="page">
            <wp:posOffset>900430</wp:posOffset>
          </wp:positionV>
          <wp:extent cx="543600" cy="8740800"/>
          <wp:effectExtent l="0" t="0" r="8890" b="3175"/>
          <wp:wrapNone/>
          <wp:docPr id="132"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BEB24" w14:textId="01B3C5F4" w:rsidR="00AD1FB0" w:rsidRDefault="00AD1FB0" w:rsidP="0091050E">
    <w:pPr>
      <w:pStyle w:val="Header-FirstPage"/>
    </w:pPr>
  </w:p>
  <w:p w14:paraId="7BD8AF86" w14:textId="77777777" w:rsidR="00AD1FB0" w:rsidRDefault="00AD1FB0" w:rsidP="0091050E">
    <w:pPr>
      <w:pStyle w:val="Header-FirstPage"/>
    </w:pPr>
  </w:p>
  <w:p w14:paraId="42D293A7" w14:textId="77777777" w:rsidR="00AD1FB0" w:rsidRDefault="00AD1FB0" w:rsidP="00D736E7">
    <w:pPr>
      <w:pStyle w:val="FirstPagePanelFrame"/>
      <w:framePr w:wrap="notBeside"/>
    </w:pPr>
  </w:p>
  <w:p w14:paraId="23773DC5" w14:textId="77777777" w:rsidR="00AD1FB0" w:rsidRPr="007560B4" w:rsidRDefault="00AD1FB0" w:rsidP="003A009A">
    <w:pPr>
      <w:pStyle w:val="Header"/>
      <w:framePr w:w="8731" w:h="227" w:hRule="exact" w:wrap="notBeside" w:hAnchor="text" w:x="-112" w:y="-169" w:anchorLock="1"/>
      <w:pBdr>
        <w:top w:val="single" w:sz="6" w:space="1" w:color="A32020" w:themeColor="text2"/>
        <w:left w:val="single" w:sz="6" w:space="4" w:color="A32020" w:themeColor="text2"/>
      </w:pBdr>
      <w:rPr>
        <w:lang w:val="en-GB"/>
      </w:rPr>
    </w:pPr>
    <w:r w:rsidRPr="00FA6699">
      <w:rPr>
        <w:noProof/>
        <w:snapToGrid/>
        <w:lang w:eastAsia="en-AU"/>
      </w:rPr>
      <w:drawing>
        <wp:anchor distT="0" distB="0" distL="114300" distR="114300" simplePos="0" relativeHeight="251608064" behindDoc="0" locked="0" layoutInCell="1" allowOverlap="1" wp14:anchorId="2282E629" wp14:editId="0D670117">
          <wp:simplePos x="0" y="0"/>
          <wp:positionH relativeFrom="page">
            <wp:posOffset>648335</wp:posOffset>
          </wp:positionH>
          <wp:positionV relativeFrom="page">
            <wp:posOffset>900430</wp:posOffset>
          </wp:positionV>
          <wp:extent cx="543600" cy="8740800"/>
          <wp:effectExtent l="0" t="0" r="8890" b="3175"/>
          <wp:wrapNone/>
          <wp:docPr id="135"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260" r="65308"/>
                  <a:stretch/>
                </pic:blipFill>
                <pic:spPr bwMode="auto">
                  <a:xfrm>
                    <a:off x="0" y="0"/>
                    <a:ext cx="543600" cy="87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968B6" w14:textId="77777777" w:rsidR="00AD1FB0" w:rsidRPr="00D61BF2" w:rsidRDefault="00AD1FB0" w:rsidP="003A009A">
    <w:pPr>
      <w:pStyle w:val="FirstPagePanelFrame"/>
      <w:framePr w:wrap="notBeside"/>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48E6E" w14:textId="5C41B107" w:rsidR="00AD1FB0" w:rsidRDefault="00AD1FB0" w:rsidP="0006127D">
    <w:pPr>
      <w:pStyle w:val="URL"/>
      <w:framePr w:wrap="around"/>
    </w:pPr>
    <w:r>
      <w:t>www.pwc.com.au/pic</w:t>
    </w:r>
  </w:p>
  <w:p w14:paraId="3FF8E309" w14:textId="77777777" w:rsidR="00AD1FB0" w:rsidRPr="0006127D" w:rsidRDefault="00AD1FB0" w:rsidP="0006127D">
    <w:pPr>
      <w:rPr>
        <w:lang w:eastAsia="en-AU"/>
      </w:rPr>
    </w:pPr>
  </w:p>
  <w:p w14:paraId="4A2A9846" w14:textId="77777777" w:rsidR="00AD1FB0" w:rsidRPr="00FF5EAC" w:rsidRDefault="00AD1FB0" w:rsidP="0006127D">
    <w:pPr>
      <w:pStyle w:val="Copyright"/>
      <w:framePr w:wrap="around"/>
    </w:pPr>
    <w:bookmarkStart w:id="56" w:name="CopyrightEven"/>
    <w:r>
      <w:t>© 2017 PricewaterhouseCoopers Indigenous Consulting Pty Limited (PIC). All rights reserved.</w:t>
    </w:r>
    <w:r>
      <w:br/>
      <w:t>PwC refers to the Australian member firm, and may sometimes refer to the PwC network.</w:t>
    </w:r>
    <w:r>
      <w:br/>
      <w:t>PIC refers to the PwC member firm. PwC refers to the PwC network.</w:t>
    </w:r>
    <w:r>
      <w:br/>
      <w:t>Each member firm is a separate legal entity. Please see www.pwc.com/structure for further details.</w:t>
    </w:r>
    <w:r>
      <w:br/>
    </w:r>
    <w:r>
      <w:br/>
      <w:t>Liability limited by a scheme approved under Professional Standards Legislation</w:t>
    </w:r>
    <w:bookmarkEnd w:id="56"/>
  </w:p>
  <w:p w14:paraId="5F20A49F" w14:textId="77777777" w:rsidR="00AD1FB0" w:rsidRPr="0006127D" w:rsidRDefault="00AD1FB0" w:rsidP="0006127D">
    <w:pPr>
      <w:pStyle w:val="Header"/>
      <w:rPr>
        <w:lang w:eastAsia="en-AU"/>
      </w:rPr>
    </w:pPr>
    <w:r>
      <w:rPr>
        <w:noProof/>
        <w:snapToGrid/>
        <w:lang w:eastAsia="en-AU"/>
      </w:rPr>
      <mc:AlternateContent>
        <mc:Choice Requires="wps">
          <w:drawing>
            <wp:anchor distT="0" distB="0" distL="114300" distR="114300" simplePos="0" relativeHeight="251618304" behindDoc="1" locked="1" layoutInCell="1" allowOverlap="1" wp14:anchorId="702A2730" wp14:editId="43A1809F">
              <wp:simplePos x="0" y="0"/>
              <wp:positionH relativeFrom="page">
                <wp:posOffset>259080</wp:posOffset>
              </wp:positionH>
              <wp:positionV relativeFrom="page">
                <wp:posOffset>259080</wp:posOffset>
              </wp:positionV>
              <wp:extent cx="7041600" cy="10173600"/>
              <wp:effectExtent l="0" t="0" r="26035" b="18415"/>
              <wp:wrapNone/>
              <wp:docPr id="45" name="Rectangle 45" descr="BackCover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041600" cy="10173600"/>
                      </a:xfrm>
                      <a:prstGeom prst="rect">
                        <a:avLst/>
                      </a:prstGeom>
                      <a:solidFill>
                        <a:schemeClr val="tx2"/>
                      </a:solidFill>
                      <a:ln w="0" cmpd="sng">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94742" id="Rectangle 45" o:spid="_x0000_s1026" alt="BackCoverBlock" style="position:absolute;margin-left:20.4pt;margin-top:20.4pt;width:554.45pt;height:801.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" fillcolor="#a32020 [3215]" strokecolor="#a32020 [3215]" strokeweight="0">
              <v:path arrowok="t"/>
              <w10:wrap anchorx="page" anchory="page"/>
              <w10:anchorlock/>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9DDE4" w14:textId="5F313EEB" w:rsidR="00AD1FB0" w:rsidRPr="00A84ADF" w:rsidRDefault="00AD1FB0" w:rsidP="00A84ADF">
    <w:pPr>
      <w:pStyle w:val="Header"/>
    </w:pPr>
    <w:r>
      <w:rPr>
        <w:noProof/>
        <w:snapToGrid/>
        <w:lang w:eastAsia="en-AU"/>
      </w:rPr>
      <mc:AlternateContent>
        <mc:Choice Requires="wps">
          <w:drawing>
            <wp:anchor distT="0" distB="0" distL="114300" distR="114300" simplePos="0" relativeHeight="251621376" behindDoc="1" locked="1" layoutInCell="1" allowOverlap="1" wp14:anchorId="39FB2460" wp14:editId="25D02ADE">
              <wp:simplePos x="0" y="0"/>
              <wp:positionH relativeFrom="page">
                <wp:posOffset>259080</wp:posOffset>
              </wp:positionH>
              <wp:positionV relativeFrom="page">
                <wp:posOffset>259080</wp:posOffset>
              </wp:positionV>
              <wp:extent cx="7041600" cy="10173600"/>
              <wp:effectExtent l="0" t="0" r="26035" b="18415"/>
              <wp:wrapNone/>
              <wp:docPr id="13" name="Rectangle 13" descr="BackCover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041600" cy="10173600"/>
                      </a:xfrm>
                      <a:prstGeom prst="rect">
                        <a:avLst/>
                      </a:prstGeom>
                      <a:solidFill>
                        <a:schemeClr val="tx2"/>
                      </a:solidFill>
                      <a:ln w="0" cmpd="sng">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5ECA0" id="Rectangle 13" o:spid="_x0000_s1026" alt="BackCoverBlock" style="position:absolute;margin-left:20.4pt;margin-top:20.4pt;width:554.45pt;height:801.0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" fillcolor="#a32020 [3215]" strokecolor="#a32020 [3215]" strokeweight="0">
              <v:path arrowok="t"/>
              <w10:wrap anchorx="page" anchory="page"/>
              <w10:anchorlock/>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43DE2" w14:textId="569CE673" w:rsidR="00AD1FB0" w:rsidRPr="0097760A" w:rsidRDefault="00AD1FB0" w:rsidP="00D736E7">
    <w:pPr>
      <w:pStyle w:val="FirstPagePanelFrame"/>
      <w:framePr w:wrap="notBeside"/>
    </w:pPr>
    <w:r>
      <w:rPr>
        <w:noProof/>
        <w:snapToGrid/>
        <w:lang w:val="en-AU" w:eastAsia="en-AU"/>
      </w:rPr>
      <mc:AlternateContent>
        <mc:Choice Requires="wps">
          <w:drawing>
            <wp:anchor distT="0" distB="0" distL="114300" distR="114300" simplePos="1" relativeHeight="251616256" behindDoc="1" locked="1" layoutInCell="1" allowOverlap="1" wp14:anchorId="48038D52" wp14:editId="3E095360">
              <wp:simplePos x="0" y="0"/>
              <wp:positionH relativeFrom="page">
                <wp:posOffset>259080</wp:posOffset>
              </wp:positionH>
              <wp:positionV relativeFrom="page">
                <wp:posOffset>259080</wp:posOffset>
              </wp:positionV>
              <wp:extent cx="7041600" cy="10173600"/>
              <wp:effectExtent l="0" t="0" r="26035" b="18415"/>
              <wp:wrapNone/>
              <wp:docPr id="44" name="Rectangle 44" descr="BackCover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041600" cy="10173600"/>
                      </a:xfrm>
                      <a:prstGeom prst="rect">
                        <a:avLst/>
                      </a:prstGeom>
                      <a:solidFill>
                        <a:schemeClr val="tx2"/>
                      </a:solidFill>
                      <a:ln w="0" cmpd="sng">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72759" id="Rectangle 44" o:spid="_x0000_s1026" alt="BackCoverBlock" style="position:absolute;margin-left:20.4pt;margin-top:20.4pt;width:554.45pt;height:801.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" fillcolor="#a32020 [3215]" strokecolor="#a32020 [3215]" strokeweight="0">
              <v:path arrowok="t"/>
              <w10:wrap anchorx="page"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89906" w14:textId="6B3BA5BE" w:rsidR="00AD1FB0" w:rsidRDefault="009B6094" w:rsidP="00CC2651">
    <w:pPr>
      <w:pStyle w:val="Header"/>
      <w:rPr>
        <w:noProof/>
      </w:rPr>
    </w:pPr>
    <w:fldSimple w:instr=" STYLEREF &quot;Preface Title&quot; ">
      <w:r w:rsidR="00296186">
        <w:rPr>
          <w:noProof/>
        </w:rPr>
        <w:t>Executive summary</w:t>
      </w:r>
    </w:fldSimple>
  </w:p>
  <w:p w14:paraId="6B935C82" w14:textId="77777777" w:rsidR="00AD1FB0" w:rsidRPr="005D1FC6" w:rsidRDefault="00AD1FB0" w:rsidP="00CC2651">
    <w:pPr>
      <w:pStyle w:val="Header"/>
    </w:pPr>
    <w:r w:rsidRPr="008A3D75">
      <w:rPr>
        <w:noProof/>
        <w:lang w:eastAsia="en-AU"/>
      </w:rPr>
      <w:drawing>
        <wp:anchor distT="0" distB="0" distL="114300" distR="114300" simplePos="0" relativeHeight="251602944" behindDoc="0" locked="0" layoutInCell="1" allowOverlap="1" wp14:anchorId="0BDCBB36" wp14:editId="2568A470">
          <wp:simplePos x="0" y="0"/>
          <wp:positionH relativeFrom="page">
            <wp:posOffset>648335</wp:posOffset>
          </wp:positionH>
          <wp:positionV relativeFrom="page">
            <wp:posOffset>896620</wp:posOffset>
          </wp:positionV>
          <wp:extent cx="543600" cy="8762400"/>
          <wp:effectExtent l="0" t="0" r="0" b="0"/>
          <wp:wrapNone/>
          <wp:docPr id="8"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156" r="65308"/>
                  <a:stretch/>
                </pic:blipFill>
                <pic:spPr bwMode="auto">
                  <a:xfrm>
                    <a:off x="0" y="0"/>
                    <a:ext cx="543600" cy="876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FB8AA" w14:textId="5F3D1189" w:rsidR="00AD1FB0" w:rsidRPr="00D736E7" w:rsidRDefault="00AD1FB0" w:rsidP="00D736E7">
    <w:pPr>
      <w:pStyle w:val="FirstPagePanelFrame"/>
      <w:framePr w:wrap="notBeside"/>
    </w:pPr>
  </w:p>
  <w:p w14:paraId="4F7C0981" w14:textId="77777777" w:rsidR="00AD1FB0" w:rsidRDefault="00AD1FB0" w:rsidP="002F6B49">
    <w:pPr>
      <w:pStyle w:val="Header"/>
    </w:pPr>
  </w:p>
  <w:p w14:paraId="64857918" w14:textId="77777777" w:rsidR="00AD1FB0" w:rsidRPr="00EE4B52" w:rsidRDefault="00AD1FB0" w:rsidP="002F6B49">
    <w:pPr>
      <w:pStyle w:val="Header"/>
    </w:pPr>
    <w:r w:rsidRPr="008A3D75">
      <w:rPr>
        <w:noProof/>
        <w:lang w:eastAsia="en-AU"/>
      </w:rPr>
      <w:drawing>
        <wp:anchor distT="0" distB="0" distL="114300" distR="114300" simplePos="0" relativeHeight="251581440" behindDoc="0" locked="0" layoutInCell="1" allowOverlap="1" wp14:anchorId="555A02A7" wp14:editId="3A79310F">
          <wp:simplePos x="0" y="0"/>
          <wp:positionH relativeFrom="page">
            <wp:posOffset>647700</wp:posOffset>
          </wp:positionH>
          <wp:positionV relativeFrom="page">
            <wp:posOffset>897684</wp:posOffset>
          </wp:positionV>
          <wp:extent cx="542925" cy="8760666"/>
          <wp:effectExtent l="0" t="0" r="0" b="0"/>
          <wp:wrapNone/>
          <wp:docPr id="6"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156" r="65308"/>
                  <a:stretch/>
                </pic:blipFill>
                <pic:spPr bwMode="auto">
                  <a:xfrm>
                    <a:off x="0" y="0"/>
                    <a:ext cx="542925" cy="87606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17DCE" w14:textId="4C4CE58D" w:rsidR="00AD1FB0" w:rsidRPr="005D1FC6" w:rsidRDefault="00AD1FB0" w:rsidP="00513DA7">
    <w:pPr>
      <w:pStyle w:val="Header"/>
    </w:pPr>
    <w:r>
      <w:fldChar w:fldCharType="begin"/>
    </w:r>
    <w:r>
      <w:instrText xml:space="preserve"> STYLEREF "TOC Title" </w:instrText>
    </w:r>
    <w:r>
      <w:rPr>
        <w:noProof/>
      </w:rPr>
      <w:fldChar w:fldCharType="end"/>
    </w:r>
    <w:r w:rsidRPr="008A3D75">
      <w:rPr>
        <w:noProof/>
        <w:lang w:eastAsia="en-AU"/>
      </w:rPr>
      <w:drawing>
        <wp:anchor distT="0" distB="0" distL="114300" distR="114300" simplePos="0" relativeHeight="251603968" behindDoc="0" locked="0" layoutInCell="1" allowOverlap="1" wp14:anchorId="0FCBF66C" wp14:editId="565BD428">
          <wp:simplePos x="0" y="0"/>
          <wp:positionH relativeFrom="page">
            <wp:posOffset>648335</wp:posOffset>
          </wp:positionH>
          <wp:positionV relativeFrom="page">
            <wp:posOffset>907415</wp:posOffset>
          </wp:positionV>
          <wp:extent cx="543600" cy="8762400"/>
          <wp:effectExtent l="0" t="0" r="0" b="0"/>
          <wp:wrapNone/>
          <wp:docPr id="2"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156" r="65308"/>
                  <a:stretch/>
                </pic:blipFill>
                <pic:spPr bwMode="auto">
                  <a:xfrm>
                    <a:off x="0" y="0"/>
                    <a:ext cx="543600" cy="876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390E1" w14:textId="3D0F2C49" w:rsidR="00AD1FB0" w:rsidRPr="005D1FC6" w:rsidRDefault="00AD1FB0" w:rsidP="00513DA7">
    <w:pPr>
      <w:pStyle w:val="Header"/>
    </w:pPr>
    <w:r>
      <w:fldChar w:fldCharType="begin"/>
    </w:r>
    <w:r>
      <w:instrText>STYLEREF "Heading 2"</w:instrText>
    </w:r>
    <w:r>
      <w:fldChar w:fldCharType="separate"/>
    </w:r>
    <w:r>
      <w:rPr>
        <w:noProof/>
      </w:rPr>
      <w:t>Methodology</w:t>
    </w:r>
    <w:r>
      <w:rPr>
        <w:noProof/>
      </w:rPr>
      <w:fldChar w:fldCharType="end"/>
    </w:r>
    <w:r w:rsidRPr="008A3D75">
      <w:rPr>
        <w:noProof/>
        <w:lang w:eastAsia="en-AU"/>
      </w:rPr>
      <w:drawing>
        <wp:anchor distT="0" distB="0" distL="114300" distR="114300" simplePos="0" relativeHeight="251604992" behindDoc="0" locked="0" layoutInCell="1" allowOverlap="1" wp14:anchorId="4610BF7A" wp14:editId="1BE6D5DB">
          <wp:simplePos x="0" y="0"/>
          <wp:positionH relativeFrom="page">
            <wp:posOffset>648335</wp:posOffset>
          </wp:positionH>
          <wp:positionV relativeFrom="page">
            <wp:posOffset>907415</wp:posOffset>
          </wp:positionV>
          <wp:extent cx="543600" cy="8762400"/>
          <wp:effectExtent l="0" t="0" r="0" b="0"/>
          <wp:wrapNone/>
          <wp:docPr id="12"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156" r="65308"/>
                  <a:stretch/>
                </pic:blipFill>
                <pic:spPr bwMode="auto">
                  <a:xfrm>
                    <a:off x="0" y="0"/>
                    <a:ext cx="543600" cy="876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3B486" w14:textId="1BB6BBBC" w:rsidR="00AD1FB0" w:rsidRDefault="00AD1FB0" w:rsidP="003A009A">
    <w:pPr>
      <w:pStyle w:val="FirstPagePanelFrame-Contents"/>
      <w:framePr w:wrap="notBeside"/>
    </w:pPr>
  </w:p>
  <w:p w14:paraId="59F15C42" w14:textId="77777777" w:rsidR="00AD1FB0" w:rsidRDefault="00AD1FB0" w:rsidP="002F6B49">
    <w:pPr>
      <w:pStyle w:val="Header"/>
    </w:pPr>
  </w:p>
  <w:p w14:paraId="1B6D392E" w14:textId="77777777" w:rsidR="00AD1FB0" w:rsidRPr="00EE4B52" w:rsidRDefault="00AD1FB0" w:rsidP="002F6B49">
    <w:pPr>
      <w:pStyle w:val="Header"/>
    </w:pPr>
    <w:r w:rsidRPr="008A3D75">
      <w:rPr>
        <w:noProof/>
        <w:lang w:eastAsia="en-AU"/>
      </w:rPr>
      <w:drawing>
        <wp:anchor distT="0" distB="0" distL="114300" distR="114300" simplePos="0" relativeHeight="251582464" behindDoc="0" locked="0" layoutInCell="1" allowOverlap="1" wp14:anchorId="74669546" wp14:editId="01A6E570">
          <wp:simplePos x="0" y="0"/>
          <wp:positionH relativeFrom="page">
            <wp:posOffset>647700</wp:posOffset>
          </wp:positionH>
          <wp:positionV relativeFrom="page">
            <wp:posOffset>897684</wp:posOffset>
          </wp:positionV>
          <wp:extent cx="542925" cy="8760666"/>
          <wp:effectExtent l="0" t="0" r="0" b="0"/>
          <wp:wrapNone/>
          <wp:docPr id="4" name="Picture 3" descr="\\pwcau\syd$\Data\IFS\Williams Lea\Client Work\127007695_Project Yoda templat\127007695_links\SidebarB_2.png" title="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au\syd$\Data\IFS\Williams Lea\Client Work\127007695_Project Yoda templat\127007695_links\SidebarB_2.png"/>
                  <pic:cNvPicPr>
                    <a:picLocks noChangeAspect="1" noChangeArrowheads="1"/>
                  </pic:cNvPicPr>
                </pic:nvPicPr>
                <pic:blipFill rotWithShape="1">
                  <a:blip r:embed="rId1" cstate="print"/>
                  <a:srcRect t="5156" r="65308"/>
                  <a:stretch/>
                </pic:blipFill>
                <pic:spPr bwMode="auto">
                  <a:xfrm>
                    <a:off x="0" y="0"/>
                    <a:ext cx="542925" cy="87606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0400C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985B52"/>
    <w:multiLevelType w:val="hybridMultilevel"/>
    <w:tmpl w:val="194A9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 w15:restartNumberingAfterBreak="0">
    <w:nsid w:val="08112352"/>
    <w:multiLevelType w:val="multilevel"/>
    <w:tmpl w:val="F1841220"/>
    <w:name w:val="Bullets"/>
    <w:styleLink w:val="Bullets"/>
    <w:lvl w:ilvl="0">
      <w:start w:val="1"/>
      <w:numFmt w:val="bullet"/>
      <w:pStyle w:val="Bullet1"/>
      <w:lvlText w:val=""/>
      <w:lvlJc w:val="left"/>
      <w:pPr>
        <w:tabs>
          <w:tab w:val="num" w:pos="567"/>
        </w:tabs>
        <w:ind w:left="567" w:hanging="567"/>
      </w:pPr>
      <w:rPr>
        <w:rFonts w:ascii="Symbol" w:hAnsi="Symbol" w:hint="default"/>
        <w:color w:val="auto"/>
      </w:rPr>
    </w:lvl>
    <w:lvl w:ilvl="1">
      <w:start w:val="1"/>
      <w:numFmt w:val="bullet"/>
      <w:pStyle w:val="Bullet2"/>
      <w:lvlText w:val="–"/>
      <w:lvlJc w:val="left"/>
      <w:pPr>
        <w:tabs>
          <w:tab w:val="num" w:pos="1134"/>
        </w:tabs>
        <w:ind w:left="1134" w:hanging="567"/>
      </w:pPr>
      <w:rPr>
        <w:rFonts w:ascii="Arial" w:hAnsi="Arial" w:hint="default"/>
        <w:color w:val="auto"/>
      </w:rPr>
    </w:lvl>
    <w:lvl w:ilvl="2">
      <w:start w:val="1"/>
      <w:numFmt w:val="bullet"/>
      <w:pStyle w:val="Bullet3"/>
      <w:lvlText w:val="◦"/>
      <w:lvlJc w:val="left"/>
      <w:pPr>
        <w:tabs>
          <w:tab w:val="num" w:pos="1701"/>
        </w:tabs>
        <w:ind w:left="1701" w:hanging="567"/>
      </w:pPr>
      <w:rPr>
        <w:rFonts w:ascii="Georgia" w:hAnsi="Georgia" w:hint="default"/>
        <w:color w:val="auto"/>
      </w:rPr>
    </w:lvl>
    <w:lvl w:ilvl="3">
      <w:start w:val="1"/>
      <w:numFmt w:val="bullet"/>
      <w:pStyle w:val="Bullet4"/>
      <w:lvlText w:val=""/>
      <w:lvlJc w:val="left"/>
      <w:pPr>
        <w:tabs>
          <w:tab w:val="num" w:pos="2268"/>
        </w:tabs>
        <w:ind w:left="2268" w:hanging="56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7" w15:restartNumberingAfterBreak="0">
    <w:nsid w:val="0A8836A6"/>
    <w:multiLevelType w:val="hybridMultilevel"/>
    <w:tmpl w:val="85F210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B086541"/>
    <w:multiLevelType w:val="multilevel"/>
    <w:tmpl w:val="572824AC"/>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B4A4105"/>
    <w:multiLevelType w:val="hybridMultilevel"/>
    <w:tmpl w:val="1F764F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0194AF2"/>
    <w:multiLevelType w:val="hybridMultilevel"/>
    <w:tmpl w:val="BC64ECA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start w:val="1"/>
      <w:numFmt w:val="bullet"/>
      <w:lvlText w:val=""/>
      <w:lvlJc w:val="left"/>
      <w:pPr>
        <w:ind w:left="121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10733156"/>
    <w:multiLevelType w:val="hybridMultilevel"/>
    <w:tmpl w:val="D80847AA"/>
    <w:lvl w:ilvl="0" w:tplc="CD0CFB90">
      <w:start w:val="1"/>
      <w:numFmt w:val="bullet"/>
      <w:lvlText w:val=""/>
      <w:lvlJc w:val="left"/>
      <w:pPr>
        <w:ind w:left="786" w:hanging="360"/>
      </w:pPr>
      <w:rPr>
        <w:rFonts w:ascii="Symbol" w:hAnsi="Symbol"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113C4B44"/>
    <w:multiLevelType w:val="multilevel"/>
    <w:tmpl w:val="4E5C847A"/>
    <w:styleLink w:val="Indents"/>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13" w15:restartNumberingAfterBreak="0">
    <w:nsid w:val="137A678B"/>
    <w:multiLevelType w:val="hybridMultilevel"/>
    <w:tmpl w:val="256C2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417FC4"/>
    <w:multiLevelType w:val="multilevel"/>
    <w:tmpl w:val="50B20D3A"/>
    <w:styleLink w:val="TableNumberedListSmall"/>
    <w:lvl w:ilvl="0">
      <w:start w:val="1"/>
      <w:numFmt w:val="decimal"/>
      <w:lvlRestart w:val="0"/>
      <w:pStyle w:val="TableNumberedListSmall1"/>
      <w:lvlText w:val="%1"/>
      <w:lvlJc w:val="left"/>
      <w:pPr>
        <w:tabs>
          <w:tab w:val="num" w:pos="283"/>
        </w:tabs>
        <w:ind w:left="284" w:hanging="284"/>
      </w:pPr>
      <w:rPr>
        <w:rFonts w:asciiTheme="minorHAnsi" w:hAnsiTheme="minorHAnsi" w:hint="default"/>
        <w:b w:val="0"/>
        <w:i w:val="0"/>
        <w:color w:val="auto"/>
        <w:sz w:val="20"/>
      </w:rPr>
    </w:lvl>
    <w:lvl w:ilvl="1">
      <w:start w:val="1"/>
      <w:numFmt w:val="lowerLetter"/>
      <w:lvlRestart w:val="0"/>
      <w:pStyle w:val="TableNumberedListSmall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Small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5" w15:restartNumberingAfterBreak="0">
    <w:nsid w:val="166008A1"/>
    <w:multiLevelType w:val="hybridMultilevel"/>
    <w:tmpl w:val="64B87D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9865130"/>
    <w:multiLevelType w:val="hybridMultilevel"/>
    <w:tmpl w:val="54220414"/>
    <w:lvl w:ilvl="0" w:tplc="CD0CFB90">
      <w:start w:val="1"/>
      <w:numFmt w:val="bullet"/>
      <w:lvlText w:val=""/>
      <w:lvlJc w:val="left"/>
      <w:pPr>
        <w:ind w:left="786" w:hanging="360"/>
      </w:pPr>
      <w:rPr>
        <w:rFonts w:ascii="Symbol" w:hAnsi="Symbol" w:hint="default"/>
      </w:rPr>
    </w:lvl>
    <w:lvl w:ilvl="1" w:tplc="0C090001">
      <w:start w:val="1"/>
      <w:numFmt w:val="bullet"/>
      <w:lvlText w:val=""/>
      <w:lvlJc w:val="left"/>
      <w:pPr>
        <w:ind w:left="1342" w:hanging="360"/>
      </w:pPr>
      <w:rPr>
        <w:rFonts w:ascii="Symbol" w:hAnsi="Symbol" w:hint="default"/>
      </w:r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 w15:restartNumberingAfterBreak="0">
    <w:nsid w:val="1C4F3DAC"/>
    <w:multiLevelType w:val="hybridMultilevel"/>
    <w:tmpl w:val="7FA20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1" w15:restartNumberingAfterBreak="0">
    <w:nsid w:val="1DFC7566"/>
    <w:multiLevelType w:val="hybridMultilevel"/>
    <w:tmpl w:val="4BC07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0BD229A"/>
    <w:multiLevelType w:val="hybridMultilevel"/>
    <w:tmpl w:val="DDB89D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3CF798D"/>
    <w:multiLevelType w:val="hybridMultilevel"/>
    <w:tmpl w:val="C1489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114C87"/>
    <w:multiLevelType w:val="hybridMultilevel"/>
    <w:tmpl w:val="961086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77B4AEB"/>
    <w:multiLevelType w:val="hybridMultilevel"/>
    <w:tmpl w:val="CF0489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83947C2"/>
    <w:multiLevelType w:val="multilevel"/>
    <w:tmpl w:val="50B20D3A"/>
    <w:numStyleLink w:val="TableNumberedListSmall"/>
  </w:abstractNum>
  <w:abstractNum w:abstractNumId="27" w15:restartNumberingAfterBreak="0">
    <w:nsid w:val="286C00A5"/>
    <w:multiLevelType w:val="hybridMultilevel"/>
    <w:tmpl w:val="BFB03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B25345"/>
    <w:multiLevelType w:val="hybridMultilevel"/>
    <w:tmpl w:val="771CD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9F60073"/>
    <w:multiLevelType w:val="multilevel"/>
    <w:tmpl w:val="28909FD8"/>
    <w:lvl w:ilvl="0">
      <w:start w:val="1"/>
      <w:numFmt w:val="decimal"/>
      <w:lvlRestart w:val="0"/>
      <w:pStyle w:val="TableNumberedList1"/>
      <w:lvlText w:val="%1"/>
      <w:lvlJc w:val="left"/>
      <w:pPr>
        <w:tabs>
          <w:tab w:val="num" w:pos="283"/>
        </w:tabs>
        <w:ind w:left="284" w:hanging="284"/>
      </w:pPr>
      <w:rPr>
        <w:rFonts w:ascii="Times New Roman" w:hAnsi="Times New Roman" w:hint="default"/>
        <w:b w:val="0"/>
        <w:i w:val="0"/>
        <w:color w:val="auto"/>
        <w:sz w:val="20"/>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0" w15:restartNumberingAfterBreak="0">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1" w15:restartNumberingAfterBreak="0">
    <w:nsid w:val="2C3474FB"/>
    <w:multiLevelType w:val="hybridMultilevel"/>
    <w:tmpl w:val="196CB822"/>
    <w:lvl w:ilvl="0" w:tplc="CD0CFB90">
      <w:start w:val="1"/>
      <w:numFmt w:val="bullet"/>
      <w:lvlText w:val=""/>
      <w:lvlJc w:val="left"/>
      <w:pPr>
        <w:ind w:left="786" w:hanging="360"/>
      </w:pPr>
      <w:rPr>
        <w:rFonts w:ascii="Symbol" w:hAnsi="Symbol"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2" w15:restartNumberingAfterBreak="0">
    <w:nsid w:val="2D524BD8"/>
    <w:multiLevelType w:val="multilevel"/>
    <w:tmpl w:val="DC3C9864"/>
    <w:lvl w:ilvl="0">
      <w:start w:val="1"/>
      <w:numFmt w:val="decimal"/>
      <w:lvlRestart w:val="0"/>
      <w:suff w:val="nothing"/>
      <w:lvlText w:val="%1"/>
      <w:lvlJc w:val="left"/>
      <w:pPr>
        <w:tabs>
          <w:tab w:val="num" w:pos="0"/>
        </w:tabs>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tabs>
          <w:tab w:val="num" w:pos="0"/>
        </w:tabs>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bullet"/>
      <w:lvlText w:val=""/>
      <w:lvlJc w:val="left"/>
      <w:pPr>
        <w:tabs>
          <w:tab w:val="num" w:pos="567"/>
        </w:tabs>
        <w:ind w:left="567" w:hanging="567"/>
      </w:pPr>
      <w:rPr>
        <w:rFonts w:ascii="Symbol" w:hAnsi="Symbol" w:hint="default"/>
        <w:b w:val="0"/>
        <w:i w:val="0"/>
        <w:color w:val="auto"/>
      </w:rPr>
    </w:lvl>
    <w:lvl w:ilvl="8">
      <w:start w:val="1"/>
      <w:numFmt w:val="lowerLetter"/>
      <w:lvlText w:val="%9"/>
      <w:lvlJc w:val="left"/>
      <w:pPr>
        <w:tabs>
          <w:tab w:val="num" w:pos="1134"/>
        </w:tabs>
        <w:ind w:left="1134" w:hanging="567"/>
      </w:pPr>
      <w:rPr>
        <w:rFonts w:hint="default"/>
        <w:b w:val="0"/>
        <w:i w:val="0"/>
        <w:color w:val="auto"/>
      </w:rPr>
    </w:lvl>
  </w:abstractNum>
  <w:abstractNum w:abstractNumId="33" w15:restartNumberingAfterBreak="0">
    <w:nsid w:val="30642804"/>
    <w:multiLevelType w:val="multilevel"/>
    <w:tmpl w:val="AD680DD8"/>
    <w:lvl w:ilvl="0">
      <w:start w:val="1"/>
      <w:numFmt w:val="bullet"/>
      <w:lvlText w:val=""/>
      <w:lvlJc w:val="left"/>
      <w:pPr>
        <w:ind w:left="0" w:firstLine="0"/>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34" w15:restartNumberingAfterBreak="0">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32B176A2"/>
    <w:multiLevelType w:val="multilevel"/>
    <w:tmpl w:val="FB2A44C6"/>
    <w:lvl w:ilvl="0">
      <w:start w:val="1"/>
      <w:numFmt w:val="bullet"/>
      <w:lvlText w:val=""/>
      <w:lvlJc w:val="left"/>
      <w:pPr>
        <w:ind w:left="0" w:firstLine="0"/>
      </w:pPr>
      <w:rPr>
        <w:rFonts w:ascii="Symbol" w:hAnsi="Symbol" w:hint="default"/>
        <w:color w:val="auto"/>
      </w:rPr>
    </w:lvl>
    <w:lvl w:ilvl="1">
      <w:start w:val="1"/>
      <w:numFmt w:val="bullet"/>
      <w:lvlText w:val="o"/>
      <w:lvlJc w:val="left"/>
      <w:pPr>
        <w:ind w:left="567" w:firstLine="0"/>
      </w:pPr>
      <w:rPr>
        <w:rFonts w:ascii="Courier New" w:hAnsi="Courier New" w:cs="Courier New"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36" w15:restartNumberingAfterBreak="0">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35B6A45"/>
    <w:multiLevelType w:val="hybridMultilevel"/>
    <w:tmpl w:val="67D247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4696A35"/>
    <w:multiLevelType w:val="hybridMultilevel"/>
    <w:tmpl w:val="6434B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37EE741C"/>
    <w:multiLevelType w:val="hybridMultilevel"/>
    <w:tmpl w:val="7370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BAC7F3D"/>
    <w:multiLevelType w:val="hybridMultilevel"/>
    <w:tmpl w:val="95821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E4F29E4"/>
    <w:multiLevelType w:val="multilevel"/>
    <w:tmpl w:val="00DC3CE0"/>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567"/>
        </w:tabs>
        <w:ind w:left="567" w:hanging="567"/>
      </w:pPr>
      <w:rPr>
        <w:rFonts w:hint="default"/>
        <w:b w:val="0"/>
        <w:i w:val="0"/>
        <w:color w:val="auto"/>
      </w:rPr>
    </w:lvl>
    <w:lvl w:ilvl="8">
      <w:start w:val="1"/>
      <w:numFmt w:val="lowerLetter"/>
      <w:lvlText w:val="%9"/>
      <w:lvlJc w:val="left"/>
      <w:pPr>
        <w:tabs>
          <w:tab w:val="num" w:pos="1134"/>
        </w:tabs>
        <w:ind w:left="1134" w:hanging="567"/>
      </w:pPr>
      <w:rPr>
        <w:rFonts w:hint="default"/>
        <w:b w:val="0"/>
        <w:i w:val="0"/>
        <w:color w:val="auto"/>
      </w:rPr>
    </w:lvl>
  </w:abstractNum>
  <w:abstractNum w:abstractNumId="43" w15:restartNumberingAfterBreak="0">
    <w:nsid w:val="3EE52A50"/>
    <w:multiLevelType w:val="multilevel"/>
    <w:tmpl w:val="EE12AE72"/>
    <w:name w:val="PwCListNumbers13"/>
    <w:styleLink w:val="PwCAppendixList1"/>
    <w:lvl w:ilvl="0">
      <w:start w:val="1"/>
      <w:numFmt w:val="upperLetter"/>
      <w:pStyle w:val="Appendix"/>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F987BA2"/>
    <w:multiLevelType w:val="hybridMultilevel"/>
    <w:tmpl w:val="8E026F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00C3E21"/>
    <w:multiLevelType w:val="hybridMultilevel"/>
    <w:tmpl w:val="5F2EE5E2"/>
    <w:lvl w:ilvl="0" w:tplc="0C090001">
      <w:start w:val="1"/>
      <w:numFmt w:val="bullet"/>
      <w:lvlText w:val=""/>
      <w:lvlJc w:val="left"/>
      <w:pPr>
        <w:ind w:left="404" w:hanging="360"/>
      </w:pPr>
      <w:rPr>
        <w:rFonts w:ascii="Symbol" w:hAnsi="Symbol" w:hint="default"/>
      </w:rPr>
    </w:lvl>
    <w:lvl w:ilvl="1" w:tplc="0C090003" w:tentative="1">
      <w:start w:val="1"/>
      <w:numFmt w:val="bullet"/>
      <w:lvlText w:val="o"/>
      <w:lvlJc w:val="left"/>
      <w:pPr>
        <w:ind w:left="1124" w:hanging="360"/>
      </w:pPr>
      <w:rPr>
        <w:rFonts w:ascii="Courier New" w:hAnsi="Courier New" w:hint="default"/>
      </w:rPr>
    </w:lvl>
    <w:lvl w:ilvl="2" w:tplc="0C090005" w:tentative="1">
      <w:start w:val="1"/>
      <w:numFmt w:val="bullet"/>
      <w:lvlText w:val=""/>
      <w:lvlJc w:val="left"/>
      <w:pPr>
        <w:ind w:left="1844" w:hanging="360"/>
      </w:pPr>
      <w:rPr>
        <w:rFonts w:ascii="Wingdings" w:hAnsi="Wingdings" w:hint="default"/>
      </w:rPr>
    </w:lvl>
    <w:lvl w:ilvl="3" w:tplc="0C090001" w:tentative="1">
      <w:start w:val="1"/>
      <w:numFmt w:val="bullet"/>
      <w:lvlText w:val=""/>
      <w:lvlJc w:val="left"/>
      <w:pPr>
        <w:ind w:left="2564" w:hanging="360"/>
      </w:pPr>
      <w:rPr>
        <w:rFonts w:ascii="Symbol" w:hAnsi="Symbol" w:hint="default"/>
      </w:rPr>
    </w:lvl>
    <w:lvl w:ilvl="4" w:tplc="0C090003" w:tentative="1">
      <w:start w:val="1"/>
      <w:numFmt w:val="bullet"/>
      <w:lvlText w:val="o"/>
      <w:lvlJc w:val="left"/>
      <w:pPr>
        <w:ind w:left="3284" w:hanging="360"/>
      </w:pPr>
      <w:rPr>
        <w:rFonts w:ascii="Courier New" w:hAnsi="Courier New" w:hint="default"/>
      </w:rPr>
    </w:lvl>
    <w:lvl w:ilvl="5" w:tplc="0C090005" w:tentative="1">
      <w:start w:val="1"/>
      <w:numFmt w:val="bullet"/>
      <w:lvlText w:val=""/>
      <w:lvlJc w:val="left"/>
      <w:pPr>
        <w:ind w:left="4004" w:hanging="360"/>
      </w:pPr>
      <w:rPr>
        <w:rFonts w:ascii="Wingdings" w:hAnsi="Wingdings" w:hint="default"/>
      </w:rPr>
    </w:lvl>
    <w:lvl w:ilvl="6" w:tplc="0C090001" w:tentative="1">
      <w:start w:val="1"/>
      <w:numFmt w:val="bullet"/>
      <w:lvlText w:val=""/>
      <w:lvlJc w:val="left"/>
      <w:pPr>
        <w:ind w:left="4724" w:hanging="360"/>
      </w:pPr>
      <w:rPr>
        <w:rFonts w:ascii="Symbol" w:hAnsi="Symbol" w:hint="default"/>
      </w:rPr>
    </w:lvl>
    <w:lvl w:ilvl="7" w:tplc="0C090003" w:tentative="1">
      <w:start w:val="1"/>
      <w:numFmt w:val="bullet"/>
      <w:lvlText w:val="o"/>
      <w:lvlJc w:val="left"/>
      <w:pPr>
        <w:ind w:left="5444" w:hanging="360"/>
      </w:pPr>
      <w:rPr>
        <w:rFonts w:ascii="Courier New" w:hAnsi="Courier New" w:hint="default"/>
      </w:rPr>
    </w:lvl>
    <w:lvl w:ilvl="8" w:tplc="0C090005" w:tentative="1">
      <w:start w:val="1"/>
      <w:numFmt w:val="bullet"/>
      <w:lvlText w:val=""/>
      <w:lvlJc w:val="left"/>
      <w:pPr>
        <w:ind w:left="6164" w:hanging="360"/>
      </w:pPr>
      <w:rPr>
        <w:rFonts w:ascii="Wingdings" w:hAnsi="Wingdings" w:hint="default"/>
      </w:rPr>
    </w:lvl>
  </w:abstractNum>
  <w:abstractNum w:abstractNumId="46" w15:restartNumberingAfterBreak="0">
    <w:nsid w:val="416B615D"/>
    <w:multiLevelType w:val="hybridMultilevel"/>
    <w:tmpl w:val="CDF49B76"/>
    <w:lvl w:ilvl="0" w:tplc="CD0CFB90">
      <w:start w:val="1"/>
      <w:numFmt w:val="bullet"/>
      <w:lvlText w:val=""/>
      <w:lvlJc w:val="left"/>
      <w:pPr>
        <w:ind w:left="786" w:hanging="360"/>
      </w:pPr>
      <w:rPr>
        <w:rFonts w:ascii="Symbol" w:hAnsi="Symbol"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7" w15:restartNumberingAfterBreak="0">
    <w:nsid w:val="437814C3"/>
    <w:multiLevelType w:val="hybridMultilevel"/>
    <w:tmpl w:val="65A4D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9" w15:restartNumberingAfterBreak="0">
    <w:nsid w:val="4AAB5470"/>
    <w:multiLevelType w:val="multilevel"/>
    <w:tmpl w:val="94DC5112"/>
    <w:lvl w:ilvl="0">
      <w:start w:val="1"/>
      <w:numFmt w:val="bullet"/>
      <w:lvlRestart w:val="0"/>
      <w:pStyle w:val="ListBullet"/>
      <w:lvlText w:val=""/>
      <w:lvlJc w:val="left"/>
      <w:pPr>
        <w:tabs>
          <w:tab w:val="num" w:pos="567"/>
        </w:tabs>
        <w:ind w:left="567" w:hanging="567"/>
      </w:pPr>
      <w:rPr>
        <w:rFonts w:ascii="Symbol" w:hAnsi="Symbol" w:hint="default"/>
        <w:b w:val="0"/>
        <w:i w:val="0"/>
        <w:color w:val="auto"/>
      </w:rPr>
    </w:lvl>
    <w:lvl w:ilvl="1">
      <w:start w:val="1"/>
      <w:numFmt w:val="bullet"/>
      <w:pStyle w:val="ListBullet2"/>
      <w:lvlText w:val="–"/>
      <w:lvlJc w:val="left"/>
      <w:pPr>
        <w:tabs>
          <w:tab w:val="num" w:pos="1134"/>
        </w:tabs>
        <w:ind w:left="1134" w:hanging="567"/>
      </w:pPr>
      <w:rPr>
        <w:rFonts w:ascii="Arial" w:hAnsi="Arial" w:hint="default"/>
        <w:b w:val="0"/>
        <w:i w:val="0"/>
        <w:color w:val="auto"/>
      </w:rPr>
    </w:lvl>
    <w:lvl w:ilvl="2">
      <w:start w:val="1"/>
      <w:numFmt w:val="bullet"/>
      <w:pStyle w:val="ListBullet3"/>
      <w:lvlText w:val="◦"/>
      <w:lvlJc w:val="left"/>
      <w:pPr>
        <w:tabs>
          <w:tab w:val="num" w:pos="1701"/>
        </w:tabs>
        <w:ind w:left="1701" w:hanging="567"/>
      </w:pPr>
      <w:rPr>
        <w:rFonts w:ascii="Georgia" w:hAnsi="Georgia" w:hint="default"/>
        <w:b w:val="0"/>
        <w:i w:val="0"/>
        <w:color w:val="auto"/>
        <w:sz w:val="18"/>
        <w:szCs w:val="10"/>
      </w:rPr>
    </w:lvl>
    <w:lvl w:ilvl="3">
      <w:start w:val="1"/>
      <w:numFmt w:val="bullet"/>
      <w:pStyle w:val="ListBullet4"/>
      <w:lvlText w:val=""/>
      <w:lvlJc w:val="left"/>
      <w:pPr>
        <w:tabs>
          <w:tab w:val="num" w:pos="2268"/>
        </w:tabs>
        <w:ind w:left="2268" w:hanging="567"/>
      </w:pPr>
      <w:rPr>
        <w:rFonts w:ascii="Symbol" w:hAnsi="Symbol" w:hint="default"/>
        <w:b w:val="0"/>
        <w:i w:val="0"/>
        <w:color w:val="auto"/>
        <w:sz w:val="20"/>
        <w:szCs w:val="10"/>
      </w:rPr>
    </w:lvl>
    <w:lvl w:ilvl="4">
      <w:start w:val="1"/>
      <w:numFmt w:val="bullet"/>
      <w:pStyle w:val="ListBullet5"/>
      <w:lvlText w:val="~"/>
      <w:lvlJc w:val="left"/>
      <w:pPr>
        <w:tabs>
          <w:tab w:val="num" w:pos="2835"/>
        </w:tabs>
        <w:ind w:left="2835" w:hanging="567"/>
      </w:pPr>
      <w:rPr>
        <w:rFonts w:ascii="Georgia" w:hAnsi="Georgia" w:hint="default"/>
        <w:color w:val="auto"/>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50" w15:restartNumberingAfterBreak="0">
    <w:nsid w:val="4C161BA0"/>
    <w:multiLevelType w:val="multilevel"/>
    <w:tmpl w:val="FF32C5C6"/>
    <w:lvl w:ilvl="0">
      <w:start w:val="1"/>
      <w:numFmt w:val="bullet"/>
      <w:lvlText w:val=""/>
      <w:lvlJc w:val="left"/>
      <w:pPr>
        <w:ind w:left="0" w:firstLine="0"/>
      </w:pPr>
      <w:rPr>
        <w:rFonts w:ascii="Symbol" w:hAnsi="Symbol" w:hint="default"/>
        <w:color w:val="auto"/>
      </w:rPr>
    </w:lvl>
    <w:lvl w:ilvl="1">
      <w:start w:val="1"/>
      <w:numFmt w:val="none"/>
      <w:suff w:val="nothing"/>
      <w:lvlText w:val=""/>
      <w:lvlJc w:val="left"/>
      <w:pPr>
        <w:ind w:left="567" w:firstLine="0"/>
      </w:pPr>
    </w:lvl>
    <w:lvl w:ilvl="2">
      <w:start w:val="1"/>
      <w:numFmt w:val="none"/>
      <w:suff w:val="nothing"/>
      <w:lvlText w:val=""/>
      <w:lvlJc w:val="left"/>
      <w:pPr>
        <w:ind w:left="1134" w:firstLine="0"/>
      </w:pPr>
    </w:lvl>
    <w:lvl w:ilvl="3">
      <w:start w:val="1"/>
      <w:numFmt w:val="none"/>
      <w:suff w:val="nothing"/>
      <w:lvlText w:val=""/>
      <w:lvlJc w:val="left"/>
      <w:pPr>
        <w:ind w:left="1701" w:firstLine="0"/>
      </w:pPr>
    </w:lvl>
    <w:lvl w:ilvl="4">
      <w:start w:val="1"/>
      <w:numFmt w:val="none"/>
      <w:suff w:val="nothing"/>
      <w:lvlText w:val=""/>
      <w:lvlJc w:val="left"/>
      <w:pPr>
        <w:ind w:left="2268" w:firstLine="0"/>
      </w:pPr>
    </w:lvl>
    <w:lvl w:ilvl="5">
      <w:start w:val="1"/>
      <w:numFmt w:val="none"/>
      <w:suff w:val="nothing"/>
      <w:lvlText w:val=""/>
      <w:lvlJc w:val="left"/>
      <w:pPr>
        <w:ind w:left="2835" w:firstLine="0"/>
      </w:pPr>
    </w:lvl>
    <w:lvl w:ilvl="6">
      <w:start w:val="1"/>
      <w:numFmt w:val="none"/>
      <w:suff w:val="nothing"/>
      <w:lvlText w:val=""/>
      <w:lvlJc w:val="left"/>
      <w:pPr>
        <w:ind w:left="3402" w:firstLine="0"/>
      </w:pPr>
    </w:lvl>
    <w:lvl w:ilvl="7">
      <w:start w:val="1"/>
      <w:numFmt w:val="none"/>
      <w:suff w:val="nothing"/>
      <w:lvlText w:val=""/>
      <w:lvlJc w:val="left"/>
      <w:pPr>
        <w:ind w:left="3969" w:firstLine="0"/>
      </w:pPr>
    </w:lvl>
    <w:lvl w:ilvl="8">
      <w:start w:val="1"/>
      <w:numFmt w:val="none"/>
      <w:suff w:val="nothing"/>
      <w:lvlText w:val=""/>
      <w:lvlJc w:val="left"/>
      <w:pPr>
        <w:ind w:left="4536" w:firstLine="0"/>
      </w:pPr>
    </w:lvl>
  </w:abstractNum>
  <w:abstractNum w:abstractNumId="51" w15:restartNumberingAfterBreak="0">
    <w:nsid w:val="4D416A91"/>
    <w:multiLevelType w:val="hybridMultilevel"/>
    <w:tmpl w:val="F42CC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D8C2F25"/>
    <w:multiLevelType w:val="multilevel"/>
    <w:tmpl w:val="6E008996"/>
    <w:lvl w:ilvl="0">
      <w:start w:val="1"/>
      <w:numFmt w:val="bullet"/>
      <w:lvlRestart w:val="0"/>
      <w:pStyle w:val="TableBullet1Normal"/>
      <w:lvlText w:val=""/>
      <w:lvlJc w:val="left"/>
      <w:pPr>
        <w:tabs>
          <w:tab w:val="num" w:pos="283"/>
        </w:tabs>
        <w:ind w:left="284" w:hanging="284"/>
      </w:pPr>
      <w:rPr>
        <w:rFonts w:ascii="Symbol" w:hAnsi="Symbol" w:hint="default"/>
        <w:b w:val="0"/>
        <w:i w:val="0"/>
        <w:color w:val="auto"/>
      </w:rPr>
    </w:lvl>
    <w:lvl w:ilvl="1">
      <w:start w:val="1"/>
      <w:numFmt w:val="bullet"/>
      <w:lvlRestart w:val="0"/>
      <w:pStyle w:val="TableBullet2Normal"/>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Bullet3Normal"/>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53" w15:restartNumberingAfterBreak="0">
    <w:nsid w:val="4D905190"/>
    <w:multiLevelType w:val="hybridMultilevel"/>
    <w:tmpl w:val="88525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16B496B"/>
    <w:multiLevelType w:val="multilevel"/>
    <w:tmpl w:val="4BF0CDD4"/>
    <w:styleLink w:val="LongTOC"/>
    <w:lvl w:ilvl="0">
      <w:start w:val="1"/>
      <w:numFmt w:val="decimal"/>
      <w:lvlRestart w:val="0"/>
      <w:lvlText w:val="%1"/>
      <w:lvlJc w:val="left"/>
      <w:pPr>
        <w:tabs>
          <w:tab w:val="num" w:pos="567"/>
        </w:tabs>
        <w:ind w:left="567" w:hanging="567"/>
      </w:pPr>
      <w:rPr>
        <w:rFonts w:hint="default"/>
        <w:color w:val="FFFFFF"/>
      </w:rPr>
    </w:lvl>
    <w:lvl w:ilvl="1">
      <w:start w:val="1"/>
      <w:numFmt w:val="none"/>
      <w:lvlRestart w:val="0"/>
      <w:suff w:val="nothing"/>
      <w:lvlText w:val=""/>
      <w:lvlJc w:val="left"/>
      <w:pPr>
        <w:ind w:left="0" w:firstLine="0"/>
      </w:pPr>
      <w:rPr>
        <w:rFonts w:ascii="Arial" w:hAnsi="Arial" w:cs="Arial" w:hint="default"/>
        <w:b w:val="0"/>
        <w:i w:val="0"/>
        <w:color w:val="000000"/>
        <w:sz w:val="36"/>
      </w:rPr>
    </w:lvl>
    <w:lvl w:ilvl="2">
      <w:start w:val="1"/>
      <w:numFmt w:val="upperLetter"/>
      <w:lvlRestart w:val="0"/>
      <w:lvlText w:val="Appendix %3"/>
      <w:lvlJc w:val="left"/>
      <w:pPr>
        <w:tabs>
          <w:tab w:val="num" w:pos="1984"/>
        </w:tabs>
        <w:ind w:left="1984" w:hanging="1984"/>
      </w:pPr>
      <w:rPr>
        <w:rFonts w:hint="default"/>
        <w:b w:val="0"/>
        <w:i w:val="0"/>
        <w:color w:val="FFFFFF"/>
        <w:sz w:val="21"/>
      </w:rPr>
    </w:lvl>
    <w:lvl w:ilvl="3">
      <w:start w:val="1"/>
      <w:numFmt w:val="none"/>
      <w:lvlText w:val=""/>
      <w:lvlJc w:val="left"/>
      <w:pPr>
        <w:tabs>
          <w:tab w:val="num" w:pos="0"/>
        </w:tabs>
        <w:ind w:left="0" w:firstLine="0"/>
      </w:pPr>
      <w:rPr>
        <w:rFonts w:ascii="Arial" w:hAnsi="Arial" w:cs="Arial" w:hint="default"/>
        <w:b w:val="0"/>
        <w:i/>
        <w:color w:val="A32020" w:themeColor="text2"/>
        <w:sz w:val="28"/>
      </w:rPr>
    </w:lvl>
    <w:lvl w:ilvl="4">
      <w:start w:val="1"/>
      <w:numFmt w:val="none"/>
      <w:lvlRestart w:val="0"/>
      <w:lvlText w:val=""/>
      <w:lvlJc w:val="left"/>
      <w:pPr>
        <w:tabs>
          <w:tab w:val="num" w:pos="0"/>
        </w:tabs>
        <w:ind w:left="0" w:firstLine="0"/>
      </w:pPr>
      <w:rPr>
        <w:rFonts w:ascii="Arial" w:hAnsi="Arial" w:cs="Arial" w:hint="default"/>
        <w:b w:val="0"/>
        <w:i w:val="0"/>
        <w:color w:val="FFFFFF" w:themeColor="background2"/>
        <w:sz w:val="36"/>
      </w:rPr>
    </w:lvl>
    <w:lvl w:ilvl="5">
      <w:start w:val="1"/>
      <w:numFmt w:val="none"/>
      <w:lvlRestart w:val="0"/>
      <w:suff w:val="nothing"/>
      <w:lvlText w:val=""/>
      <w:lvlJc w:val="left"/>
      <w:pPr>
        <w:ind w:left="0" w:firstLine="0"/>
      </w:pPr>
      <w:rPr>
        <w:rFonts w:ascii="Arial" w:hAnsi="Arial" w:cs="Arial" w:hint="default"/>
        <w:b w:val="0"/>
        <w:i w:val="0"/>
        <w:color w:val="A32020" w:themeColor="text2"/>
        <w:sz w:val="72"/>
      </w:rPr>
    </w:lvl>
    <w:lvl w:ilvl="6">
      <w:start w:val="1"/>
      <w:numFmt w:val="none"/>
      <w:lvlText w:val=""/>
      <w:lvlJc w:val="left"/>
      <w:pPr>
        <w:tabs>
          <w:tab w:val="num" w:pos="567"/>
        </w:tabs>
        <w:ind w:left="567" w:hanging="567"/>
      </w:pPr>
      <w:rPr>
        <w:rFonts w:ascii="Arial" w:hAnsi="Arial" w:cs="Arial" w:hint="default"/>
        <w:b w:val="0"/>
        <w:i w:val="0"/>
        <w:color w:val="A32020" w:themeColor="text2"/>
      </w:rPr>
    </w:lvl>
    <w:lvl w:ilvl="7">
      <w:start w:val="1"/>
      <w:numFmt w:val="none"/>
      <w:lvlRestart w:val="4"/>
      <w:lvlText w:val=""/>
      <w:lvlJc w:val="left"/>
      <w:pPr>
        <w:tabs>
          <w:tab w:val="num" w:pos="567"/>
        </w:tabs>
        <w:ind w:left="0" w:firstLine="0"/>
      </w:pPr>
      <w:rPr>
        <w:rFonts w:ascii="Arial" w:hAnsi="Arial" w:cs="Arial" w:hint="default"/>
        <w:b w:val="0"/>
        <w:i w:val="0"/>
        <w:color w:val="auto"/>
      </w:rPr>
    </w:lvl>
    <w:lvl w:ilvl="8">
      <w:start w:val="1"/>
      <w:numFmt w:val="none"/>
      <w:lvlText w:val=""/>
      <w:lvlJc w:val="left"/>
      <w:pPr>
        <w:tabs>
          <w:tab w:val="num" w:pos="1134"/>
        </w:tabs>
        <w:ind w:left="0" w:firstLine="0"/>
      </w:pPr>
      <w:rPr>
        <w:rFonts w:ascii="Arial" w:hAnsi="Arial" w:cs="Arial" w:hint="default"/>
        <w:b w:val="0"/>
        <w:i w:val="0"/>
        <w:color w:val="auto"/>
      </w:rPr>
    </w:lvl>
  </w:abstractNum>
  <w:abstractNum w:abstractNumId="55" w15:restartNumberingAfterBreak="0">
    <w:nsid w:val="518C39C9"/>
    <w:multiLevelType w:val="multilevel"/>
    <w:tmpl w:val="D93463A2"/>
    <w:styleLink w:val="Style1"/>
    <w:lvl w:ilvl="0">
      <w:start w:val="1"/>
      <w:numFmt w:val="decimal"/>
      <w:pStyle w:val="TOC1"/>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pStyle w:val="TOC3"/>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6A541EB"/>
    <w:multiLevelType w:val="hybridMultilevel"/>
    <w:tmpl w:val="526A39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7" w15:restartNumberingAfterBreak="0">
    <w:nsid w:val="594F03CB"/>
    <w:multiLevelType w:val="hybridMultilevel"/>
    <w:tmpl w:val="5838E610"/>
    <w:lvl w:ilvl="0" w:tplc="CD0CFB90">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8" w15:restartNumberingAfterBreak="0">
    <w:nsid w:val="59902965"/>
    <w:multiLevelType w:val="hybridMultilevel"/>
    <w:tmpl w:val="A97C69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AA70820"/>
    <w:multiLevelType w:val="hybridMultilevel"/>
    <w:tmpl w:val="B72ED5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B2563DD"/>
    <w:multiLevelType w:val="hybridMultilevel"/>
    <w:tmpl w:val="B4C81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DC76B7F"/>
    <w:multiLevelType w:val="multilevel"/>
    <w:tmpl w:val="FBA6C270"/>
    <w:name w:val="Chapter numbering list"/>
    <w:lvl w:ilvl="0">
      <w:start w:val="1"/>
      <w:numFmt w:val="decimal"/>
      <w:lvlRestart w:val="0"/>
      <w:pStyle w:val="ChapterNumberLong"/>
      <w:suff w:val="nothing"/>
      <w:lvlText w:val="%1"/>
      <w:lvlJc w:val="left"/>
      <w:pPr>
        <w:tabs>
          <w:tab w:val="num" w:pos="0"/>
        </w:tabs>
        <w:ind w:left="0" w:firstLine="0"/>
      </w:pPr>
      <w:rPr>
        <w:rFonts w:hint="default"/>
      </w:rPr>
    </w:lvl>
    <w:lvl w:ilvl="1">
      <w:start w:val="1"/>
      <w:numFmt w:val="decimal"/>
      <w:lvlRestart w:val="0"/>
      <w:pStyle w:val="Heading2"/>
      <w:lvlText w:val="%2"/>
      <w:lvlJc w:val="left"/>
      <w:pPr>
        <w:tabs>
          <w:tab w:val="num" w:pos="850"/>
        </w:tabs>
        <w:ind w:left="850" w:hanging="850"/>
      </w:pPr>
      <w:rPr>
        <w:rFonts w:hint="default"/>
      </w:rPr>
    </w:lvl>
    <w:lvl w:ilvl="2">
      <w:start w:val="1"/>
      <w:numFmt w:val="decimal"/>
      <w:pStyle w:val="Heading6"/>
      <w:lvlText w:val="%2.%3"/>
      <w:lvlJc w:val="left"/>
      <w:pPr>
        <w:tabs>
          <w:tab w:val="num" w:pos="850"/>
        </w:tabs>
        <w:ind w:left="850" w:hanging="850"/>
      </w:pPr>
      <w:rPr>
        <w:rFonts w:hint="default"/>
      </w:rPr>
    </w:lvl>
    <w:lvl w:ilvl="3">
      <w:start w:val="1"/>
      <w:numFmt w:val="decimal"/>
      <w:pStyle w:val="Heading7"/>
      <w:lvlText w:val="%2.%3.%4"/>
      <w:lvlJc w:val="left"/>
      <w:pPr>
        <w:tabs>
          <w:tab w:val="num" w:pos="850"/>
        </w:tabs>
        <w:ind w:left="850" w:hanging="850"/>
      </w:pPr>
      <w:rPr>
        <w:rFonts w:hint="default"/>
      </w:rPr>
    </w:lvl>
    <w:lvl w:ilvl="4">
      <w:start w:val="1"/>
      <w:numFmt w:val="upperLetter"/>
      <w:lvlRestart w:val="0"/>
      <w:pStyle w:val="Heading4"/>
      <w:lvlText w:val="Appendix %5"/>
      <w:lvlJc w:val="left"/>
      <w:pPr>
        <w:tabs>
          <w:tab w:val="num" w:pos="3685"/>
        </w:tabs>
        <w:ind w:left="0" w:firstLine="0"/>
      </w:pPr>
      <w:rPr>
        <w:rFonts w:hint="default"/>
      </w:rPr>
    </w:lvl>
    <w:lvl w:ilvl="5">
      <w:start w:val="1"/>
      <w:numFmt w:val="upperLetter"/>
      <w:lvlRestart w:val="0"/>
      <w:pStyle w:val="AppendixNumberLong"/>
      <w:suff w:val="nothing"/>
      <w:lvlText w:val="Appendix %6"/>
      <w:lvlJc w:val="left"/>
      <w:pPr>
        <w:tabs>
          <w:tab w:val="num" w:pos="0"/>
        </w:tabs>
        <w:ind w:left="0" w:firstLine="0"/>
      </w:pPr>
      <w:rPr>
        <w:rFonts w:hint="default"/>
      </w:rPr>
    </w:lvl>
    <w:lvl w:ilvl="6">
      <w:start w:val="1"/>
      <w:numFmt w:val="decimal"/>
      <w:pStyle w:val="Heading8"/>
      <w:lvlText w:val="%7"/>
      <w:lvlJc w:val="left"/>
      <w:pPr>
        <w:tabs>
          <w:tab w:val="num" w:pos="567"/>
        </w:tabs>
        <w:ind w:left="567" w:hanging="567"/>
      </w:pPr>
      <w:rPr>
        <w:rFonts w:hint="default"/>
        <w:b/>
        <w:i/>
      </w:rPr>
    </w:lvl>
    <w:lvl w:ilvl="7">
      <w:start w:val="1"/>
      <w:numFmt w:val="decimal"/>
      <w:pStyle w:val="ChapterNumberedList1"/>
      <w:lvlText w:val="%8"/>
      <w:lvlJc w:val="left"/>
      <w:pPr>
        <w:tabs>
          <w:tab w:val="num" w:pos="567"/>
        </w:tabs>
        <w:ind w:left="567" w:hanging="567"/>
      </w:pPr>
      <w:rPr>
        <w:rFonts w:hint="default"/>
        <w:b w:val="0"/>
        <w:i w:val="0"/>
        <w:color w:val="auto"/>
      </w:rPr>
    </w:lvl>
    <w:lvl w:ilvl="8">
      <w:start w:val="1"/>
      <w:numFmt w:val="lowerLetter"/>
      <w:pStyle w:val="ChapterNumberedList2"/>
      <w:lvlText w:val="%9"/>
      <w:lvlJc w:val="left"/>
      <w:pPr>
        <w:tabs>
          <w:tab w:val="num" w:pos="1134"/>
        </w:tabs>
        <w:ind w:left="1134" w:hanging="567"/>
      </w:pPr>
      <w:rPr>
        <w:rFonts w:hint="default"/>
        <w:b w:val="0"/>
        <w:i w:val="0"/>
        <w:color w:val="auto"/>
      </w:rPr>
    </w:lvl>
  </w:abstractNum>
  <w:abstractNum w:abstractNumId="62" w15:restartNumberingAfterBreak="0">
    <w:nsid w:val="5E401664"/>
    <w:multiLevelType w:val="multilevel"/>
    <w:tmpl w:val="EE12AE72"/>
    <w:name w:val="LongTOC"/>
    <w:numStyleLink w:val="PwCAppendixList1"/>
  </w:abstractNum>
  <w:abstractNum w:abstractNumId="63" w15:restartNumberingAfterBreak="0">
    <w:nsid w:val="629F4426"/>
    <w:multiLevelType w:val="hybridMultilevel"/>
    <w:tmpl w:val="4A46C4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2A21C21"/>
    <w:multiLevelType w:val="hybridMultilevel"/>
    <w:tmpl w:val="8C622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3917BB9"/>
    <w:multiLevelType w:val="multilevel"/>
    <w:tmpl w:val="4E5C847A"/>
    <w:numStyleLink w:val="Indents"/>
  </w:abstractNum>
  <w:abstractNum w:abstractNumId="66" w15:restartNumberingAfterBreak="0">
    <w:nsid w:val="66CD19E8"/>
    <w:multiLevelType w:val="hybridMultilevel"/>
    <w:tmpl w:val="1D7C7D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BDF1217"/>
    <w:multiLevelType w:val="hybridMultilevel"/>
    <w:tmpl w:val="3E8A8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C8A32D2"/>
    <w:multiLevelType w:val="multilevel"/>
    <w:tmpl w:val="25800BE4"/>
    <w:styleLink w:val="Indents1"/>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69" w15:restartNumberingAfterBreak="0">
    <w:nsid w:val="6F567B53"/>
    <w:multiLevelType w:val="hybridMultilevel"/>
    <w:tmpl w:val="1A4AE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F5B3547"/>
    <w:multiLevelType w:val="hybridMultilevel"/>
    <w:tmpl w:val="56242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FCB1E37"/>
    <w:multiLevelType w:val="hybridMultilevel"/>
    <w:tmpl w:val="CB0C3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0FA70D0"/>
    <w:multiLevelType w:val="hybridMultilevel"/>
    <w:tmpl w:val="7B04E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1E23A2B"/>
    <w:multiLevelType w:val="multilevel"/>
    <w:tmpl w:val="EE68CFCC"/>
    <w:name w:val="NumberedLists2"/>
    <w:lvl w:ilvl="0">
      <w:start w:val="1"/>
      <w:numFmt w:val="decimal"/>
      <w:lvlRestart w:val="0"/>
      <w:suff w:val="nothing"/>
      <w:lvlText w:val="%1"/>
      <w:lvlJc w:val="left"/>
      <w:pPr>
        <w:ind w:left="0" w:firstLine="0"/>
      </w:pPr>
      <w:rPr>
        <w:rFonts w:ascii="Arial" w:hAnsi="Arial" w:cs="Arial" w:hint="default"/>
        <w:b w:val="0"/>
        <w:i w:val="0"/>
        <w:sz w:val="72"/>
      </w:rPr>
    </w:lvl>
    <w:lvl w:ilvl="1">
      <w:start w:val="1"/>
      <w:numFmt w:val="decimal"/>
      <w:lvlRestart w:val="0"/>
      <w:lvlText w:val="%2"/>
      <w:lvlJc w:val="left"/>
      <w:pPr>
        <w:tabs>
          <w:tab w:val="num" w:pos="850"/>
        </w:tabs>
        <w:ind w:left="850" w:hanging="850"/>
      </w:pPr>
      <w:rPr>
        <w:rFonts w:asciiTheme="majorHAnsi" w:hAnsiTheme="majorHAnsi" w:cs="Arial" w:hint="default"/>
        <w:b/>
        <w:i/>
        <w:sz w:val="56"/>
      </w:rPr>
    </w:lvl>
    <w:lvl w:ilvl="2">
      <w:start w:val="1"/>
      <w:numFmt w:val="decimal"/>
      <w:lvlText w:val="%2.%3"/>
      <w:lvlJc w:val="left"/>
      <w:pPr>
        <w:tabs>
          <w:tab w:val="num" w:pos="850"/>
        </w:tabs>
        <w:ind w:left="850" w:hanging="850"/>
      </w:pPr>
      <w:rPr>
        <w:rFonts w:asciiTheme="majorHAnsi" w:hAnsiTheme="majorHAnsi" w:cs="Arial" w:hint="default"/>
        <w:b/>
        <w:i/>
        <w:sz w:val="32"/>
      </w:rPr>
    </w:lvl>
    <w:lvl w:ilvl="3">
      <w:start w:val="1"/>
      <w:numFmt w:val="decimal"/>
      <w:lvlText w:val="%2.%3.%4"/>
      <w:lvlJc w:val="left"/>
      <w:pPr>
        <w:tabs>
          <w:tab w:val="num" w:pos="850"/>
        </w:tabs>
        <w:ind w:left="850" w:hanging="850"/>
      </w:pPr>
      <w:rPr>
        <w:rFonts w:asciiTheme="majorHAnsi" w:hAnsiTheme="majorHAnsi" w:cs="Arial" w:hint="default"/>
        <w:b w:val="0"/>
        <w:i/>
        <w:sz w:val="28"/>
      </w:rPr>
    </w:lvl>
    <w:lvl w:ilvl="4">
      <w:start w:val="1"/>
      <w:numFmt w:val="upperLetter"/>
      <w:lvlRestart w:val="0"/>
      <w:lvlText w:val="Appendix %5"/>
      <w:lvlJc w:val="left"/>
      <w:pPr>
        <w:tabs>
          <w:tab w:val="num" w:pos="3686"/>
        </w:tabs>
        <w:ind w:left="0" w:firstLine="0"/>
      </w:pPr>
      <w:rPr>
        <w:rFonts w:asciiTheme="majorHAnsi" w:hAnsiTheme="majorHAnsi" w:cs="Arial" w:hint="default"/>
        <w:b/>
        <w:i/>
        <w:sz w:val="56"/>
      </w:rPr>
    </w:lvl>
    <w:lvl w:ilvl="5">
      <w:start w:val="1"/>
      <w:numFmt w:val="upperLetter"/>
      <w:lvlRestart w:val="0"/>
      <w:suff w:val="nothing"/>
      <w:lvlText w:val="Appendix %6"/>
      <w:lvlJc w:val="left"/>
      <w:pPr>
        <w:ind w:left="0" w:firstLine="0"/>
      </w:pPr>
      <w:rPr>
        <w:rFonts w:asciiTheme="majorHAnsi" w:hAnsiTheme="majorHAnsi" w:cs="Arial" w:hint="default"/>
        <w:b/>
        <w:i/>
        <w:sz w:val="56"/>
      </w:rPr>
    </w:lvl>
    <w:lvl w:ilvl="6">
      <w:start w:val="1"/>
      <w:numFmt w:val="decimal"/>
      <w:lvlText w:val="%7"/>
      <w:lvlJc w:val="left"/>
      <w:pPr>
        <w:tabs>
          <w:tab w:val="num" w:pos="567"/>
        </w:tabs>
        <w:ind w:left="567" w:hanging="567"/>
      </w:pPr>
      <w:rPr>
        <w:rFonts w:ascii="Georgia" w:hAnsi="Georgia" w:cs="Arial" w:hint="default"/>
        <w:b/>
        <w:i/>
      </w:rPr>
    </w:lvl>
    <w:lvl w:ilvl="7">
      <w:start w:val="1"/>
      <w:numFmt w:val="decimal"/>
      <w:lvlText w:val="%8"/>
      <w:lvlJc w:val="left"/>
      <w:pPr>
        <w:tabs>
          <w:tab w:val="num" w:pos="567"/>
        </w:tabs>
        <w:ind w:left="567" w:hanging="567"/>
      </w:pPr>
      <w:rPr>
        <w:rFonts w:ascii="Georgia" w:hAnsi="Georgia" w:cs="Arial" w:hint="default"/>
        <w:b w:val="0"/>
        <w:i w:val="0"/>
        <w:color w:val="auto"/>
      </w:rPr>
    </w:lvl>
    <w:lvl w:ilvl="8">
      <w:start w:val="1"/>
      <w:numFmt w:val="lowerLetter"/>
      <w:lvlText w:val="%9"/>
      <w:lvlJc w:val="left"/>
      <w:pPr>
        <w:tabs>
          <w:tab w:val="num" w:pos="1134"/>
        </w:tabs>
        <w:ind w:left="1134" w:hanging="567"/>
      </w:pPr>
      <w:rPr>
        <w:rFonts w:ascii="Georgia" w:hAnsi="Georgia" w:cs="Arial" w:hint="default"/>
        <w:b w:val="0"/>
        <w:i w:val="0"/>
        <w:color w:val="auto"/>
      </w:rPr>
    </w:lvl>
  </w:abstractNum>
  <w:abstractNum w:abstractNumId="74" w15:restartNumberingAfterBreak="0">
    <w:nsid w:val="751A2507"/>
    <w:multiLevelType w:val="hybridMultilevel"/>
    <w:tmpl w:val="4DB81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752F5F8A"/>
    <w:multiLevelType w:val="hybridMultilevel"/>
    <w:tmpl w:val="40161C62"/>
    <w:lvl w:ilvl="0" w:tplc="A510EB2A">
      <w:numFmt w:val="bullet"/>
      <w:lvlText w:val="-"/>
      <w:lvlJc w:val="left"/>
      <w:pPr>
        <w:ind w:left="2520" w:hanging="360"/>
      </w:pPr>
      <w:rPr>
        <w:rFonts w:ascii="Georgia" w:eastAsia="Times New Roman" w:hAnsi="Georgia" w:cs="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76" w15:restartNumberingAfterBreak="0">
    <w:nsid w:val="75936278"/>
    <w:multiLevelType w:val="hybridMultilevel"/>
    <w:tmpl w:val="F530E7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7501195"/>
    <w:multiLevelType w:val="hybridMultilevel"/>
    <w:tmpl w:val="4F865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B8F731D"/>
    <w:multiLevelType w:val="hybridMultilevel"/>
    <w:tmpl w:val="C34E13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12"/>
  </w:num>
  <w:num w:numId="3">
    <w:abstractNumId w:val="48"/>
  </w:num>
  <w:num w:numId="4">
    <w:abstractNumId w:val="68"/>
  </w:num>
  <w:num w:numId="5">
    <w:abstractNumId w:val="49"/>
  </w:num>
  <w:num w:numId="6">
    <w:abstractNumId w:val="52"/>
  </w:num>
  <w:num w:numId="7">
    <w:abstractNumId w:val="30"/>
  </w:num>
  <w:num w:numId="8">
    <w:abstractNumId w:val="36"/>
  </w:num>
  <w:num w:numId="9">
    <w:abstractNumId w:val="65"/>
  </w:num>
  <w:num w:numId="10">
    <w:abstractNumId w:val="5"/>
  </w:num>
  <w:num w:numId="11">
    <w:abstractNumId w:val="43"/>
  </w:num>
  <w:num w:numId="12">
    <w:abstractNumId w:val="62"/>
  </w:num>
  <w:num w:numId="13">
    <w:abstractNumId w:val="6"/>
  </w:num>
  <w:num w:numId="14">
    <w:abstractNumId w:val="20"/>
  </w:num>
  <w:num w:numId="15">
    <w:abstractNumId w:val="29"/>
  </w:num>
  <w:num w:numId="16">
    <w:abstractNumId w:val="14"/>
  </w:num>
  <w:num w:numId="17">
    <w:abstractNumId w:val="26"/>
  </w:num>
  <w:num w:numId="18">
    <w:abstractNumId w:val="16"/>
  </w:num>
  <w:num w:numId="19">
    <w:abstractNumId w:val="8"/>
  </w:num>
  <w:num w:numId="20">
    <w:abstractNumId w:val="17"/>
  </w:num>
  <w:num w:numId="21">
    <w:abstractNumId w:val="2"/>
  </w:num>
  <w:num w:numId="22">
    <w:abstractNumId w:val="34"/>
  </w:num>
  <w:num w:numId="23">
    <w:abstractNumId w:val="4"/>
  </w:num>
  <w:num w:numId="24">
    <w:abstractNumId w:val="55"/>
  </w:num>
  <w:num w:numId="25">
    <w:abstractNumId w:val="42"/>
  </w:num>
  <w:num w:numId="26">
    <w:abstractNumId w:val="54"/>
  </w:num>
  <w:num w:numId="27">
    <w:abstractNumId w:val="61"/>
  </w:num>
  <w:num w:numId="28">
    <w:abstractNumId w:val="65"/>
  </w:num>
  <w:num w:numId="29">
    <w:abstractNumId w:val="9"/>
  </w:num>
  <w:num w:numId="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35"/>
  </w:num>
  <w:num w:numId="34">
    <w:abstractNumId w:val="58"/>
  </w:num>
  <w:num w:numId="35">
    <w:abstractNumId w:val="76"/>
  </w:num>
  <w:num w:numId="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1"/>
  </w:num>
  <w:num w:numId="39">
    <w:abstractNumId w:val="60"/>
  </w:num>
  <w:num w:numId="40">
    <w:abstractNumId w:val="24"/>
  </w:num>
  <w:num w:numId="41">
    <w:abstractNumId w:val="78"/>
  </w:num>
  <w:num w:numId="42">
    <w:abstractNumId w:val="71"/>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66"/>
  </w:num>
  <w:num w:numId="46">
    <w:abstractNumId w:val="19"/>
  </w:num>
  <w:num w:numId="47">
    <w:abstractNumId w:val="40"/>
  </w:num>
  <w:num w:numId="48">
    <w:abstractNumId w:val="32"/>
  </w:num>
  <w:num w:numId="49">
    <w:abstractNumId w:val="72"/>
  </w:num>
  <w:num w:numId="50">
    <w:abstractNumId w:val="28"/>
  </w:num>
  <w:num w:numId="51">
    <w:abstractNumId w:val="51"/>
  </w:num>
  <w:num w:numId="52">
    <w:abstractNumId w:val="38"/>
  </w:num>
  <w:num w:numId="53">
    <w:abstractNumId w:val="70"/>
  </w:num>
  <w:num w:numId="54">
    <w:abstractNumId w:val="64"/>
  </w:num>
  <w:num w:numId="55">
    <w:abstractNumId w:val="56"/>
  </w:num>
  <w:num w:numId="56">
    <w:abstractNumId w:val="45"/>
  </w:num>
  <w:num w:numId="57">
    <w:abstractNumId w:val="7"/>
  </w:num>
  <w:num w:numId="58">
    <w:abstractNumId w:val="1"/>
  </w:num>
  <w:num w:numId="59">
    <w:abstractNumId w:val="22"/>
  </w:num>
  <w:num w:numId="60">
    <w:abstractNumId w:val="57"/>
  </w:num>
  <w:num w:numId="61">
    <w:abstractNumId w:val="11"/>
  </w:num>
  <w:num w:numId="62">
    <w:abstractNumId w:val="31"/>
  </w:num>
  <w:num w:numId="63">
    <w:abstractNumId w:val="18"/>
  </w:num>
  <w:num w:numId="64">
    <w:abstractNumId w:val="46"/>
  </w:num>
  <w:num w:numId="65">
    <w:abstractNumId w:val="25"/>
  </w:num>
  <w:num w:numId="66">
    <w:abstractNumId w:val="77"/>
  </w:num>
  <w:num w:numId="67">
    <w:abstractNumId w:val="15"/>
  </w:num>
  <w:num w:numId="68">
    <w:abstractNumId w:val="63"/>
  </w:num>
  <w:num w:numId="69">
    <w:abstractNumId w:val="67"/>
  </w:num>
  <w:num w:numId="70">
    <w:abstractNumId w:val="53"/>
  </w:num>
  <w:num w:numId="71">
    <w:abstractNumId w:val="23"/>
  </w:num>
  <w:num w:numId="72">
    <w:abstractNumId w:val="27"/>
  </w:num>
  <w:num w:numId="73">
    <w:abstractNumId w:val="59"/>
  </w:num>
  <w:num w:numId="74">
    <w:abstractNumId w:val="37"/>
  </w:num>
  <w:num w:numId="75">
    <w:abstractNumId w:val="69"/>
  </w:num>
  <w:num w:numId="76">
    <w:abstractNumId w:val="13"/>
  </w:num>
  <w:num w:numId="77">
    <w:abstractNumId w:val="47"/>
  </w:num>
  <w:num w:numId="78">
    <w:abstractNumId w:val="75"/>
  </w:num>
  <w:num w:numId="79">
    <w:abstractNumId w:val="65"/>
  </w:num>
  <w:num w:numId="80">
    <w:abstractNumId w:val="65"/>
  </w:num>
  <w:num w:numId="81">
    <w:abstractNumId w:val="61"/>
  </w:num>
  <w:num w:numId="82">
    <w:abstractNumId w:val="61"/>
  </w:num>
  <w:num w:numId="83">
    <w:abstractNumId w:val="61"/>
  </w:num>
  <w:num w:numId="84">
    <w:abstractNumId w:val="61"/>
  </w:num>
  <w:num w:numId="85">
    <w:abstractNumId w:val="65"/>
  </w:num>
  <w:num w:numId="86">
    <w:abstractNumId w:val="10"/>
  </w:num>
  <w:num w:numId="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1"/>
  </w:num>
  <w:num w:numId="90">
    <w:abstractNumId w:val="0"/>
  </w:num>
  <w:num w:numId="91">
    <w:abstractNumId w:val="49"/>
  </w:num>
  <w:num w:numId="92">
    <w:abstractNumId w:val="74"/>
  </w:num>
  <w:num w:numId="93">
    <w:abstractNumId w:val="49"/>
  </w:num>
  <w:num w:numId="94">
    <w:abstractNumId w:val="4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00"/>
  <w:displayHorizontalDrawingGridEvery w:val="2"/>
  <w:characterSpacingControl w:val="doNotCompress"/>
  <w:hdrShapeDefaults>
    <o:shapedefaults v:ext="edit" spidmax="2049" fillcolor="none [3215]" stroke="f">
      <v:fill color="none [321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09A"/>
    <w:rsid w:val="00000267"/>
    <w:rsid w:val="00000BF6"/>
    <w:rsid w:val="00000E07"/>
    <w:rsid w:val="000010DC"/>
    <w:rsid w:val="00001404"/>
    <w:rsid w:val="00002894"/>
    <w:rsid w:val="00002CBE"/>
    <w:rsid w:val="00002F7F"/>
    <w:rsid w:val="00002F85"/>
    <w:rsid w:val="000046CA"/>
    <w:rsid w:val="000052D8"/>
    <w:rsid w:val="00005CEB"/>
    <w:rsid w:val="00006B9F"/>
    <w:rsid w:val="00006DC6"/>
    <w:rsid w:val="00007406"/>
    <w:rsid w:val="00007EFD"/>
    <w:rsid w:val="00011B56"/>
    <w:rsid w:val="00013DAF"/>
    <w:rsid w:val="000148A7"/>
    <w:rsid w:val="00015271"/>
    <w:rsid w:val="00015598"/>
    <w:rsid w:val="00015F3F"/>
    <w:rsid w:val="000165FF"/>
    <w:rsid w:val="000203C2"/>
    <w:rsid w:val="00020F7F"/>
    <w:rsid w:val="00020F8D"/>
    <w:rsid w:val="000219D0"/>
    <w:rsid w:val="000222F5"/>
    <w:rsid w:val="00023712"/>
    <w:rsid w:val="0002400B"/>
    <w:rsid w:val="0002523F"/>
    <w:rsid w:val="00025387"/>
    <w:rsid w:val="00027B5F"/>
    <w:rsid w:val="0003004A"/>
    <w:rsid w:val="00030368"/>
    <w:rsid w:val="000308DC"/>
    <w:rsid w:val="00031309"/>
    <w:rsid w:val="00031714"/>
    <w:rsid w:val="000317A6"/>
    <w:rsid w:val="000324F8"/>
    <w:rsid w:val="00033E5E"/>
    <w:rsid w:val="00035288"/>
    <w:rsid w:val="0003687B"/>
    <w:rsid w:val="00037D22"/>
    <w:rsid w:val="00040BC7"/>
    <w:rsid w:val="00041787"/>
    <w:rsid w:val="00041E14"/>
    <w:rsid w:val="00042109"/>
    <w:rsid w:val="00043650"/>
    <w:rsid w:val="00044237"/>
    <w:rsid w:val="000444FF"/>
    <w:rsid w:val="000473AE"/>
    <w:rsid w:val="00047714"/>
    <w:rsid w:val="000506A5"/>
    <w:rsid w:val="00050ACB"/>
    <w:rsid w:val="00051862"/>
    <w:rsid w:val="0005222A"/>
    <w:rsid w:val="00053B82"/>
    <w:rsid w:val="00054C40"/>
    <w:rsid w:val="00055A6A"/>
    <w:rsid w:val="00055BAE"/>
    <w:rsid w:val="0005674C"/>
    <w:rsid w:val="000606D1"/>
    <w:rsid w:val="00061068"/>
    <w:rsid w:val="0006127D"/>
    <w:rsid w:val="000619A2"/>
    <w:rsid w:val="00061DA1"/>
    <w:rsid w:val="00063503"/>
    <w:rsid w:val="00063BE4"/>
    <w:rsid w:val="00063C19"/>
    <w:rsid w:val="00064A4C"/>
    <w:rsid w:val="00064B40"/>
    <w:rsid w:val="00064EB8"/>
    <w:rsid w:val="0006530A"/>
    <w:rsid w:val="000679F1"/>
    <w:rsid w:val="00067EC5"/>
    <w:rsid w:val="00070164"/>
    <w:rsid w:val="00070486"/>
    <w:rsid w:val="00070875"/>
    <w:rsid w:val="000713BA"/>
    <w:rsid w:val="00076C97"/>
    <w:rsid w:val="000778D4"/>
    <w:rsid w:val="00077EBF"/>
    <w:rsid w:val="00080AF8"/>
    <w:rsid w:val="0008139D"/>
    <w:rsid w:val="00081A58"/>
    <w:rsid w:val="00082CD9"/>
    <w:rsid w:val="00083051"/>
    <w:rsid w:val="000847B3"/>
    <w:rsid w:val="00087C5B"/>
    <w:rsid w:val="000905BA"/>
    <w:rsid w:val="00090AAB"/>
    <w:rsid w:val="00091458"/>
    <w:rsid w:val="0009340E"/>
    <w:rsid w:val="00093754"/>
    <w:rsid w:val="00094408"/>
    <w:rsid w:val="0009464C"/>
    <w:rsid w:val="000967A4"/>
    <w:rsid w:val="00096CE6"/>
    <w:rsid w:val="00096F31"/>
    <w:rsid w:val="000A0247"/>
    <w:rsid w:val="000A0570"/>
    <w:rsid w:val="000A0836"/>
    <w:rsid w:val="000A1F3F"/>
    <w:rsid w:val="000A38AA"/>
    <w:rsid w:val="000A4154"/>
    <w:rsid w:val="000A4352"/>
    <w:rsid w:val="000A51EE"/>
    <w:rsid w:val="000A58A9"/>
    <w:rsid w:val="000A6014"/>
    <w:rsid w:val="000A6F12"/>
    <w:rsid w:val="000A744F"/>
    <w:rsid w:val="000B0247"/>
    <w:rsid w:val="000B0862"/>
    <w:rsid w:val="000B1068"/>
    <w:rsid w:val="000B1E15"/>
    <w:rsid w:val="000B319E"/>
    <w:rsid w:val="000B510F"/>
    <w:rsid w:val="000B5AFD"/>
    <w:rsid w:val="000B61EE"/>
    <w:rsid w:val="000B62A0"/>
    <w:rsid w:val="000B65CE"/>
    <w:rsid w:val="000B741C"/>
    <w:rsid w:val="000B7AC9"/>
    <w:rsid w:val="000B7E22"/>
    <w:rsid w:val="000C009C"/>
    <w:rsid w:val="000C0DC8"/>
    <w:rsid w:val="000C10E3"/>
    <w:rsid w:val="000C312A"/>
    <w:rsid w:val="000C3423"/>
    <w:rsid w:val="000C4821"/>
    <w:rsid w:val="000C56BD"/>
    <w:rsid w:val="000C5D73"/>
    <w:rsid w:val="000C5EEC"/>
    <w:rsid w:val="000C6F10"/>
    <w:rsid w:val="000D21C3"/>
    <w:rsid w:val="000D3133"/>
    <w:rsid w:val="000D3B7B"/>
    <w:rsid w:val="000D3C42"/>
    <w:rsid w:val="000D3C62"/>
    <w:rsid w:val="000D4527"/>
    <w:rsid w:val="000D4ED1"/>
    <w:rsid w:val="000D54C3"/>
    <w:rsid w:val="000E0E16"/>
    <w:rsid w:val="000E110A"/>
    <w:rsid w:val="000E126D"/>
    <w:rsid w:val="000E14AD"/>
    <w:rsid w:val="000E2F96"/>
    <w:rsid w:val="000E3802"/>
    <w:rsid w:val="000E4D3D"/>
    <w:rsid w:val="000E5D59"/>
    <w:rsid w:val="000E6525"/>
    <w:rsid w:val="000E65B2"/>
    <w:rsid w:val="000E751E"/>
    <w:rsid w:val="000E7917"/>
    <w:rsid w:val="000E7BB5"/>
    <w:rsid w:val="000F118B"/>
    <w:rsid w:val="000F4EB8"/>
    <w:rsid w:val="000F5855"/>
    <w:rsid w:val="000F5BBE"/>
    <w:rsid w:val="000F76FF"/>
    <w:rsid w:val="000F77C6"/>
    <w:rsid w:val="001002E4"/>
    <w:rsid w:val="00100753"/>
    <w:rsid w:val="001013F4"/>
    <w:rsid w:val="001015D1"/>
    <w:rsid w:val="00101E7E"/>
    <w:rsid w:val="001026F1"/>
    <w:rsid w:val="00103299"/>
    <w:rsid w:val="00103591"/>
    <w:rsid w:val="001036D5"/>
    <w:rsid w:val="00105AA9"/>
    <w:rsid w:val="00106911"/>
    <w:rsid w:val="00111324"/>
    <w:rsid w:val="00111544"/>
    <w:rsid w:val="00112A1C"/>
    <w:rsid w:val="00113D7F"/>
    <w:rsid w:val="0011421B"/>
    <w:rsid w:val="00114C45"/>
    <w:rsid w:val="00116C85"/>
    <w:rsid w:val="001179B7"/>
    <w:rsid w:val="00117D9C"/>
    <w:rsid w:val="001209C8"/>
    <w:rsid w:val="001226BE"/>
    <w:rsid w:val="00123346"/>
    <w:rsid w:val="00123EF1"/>
    <w:rsid w:val="00124E9B"/>
    <w:rsid w:val="00125AFC"/>
    <w:rsid w:val="00125C0A"/>
    <w:rsid w:val="00126AFF"/>
    <w:rsid w:val="00126DC3"/>
    <w:rsid w:val="00127187"/>
    <w:rsid w:val="00127829"/>
    <w:rsid w:val="00130007"/>
    <w:rsid w:val="00130727"/>
    <w:rsid w:val="00130745"/>
    <w:rsid w:val="00132EED"/>
    <w:rsid w:val="00135AE9"/>
    <w:rsid w:val="00135FF2"/>
    <w:rsid w:val="00137B03"/>
    <w:rsid w:val="0014062F"/>
    <w:rsid w:val="00141457"/>
    <w:rsid w:val="001415DD"/>
    <w:rsid w:val="001420B0"/>
    <w:rsid w:val="00142F9D"/>
    <w:rsid w:val="001436B6"/>
    <w:rsid w:val="0014535D"/>
    <w:rsid w:val="00145368"/>
    <w:rsid w:val="001469D4"/>
    <w:rsid w:val="00146E85"/>
    <w:rsid w:val="0014703A"/>
    <w:rsid w:val="001476BD"/>
    <w:rsid w:val="001476BE"/>
    <w:rsid w:val="0015001A"/>
    <w:rsid w:val="0015303F"/>
    <w:rsid w:val="00155FE3"/>
    <w:rsid w:val="00157444"/>
    <w:rsid w:val="001604B6"/>
    <w:rsid w:val="00164007"/>
    <w:rsid w:val="0016454D"/>
    <w:rsid w:val="00164A8D"/>
    <w:rsid w:val="00165AC0"/>
    <w:rsid w:val="001669D2"/>
    <w:rsid w:val="00166AE4"/>
    <w:rsid w:val="00166F4F"/>
    <w:rsid w:val="00167BEC"/>
    <w:rsid w:val="00167EE0"/>
    <w:rsid w:val="00167F7E"/>
    <w:rsid w:val="00170238"/>
    <w:rsid w:val="001708CB"/>
    <w:rsid w:val="00170DF6"/>
    <w:rsid w:val="00174043"/>
    <w:rsid w:val="00176D38"/>
    <w:rsid w:val="00180895"/>
    <w:rsid w:val="00181EAE"/>
    <w:rsid w:val="001824CB"/>
    <w:rsid w:val="00182598"/>
    <w:rsid w:val="001827F1"/>
    <w:rsid w:val="001837BD"/>
    <w:rsid w:val="00184855"/>
    <w:rsid w:val="00185379"/>
    <w:rsid w:val="001856FB"/>
    <w:rsid w:val="00185720"/>
    <w:rsid w:val="00185E01"/>
    <w:rsid w:val="00185F6F"/>
    <w:rsid w:val="001861C1"/>
    <w:rsid w:val="00187218"/>
    <w:rsid w:val="0019023E"/>
    <w:rsid w:val="00190483"/>
    <w:rsid w:val="00192241"/>
    <w:rsid w:val="00192A42"/>
    <w:rsid w:val="00192DAA"/>
    <w:rsid w:val="00192F51"/>
    <w:rsid w:val="00193397"/>
    <w:rsid w:val="00194E04"/>
    <w:rsid w:val="00195DDB"/>
    <w:rsid w:val="00197937"/>
    <w:rsid w:val="00197BBC"/>
    <w:rsid w:val="00197C7A"/>
    <w:rsid w:val="001A01CF"/>
    <w:rsid w:val="001A129B"/>
    <w:rsid w:val="001A1C17"/>
    <w:rsid w:val="001A24EE"/>
    <w:rsid w:val="001A2696"/>
    <w:rsid w:val="001A425D"/>
    <w:rsid w:val="001A461A"/>
    <w:rsid w:val="001A529E"/>
    <w:rsid w:val="001A6378"/>
    <w:rsid w:val="001A741F"/>
    <w:rsid w:val="001B154C"/>
    <w:rsid w:val="001B1E72"/>
    <w:rsid w:val="001B2382"/>
    <w:rsid w:val="001B3327"/>
    <w:rsid w:val="001B34FF"/>
    <w:rsid w:val="001B3C7F"/>
    <w:rsid w:val="001B58F2"/>
    <w:rsid w:val="001B678D"/>
    <w:rsid w:val="001C2061"/>
    <w:rsid w:val="001C28BE"/>
    <w:rsid w:val="001C32F9"/>
    <w:rsid w:val="001C447B"/>
    <w:rsid w:val="001C47A5"/>
    <w:rsid w:val="001C4917"/>
    <w:rsid w:val="001C4FE3"/>
    <w:rsid w:val="001C5F00"/>
    <w:rsid w:val="001C6506"/>
    <w:rsid w:val="001C6D16"/>
    <w:rsid w:val="001D11DC"/>
    <w:rsid w:val="001D1799"/>
    <w:rsid w:val="001D1AF5"/>
    <w:rsid w:val="001D2237"/>
    <w:rsid w:val="001D29AE"/>
    <w:rsid w:val="001D3DD1"/>
    <w:rsid w:val="001D65CA"/>
    <w:rsid w:val="001E0020"/>
    <w:rsid w:val="001E06FE"/>
    <w:rsid w:val="001E1F9F"/>
    <w:rsid w:val="001E2F91"/>
    <w:rsid w:val="001E31A4"/>
    <w:rsid w:val="001E3EA7"/>
    <w:rsid w:val="001E41D9"/>
    <w:rsid w:val="001E5304"/>
    <w:rsid w:val="001E5FC9"/>
    <w:rsid w:val="001E620F"/>
    <w:rsid w:val="001E62C4"/>
    <w:rsid w:val="001E6A5E"/>
    <w:rsid w:val="001E6CBC"/>
    <w:rsid w:val="001E6CE0"/>
    <w:rsid w:val="001E6EBC"/>
    <w:rsid w:val="001E725C"/>
    <w:rsid w:val="001E750A"/>
    <w:rsid w:val="001F0210"/>
    <w:rsid w:val="001F0793"/>
    <w:rsid w:val="001F0864"/>
    <w:rsid w:val="001F0DAD"/>
    <w:rsid w:val="001F2BB2"/>
    <w:rsid w:val="001F2C4E"/>
    <w:rsid w:val="001F3220"/>
    <w:rsid w:val="001F55EB"/>
    <w:rsid w:val="001F56B3"/>
    <w:rsid w:val="001F765D"/>
    <w:rsid w:val="001F798F"/>
    <w:rsid w:val="002014CF"/>
    <w:rsid w:val="002024C2"/>
    <w:rsid w:val="0020267E"/>
    <w:rsid w:val="00202810"/>
    <w:rsid w:val="002030A3"/>
    <w:rsid w:val="00203710"/>
    <w:rsid w:val="00204F10"/>
    <w:rsid w:val="00205D40"/>
    <w:rsid w:val="00207E36"/>
    <w:rsid w:val="00207F43"/>
    <w:rsid w:val="00210620"/>
    <w:rsid w:val="002108D1"/>
    <w:rsid w:val="0021094E"/>
    <w:rsid w:val="00211991"/>
    <w:rsid w:val="00213C42"/>
    <w:rsid w:val="00214CC5"/>
    <w:rsid w:val="0021543C"/>
    <w:rsid w:val="00215D7C"/>
    <w:rsid w:val="00215E7D"/>
    <w:rsid w:val="00217154"/>
    <w:rsid w:val="002219F5"/>
    <w:rsid w:val="00221B74"/>
    <w:rsid w:val="002228B6"/>
    <w:rsid w:val="00222EC0"/>
    <w:rsid w:val="00224BA5"/>
    <w:rsid w:val="00230266"/>
    <w:rsid w:val="00231135"/>
    <w:rsid w:val="002330A0"/>
    <w:rsid w:val="00234576"/>
    <w:rsid w:val="00234835"/>
    <w:rsid w:val="00234F3A"/>
    <w:rsid w:val="002353A9"/>
    <w:rsid w:val="00235653"/>
    <w:rsid w:val="0023597B"/>
    <w:rsid w:val="00235E6E"/>
    <w:rsid w:val="00236445"/>
    <w:rsid w:val="00237BCC"/>
    <w:rsid w:val="002407B2"/>
    <w:rsid w:val="00240FCD"/>
    <w:rsid w:val="00241695"/>
    <w:rsid w:val="00243644"/>
    <w:rsid w:val="002445FF"/>
    <w:rsid w:val="0024482C"/>
    <w:rsid w:val="00245400"/>
    <w:rsid w:val="00245C02"/>
    <w:rsid w:val="00247067"/>
    <w:rsid w:val="00247640"/>
    <w:rsid w:val="00247954"/>
    <w:rsid w:val="002504DF"/>
    <w:rsid w:val="002514AF"/>
    <w:rsid w:val="00251591"/>
    <w:rsid w:val="002534B3"/>
    <w:rsid w:val="002542AB"/>
    <w:rsid w:val="0025481F"/>
    <w:rsid w:val="00255ECC"/>
    <w:rsid w:val="00256B17"/>
    <w:rsid w:val="00257062"/>
    <w:rsid w:val="002570A9"/>
    <w:rsid w:val="00257526"/>
    <w:rsid w:val="00257794"/>
    <w:rsid w:val="00260B1B"/>
    <w:rsid w:val="002627A5"/>
    <w:rsid w:val="002628D1"/>
    <w:rsid w:val="002633A5"/>
    <w:rsid w:val="002639CC"/>
    <w:rsid w:val="00263AE9"/>
    <w:rsid w:val="0026608B"/>
    <w:rsid w:val="00266A04"/>
    <w:rsid w:val="00270109"/>
    <w:rsid w:val="00270144"/>
    <w:rsid w:val="002709D2"/>
    <w:rsid w:val="00273234"/>
    <w:rsid w:val="002736C6"/>
    <w:rsid w:val="00273D52"/>
    <w:rsid w:val="002745E9"/>
    <w:rsid w:val="0027472A"/>
    <w:rsid w:val="00275248"/>
    <w:rsid w:val="00275813"/>
    <w:rsid w:val="00276748"/>
    <w:rsid w:val="00276DF5"/>
    <w:rsid w:val="00280476"/>
    <w:rsid w:val="00281EAB"/>
    <w:rsid w:val="00281F92"/>
    <w:rsid w:val="002825BF"/>
    <w:rsid w:val="00282F45"/>
    <w:rsid w:val="00283175"/>
    <w:rsid w:val="002833F5"/>
    <w:rsid w:val="002850FC"/>
    <w:rsid w:val="00285470"/>
    <w:rsid w:val="00285547"/>
    <w:rsid w:val="0028561C"/>
    <w:rsid w:val="00285AAD"/>
    <w:rsid w:val="0028639C"/>
    <w:rsid w:val="00287BBC"/>
    <w:rsid w:val="002908C9"/>
    <w:rsid w:val="00291666"/>
    <w:rsid w:val="0029230A"/>
    <w:rsid w:val="002924AB"/>
    <w:rsid w:val="00292BF1"/>
    <w:rsid w:val="002960CE"/>
    <w:rsid w:val="00296186"/>
    <w:rsid w:val="00296433"/>
    <w:rsid w:val="00296814"/>
    <w:rsid w:val="00297BFF"/>
    <w:rsid w:val="00297CF4"/>
    <w:rsid w:val="002A07D8"/>
    <w:rsid w:val="002A0C42"/>
    <w:rsid w:val="002A30D6"/>
    <w:rsid w:val="002A4114"/>
    <w:rsid w:val="002A5354"/>
    <w:rsid w:val="002B10D1"/>
    <w:rsid w:val="002B1624"/>
    <w:rsid w:val="002B1CD2"/>
    <w:rsid w:val="002B2426"/>
    <w:rsid w:val="002B27CC"/>
    <w:rsid w:val="002B298D"/>
    <w:rsid w:val="002B3373"/>
    <w:rsid w:val="002B4C2E"/>
    <w:rsid w:val="002B4C86"/>
    <w:rsid w:val="002B5288"/>
    <w:rsid w:val="002B60B6"/>
    <w:rsid w:val="002B7A82"/>
    <w:rsid w:val="002B7C8E"/>
    <w:rsid w:val="002C016F"/>
    <w:rsid w:val="002C0347"/>
    <w:rsid w:val="002C29F8"/>
    <w:rsid w:val="002C3ABA"/>
    <w:rsid w:val="002C4763"/>
    <w:rsid w:val="002C6FB3"/>
    <w:rsid w:val="002D0A6D"/>
    <w:rsid w:val="002D1B11"/>
    <w:rsid w:val="002D2514"/>
    <w:rsid w:val="002D38DD"/>
    <w:rsid w:val="002D4F4C"/>
    <w:rsid w:val="002D5CE4"/>
    <w:rsid w:val="002D5DC3"/>
    <w:rsid w:val="002D6616"/>
    <w:rsid w:val="002D69E9"/>
    <w:rsid w:val="002D6FED"/>
    <w:rsid w:val="002E11FC"/>
    <w:rsid w:val="002E1E04"/>
    <w:rsid w:val="002E2191"/>
    <w:rsid w:val="002E2AA4"/>
    <w:rsid w:val="002E481F"/>
    <w:rsid w:val="002E4B69"/>
    <w:rsid w:val="002E5B95"/>
    <w:rsid w:val="002E5EC7"/>
    <w:rsid w:val="002E6590"/>
    <w:rsid w:val="002E7DFB"/>
    <w:rsid w:val="002E7FBA"/>
    <w:rsid w:val="002F02A4"/>
    <w:rsid w:val="002F0885"/>
    <w:rsid w:val="002F1AC5"/>
    <w:rsid w:val="002F323F"/>
    <w:rsid w:val="002F3B91"/>
    <w:rsid w:val="002F6082"/>
    <w:rsid w:val="002F6312"/>
    <w:rsid w:val="002F69E7"/>
    <w:rsid w:val="002F6B49"/>
    <w:rsid w:val="002F7776"/>
    <w:rsid w:val="002F7A8E"/>
    <w:rsid w:val="0030011D"/>
    <w:rsid w:val="00301999"/>
    <w:rsid w:val="00302BCF"/>
    <w:rsid w:val="00303067"/>
    <w:rsid w:val="00304820"/>
    <w:rsid w:val="00306F4B"/>
    <w:rsid w:val="0030724E"/>
    <w:rsid w:val="00310154"/>
    <w:rsid w:val="00310381"/>
    <w:rsid w:val="003103E1"/>
    <w:rsid w:val="00310CB2"/>
    <w:rsid w:val="00313D8F"/>
    <w:rsid w:val="003146EB"/>
    <w:rsid w:val="00314A1B"/>
    <w:rsid w:val="00315CD9"/>
    <w:rsid w:val="00317710"/>
    <w:rsid w:val="00317CE6"/>
    <w:rsid w:val="003202EC"/>
    <w:rsid w:val="0032106D"/>
    <w:rsid w:val="00324F7E"/>
    <w:rsid w:val="003250F7"/>
    <w:rsid w:val="00325697"/>
    <w:rsid w:val="00325C37"/>
    <w:rsid w:val="00325FD3"/>
    <w:rsid w:val="0032654B"/>
    <w:rsid w:val="003270A5"/>
    <w:rsid w:val="00327C6B"/>
    <w:rsid w:val="00330EAA"/>
    <w:rsid w:val="003318BA"/>
    <w:rsid w:val="00331DAA"/>
    <w:rsid w:val="003343D7"/>
    <w:rsid w:val="0033474E"/>
    <w:rsid w:val="0033477C"/>
    <w:rsid w:val="00334CDC"/>
    <w:rsid w:val="003364E5"/>
    <w:rsid w:val="00340545"/>
    <w:rsid w:val="00340549"/>
    <w:rsid w:val="0034289D"/>
    <w:rsid w:val="00342966"/>
    <w:rsid w:val="00342A7E"/>
    <w:rsid w:val="003445FC"/>
    <w:rsid w:val="00346235"/>
    <w:rsid w:val="00350B99"/>
    <w:rsid w:val="00351241"/>
    <w:rsid w:val="00351D70"/>
    <w:rsid w:val="00351DE1"/>
    <w:rsid w:val="00351FA6"/>
    <w:rsid w:val="003522D8"/>
    <w:rsid w:val="00352966"/>
    <w:rsid w:val="0035350F"/>
    <w:rsid w:val="00353B64"/>
    <w:rsid w:val="0035429F"/>
    <w:rsid w:val="00354ADA"/>
    <w:rsid w:val="00357088"/>
    <w:rsid w:val="00360109"/>
    <w:rsid w:val="00360615"/>
    <w:rsid w:val="003613F0"/>
    <w:rsid w:val="00366205"/>
    <w:rsid w:val="00366805"/>
    <w:rsid w:val="00367142"/>
    <w:rsid w:val="00367462"/>
    <w:rsid w:val="00367555"/>
    <w:rsid w:val="00367708"/>
    <w:rsid w:val="00367B96"/>
    <w:rsid w:val="00373B4F"/>
    <w:rsid w:val="0037588C"/>
    <w:rsid w:val="0037600D"/>
    <w:rsid w:val="0037694D"/>
    <w:rsid w:val="0037696F"/>
    <w:rsid w:val="003769C7"/>
    <w:rsid w:val="00377556"/>
    <w:rsid w:val="003779E0"/>
    <w:rsid w:val="0038008F"/>
    <w:rsid w:val="0038033A"/>
    <w:rsid w:val="00380F77"/>
    <w:rsid w:val="00380FE3"/>
    <w:rsid w:val="00381350"/>
    <w:rsid w:val="0038169F"/>
    <w:rsid w:val="0038213B"/>
    <w:rsid w:val="00382A9D"/>
    <w:rsid w:val="00384AB2"/>
    <w:rsid w:val="003854AB"/>
    <w:rsid w:val="00385B5F"/>
    <w:rsid w:val="00385B92"/>
    <w:rsid w:val="00392372"/>
    <w:rsid w:val="00392564"/>
    <w:rsid w:val="003929DD"/>
    <w:rsid w:val="00393C33"/>
    <w:rsid w:val="003955B3"/>
    <w:rsid w:val="00396422"/>
    <w:rsid w:val="003A009A"/>
    <w:rsid w:val="003A046D"/>
    <w:rsid w:val="003A0783"/>
    <w:rsid w:val="003A10D3"/>
    <w:rsid w:val="003A1137"/>
    <w:rsid w:val="003A1B93"/>
    <w:rsid w:val="003A1DD5"/>
    <w:rsid w:val="003A2E2A"/>
    <w:rsid w:val="003A3749"/>
    <w:rsid w:val="003A3C92"/>
    <w:rsid w:val="003A4A6F"/>
    <w:rsid w:val="003A797E"/>
    <w:rsid w:val="003B1871"/>
    <w:rsid w:val="003B1B8B"/>
    <w:rsid w:val="003B2AA4"/>
    <w:rsid w:val="003B2C8C"/>
    <w:rsid w:val="003B326B"/>
    <w:rsid w:val="003B3297"/>
    <w:rsid w:val="003B429A"/>
    <w:rsid w:val="003B5733"/>
    <w:rsid w:val="003B5AAE"/>
    <w:rsid w:val="003B5C06"/>
    <w:rsid w:val="003B6777"/>
    <w:rsid w:val="003B6AA0"/>
    <w:rsid w:val="003B752C"/>
    <w:rsid w:val="003B75D7"/>
    <w:rsid w:val="003B7938"/>
    <w:rsid w:val="003C08A5"/>
    <w:rsid w:val="003C0CC1"/>
    <w:rsid w:val="003C0EFE"/>
    <w:rsid w:val="003C1B0D"/>
    <w:rsid w:val="003C3D9B"/>
    <w:rsid w:val="003C42CF"/>
    <w:rsid w:val="003C52DC"/>
    <w:rsid w:val="003C6DB0"/>
    <w:rsid w:val="003C71A5"/>
    <w:rsid w:val="003C77A9"/>
    <w:rsid w:val="003C7E3E"/>
    <w:rsid w:val="003D06E6"/>
    <w:rsid w:val="003D0871"/>
    <w:rsid w:val="003D20AF"/>
    <w:rsid w:val="003D28AE"/>
    <w:rsid w:val="003D3282"/>
    <w:rsid w:val="003D41CD"/>
    <w:rsid w:val="003D429E"/>
    <w:rsid w:val="003D51A5"/>
    <w:rsid w:val="003D5331"/>
    <w:rsid w:val="003D54AD"/>
    <w:rsid w:val="003D602A"/>
    <w:rsid w:val="003D708E"/>
    <w:rsid w:val="003E0A22"/>
    <w:rsid w:val="003E4C68"/>
    <w:rsid w:val="003E6FC9"/>
    <w:rsid w:val="003F0189"/>
    <w:rsid w:val="003F17F3"/>
    <w:rsid w:val="003F1BDC"/>
    <w:rsid w:val="003F2926"/>
    <w:rsid w:val="003F2A12"/>
    <w:rsid w:val="003F4C35"/>
    <w:rsid w:val="003F56F2"/>
    <w:rsid w:val="003F70F7"/>
    <w:rsid w:val="003F7436"/>
    <w:rsid w:val="004007E3"/>
    <w:rsid w:val="00400C5B"/>
    <w:rsid w:val="00400D4D"/>
    <w:rsid w:val="00403848"/>
    <w:rsid w:val="0040384E"/>
    <w:rsid w:val="004038BD"/>
    <w:rsid w:val="00404399"/>
    <w:rsid w:val="00404528"/>
    <w:rsid w:val="00404A2A"/>
    <w:rsid w:val="004059BA"/>
    <w:rsid w:val="00405C3C"/>
    <w:rsid w:val="0040648C"/>
    <w:rsid w:val="00406928"/>
    <w:rsid w:val="00406BD8"/>
    <w:rsid w:val="00407065"/>
    <w:rsid w:val="00410435"/>
    <w:rsid w:val="00410D4B"/>
    <w:rsid w:val="00410FEA"/>
    <w:rsid w:val="00411104"/>
    <w:rsid w:val="00412140"/>
    <w:rsid w:val="00412358"/>
    <w:rsid w:val="004138E6"/>
    <w:rsid w:val="00414885"/>
    <w:rsid w:val="0041517E"/>
    <w:rsid w:val="00415D8B"/>
    <w:rsid w:val="00416280"/>
    <w:rsid w:val="00416B9F"/>
    <w:rsid w:val="0041762D"/>
    <w:rsid w:val="00417CA1"/>
    <w:rsid w:val="0042103E"/>
    <w:rsid w:val="00422095"/>
    <w:rsid w:val="00423054"/>
    <w:rsid w:val="004256E9"/>
    <w:rsid w:val="00425FC5"/>
    <w:rsid w:val="00426B4C"/>
    <w:rsid w:val="00431985"/>
    <w:rsid w:val="00432309"/>
    <w:rsid w:val="004323AA"/>
    <w:rsid w:val="00432A28"/>
    <w:rsid w:val="00433033"/>
    <w:rsid w:val="004330E9"/>
    <w:rsid w:val="0043364D"/>
    <w:rsid w:val="00433FB6"/>
    <w:rsid w:val="004343B3"/>
    <w:rsid w:val="004348F0"/>
    <w:rsid w:val="00435286"/>
    <w:rsid w:val="00436418"/>
    <w:rsid w:val="00437DC1"/>
    <w:rsid w:val="0044108D"/>
    <w:rsid w:val="00441864"/>
    <w:rsid w:val="00441BB6"/>
    <w:rsid w:val="004425FD"/>
    <w:rsid w:val="00442DFE"/>
    <w:rsid w:val="00442F25"/>
    <w:rsid w:val="004435DF"/>
    <w:rsid w:val="004438FA"/>
    <w:rsid w:val="004465CA"/>
    <w:rsid w:val="00446AAF"/>
    <w:rsid w:val="00447874"/>
    <w:rsid w:val="00450038"/>
    <w:rsid w:val="00450840"/>
    <w:rsid w:val="00450E38"/>
    <w:rsid w:val="00452188"/>
    <w:rsid w:val="004521EC"/>
    <w:rsid w:val="00453A75"/>
    <w:rsid w:val="0045450B"/>
    <w:rsid w:val="004546E4"/>
    <w:rsid w:val="00455C8F"/>
    <w:rsid w:val="00455EDD"/>
    <w:rsid w:val="00456E8B"/>
    <w:rsid w:val="004574EC"/>
    <w:rsid w:val="00460052"/>
    <w:rsid w:val="00461AF8"/>
    <w:rsid w:val="00462400"/>
    <w:rsid w:val="00463277"/>
    <w:rsid w:val="0046441F"/>
    <w:rsid w:val="0046540E"/>
    <w:rsid w:val="00465A6D"/>
    <w:rsid w:val="00465D73"/>
    <w:rsid w:val="00466C53"/>
    <w:rsid w:val="0047015C"/>
    <w:rsid w:val="00470697"/>
    <w:rsid w:val="004716D9"/>
    <w:rsid w:val="00471E7F"/>
    <w:rsid w:val="004726F1"/>
    <w:rsid w:val="0047382B"/>
    <w:rsid w:val="00474A08"/>
    <w:rsid w:val="00475CE4"/>
    <w:rsid w:val="00477D62"/>
    <w:rsid w:val="004806E1"/>
    <w:rsid w:val="00480BDE"/>
    <w:rsid w:val="00480C7A"/>
    <w:rsid w:val="0048177D"/>
    <w:rsid w:val="00482B86"/>
    <w:rsid w:val="00483B65"/>
    <w:rsid w:val="00483E95"/>
    <w:rsid w:val="0048436D"/>
    <w:rsid w:val="00484D31"/>
    <w:rsid w:val="004860A4"/>
    <w:rsid w:val="0048701E"/>
    <w:rsid w:val="00487907"/>
    <w:rsid w:val="00490157"/>
    <w:rsid w:val="0049074E"/>
    <w:rsid w:val="004919B1"/>
    <w:rsid w:val="00491CA3"/>
    <w:rsid w:val="004938B4"/>
    <w:rsid w:val="00494C5D"/>
    <w:rsid w:val="004954CF"/>
    <w:rsid w:val="00496610"/>
    <w:rsid w:val="0049720A"/>
    <w:rsid w:val="004977E5"/>
    <w:rsid w:val="00497C68"/>
    <w:rsid w:val="004A0652"/>
    <w:rsid w:val="004A0693"/>
    <w:rsid w:val="004A0AF2"/>
    <w:rsid w:val="004A0DEB"/>
    <w:rsid w:val="004A1CC0"/>
    <w:rsid w:val="004A1DFF"/>
    <w:rsid w:val="004A3749"/>
    <w:rsid w:val="004A5FE8"/>
    <w:rsid w:val="004A766A"/>
    <w:rsid w:val="004A7D50"/>
    <w:rsid w:val="004B02C4"/>
    <w:rsid w:val="004B1012"/>
    <w:rsid w:val="004B1461"/>
    <w:rsid w:val="004B1E27"/>
    <w:rsid w:val="004B24C5"/>
    <w:rsid w:val="004B40D9"/>
    <w:rsid w:val="004B4B04"/>
    <w:rsid w:val="004B7602"/>
    <w:rsid w:val="004B7C65"/>
    <w:rsid w:val="004B7D70"/>
    <w:rsid w:val="004B7E73"/>
    <w:rsid w:val="004C0466"/>
    <w:rsid w:val="004C09AF"/>
    <w:rsid w:val="004C1F04"/>
    <w:rsid w:val="004C315F"/>
    <w:rsid w:val="004C3B2E"/>
    <w:rsid w:val="004C5873"/>
    <w:rsid w:val="004C5B61"/>
    <w:rsid w:val="004C5FE6"/>
    <w:rsid w:val="004C6E0A"/>
    <w:rsid w:val="004C7A29"/>
    <w:rsid w:val="004D01E2"/>
    <w:rsid w:val="004D03AF"/>
    <w:rsid w:val="004D10AA"/>
    <w:rsid w:val="004D2632"/>
    <w:rsid w:val="004D3CB2"/>
    <w:rsid w:val="004D59B5"/>
    <w:rsid w:val="004D69DD"/>
    <w:rsid w:val="004D73E5"/>
    <w:rsid w:val="004D7942"/>
    <w:rsid w:val="004E0593"/>
    <w:rsid w:val="004E0740"/>
    <w:rsid w:val="004E0B72"/>
    <w:rsid w:val="004E1ABA"/>
    <w:rsid w:val="004E230C"/>
    <w:rsid w:val="004E35A7"/>
    <w:rsid w:val="004E41EF"/>
    <w:rsid w:val="004E42F0"/>
    <w:rsid w:val="004E623E"/>
    <w:rsid w:val="004F0878"/>
    <w:rsid w:val="004F0B10"/>
    <w:rsid w:val="004F1350"/>
    <w:rsid w:val="004F261E"/>
    <w:rsid w:val="004F263E"/>
    <w:rsid w:val="004F28E6"/>
    <w:rsid w:val="004F3702"/>
    <w:rsid w:val="004F417E"/>
    <w:rsid w:val="004F78E9"/>
    <w:rsid w:val="00503844"/>
    <w:rsid w:val="00503A1D"/>
    <w:rsid w:val="00505891"/>
    <w:rsid w:val="00505A11"/>
    <w:rsid w:val="0050706C"/>
    <w:rsid w:val="00510814"/>
    <w:rsid w:val="00510B83"/>
    <w:rsid w:val="00510F92"/>
    <w:rsid w:val="0051141E"/>
    <w:rsid w:val="00511B4C"/>
    <w:rsid w:val="005137DE"/>
    <w:rsid w:val="00513DA7"/>
    <w:rsid w:val="00514109"/>
    <w:rsid w:val="005143FC"/>
    <w:rsid w:val="00515601"/>
    <w:rsid w:val="00516747"/>
    <w:rsid w:val="005203CC"/>
    <w:rsid w:val="00520519"/>
    <w:rsid w:val="00520F1E"/>
    <w:rsid w:val="005224DE"/>
    <w:rsid w:val="0052254D"/>
    <w:rsid w:val="005228B8"/>
    <w:rsid w:val="00524384"/>
    <w:rsid w:val="00524531"/>
    <w:rsid w:val="00524862"/>
    <w:rsid w:val="0052509C"/>
    <w:rsid w:val="00530A80"/>
    <w:rsid w:val="00531214"/>
    <w:rsid w:val="00535AE8"/>
    <w:rsid w:val="00535CEA"/>
    <w:rsid w:val="005360DD"/>
    <w:rsid w:val="00536994"/>
    <w:rsid w:val="00537FB3"/>
    <w:rsid w:val="005414DA"/>
    <w:rsid w:val="00542596"/>
    <w:rsid w:val="005428AF"/>
    <w:rsid w:val="00544D91"/>
    <w:rsid w:val="00544EFD"/>
    <w:rsid w:val="005454EC"/>
    <w:rsid w:val="005478F4"/>
    <w:rsid w:val="00547AE6"/>
    <w:rsid w:val="0055011E"/>
    <w:rsid w:val="005507B2"/>
    <w:rsid w:val="00551B85"/>
    <w:rsid w:val="0055267F"/>
    <w:rsid w:val="00552D1C"/>
    <w:rsid w:val="00553010"/>
    <w:rsid w:val="00553472"/>
    <w:rsid w:val="0055347D"/>
    <w:rsid w:val="0055372B"/>
    <w:rsid w:val="00554C90"/>
    <w:rsid w:val="00555705"/>
    <w:rsid w:val="005570A4"/>
    <w:rsid w:val="0056000D"/>
    <w:rsid w:val="00561DDC"/>
    <w:rsid w:val="00561E91"/>
    <w:rsid w:val="005627BE"/>
    <w:rsid w:val="005628A2"/>
    <w:rsid w:val="005632D1"/>
    <w:rsid w:val="005633D2"/>
    <w:rsid w:val="00563424"/>
    <w:rsid w:val="00563609"/>
    <w:rsid w:val="005644B1"/>
    <w:rsid w:val="005661C8"/>
    <w:rsid w:val="00567009"/>
    <w:rsid w:val="005700DB"/>
    <w:rsid w:val="00570AA9"/>
    <w:rsid w:val="00570C99"/>
    <w:rsid w:val="00571AAD"/>
    <w:rsid w:val="00571EAB"/>
    <w:rsid w:val="00572210"/>
    <w:rsid w:val="00572B9E"/>
    <w:rsid w:val="00573518"/>
    <w:rsid w:val="00573529"/>
    <w:rsid w:val="00574287"/>
    <w:rsid w:val="00574C81"/>
    <w:rsid w:val="0057523A"/>
    <w:rsid w:val="005800CD"/>
    <w:rsid w:val="00582B60"/>
    <w:rsid w:val="0058390B"/>
    <w:rsid w:val="005861D4"/>
    <w:rsid w:val="005869A1"/>
    <w:rsid w:val="00587077"/>
    <w:rsid w:val="00587A84"/>
    <w:rsid w:val="00591FCE"/>
    <w:rsid w:val="005928D9"/>
    <w:rsid w:val="00594876"/>
    <w:rsid w:val="00594D4F"/>
    <w:rsid w:val="00595141"/>
    <w:rsid w:val="0059630D"/>
    <w:rsid w:val="00596311"/>
    <w:rsid w:val="00596893"/>
    <w:rsid w:val="005970F9"/>
    <w:rsid w:val="005974CD"/>
    <w:rsid w:val="005A0E0F"/>
    <w:rsid w:val="005A18F1"/>
    <w:rsid w:val="005A2566"/>
    <w:rsid w:val="005A2ADD"/>
    <w:rsid w:val="005A3234"/>
    <w:rsid w:val="005A3A30"/>
    <w:rsid w:val="005A3BE1"/>
    <w:rsid w:val="005A69E4"/>
    <w:rsid w:val="005A6E4D"/>
    <w:rsid w:val="005B0B5E"/>
    <w:rsid w:val="005B176D"/>
    <w:rsid w:val="005B2536"/>
    <w:rsid w:val="005B25AF"/>
    <w:rsid w:val="005B3927"/>
    <w:rsid w:val="005B6E0E"/>
    <w:rsid w:val="005B7998"/>
    <w:rsid w:val="005B7FDD"/>
    <w:rsid w:val="005C0346"/>
    <w:rsid w:val="005C16A0"/>
    <w:rsid w:val="005C1925"/>
    <w:rsid w:val="005C25D5"/>
    <w:rsid w:val="005C2EC6"/>
    <w:rsid w:val="005C5F81"/>
    <w:rsid w:val="005C6197"/>
    <w:rsid w:val="005C6E53"/>
    <w:rsid w:val="005C6ECC"/>
    <w:rsid w:val="005C7AB1"/>
    <w:rsid w:val="005D032E"/>
    <w:rsid w:val="005D0331"/>
    <w:rsid w:val="005D0C51"/>
    <w:rsid w:val="005D160B"/>
    <w:rsid w:val="005D1FC6"/>
    <w:rsid w:val="005D2E8C"/>
    <w:rsid w:val="005D3EA4"/>
    <w:rsid w:val="005D5AF6"/>
    <w:rsid w:val="005D6424"/>
    <w:rsid w:val="005D7648"/>
    <w:rsid w:val="005D7AB5"/>
    <w:rsid w:val="005E08F2"/>
    <w:rsid w:val="005E146A"/>
    <w:rsid w:val="005E2106"/>
    <w:rsid w:val="005E2460"/>
    <w:rsid w:val="005E2660"/>
    <w:rsid w:val="005E3034"/>
    <w:rsid w:val="005E3B2E"/>
    <w:rsid w:val="005E3E42"/>
    <w:rsid w:val="005E446F"/>
    <w:rsid w:val="005E58A5"/>
    <w:rsid w:val="005E70C2"/>
    <w:rsid w:val="005F018B"/>
    <w:rsid w:val="005F07CE"/>
    <w:rsid w:val="005F11E9"/>
    <w:rsid w:val="005F1607"/>
    <w:rsid w:val="005F16AA"/>
    <w:rsid w:val="005F26F7"/>
    <w:rsid w:val="005F3B4B"/>
    <w:rsid w:val="005F5D25"/>
    <w:rsid w:val="005F7794"/>
    <w:rsid w:val="006028C4"/>
    <w:rsid w:val="00603F80"/>
    <w:rsid w:val="006050E2"/>
    <w:rsid w:val="0060612D"/>
    <w:rsid w:val="00606BE8"/>
    <w:rsid w:val="00606D96"/>
    <w:rsid w:val="00606DFC"/>
    <w:rsid w:val="00606ED7"/>
    <w:rsid w:val="00606FC1"/>
    <w:rsid w:val="00607B15"/>
    <w:rsid w:val="00610A70"/>
    <w:rsid w:val="0061276C"/>
    <w:rsid w:val="00613D97"/>
    <w:rsid w:val="0061476F"/>
    <w:rsid w:val="006158FD"/>
    <w:rsid w:val="0061671D"/>
    <w:rsid w:val="006170EB"/>
    <w:rsid w:val="00617CBF"/>
    <w:rsid w:val="00617CCA"/>
    <w:rsid w:val="00620DC8"/>
    <w:rsid w:val="00621F91"/>
    <w:rsid w:val="00623263"/>
    <w:rsid w:val="00623B12"/>
    <w:rsid w:val="00623EBB"/>
    <w:rsid w:val="006245CA"/>
    <w:rsid w:val="00626A34"/>
    <w:rsid w:val="00627214"/>
    <w:rsid w:val="006304C7"/>
    <w:rsid w:val="00631451"/>
    <w:rsid w:val="00632311"/>
    <w:rsid w:val="00632677"/>
    <w:rsid w:val="00633B33"/>
    <w:rsid w:val="00633FF8"/>
    <w:rsid w:val="006340DF"/>
    <w:rsid w:val="00634326"/>
    <w:rsid w:val="006344C3"/>
    <w:rsid w:val="006357F1"/>
    <w:rsid w:val="00635CCF"/>
    <w:rsid w:val="00635F94"/>
    <w:rsid w:val="006409EB"/>
    <w:rsid w:val="00640F80"/>
    <w:rsid w:val="006415CB"/>
    <w:rsid w:val="00641D31"/>
    <w:rsid w:val="00641D4A"/>
    <w:rsid w:val="0064358E"/>
    <w:rsid w:val="006446F3"/>
    <w:rsid w:val="0064516F"/>
    <w:rsid w:val="0064564A"/>
    <w:rsid w:val="00646809"/>
    <w:rsid w:val="006476D4"/>
    <w:rsid w:val="00650CCD"/>
    <w:rsid w:val="00652397"/>
    <w:rsid w:val="00652A42"/>
    <w:rsid w:val="00655490"/>
    <w:rsid w:val="00657E4D"/>
    <w:rsid w:val="00660DAC"/>
    <w:rsid w:val="00662F50"/>
    <w:rsid w:val="00663B5E"/>
    <w:rsid w:val="00663FE2"/>
    <w:rsid w:val="00664768"/>
    <w:rsid w:val="006650EF"/>
    <w:rsid w:val="006656F3"/>
    <w:rsid w:val="006657FB"/>
    <w:rsid w:val="00665BD6"/>
    <w:rsid w:val="006673A9"/>
    <w:rsid w:val="006702B5"/>
    <w:rsid w:val="0067238C"/>
    <w:rsid w:val="00672D69"/>
    <w:rsid w:val="00673317"/>
    <w:rsid w:val="00673894"/>
    <w:rsid w:val="006742E0"/>
    <w:rsid w:val="00674C02"/>
    <w:rsid w:val="00675491"/>
    <w:rsid w:val="00676585"/>
    <w:rsid w:val="00676D42"/>
    <w:rsid w:val="00680F21"/>
    <w:rsid w:val="00680FAB"/>
    <w:rsid w:val="006818CB"/>
    <w:rsid w:val="006819C0"/>
    <w:rsid w:val="0068249B"/>
    <w:rsid w:val="006841F4"/>
    <w:rsid w:val="00684846"/>
    <w:rsid w:val="006848AB"/>
    <w:rsid w:val="00684FAE"/>
    <w:rsid w:val="00685194"/>
    <w:rsid w:val="006863D5"/>
    <w:rsid w:val="00687829"/>
    <w:rsid w:val="00687B54"/>
    <w:rsid w:val="00690E62"/>
    <w:rsid w:val="00691D03"/>
    <w:rsid w:val="00692BD3"/>
    <w:rsid w:val="00692E57"/>
    <w:rsid w:val="006937E8"/>
    <w:rsid w:val="00694207"/>
    <w:rsid w:val="0069430A"/>
    <w:rsid w:val="00694ED0"/>
    <w:rsid w:val="00694F0D"/>
    <w:rsid w:val="00695761"/>
    <w:rsid w:val="00695B02"/>
    <w:rsid w:val="00696937"/>
    <w:rsid w:val="0069728F"/>
    <w:rsid w:val="006A011A"/>
    <w:rsid w:val="006A0244"/>
    <w:rsid w:val="006A112C"/>
    <w:rsid w:val="006A21BB"/>
    <w:rsid w:val="006A2923"/>
    <w:rsid w:val="006A3160"/>
    <w:rsid w:val="006A36F2"/>
    <w:rsid w:val="006A3CC0"/>
    <w:rsid w:val="006A4C35"/>
    <w:rsid w:val="006A58A3"/>
    <w:rsid w:val="006A699F"/>
    <w:rsid w:val="006A70C0"/>
    <w:rsid w:val="006A773D"/>
    <w:rsid w:val="006B02C1"/>
    <w:rsid w:val="006B03A3"/>
    <w:rsid w:val="006B0F21"/>
    <w:rsid w:val="006B1B51"/>
    <w:rsid w:val="006B2636"/>
    <w:rsid w:val="006B2B5A"/>
    <w:rsid w:val="006B38CA"/>
    <w:rsid w:val="006B4002"/>
    <w:rsid w:val="006B4937"/>
    <w:rsid w:val="006B51D0"/>
    <w:rsid w:val="006B5E7C"/>
    <w:rsid w:val="006B7274"/>
    <w:rsid w:val="006B7AC8"/>
    <w:rsid w:val="006C1783"/>
    <w:rsid w:val="006C1EC2"/>
    <w:rsid w:val="006C1EE6"/>
    <w:rsid w:val="006C1F7C"/>
    <w:rsid w:val="006C21B8"/>
    <w:rsid w:val="006C234F"/>
    <w:rsid w:val="006C2A0E"/>
    <w:rsid w:val="006C2FAD"/>
    <w:rsid w:val="006C4BF0"/>
    <w:rsid w:val="006C54E3"/>
    <w:rsid w:val="006C5E97"/>
    <w:rsid w:val="006C6200"/>
    <w:rsid w:val="006C69AC"/>
    <w:rsid w:val="006C72C4"/>
    <w:rsid w:val="006D0491"/>
    <w:rsid w:val="006D0650"/>
    <w:rsid w:val="006D22E1"/>
    <w:rsid w:val="006D65D5"/>
    <w:rsid w:val="006D709A"/>
    <w:rsid w:val="006D70E7"/>
    <w:rsid w:val="006D7564"/>
    <w:rsid w:val="006D7B03"/>
    <w:rsid w:val="006D7FC4"/>
    <w:rsid w:val="006E2235"/>
    <w:rsid w:val="006E2523"/>
    <w:rsid w:val="006E32DA"/>
    <w:rsid w:val="006E35E8"/>
    <w:rsid w:val="006E3FB3"/>
    <w:rsid w:val="006E5264"/>
    <w:rsid w:val="006E7B91"/>
    <w:rsid w:val="006F057B"/>
    <w:rsid w:val="006F0B66"/>
    <w:rsid w:val="006F2D7B"/>
    <w:rsid w:val="006F5C81"/>
    <w:rsid w:val="006F62BF"/>
    <w:rsid w:val="006F70BE"/>
    <w:rsid w:val="006F771E"/>
    <w:rsid w:val="007006DB"/>
    <w:rsid w:val="00704E0A"/>
    <w:rsid w:val="00706579"/>
    <w:rsid w:val="0070673A"/>
    <w:rsid w:val="00706B03"/>
    <w:rsid w:val="00706D9E"/>
    <w:rsid w:val="0070717F"/>
    <w:rsid w:val="007103FF"/>
    <w:rsid w:val="0071053A"/>
    <w:rsid w:val="00710980"/>
    <w:rsid w:val="007115C7"/>
    <w:rsid w:val="0071186F"/>
    <w:rsid w:val="00711E1A"/>
    <w:rsid w:val="00713A51"/>
    <w:rsid w:val="00713FDF"/>
    <w:rsid w:val="007141F6"/>
    <w:rsid w:val="00715364"/>
    <w:rsid w:val="00716535"/>
    <w:rsid w:val="007167DF"/>
    <w:rsid w:val="00716B1D"/>
    <w:rsid w:val="00717D4B"/>
    <w:rsid w:val="007215FA"/>
    <w:rsid w:val="00721C39"/>
    <w:rsid w:val="00722C67"/>
    <w:rsid w:val="00723595"/>
    <w:rsid w:val="00723B3F"/>
    <w:rsid w:val="00724332"/>
    <w:rsid w:val="007261FA"/>
    <w:rsid w:val="00726AB8"/>
    <w:rsid w:val="00726B31"/>
    <w:rsid w:val="00726D14"/>
    <w:rsid w:val="00727CE0"/>
    <w:rsid w:val="00730A5F"/>
    <w:rsid w:val="00731184"/>
    <w:rsid w:val="00733F9A"/>
    <w:rsid w:val="00734043"/>
    <w:rsid w:val="00734EFF"/>
    <w:rsid w:val="00735084"/>
    <w:rsid w:val="00735194"/>
    <w:rsid w:val="0073539F"/>
    <w:rsid w:val="00737873"/>
    <w:rsid w:val="0074002B"/>
    <w:rsid w:val="00741AF4"/>
    <w:rsid w:val="00742423"/>
    <w:rsid w:val="00742BD7"/>
    <w:rsid w:val="007430E3"/>
    <w:rsid w:val="00743679"/>
    <w:rsid w:val="00743DD2"/>
    <w:rsid w:val="00744AAF"/>
    <w:rsid w:val="00744EBB"/>
    <w:rsid w:val="0074577D"/>
    <w:rsid w:val="007461ED"/>
    <w:rsid w:val="00746A19"/>
    <w:rsid w:val="00746FC9"/>
    <w:rsid w:val="00747F87"/>
    <w:rsid w:val="00750082"/>
    <w:rsid w:val="0075024A"/>
    <w:rsid w:val="00750782"/>
    <w:rsid w:val="00750A9A"/>
    <w:rsid w:val="00751797"/>
    <w:rsid w:val="00751C1F"/>
    <w:rsid w:val="00751EF4"/>
    <w:rsid w:val="00753310"/>
    <w:rsid w:val="0075490D"/>
    <w:rsid w:val="00755627"/>
    <w:rsid w:val="007560B3"/>
    <w:rsid w:val="007560B4"/>
    <w:rsid w:val="00757056"/>
    <w:rsid w:val="00760610"/>
    <w:rsid w:val="00760EDA"/>
    <w:rsid w:val="007625E6"/>
    <w:rsid w:val="0076395D"/>
    <w:rsid w:val="007641CF"/>
    <w:rsid w:val="007655DE"/>
    <w:rsid w:val="00766538"/>
    <w:rsid w:val="00766DE8"/>
    <w:rsid w:val="00770178"/>
    <w:rsid w:val="00770598"/>
    <w:rsid w:val="00771DD4"/>
    <w:rsid w:val="00771FB0"/>
    <w:rsid w:val="0077432E"/>
    <w:rsid w:val="007743C0"/>
    <w:rsid w:val="00775B7B"/>
    <w:rsid w:val="00777439"/>
    <w:rsid w:val="00777852"/>
    <w:rsid w:val="007779DD"/>
    <w:rsid w:val="00777C3A"/>
    <w:rsid w:val="00777EFF"/>
    <w:rsid w:val="007823D9"/>
    <w:rsid w:val="007840E3"/>
    <w:rsid w:val="007844EB"/>
    <w:rsid w:val="007849C5"/>
    <w:rsid w:val="00786363"/>
    <w:rsid w:val="00786A48"/>
    <w:rsid w:val="0079053E"/>
    <w:rsid w:val="00790E5F"/>
    <w:rsid w:val="00792BBE"/>
    <w:rsid w:val="00792CC0"/>
    <w:rsid w:val="007930CE"/>
    <w:rsid w:val="00793E5A"/>
    <w:rsid w:val="00794483"/>
    <w:rsid w:val="00794E6F"/>
    <w:rsid w:val="00795B27"/>
    <w:rsid w:val="00795C7A"/>
    <w:rsid w:val="007961D1"/>
    <w:rsid w:val="00796ABF"/>
    <w:rsid w:val="00797CF4"/>
    <w:rsid w:val="007A11FB"/>
    <w:rsid w:val="007A1B38"/>
    <w:rsid w:val="007A2BE3"/>
    <w:rsid w:val="007A3FAF"/>
    <w:rsid w:val="007A4C24"/>
    <w:rsid w:val="007A4F13"/>
    <w:rsid w:val="007A6CEF"/>
    <w:rsid w:val="007A6EC6"/>
    <w:rsid w:val="007B0FF0"/>
    <w:rsid w:val="007B3269"/>
    <w:rsid w:val="007B4628"/>
    <w:rsid w:val="007B6743"/>
    <w:rsid w:val="007B692F"/>
    <w:rsid w:val="007B7397"/>
    <w:rsid w:val="007B793C"/>
    <w:rsid w:val="007B7E8B"/>
    <w:rsid w:val="007C0BC8"/>
    <w:rsid w:val="007C1C41"/>
    <w:rsid w:val="007C30DF"/>
    <w:rsid w:val="007C38BF"/>
    <w:rsid w:val="007C3AA1"/>
    <w:rsid w:val="007C45BC"/>
    <w:rsid w:val="007C519D"/>
    <w:rsid w:val="007C649B"/>
    <w:rsid w:val="007D04AC"/>
    <w:rsid w:val="007D0619"/>
    <w:rsid w:val="007D086B"/>
    <w:rsid w:val="007D0D57"/>
    <w:rsid w:val="007D1C0E"/>
    <w:rsid w:val="007D1C4E"/>
    <w:rsid w:val="007D1F71"/>
    <w:rsid w:val="007D35EF"/>
    <w:rsid w:val="007D44AB"/>
    <w:rsid w:val="007D6176"/>
    <w:rsid w:val="007D65B4"/>
    <w:rsid w:val="007E0B9A"/>
    <w:rsid w:val="007E1B6F"/>
    <w:rsid w:val="007E25B6"/>
    <w:rsid w:val="007E3953"/>
    <w:rsid w:val="007E4A41"/>
    <w:rsid w:val="007E50E8"/>
    <w:rsid w:val="007E5215"/>
    <w:rsid w:val="007E5EA3"/>
    <w:rsid w:val="007E6B95"/>
    <w:rsid w:val="007E714D"/>
    <w:rsid w:val="007F1B0D"/>
    <w:rsid w:val="007F2123"/>
    <w:rsid w:val="007F32C3"/>
    <w:rsid w:val="007F3813"/>
    <w:rsid w:val="007F4D8D"/>
    <w:rsid w:val="007F5257"/>
    <w:rsid w:val="007F6AAF"/>
    <w:rsid w:val="007F7C45"/>
    <w:rsid w:val="0080186D"/>
    <w:rsid w:val="008032CF"/>
    <w:rsid w:val="00804FBB"/>
    <w:rsid w:val="00805857"/>
    <w:rsid w:val="00805A20"/>
    <w:rsid w:val="00806128"/>
    <w:rsid w:val="00806E18"/>
    <w:rsid w:val="008073A9"/>
    <w:rsid w:val="0080749B"/>
    <w:rsid w:val="00807B4A"/>
    <w:rsid w:val="00807BE9"/>
    <w:rsid w:val="00807D20"/>
    <w:rsid w:val="00810280"/>
    <w:rsid w:val="008109E4"/>
    <w:rsid w:val="0081232E"/>
    <w:rsid w:val="00813172"/>
    <w:rsid w:val="00813CF8"/>
    <w:rsid w:val="00816C60"/>
    <w:rsid w:val="00817EC2"/>
    <w:rsid w:val="00820C71"/>
    <w:rsid w:val="00822702"/>
    <w:rsid w:val="00824D72"/>
    <w:rsid w:val="0082744D"/>
    <w:rsid w:val="00827BD0"/>
    <w:rsid w:val="00830810"/>
    <w:rsid w:val="00830E46"/>
    <w:rsid w:val="00831B3B"/>
    <w:rsid w:val="00831EAF"/>
    <w:rsid w:val="00831FAE"/>
    <w:rsid w:val="0083203A"/>
    <w:rsid w:val="00832B42"/>
    <w:rsid w:val="00834B39"/>
    <w:rsid w:val="0083579F"/>
    <w:rsid w:val="0083596F"/>
    <w:rsid w:val="00835DA2"/>
    <w:rsid w:val="008371DC"/>
    <w:rsid w:val="00837A81"/>
    <w:rsid w:val="008401A8"/>
    <w:rsid w:val="0084022E"/>
    <w:rsid w:val="0084080C"/>
    <w:rsid w:val="008411BC"/>
    <w:rsid w:val="00841521"/>
    <w:rsid w:val="00842371"/>
    <w:rsid w:val="008426CF"/>
    <w:rsid w:val="008433EE"/>
    <w:rsid w:val="00844394"/>
    <w:rsid w:val="00845250"/>
    <w:rsid w:val="00846702"/>
    <w:rsid w:val="008471B8"/>
    <w:rsid w:val="0084748B"/>
    <w:rsid w:val="00850FEE"/>
    <w:rsid w:val="008520A5"/>
    <w:rsid w:val="0085286B"/>
    <w:rsid w:val="008532E1"/>
    <w:rsid w:val="00853630"/>
    <w:rsid w:val="00853955"/>
    <w:rsid w:val="00854109"/>
    <w:rsid w:val="00854E22"/>
    <w:rsid w:val="008556C0"/>
    <w:rsid w:val="00857D9D"/>
    <w:rsid w:val="00861774"/>
    <w:rsid w:val="0086272C"/>
    <w:rsid w:val="00862E4A"/>
    <w:rsid w:val="008635CD"/>
    <w:rsid w:val="00865063"/>
    <w:rsid w:val="008679A5"/>
    <w:rsid w:val="00870239"/>
    <w:rsid w:val="0087094B"/>
    <w:rsid w:val="00870B99"/>
    <w:rsid w:val="00870C81"/>
    <w:rsid w:val="00871054"/>
    <w:rsid w:val="008729A7"/>
    <w:rsid w:val="008737B1"/>
    <w:rsid w:val="00873DF2"/>
    <w:rsid w:val="00875144"/>
    <w:rsid w:val="00875C24"/>
    <w:rsid w:val="00876814"/>
    <w:rsid w:val="00876B12"/>
    <w:rsid w:val="008775F4"/>
    <w:rsid w:val="00877E93"/>
    <w:rsid w:val="00880EC2"/>
    <w:rsid w:val="0088117E"/>
    <w:rsid w:val="0088304B"/>
    <w:rsid w:val="00883F38"/>
    <w:rsid w:val="0088409F"/>
    <w:rsid w:val="0088486A"/>
    <w:rsid w:val="00884E4A"/>
    <w:rsid w:val="0088594C"/>
    <w:rsid w:val="00885AD1"/>
    <w:rsid w:val="00886058"/>
    <w:rsid w:val="00887535"/>
    <w:rsid w:val="008901BA"/>
    <w:rsid w:val="00890FB4"/>
    <w:rsid w:val="00891766"/>
    <w:rsid w:val="008922C6"/>
    <w:rsid w:val="00893F62"/>
    <w:rsid w:val="008943AB"/>
    <w:rsid w:val="008951AE"/>
    <w:rsid w:val="008951E1"/>
    <w:rsid w:val="00895447"/>
    <w:rsid w:val="0089579C"/>
    <w:rsid w:val="00895CCF"/>
    <w:rsid w:val="00896DB9"/>
    <w:rsid w:val="008A046F"/>
    <w:rsid w:val="008A0B4C"/>
    <w:rsid w:val="008A0C5A"/>
    <w:rsid w:val="008A16CC"/>
    <w:rsid w:val="008A1AF9"/>
    <w:rsid w:val="008A2638"/>
    <w:rsid w:val="008A3A66"/>
    <w:rsid w:val="008A3D59"/>
    <w:rsid w:val="008A46E9"/>
    <w:rsid w:val="008A4CCC"/>
    <w:rsid w:val="008A4F4E"/>
    <w:rsid w:val="008A5295"/>
    <w:rsid w:val="008A630A"/>
    <w:rsid w:val="008A6A78"/>
    <w:rsid w:val="008A6C5C"/>
    <w:rsid w:val="008A70D3"/>
    <w:rsid w:val="008A737F"/>
    <w:rsid w:val="008B0732"/>
    <w:rsid w:val="008B0EF8"/>
    <w:rsid w:val="008B1125"/>
    <w:rsid w:val="008B1250"/>
    <w:rsid w:val="008B1EA5"/>
    <w:rsid w:val="008B1F62"/>
    <w:rsid w:val="008B25B5"/>
    <w:rsid w:val="008B392C"/>
    <w:rsid w:val="008B3964"/>
    <w:rsid w:val="008B3F6B"/>
    <w:rsid w:val="008B4032"/>
    <w:rsid w:val="008B40AA"/>
    <w:rsid w:val="008B53FB"/>
    <w:rsid w:val="008B5C64"/>
    <w:rsid w:val="008B61D6"/>
    <w:rsid w:val="008B6397"/>
    <w:rsid w:val="008B6F9F"/>
    <w:rsid w:val="008B7110"/>
    <w:rsid w:val="008C0F2E"/>
    <w:rsid w:val="008C19A6"/>
    <w:rsid w:val="008C1B15"/>
    <w:rsid w:val="008C2B82"/>
    <w:rsid w:val="008C2D4F"/>
    <w:rsid w:val="008C52D3"/>
    <w:rsid w:val="008C575A"/>
    <w:rsid w:val="008C5A39"/>
    <w:rsid w:val="008C5F44"/>
    <w:rsid w:val="008C6722"/>
    <w:rsid w:val="008C7B0F"/>
    <w:rsid w:val="008D06C6"/>
    <w:rsid w:val="008D3914"/>
    <w:rsid w:val="008D4477"/>
    <w:rsid w:val="008D4B93"/>
    <w:rsid w:val="008D4EBC"/>
    <w:rsid w:val="008D4EEE"/>
    <w:rsid w:val="008D562C"/>
    <w:rsid w:val="008D7BC4"/>
    <w:rsid w:val="008E2612"/>
    <w:rsid w:val="008E3858"/>
    <w:rsid w:val="008E64F8"/>
    <w:rsid w:val="008E66E8"/>
    <w:rsid w:val="008E7013"/>
    <w:rsid w:val="008E710D"/>
    <w:rsid w:val="008E731C"/>
    <w:rsid w:val="008E75A3"/>
    <w:rsid w:val="008E7FB6"/>
    <w:rsid w:val="008F0566"/>
    <w:rsid w:val="008F1823"/>
    <w:rsid w:val="008F19A7"/>
    <w:rsid w:val="008F2C41"/>
    <w:rsid w:val="008F3976"/>
    <w:rsid w:val="008F46CE"/>
    <w:rsid w:val="008F4F1A"/>
    <w:rsid w:val="008F5BF8"/>
    <w:rsid w:val="008F6E81"/>
    <w:rsid w:val="008F7378"/>
    <w:rsid w:val="009001A9"/>
    <w:rsid w:val="00900ACE"/>
    <w:rsid w:val="00901CCB"/>
    <w:rsid w:val="00901DED"/>
    <w:rsid w:val="009025BF"/>
    <w:rsid w:val="00903327"/>
    <w:rsid w:val="00903479"/>
    <w:rsid w:val="00904C82"/>
    <w:rsid w:val="00904E74"/>
    <w:rsid w:val="00904FEA"/>
    <w:rsid w:val="0090634D"/>
    <w:rsid w:val="0090724C"/>
    <w:rsid w:val="0091050E"/>
    <w:rsid w:val="009108B3"/>
    <w:rsid w:val="009111B1"/>
    <w:rsid w:val="00911D6C"/>
    <w:rsid w:val="00913136"/>
    <w:rsid w:val="009139F9"/>
    <w:rsid w:val="00914F3F"/>
    <w:rsid w:val="009153C4"/>
    <w:rsid w:val="00915F2F"/>
    <w:rsid w:val="00922E83"/>
    <w:rsid w:val="009231BC"/>
    <w:rsid w:val="009235C1"/>
    <w:rsid w:val="00923A80"/>
    <w:rsid w:val="00924CA6"/>
    <w:rsid w:val="009254FD"/>
    <w:rsid w:val="009273B8"/>
    <w:rsid w:val="009278D4"/>
    <w:rsid w:val="00927EEB"/>
    <w:rsid w:val="009301DC"/>
    <w:rsid w:val="00930AB8"/>
    <w:rsid w:val="00930D3B"/>
    <w:rsid w:val="00931257"/>
    <w:rsid w:val="009312BB"/>
    <w:rsid w:val="009315A4"/>
    <w:rsid w:val="00931F8A"/>
    <w:rsid w:val="009328F3"/>
    <w:rsid w:val="00933433"/>
    <w:rsid w:val="009339DA"/>
    <w:rsid w:val="00934425"/>
    <w:rsid w:val="00935358"/>
    <w:rsid w:val="0093606B"/>
    <w:rsid w:val="00936874"/>
    <w:rsid w:val="00936DC8"/>
    <w:rsid w:val="00936FB8"/>
    <w:rsid w:val="00937568"/>
    <w:rsid w:val="00940040"/>
    <w:rsid w:val="00941706"/>
    <w:rsid w:val="009419A4"/>
    <w:rsid w:val="009422F7"/>
    <w:rsid w:val="009471D4"/>
    <w:rsid w:val="00947BDB"/>
    <w:rsid w:val="00947D69"/>
    <w:rsid w:val="009526F9"/>
    <w:rsid w:val="0095290F"/>
    <w:rsid w:val="00954469"/>
    <w:rsid w:val="00954713"/>
    <w:rsid w:val="00954AF7"/>
    <w:rsid w:val="00955216"/>
    <w:rsid w:val="00956CF1"/>
    <w:rsid w:val="00956CFA"/>
    <w:rsid w:val="00957516"/>
    <w:rsid w:val="009602C5"/>
    <w:rsid w:val="00960746"/>
    <w:rsid w:val="00961CB3"/>
    <w:rsid w:val="00962770"/>
    <w:rsid w:val="00962D16"/>
    <w:rsid w:val="00965EA3"/>
    <w:rsid w:val="009672F6"/>
    <w:rsid w:val="00967C0A"/>
    <w:rsid w:val="00970E64"/>
    <w:rsid w:val="00971CD3"/>
    <w:rsid w:val="00972C26"/>
    <w:rsid w:val="00972D54"/>
    <w:rsid w:val="00974303"/>
    <w:rsid w:val="009747DF"/>
    <w:rsid w:val="00974A4D"/>
    <w:rsid w:val="00975188"/>
    <w:rsid w:val="00975419"/>
    <w:rsid w:val="009760EC"/>
    <w:rsid w:val="00976504"/>
    <w:rsid w:val="00976D38"/>
    <w:rsid w:val="00976F39"/>
    <w:rsid w:val="0097760A"/>
    <w:rsid w:val="009779B6"/>
    <w:rsid w:val="00977D67"/>
    <w:rsid w:val="0098057D"/>
    <w:rsid w:val="00981F00"/>
    <w:rsid w:val="00982793"/>
    <w:rsid w:val="00982C1A"/>
    <w:rsid w:val="0098403B"/>
    <w:rsid w:val="00984F02"/>
    <w:rsid w:val="0098524A"/>
    <w:rsid w:val="00985C82"/>
    <w:rsid w:val="00985DA3"/>
    <w:rsid w:val="00986DF4"/>
    <w:rsid w:val="00986E1A"/>
    <w:rsid w:val="00991513"/>
    <w:rsid w:val="00992B0A"/>
    <w:rsid w:val="009938FE"/>
    <w:rsid w:val="00993DBB"/>
    <w:rsid w:val="00994402"/>
    <w:rsid w:val="009945CD"/>
    <w:rsid w:val="00994A0F"/>
    <w:rsid w:val="00997DD3"/>
    <w:rsid w:val="009A0CB3"/>
    <w:rsid w:val="009A2C44"/>
    <w:rsid w:val="009A2E69"/>
    <w:rsid w:val="009A3B2E"/>
    <w:rsid w:val="009A5C1D"/>
    <w:rsid w:val="009A646C"/>
    <w:rsid w:val="009A7A6E"/>
    <w:rsid w:val="009A7B00"/>
    <w:rsid w:val="009B0527"/>
    <w:rsid w:val="009B05E3"/>
    <w:rsid w:val="009B09DB"/>
    <w:rsid w:val="009B0D8E"/>
    <w:rsid w:val="009B162F"/>
    <w:rsid w:val="009B355B"/>
    <w:rsid w:val="009B3D70"/>
    <w:rsid w:val="009B3E02"/>
    <w:rsid w:val="009B4ED6"/>
    <w:rsid w:val="009B5164"/>
    <w:rsid w:val="009B6094"/>
    <w:rsid w:val="009B69BD"/>
    <w:rsid w:val="009B6C17"/>
    <w:rsid w:val="009B77D4"/>
    <w:rsid w:val="009C097B"/>
    <w:rsid w:val="009C372F"/>
    <w:rsid w:val="009C3BE3"/>
    <w:rsid w:val="009C447B"/>
    <w:rsid w:val="009C475F"/>
    <w:rsid w:val="009C4B9F"/>
    <w:rsid w:val="009C60B9"/>
    <w:rsid w:val="009C65E6"/>
    <w:rsid w:val="009C7186"/>
    <w:rsid w:val="009C78D7"/>
    <w:rsid w:val="009D1354"/>
    <w:rsid w:val="009D18AB"/>
    <w:rsid w:val="009D213A"/>
    <w:rsid w:val="009D3AAD"/>
    <w:rsid w:val="009D42CA"/>
    <w:rsid w:val="009D4A32"/>
    <w:rsid w:val="009D55F1"/>
    <w:rsid w:val="009D7202"/>
    <w:rsid w:val="009E0C12"/>
    <w:rsid w:val="009E19C8"/>
    <w:rsid w:val="009E1AC2"/>
    <w:rsid w:val="009E3B43"/>
    <w:rsid w:val="009E4832"/>
    <w:rsid w:val="009E5218"/>
    <w:rsid w:val="009E54C5"/>
    <w:rsid w:val="009F0715"/>
    <w:rsid w:val="009F16D4"/>
    <w:rsid w:val="009F1CBC"/>
    <w:rsid w:val="009F1E96"/>
    <w:rsid w:val="009F1FA3"/>
    <w:rsid w:val="009F2BEA"/>
    <w:rsid w:val="009F2D50"/>
    <w:rsid w:val="009F30BD"/>
    <w:rsid w:val="009F36D7"/>
    <w:rsid w:val="009F38AA"/>
    <w:rsid w:val="009F3E4A"/>
    <w:rsid w:val="009F507F"/>
    <w:rsid w:val="009F574D"/>
    <w:rsid w:val="009F5B9F"/>
    <w:rsid w:val="009F7A49"/>
    <w:rsid w:val="00A0089B"/>
    <w:rsid w:val="00A01E30"/>
    <w:rsid w:val="00A02B3B"/>
    <w:rsid w:val="00A050C9"/>
    <w:rsid w:val="00A05B67"/>
    <w:rsid w:val="00A0655E"/>
    <w:rsid w:val="00A07C5F"/>
    <w:rsid w:val="00A10753"/>
    <w:rsid w:val="00A11BE0"/>
    <w:rsid w:val="00A12075"/>
    <w:rsid w:val="00A137E4"/>
    <w:rsid w:val="00A145DF"/>
    <w:rsid w:val="00A14944"/>
    <w:rsid w:val="00A22386"/>
    <w:rsid w:val="00A22822"/>
    <w:rsid w:val="00A22858"/>
    <w:rsid w:val="00A2289D"/>
    <w:rsid w:val="00A23BBC"/>
    <w:rsid w:val="00A2469A"/>
    <w:rsid w:val="00A24B44"/>
    <w:rsid w:val="00A25AE2"/>
    <w:rsid w:val="00A26023"/>
    <w:rsid w:val="00A2666A"/>
    <w:rsid w:val="00A3213F"/>
    <w:rsid w:val="00A322DD"/>
    <w:rsid w:val="00A327F2"/>
    <w:rsid w:val="00A33A53"/>
    <w:rsid w:val="00A34A9D"/>
    <w:rsid w:val="00A3584A"/>
    <w:rsid w:val="00A36255"/>
    <w:rsid w:val="00A41280"/>
    <w:rsid w:val="00A44D17"/>
    <w:rsid w:val="00A45668"/>
    <w:rsid w:val="00A51793"/>
    <w:rsid w:val="00A51D36"/>
    <w:rsid w:val="00A523D9"/>
    <w:rsid w:val="00A52B3A"/>
    <w:rsid w:val="00A530C1"/>
    <w:rsid w:val="00A53E19"/>
    <w:rsid w:val="00A54549"/>
    <w:rsid w:val="00A54F36"/>
    <w:rsid w:val="00A55654"/>
    <w:rsid w:val="00A578F3"/>
    <w:rsid w:val="00A57C2A"/>
    <w:rsid w:val="00A60E2A"/>
    <w:rsid w:val="00A61A20"/>
    <w:rsid w:val="00A623ED"/>
    <w:rsid w:val="00A63B36"/>
    <w:rsid w:val="00A63E2F"/>
    <w:rsid w:val="00A65EC6"/>
    <w:rsid w:val="00A6668E"/>
    <w:rsid w:val="00A66934"/>
    <w:rsid w:val="00A674BE"/>
    <w:rsid w:val="00A67953"/>
    <w:rsid w:val="00A70291"/>
    <w:rsid w:val="00A703B9"/>
    <w:rsid w:val="00A70C5D"/>
    <w:rsid w:val="00A70DFF"/>
    <w:rsid w:val="00A7277F"/>
    <w:rsid w:val="00A734B5"/>
    <w:rsid w:val="00A749B8"/>
    <w:rsid w:val="00A74B4B"/>
    <w:rsid w:val="00A74D02"/>
    <w:rsid w:val="00A75868"/>
    <w:rsid w:val="00A75DBD"/>
    <w:rsid w:val="00A76ED7"/>
    <w:rsid w:val="00A773AE"/>
    <w:rsid w:val="00A81767"/>
    <w:rsid w:val="00A81C28"/>
    <w:rsid w:val="00A824C3"/>
    <w:rsid w:val="00A82926"/>
    <w:rsid w:val="00A84ADF"/>
    <w:rsid w:val="00A861AF"/>
    <w:rsid w:val="00A8670D"/>
    <w:rsid w:val="00A86844"/>
    <w:rsid w:val="00A87097"/>
    <w:rsid w:val="00A870DA"/>
    <w:rsid w:val="00A8729E"/>
    <w:rsid w:val="00A87947"/>
    <w:rsid w:val="00A879EE"/>
    <w:rsid w:val="00A911F9"/>
    <w:rsid w:val="00A91A7F"/>
    <w:rsid w:val="00A924AD"/>
    <w:rsid w:val="00A92563"/>
    <w:rsid w:val="00A925C6"/>
    <w:rsid w:val="00A92C9B"/>
    <w:rsid w:val="00A931EF"/>
    <w:rsid w:val="00A9383A"/>
    <w:rsid w:val="00A93A63"/>
    <w:rsid w:val="00A93DA8"/>
    <w:rsid w:val="00A95766"/>
    <w:rsid w:val="00A96D1E"/>
    <w:rsid w:val="00A974C7"/>
    <w:rsid w:val="00AA07F6"/>
    <w:rsid w:val="00AA58CF"/>
    <w:rsid w:val="00AA59E7"/>
    <w:rsid w:val="00AA755C"/>
    <w:rsid w:val="00AA787D"/>
    <w:rsid w:val="00AB03A9"/>
    <w:rsid w:val="00AB0550"/>
    <w:rsid w:val="00AB2036"/>
    <w:rsid w:val="00AB2FAD"/>
    <w:rsid w:val="00AB2FB2"/>
    <w:rsid w:val="00AB394F"/>
    <w:rsid w:val="00AB6597"/>
    <w:rsid w:val="00AC17DE"/>
    <w:rsid w:val="00AC1E05"/>
    <w:rsid w:val="00AC26E4"/>
    <w:rsid w:val="00AC4AC4"/>
    <w:rsid w:val="00AC52F5"/>
    <w:rsid w:val="00AC55A3"/>
    <w:rsid w:val="00AC6681"/>
    <w:rsid w:val="00AC69AA"/>
    <w:rsid w:val="00AC7862"/>
    <w:rsid w:val="00AC7A97"/>
    <w:rsid w:val="00AD01A3"/>
    <w:rsid w:val="00AD04FA"/>
    <w:rsid w:val="00AD0EE6"/>
    <w:rsid w:val="00AD1CCC"/>
    <w:rsid w:val="00AD1FB0"/>
    <w:rsid w:val="00AD3762"/>
    <w:rsid w:val="00AD470A"/>
    <w:rsid w:val="00AD49F4"/>
    <w:rsid w:val="00AD5112"/>
    <w:rsid w:val="00AD5699"/>
    <w:rsid w:val="00AD5726"/>
    <w:rsid w:val="00AD5890"/>
    <w:rsid w:val="00AD63D8"/>
    <w:rsid w:val="00AD767C"/>
    <w:rsid w:val="00AE0ACE"/>
    <w:rsid w:val="00AE250B"/>
    <w:rsid w:val="00AE30C1"/>
    <w:rsid w:val="00AE35FE"/>
    <w:rsid w:val="00AE506B"/>
    <w:rsid w:val="00AE62CC"/>
    <w:rsid w:val="00AE6422"/>
    <w:rsid w:val="00AE65B6"/>
    <w:rsid w:val="00AE71B1"/>
    <w:rsid w:val="00AE7740"/>
    <w:rsid w:val="00AF0305"/>
    <w:rsid w:val="00AF1326"/>
    <w:rsid w:val="00AF1641"/>
    <w:rsid w:val="00AF175C"/>
    <w:rsid w:val="00AF1A70"/>
    <w:rsid w:val="00AF2A2C"/>
    <w:rsid w:val="00AF6069"/>
    <w:rsid w:val="00AF690C"/>
    <w:rsid w:val="00B0094C"/>
    <w:rsid w:val="00B00B8D"/>
    <w:rsid w:val="00B0235B"/>
    <w:rsid w:val="00B02D6D"/>
    <w:rsid w:val="00B03AF8"/>
    <w:rsid w:val="00B04F18"/>
    <w:rsid w:val="00B06B54"/>
    <w:rsid w:val="00B06E1E"/>
    <w:rsid w:val="00B07965"/>
    <w:rsid w:val="00B07F76"/>
    <w:rsid w:val="00B11003"/>
    <w:rsid w:val="00B11C5E"/>
    <w:rsid w:val="00B126D9"/>
    <w:rsid w:val="00B13C33"/>
    <w:rsid w:val="00B14943"/>
    <w:rsid w:val="00B20264"/>
    <w:rsid w:val="00B229CC"/>
    <w:rsid w:val="00B22A98"/>
    <w:rsid w:val="00B23771"/>
    <w:rsid w:val="00B23C38"/>
    <w:rsid w:val="00B23E6D"/>
    <w:rsid w:val="00B2669E"/>
    <w:rsid w:val="00B27285"/>
    <w:rsid w:val="00B27C47"/>
    <w:rsid w:val="00B308A1"/>
    <w:rsid w:val="00B32CE2"/>
    <w:rsid w:val="00B35E1A"/>
    <w:rsid w:val="00B3665D"/>
    <w:rsid w:val="00B3701B"/>
    <w:rsid w:val="00B376A6"/>
    <w:rsid w:val="00B407BE"/>
    <w:rsid w:val="00B40BC2"/>
    <w:rsid w:val="00B40D0F"/>
    <w:rsid w:val="00B42303"/>
    <w:rsid w:val="00B4276A"/>
    <w:rsid w:val="00B42A7C"/>
    <w:rsid w:val="00B42F10"/>
    <w:rsid w:val="00B43591"/>
    <w:rsid w:val="00B43929"/>
    <w:rsid w:val="00B45EB8"/>
    <w:rsid w:val="00B471DA"/>
    <w:rsid w:val="00B512C1"/>
    <w:rsid w:val="00B51CCB"/>
    <w:rsid w:val="00B53964"/>
    <w:rsid w:val="00B54A8B"/>
    <w:rsid w:val="00B5502A"/>
    <w:rsid w:val="00B560E4"/>
    <w:rsid w:val="00B56F49"/>
    <w:rsid w:val="00B57854"/>
    <w:rsid w:val="00B57E21"/>
    <w:rsid w:val="00B603A6"/>
    <w:rsid w:val="00B61105"/>
    <w:rsid w:val="00B616D8"/>
    <w:rsid w:val="00B62683"/>
    <w:rsid w:val="00B62F89"/>
    <w:rsid w:val="00B6335A"/>
    <w:rsid w:val="00B6427D"/>
    <w:rsid w:val="00B66542"/>
    <w:rsid w:val="00B669F4"/>
    <w:rsid w:val="00B67258"/>
    <w:rsid w:val="00B70AEF"/>
    <w:rsid w:val="00B70D7D"/>
    <w:rsid w:val="00B72649"/>
    <w:rsid w:val="00B73DF4"/>
    <w:rsid w:val="00B75AF5"/>
    <w:rsid w:val="00B7615B"/>
    <w:rsid w:val="00B764CF"/>
    <w:rsid w:val="00B76797"/>
    <w:rsid w:val="00B76A14"/>
    <w:rsid w:val="00B77B4E"/>
    <w:rsid w:val="00B77F80"/>
    <w:rsid w:val="00B77FBE"/>
    <w:rsid w:val="00B8056A"/>
    <w:rsid w:val="00B81331"/>
    <w:rsid w:val="00B829EC"/>
    <w:rsid w:val="00B84397"/>
    <w:rsid w:val="00B8778B"/>
    <w:rsid w:val="00B87E35"/>
    <w:rsid w:val="00B902D7"/>
    <w:rsid w:val="00B90E7F"/>
    <w:rsid w:val="00B9401B"/>
    <w:rsid w:val="00B95011"/>
    <w:rsid w:val="00B95968"/>
    <w:rsid w:val="00B97163"/>
    <w:rsid w:val="00BA05EA"/>
    <w:rsid w:val="00BA1476"/>
    <w:rsid w:val="00BA2614"/>
    <w:rsid w:val="00BA3C6B"/>
    <w:rsid w:val="00BA459F"/>
    <w:rsid w:val="00BA4D43"/>
    <w:rsid w:val="00BA58B0"/>
    <w:rsid w:val="00BA66E6"/>
    <w:rsid w:val="00BA6B01"/>
    <w:rsid w:val="00BA7B87"/>
    <w:rsid w:val="00BB0138"/>
    <w:rsid w:val="00BB02E7"/>
    <w:rsid w:val="00BB1B02"/>
    <w:rsid w:val="00BB1DD4"/>
    <w:rsid w:val="00BB21B4"/>
    <w:rsid w:val="00BB2A0E"/>
    <w:rsid w:val="00BB33DD"/>
    <w:rsid w:val="00BB3BF2"/>
    <w:rsid w:val="00BB4286"/>
    <w:rsid w:val="00BB4779"/>
    <w:rsid w:val="00BB5CD3"/>
    <w:rsid w:val="00BB6489"/>
    <w:rsid w:val="00BB6866"/>
    <w:rsid w:val="00BB700E"/>
    <w:rsid w:val="00BB74EB"/>
    <w:rsid w:val="00BB7806"/>
    <w:rsid w:val="00BC006D"/>
    <w:rsid w:val="00BC0260"/>
    <w:rsid w:val="00BC086C"/>
    <w:rsid w:val="00BC0A43"/>
    <w:rsid w:val="00BC1DBF"/>
    <w:rsid w:val="00BC407A"/>
    <w:rsid w:val="00BC447F"/>
    <w:rsid w:val="00BC4C41"/>
    <w:rsid w:val="00BC51A5"/>
    <w:rsid w:val="00BC5284"/>
    <w:rsid w:val="00BC7251"/>
    <w:rsid w:val="00BC733E"/>
    <w:rsid w:val="00BD03B8"/>
    <w:rsid w:val="00BD1A3A"/>
    <w:rsid w:val="00BD1F5F"/>
    <w:rsid w:val="00BD2651"/>
    <w:rsid w:val="00BD354A"/>
    <w:rsid w:val="00BD3D18"/>
    <w:rsid w:val="00BD4C98"/>
    <w:rsid w:val="00BD5ECE"/>
    <w:rsid w:val="00BD60C3"/>
    <w:rsid w:val="00BD7021"/>
    <w:rsid w:val="00BE0261"/>
    <w:rsid w:val="00BE0FC7"/>
    <w:rsid w:val="00BE1162"/>
    <w:rsid w:val="00BE13A6"/>
    <w:rsid w:val="00BE14C5"/>
    <w:rsid w:val="00BE1E66"/>
    <w:rsid w:val="00BE3841"/>
    <w:rsid w:val="00BE4533"/>
    <w:rsid w:val="00BE601B"/>
    <w:rsid w:val="00BF0598"/>
    <w:rsid w:val="00BF0860"/>
    <w:rsid w:val="00BF11A4"/>
    <w:rsid w:val="00BF1834"/>
    <w:rsid w:val="00BF2CD7"/>
    <w:rsid w:val="00BF4F00"/>
    <w:rsid w:val="00BF5C7E"/>
    <w:rsid w:val="00BF6469"/>
    <w:rsid w:val="00BF721C"/>
    <w:rsid w:val="00C00578"/>
    <w:rsid w:val="00C00A66"/>
    <w:rsid w:val="00C00B62"/>
    <w:rsid w:val="00C02AF3"/>
    <w:rsid w:val="00C039AD"/>
    <w:rsid w:val="00C04E7A"/>
    <w:rsid w:val="00C053C1"/>
    <w:rsid w:val="00C1076E"/>
    <w:rsid w:val="00C119FC"/>
    <w:rsid w:val="00C11A48"/>
    <w:rsid w:val="00C14118"/>
    <w:rsid w:val="00C14FC5"/>
    <w:rsid w:val="00C1560A"/>
    <w:rsid w:val="00C20F96"/>
    <w:rsid w:val="00C214A3"/>
    <w:rsid w:val="00C21910"/>
    <w:rsid w:val="00C21D05"/>
    <w:rsid w:val="00C220C3"/>
    <w:rsid w:val="00C2257E"/>
    <w:rsid w:val="00C225CC"/>
    <w:rsid w:val="00C22724"/>
    <w:rsid w:val="00C23202"/>
    <w:rsid w:val="00C24185"/>
    <w:rsid w:val="00C25DC4"/>
    <w:rsid w:val="00C267F9"/>
    <w:rsid w:val="00C26982"/>
    <w:rsid w:val="00C270FB"/>
    <w:rsid w:val="00C27113"/>
    <w:rsid w:val="00C31260"/>
    <w:rsid w:val="00C3184A"/>
    <w:rsid w:val="00C3527B"/>
    <w:rsid w:val="00C36814"/>
    <w:rsid w:val="00C36D61"/>
    <w:rsid w:val="00C37975"/>
    <w:rsid w:val="00C37BCB"/>
    <w:rsid w:val="00C4071A"/>
    <w:rsid w:val="00C40AAE"/>
    <w:rsid w:val="00C40BCC"/>
    <w:rsid w:val="00C4108A"/>
    <w:rsid w:val="00C42722"/>
    <w:rsid w:val="00C42C32"/>
    <w:rsid w:val="00C42E7D"/>
    <w:rsid w:val="00C44032"/>
    <w:rsid w:val="00C443B8"/>
    <w:rsid w:val="00C44537"/>
    <w:rsid w:val="00C462DA"/>
    <w:rsid w:val="00C473C8"/>
    <w:rsid w:val="00C47F52"/>
    <w:rsid w:val="00C519E5"/>
    <w:rsid w:val="00C51FCA"/>
    <w:rsid w:val="00C520E1"/>
    <w:rsid w:val="00C52D4A"/>
    <w:rsid w:val="00C530ED"/>
    <w:rsid w:val="00C54F7B"/>
    <w:rsid w:val="00C5540D"/>
    <w:rsid w:val="00C563C1"/>
    <w:rsid w:val="00C5685A"/>
    <w:rsid w:val="00C57DE1"/>
    <w:rsid w:val="00C62691"/>
    <w:rsid w:val="00C64042"/>
    <w:rsid w:val="00C642A4"/>
    <w:rsid w:val="00C65AD9"/>
    <w:rsid w:val="00C66EAD"/>
    <w:rsid w:val="00C7091D"/>
    <w:rsid w:val="00C70AB2"/>
    <w:rsid w:val="00C72147"/>
    <w:rsid w:val="00C7246A"/>
    <w:rsid w:val="00C72F31"/>
    <w:rsid w:val="00C730AC"/>
    <w:rsid w:val="00C731C3"/>
    <w:rsid w:val="00C732FF"/>
    <w:rsid w:val="00C73369"/>
    <w:rsid w:val="00C738DF"/>
    <w:rsid w:val="00C74DD5"/>
    <w:rsid w:val="00C74EBE"/>
    <w:rsid w:val="00C75673"/>
    <w:rsid w:val="00C75E30"/>
    <w:rsid w:val="00C75F36"/>
    <w:rsid w:val="00C76457"/>
    <w:rsid w:val="00C7673F"/>
    <w:rsid w:val="00C77BCF"/>
    <w:rsid w:val="00C80C01"/>
    <w:rsid w:val="00C80D60"/>
    <w:rsid w:val="00C838A9"/>
    <w:rsid w:val="00C84CC6"/>
    <w:rsid w:val="00C86175"/>
    <w:rsid w:val="00C86F84"/>
    <w:rsid w:val="00C874D9"/>
    <w:rsid w:val="00C903B5"/>
    <w:rsid w:val="00C90A1E"/>
    <w:rsid w:val="00C90AE2"/>
    <w:rsid w:val="00C90C26"/>
    <w:rsid w:val="00C90DE6"/>
    <w:rsid w:val="00C92BDC"/>
    <w:rsid w:val="00C9488F"/>
    <w:rsid w:val="00C9513A"/>
    <w:rsid w:val="00C955A4"/>
    <w:rsid w:val="00C959A0"/>
    <w:rsid w:val="00C96512"/>
    <w:rsid w:val="00C96642"/>
    <w:rsid w:val="00C96C21"/>
    <w:rsid w:val="00C97F60"/>
    <w:rsid w:val="00CA05B1"/>
    <w:rsid w:val="00CA1A2B"/>
    <w:rsid w:val="00CA288D"/>
    <w:rsid w:val="00CA36B5"/>
    <w:rsid w:val="00CA3C62"/>
    <w:rsid w:val="00CA3DFB"/>
    <w:rsid w:val="00CA4A00"/>
    <w:rsid w:val="00CA5CB2"/>
    <w:rsid w:val="00CA65EC"/>
    <w:rsid w:val="00CA758E"/>
    <w:rsid w:val="00CA7B4B"/>
    <w:rsid w:val="00CA7DCA"/>
    <w:rsid w:val="00CB0402"/>
    <w:rsid w:val="00CB1CD6"/>
    <w:rsid w:val="00CB2055"/>
    <w:rsid w:val="00CB329C"/>
    <w:rsid w:val="00CB3489"/>
    <w:rsid w:val="00CB3939"/>
    <w:rsid w:val="00CB396C"/>
    <w:rsid w:val="00CB39AA"/>
    <w:rsid w:val="00CB3ABF"/>
    <w:rsid w:val="00CB3F65"/>
    <w:rsid w:val="00CB4088"/>
    <w:rsid w:val="00CB62A4"/>
    <w:rsid w:val="00CB6B80"/>
    <w:rsid w:val="00CB73C3"/>
    <w:rsid w:val="00CB7603"/>
    <w:rsid w:val="00CC0802"/>
    <w:rsid w:val="00CC0F5C"/>
    <w:rsid w:val="00CC0FEB"/>
    <w:rsid w:val="00CC15CB"/>
    <w:rsid w:val="00CC1D52"/>
    <w:rsid w:val="00CC25DA"/>
    <w:rsid w:val="00CC2651"/>
    <w:rsid w:val="00CC28E8"/>
    <w:rsid w:val="00CC3934"/>
    <w:rsid w:val="00CC5FC2"/>
    <w:rsid w:val="00CC6590"/>
    <w:rsid w:val="00CD0396"/>
    <w:rsid w:val="00CD1548"/>
    <w:rsid w:val="00CD17C4"/>
    <w:rsid w:val="00CD28D1"/>
    <w:rsid w:val="00CD3243"/>
    <w:rsid w:val="00CD3B7A"/>
    <w:rsid w:val="00CD564E"/>
    <w:rsid w:val="00CD56CF"/>
    <w:rsid w:val="00CD58E1"/>
    <w:rsid w:val="00CD7B07"/>
    <w:rsid w:val="00CE05D6"/>
    <w:rsid w:val="00CE2493"/>
    <w:rsid w:val="00CE3996"/>
    <w:rsid w:val="00CE3CFA"/>
    <w:rsid w:val="00CE45AE"/>
    <w:rsid w:val="00CE4910"/>
    <w:rsid w:val="00CE5275"/>
    <w:rsid w:val="00CE7C32"/>
    <w:rsid w:val="00CF229B"/>
    <w:rsid w:val="00CF28FE"/>
    <w:rsid w:val="00CF2C63"/>
    <w:rsid w:val="00CF306E"/>
    <w:rsid w:val="00CF3273"/>
    <w:rsid w:val="00CF47FA"/>
    <w:rsid w:val="00CF59FA"/>
    <w:rsid w:val="00CF5AC7"/>
    <w:rsid w:val="00CF625E"/>
    <w:rsid w:val="00CF7070"/>
    <w:rsid w:val="00D004ED"/>
    <w:rsid w:val="00D00FAE"/>
    <w:rsid w:val="00D02678"/>
    <w:rsid w:val="00D02811"/>
    <w:rsid w:val="00D02A8A"/>
    <w:rsid w:val="00D03F29"/>
    <w:rsid w:val="00D04AA5"/>
    <w:rsid w:val="00D05927"/>
    <w:rsid w:val="00D065E0"/>
    <w:rsid w:val="00D06EF9"/>
    <w:rsid w:val="00D11473"/>
    <w:rsid w:val="00D11EFB"/>
    <w:rsid w:val="00D12081"/>
    <w:rsid w:val="00D12175"/>
    <w:rsid w:val="00D12532"/>
    <w:rsid w:val="00D12AA0"/>
    <w:rsid w:val="00D14054"/>
    <w:rsid w:val="00D1444E"/>
    <w:rsid w:val="00D16F39"/>
    <w:rsid w:val="00D178E9"/>
    <w:rsid w:val="00D17CB6"/>
    <w:rsid w:val="00D21F29"/>
    <w:rsid w:val="00D22D75"/>
    <w:rsid w:val="00D235CC"/>
    <w:rsid w:val="00D24714"/>
    <w:rsid w:val="00D2662D"/>
    <w:rsid w:val="00D2756F"/>
    <w:rsid w:val="00D27B44"/>
    <w:rsid w:val="00D27DA9"/>
    <w:rsid w:val="00D32D19"/>
    <w:rsid w:val="00D334A9"/>
    <w:rsid w:val="00D34095"/>
    <w:rsid w:val="00D343B5"/>
    <w:rsid w:val="00D345E9"/>
    <w:rsid w:val="00D35106"/>
    <w:rsid w:val="00D36C6A"/>
    <w:rsid w:val="00D36CBB"/>
    <w:rsid w:val="00D37A29"/>
    <w:rsid w:val="00D424C7"/>
    <w:rsid w:val="00D42603"/>
    <w:rsid w:val="00D42687"/>
    <w:rsid w:val="00D42991"/>
    <w:rsid w:val="00D42A51"/>
    <w:rsid w:val="00D43991"/>
    <w:rsid w:val="00D44475"/>
    <w:rsid w:val="00D4515C"/>
    <w:rsid w:val="00D45D16"/>
    <w:rsid w:val="00D46609"/>
    <w:rsid w:val="00D479C7"/>
    <w:rsid w:val="00D47A9C"/>
    <w:rsid w:val="00D47D4E"/>
    <w:rsid w:val="00D508F8"/>
    <w:rsid w:val="00D522D7"/>
    <w:rsid w:val="00D55DB1"/>
    <w:rsid w:val="00D56A8B"/>
    <w:rsid w:val="00D57D96"/>
    <w:rsid w:val="00D61B32"/>
    <w:rsid w:val="00D61BF2"/>
    <w:rsid w:val="00D63F3B"/>
    <w:rsid w:val="00D64C28"/>
    <w:rsid w:val="00D64DE8"/>
    <w:rsid w:val="00D6534D"/>
    <w:rsid w:val="00D657FC"/>
    <w:rsid w:val="00D67083"/>
    <w:rsid w:val="00D703B8"/>
    <w:rsid w:val="00D70589"/>
    <w:rsid w:val="00D70FBF"/>
    <w:rsid w:val="00D71044"/>
    <w:rsid w:val="00D719A5"/>
    <w:rsid w:val="00D7247D"/>
    <w:rsid w:val="00D7290E"/>
    <w:rsid w:val="00D736E7"/>
    <w:rsid w:val="00D74936"/>
    <w:rsid w:val="00D75056"/>
    <w:rsid w:val="00D77EE9"/>
    <w:rsid w:val="00D80370"/>
    <w:rsid w:val="00D80BCF"/>
    <w:rsid w:val="00D815D5"/>
    <w:rsid w:val="00D82A82"/>
    <w:rsid w:val="00D85F9C"/>
    <w:rsid w:val="00D8766E"/>
    <w:rsid w:val="00D90FCE"/>
    <w:rsid w:val="00D9226D"/>
    <w:rsid w:val="00D938A7"/>
    <w:rsid w:val="00D93BF7"/>
    <w:rsid w:val="00D9529B"/>
    <w:rsid w:val="00D977F0"/>
    <w:rsid w:val="00D97F5B"/>
    <w:rsid w:val="00DA1BC9"/>
    <w:rsid w:val="00DA247F"/>
    <w:rsid w:val="00DA4090"/>
    <w:rsid w:val="00DA4D95"/>
    <w:rsid w:val="00DA5507"/>
    <w:rsid w:val="00DA71E0"/>
    <w:rsid w:val="00DB1A08"/>
    <w:rsid w:val="00DB2079"/>
    <w:rsid w:val="00DB2C75"/>
    <w:rsid w:val="00DB3DF7"/>
    <w:rsid w:val="00DB42C6"/>
    <w:rsid w:val="00DB5060"/>
    <w:rsid w:val="00DB5AAB"/>
    <w:rsid w:val="00DB5C54"/>
    <w:rsid w:val="00DB5FC5"/>
    <w:rsid w:val="00DB6EB5"/>
    <w:rsid w:val="00DB7773"/>
    <w:rsid w:val="00DC048A"/>
    <w:rsid w:val="00DC1636"/>
    <w:rsid w:val="00DC209C"/>
    <w:rsid w:val="00DC271F"/>
    <w:rsid w:val="00DC2819"/>
    <w:rsid w:val="00DC3DE1"/>
    <w:rsid w:val="00DC4649"/>
    <w:rsid w:val="00DC5060"/>
    <w:rsid w:val="00DC5E24"/>
    <w:rsid w:val="00DD0976"/>
    <w:rsid w:val="00DD1831"/>
    <w:rsid w:val="00DD310D"/>
    <w:rsid w:val="00DD3585"/>
    <w:rsid w:val="00DD5BED"/>
    <w:rsid w:val="00DD67BC"/>
    <w:rsid w:val="00DD79B9"/>
    <w:rsid w:val="00DE12AF"/>
    <w:rsid w:val="00DE139A"/>
    <w:rsid w:val="00DE1B71"/>
    <w:rsid w:val="00DE2844"/>
    <w:rsid w:val="00DE2A83"/>
    <w:rsid w:val="00DE2A95"/>
    <w:rsid w:val="00DE2B8D"/>
    <w:rsid w:val="00DE3F7E"/>
    <w:rsid w:val="00DE40EE"/>
    <w:rsid w:val="00DE6C74"/>
    <w:rsid w:val="00DE6DB9"/>
    <w:rsid w:val="00DE7003"/>
    <w:rsid w:val="00DE7083"/>
    <w:rsid w:val="00DE763A"/>
    <w:rsid w:val="00DE7AF3"/>
    <w:rsid w:val="00DF0232"/>
    <w:rsid w:val="00DF2109"/>
    <w:rsid w:val="00DF22D7"/>
    <w:rsid w:val="00DF33CB"/>
    <w:rsid w:val="00DF34EB"/>
    <w:rsid w:val="00DF4768"/>
    <w:rsid w:val="00DF7050"/>
    <w:rsid w:val="00DF7ED4"/>
    <w:rsid w:val="00E022B7"/>
    <w:rsid w:val="00E0353D"/>
    <w:rsid w:val="00E04C16"/>
    <w:rsid w:val="00E054F1"/>
    <w:rsid w:val="00E056A6"/>
    <w:rsid w:val="00E05CB1"/>
    <w:rsid w:val="00E061E9"/>
    <w:rsid w:val="00E0770B"/>
    <w:rsid w:val="00E119D9"/>
    <w:rsid w:val="00E11FD6"/>
    <w:rsid w:val="00E131D5"/>
    <w:rsid w:val="00E141E6"/>
    <w:rsid w:val="00E1467B"/>
    <w:rsid w:val="00E1503C"/>
    <w:rsid w:val="00E1529F"/>
    <w:rsid w:val="00E1581D"/>
    <w:rsid w:val="00E15B91"/>
    <w:rsid w:val="00E15E91"/>
    <w:rsid w:val="00E17274"/>
    <w:rsid w:val="00E17BC7"/>
    <w:rsid w:val="00E205FB"/>
    <w:rsid w:val="00E20D69"/>
    <w:rsid w:val="00E20DA0"/>
    <w:rsid w:val="00E225F2"/>
    <w:rsid w:val="00E22A14"/>
    <w:rsid w:val="00E23CF1"/>
    <w:rsid w:val="00E24974"/>
    <w:rsid w:val="00E249ED"/>
    <w:rsid w:val="00E25646"/>
    <w:rsid w:val="00E25AE4"/>
    <w:rsid w:val="00E25DD0"/>
    <w:rsid w:val="00E25F2D"/>
    <w:rsid w:val="00E27E5B"/>
    <w:rsid w:val="00E31137"/>
    <w:rsid w:val="00E31311"/>
    <w:rsid w:val="00E3242F"/>
    <w:rsid w:val="00E35F96"/>
    <w:rsid w:val="00E36D60"/>
    <w:rsid w:val="00E425DA"/>
    <w:rsid w:val="00E425E4"/>
    <w:rsid w:val="00E456E3"/>
    <w:rsid w:val="00E471BA"/>
    <w:rsid w:val="00E522F5"/>
    <w:rsid w:val="00E523EF"/>
    <w:rsid w:val="00E53C19"/>
    <w:rsid w:val="00E55044"/>
    <w:rsid w:val="00E550EC"/>
    <w:rsid w:val="00E55EB2"/>
    <w:rsid w:val="00E56475"/>
    <w:rsid w:val="00E60028"/>
    <w:rsid w:val="00E60152"/>
    <w:rsid w:val="00E60769"/>
    <w:rsid w:val="00E61580"/>
    <w:rsid w:val="00E62A6B"/>
    <w:rsid w:val="00E62BA9"/>
    <w:rsid w:val="00E63434"/>
    <w:rsid w:val="00E63712"/>
    <w:rsid w:val="00E63A6A"/>
    <w:rsid w:val="00E64403"/>
    <w:rsid w:val="00E665F8"/>
    <w:rsid w:val="00E66EF5"/>
    <w:rsid w:val="00E67CEF"/>
    <w:rsid w:val="00E70287"/>
    <w:rsid w:val="00E72353"/>
    <w:rsid w:val="00E7333F"/>
    <w:rsid w:val="00E7403D"/>
    <w:rsid w:val="00E75A8A"/>
    <w:rsid w:val="00E760F4"/>
    <w:rsid w:val="00E76CA1"/>
    <w:rsid w:val="00E77455"/>
    <w:rsid w:val="00E82397"/>
    <w:rsid w:val="00E8295F"/>
    <w:rsid w:val="00E82E43"/>
    <w:rsid w:val="00E8374F"/>
    <w:rsid w:val="00E83825"/>
    <w:rsid w:val="00E83BC5"/>
    <w:rsid w:val="00E84622"/>
    <w:rsid w:val="00E84E02"/>
    <w:rsid w:val="00E879B3"/>
    <w:rsid w:val="00E87A5F"/>
    <w:rsid w:val="00E907A5"/>
    <w:rsid w:val="00E907E0"/>
    <w:rsid w:val="00E916DE"/>
    <w:rsid w:val="00E92094"/>
    <w:rsid w:val="00E9258A"/>
    <w:rsid w:val="00E930B7"/>
    <w:rsid w:val="00E93718"/>
    <w:rsid w:val="00E95A1E"/>
    <w:rsid w:val="00E96AC0"/>
    <w:rsid w:val="00E970F3"/>
    <w:rsid w:val="00E97DA3"/>
    <w:rsid w:val="00EA2254"/>
    <w:rsid w:val="00EA47AB"/>
    <w:rsid w:val="00EA56E4"/>
    <w:rsid w:val="00EA582A"/>
    <w:rsid w:val="00EA6623"/>
    <w:rsid w:val="00EA6A76"/>
    <w:rsid w:val="00EA6C53"/>
    <w:rsid w:val="00EA7526"/>
    <w:rsid w:val="00EB0584"/>
    <w:rsid w:val="00EB0C3A"/>
    <w:rsid w:val="00EB1102"/>
    <w:rsid w:val="00EB1EC2"/>
    <w:rsid w:val="00EB2569"/>
    <w:rsid w:val="00EB281E"/>
    <w:rsid w:val="00EB2A0C"/>
    <w:rsid w:val="00EB2D1E"/>
    <w:rsid w:val="00EB4012"/>
    <w:rsid w:val="00EB627C"/>
    <w:rsid w:val="00EB6400"/>
    <w:rsid w:val="00EB6C3B"/>
    <w:rsid w:val="00EB709B"/>
    <w:rsid w:val="00EC083B"/>
    <w:rsid w:val="00EC0F9A"/>
    <w:rsid w:val="00EC101E"/>
    <w:rsid w:val="00EC149C"/>
    <w:rsid w:val="00EC197F"/>
    <w:rsid w:val="00EC1E7F"/>
    <w:rsid w:val="00EC2915"/>
    <w:rsid w:val="00EC37F1"/>
    <w:rsid w:val="00EC4100"/>
    <w:rsid w:val="00EC4B51"/>
    <w:rsid w:val="00EC52A6"/>
    <w:rsid w:val="00ED088D"/>
    <w:rsid w:val="00ED1911"/>
    <w:rsid w:val="00ED194F"/>
    <w:rsid w:val="00ED1E8B"/>
    <w:rsid w:val="00ED27EB"/>
    <w:rsid w:val="00ED41D6"/>
    <w:rsid w:val="00ED4751"/>
    <w:rsid w:val="00ED5A1A"/>
    <w:rsid w:val="00ED7079"/>
    <w:rsid w:val="00ED713D"/>
    <w:rsid w:val="00EE04CE"/>
    <w:rsid w:val="00EE0762"/>
    <w:rsid w:val="00EE1BA5"/>
    <w:rsid w:val="00EE4788"/>
    <w:rsid w:val="00EE579C"/>
    <w:rsid w:val="00EE743C"/>
    <w:rsid w:val="00EE7CA1"/>
    <w:rsid w:val="00EF0944"/>
    <w:rsid w:val="00EF1825"/>
    <w:rsid w:val="00EF52CF"/>
    <w:rsid w:val="00EF5E71"/>
    <w:rsid w:val="00EF66C6"/>
    <w:rsid w:val="00EF6A6C"/>
    <w:rsid w:val="00EF71C9"/>
    <w:rsid w:val="00EF7825"/>
    <w:rsid w:val="00EF787F"/>
    <w:rsid w:val="00F0147A"/>
    <w:rsid w:val="00F0184D"/>
    <w:rsid w:val="00F0228C"/>
    <w:rsid w:val="00F0231E"/>
    <w:rsid w:val="00F0245B"/>
    <w:rsid w:val="00F034CF"/>
    <w:rsid w:val="00F03ACC"/>
    <w:rsid w:val="00F03B38"/>
    <w:rsid w:val="00F0487D"/>
    <w:rsid w:val="00F053B9"/>
    <w:rsid w:val="00F05CE5"/>
    <w:rsid w:val="00F06130"/>
    <w:rsid w:val="00F06BAE"/>
    <w:rsid w:val="00F06C19"/>
    <w:rsid w:val="00F1093E"/>
    <w:rsid w:val="00F11132"/>
    <w:rsid w:val="00F11BB9"/>
    <w:rsid w:val="00F11D8E"/>
    <w:rsid w:val="00F1274E"/>
    <w:rsid w:val="00F13726"/>
    <w:rsid w:val="00F13D27"/>
    <w:rsid w:val="00F1414F"/>
    <w:rsid w:val="00F15884"/>
    <w:rsid w:val="00F163AB"/>
    <w:rsid w:val="00F175D3"/>
    <w:rsid w:val="00F17B07"/>
    <w:rsid w:val="00F20B7D"/>
    <w:rsid w:val="00F20E70"/>
    <w:rsid w:val="00F21627"/>
    <w:rsid w:val="00F21799"/>
    <w:rsid w:val="00F225B7"/>
    <w:rsid w:val="00F229A4"/>
    <w:rsid w:val="00F24751"/>
    <w:rsid w:val="00F24DE8"/>
    <w:rsid w:val="00F25180"/>
    <w:rsid w:val="00F25346"/>
    <w:rsid w:val="00F25796"/>
    <w:rsid w:val="00F25CF7"/>
    <w:rsid w:val="00F25F72"/>
    <w:rsid w:val="00F26F10"/>
    <w:rsid w:val="00F27FA9"/>
    <w:rsid w:val="00F308AE"/>
    <w:rsid w:val="00F308C4"/>
    <w:rsid w:val="00F30A70"/>
    <w:rsid w:val="00F31A22"/>
    <w:rsid w:val="00F3239E"/>
    <w:rsid w:val="00F323DC"/>
    <w:rsid w:val="00F3272C"/>
    <w:rsid w:val="00F32B71"/>
    <w:rsid w:val="00F33531"/>
    <w:rsid w:val="00F339AB"/>
    <w:rsid w:val="00F33B08"/>
    <w:rsid w:val="00F35785"/>
    <w:rsid w:val="00F35893"/>
    <w:rsid w:val="00F367AC"/>
    <w:rsid w:val="00F36AAD"/>
    <w:rsid w:val="00F40526"/>
    <w:rsid w:val="00F4156C"/>
    <w:rsid w:val="00F4190E"/>
    <w:rsid w:val="00F4206B"/>
    <w:rsid w:val="00F420A1"/>
    <w:rsid w:val="00F420E9"/>
    <w:rsid w:val="00F42284"/>
    <w:rsid w:val="00F43461"/>
    <w:rsid w:val="00F444E3"/>
    <w:rsid w:val="00F4509B"/>
    <w:rsid w:val="00F45253"/>
    <w:rsid w:val="00F45DBE"/>
    <w:rsid w:val="00F468D6"/>
    <w:rsid w:val="00F47460"/>
    <w:rsid w:val="00F5172F"/>
    <w:rsid w:val="00F51B7D"/>
    <w:rsid w:val="00F528F4"/>
    <w:rsid w:val="00F54775"/>
    <w:rsid w:val="00F55AFD"/>
    <w:rsid w:val="00F56C9F"/>
    <w:rsid w:val="00F56D88"/>
    <w:rsid w:val="00F57041"/>
    <w:rsid w:val="00F57799"/>
    <w:rsid w:val="00F57AB1"/>
    <w:rsid w:val="00F614AA"/>
    <w:rsid w:val="00F6362D"/>
    <w:rsid w:val="00F64DB5"/>
    <w:rsid w:val="00F66D6C"/>
    <w:rsid w:val="00F67248"/>
    <w:rsid w:val="00F67360"/>
    <w:rsid w:val="00F675BC"/>
    <w:rsid w:val="00F702ED"/>
    <w:rsid w:val="00F72984"/>
    <w:rsid w:val="00F73B54"/>
    <w:rsid w:val="00F73FB9"/>
    <w:rsid w:val="00F7411C"/>
    <w:rsid w:val="00F74386"/>
    <w:rsid w:val="00F7494B"/>
    <w:rsid w:val="00F75E43"/>
    <w:rsid w:val="00F76649"/>
    <w:rsid w:val="00F76D9E"/>
    <w:rsid w:val="00F771A0"/>
    <w:rsid w:val="00F806E4"/>
    <w:rsid w:val="00F809FF"/>
    <w:rsid w:val="00F815AF"/>
    <w:rsid w:val="00F817C8"/>
    <w:rsid w:val="00F825E6"/>
    <w:rsid w:val="00F82771"/>
    <w:rsid w:val="00F8314A"/>
    <w:rsid w:val="00F83C53"/>
    <w:rsid w:val="00F85AE8"/>
    <w:rsid w:val="00F85E37"/>
    <w:rsid w:val="00F869D4"/>
    <w:rsid w:val="00F87DBF"/>
    <w:rsid w:val="00F90746"/>
    <w:rsid w:val="00F90FFB"/>
    <w:rsid w:val="00F92210"/>
    <w:rsid w:val="00F94BE7"/>
    <w:rsid w:val="00F95695"/>
    <w:rsid w:val="00F9598E"/>
    <w:rsid w:val="00F96FDA"/>
    <w:rsid w:val="00F97124"/>
    <w:rsid w:val="00FA06E8"/>
    <w:rsid w:val="00FA0F8B"/>
    <w:rsid w:val="00FA1039"/>
    <w:rsid w:val="00FA2EB6"/>
    <w:rsid w:val="00FA3D3D"/>
    <w:rsid w:val="00FA6878"/>
    <w:rsid w:val="00FA7755"/>
    <w:rsid w:val="00FA789F"/>
    <w:rsid w:val="00FB123B"/>
    <w:rsid w:val="00FB1345"/>
    <w:rsid w:val="00FB3D01"/>
    <w:rsid w:val="00FB4393"/>
    <w:rsid w:val="00FB4D6F"/>
    <w:rsid w:val="00FB5712"/>
    <w:rsid w:val="00FB5CAA"/>
    <w:rsid w:val="00FB679F"/>
    <w:rsid w:val="00FC088C"/>
    <w:rsid w:val="00FC1352"/>
    <w:rsid w:val="00FC27A1"/>
    <w:rsid w:val="00FC2987"/>
    <w:rsid w:val="00FC30AF"/>
    <w:rsid w:val="00FC31F6"/>
    <w:rsid w:val="00FC3233"/>
    <w:rsid w:val="00FC465D"/>
    <w:rsid w:val="00FC69CD"/>
    <w:rsid w:val="00FC73D9"/>
    <w:rsid w:val="00FD01B1"/>
    <w:rsid w:val="00FD2D61"/>
    <w:rsid w:val="00FD3C23"/>
    <w:rsid w:val="00FD3F85"/>
    <w:rsid w:val="00FD40FA"/>
    <w:rsid w:val="00FD46A5"/>
    <w:rsid w:val="00FD48D0"/>
    <w:rsid w:val="00FD5B34"/>
    <w:rsid w:val="00FD600F"/>
    <w:rsid w:val="00FD7584"/>
    <w:rsid w:val="00FD7BE9"/>
    <w:rsid w:val="00FE1B44"/>
    <w:rsid w:val="00FE3D02"/>
    <w:rsid w:val="00FE3E27"/>
    <w:rsid w:val="00FE4010"/>
    <w:rsid w:val="00FE5CDE"/>
    <w:rsid w:val="00FE7495"/>
    <w:rsid w:val="00FE794C"/>
    <w:rsid w:val="00FE7984"/>
    <w:rsid w:val="00FF00A0"/>
    <w:rsid w:val="00FF03BE"/>
    <w:rsid w:val="00FF1445"/>
    <w:rsid w:val="00FF1945"/>
    <w:rsid w:val="00FF1B92"/>
    <w:rsid w:val="00FF22EA"/>
    <w:rsid w:val="00FF31AF"/>
    <w:rsid w:val="00FF3A72"/>
    <w:rsid w:val="00FF4126"/>
    <w:rsid w:val="00FF4242"/>
    <w:rsid w:val="00FF5C61"/>
    <w:rsid w:val="00FF5EAC"/>
    <w:rsid w:val="00FF6A86"/>
    <w:rsid w:val="00FF707C"/>
    <w:rsid w:val="00FF77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15]" stroke="f">
      <v:fill color="none [3215]"/>
      <v:stroke on="f"/>
    </o:shapedefaults>
    <o:shapelayout v:ext="edit">
      <o:idmap v:ext="edit" data="1"/>
    </o:shapelayout>
  </w:shapeDefaults>
  <w:decimalSymbol w:val="."/>
  <w:listSeparator w:val=","/>
  <w14:docId w14:val="010898F9"/>
  <w15:docId w15:val="{2F98DB97-DC7B-4D83-84C9-72FD95CFA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nhideWhenUsed="1"/>
    <w:lsdException w:name="toc 2" w:locked="0" w:semiHidden="1" w:uiPriority="39" w:unhideWhenUsed="1"/>
    <w:lsdException w:name="toc 3" w:locked="0" w:semiHidden="1" w:unhideWhenUsed="1"/>
    <w:lsdException w:name="toc 4" w:locked="0" w:semiHidden="1" w:uiPriority="39" w:unhideWhenUsed="1"/>
    <w:lsdException w:name="toc 5" w:locked="0" w:semiHidden="1" w:unhideWhenUsed="1"/>
    <w:lsdException w:name="toc 6" w:locked="0" w:semiHidden="1" w:uiPriority="39" w:unhideWhenUsed="1"/>
    <w:lsdException w:name="toc 7" w:locked="0" w:semiHidden="1" w:uiPriority="39" w:unhideWhenUsed="1"/>
    <w:lsdException w:name="toc 8" w:locked="0" w:semiHidden="1" w:unhideWhenUsed="1"/>
    <w:lsdException w:name="toc 9" w:locked="0" w:semiHidden="1" w:uiPriority="39" w:unhideWhenUsed="1"/>
    <w:lsdException w:name="Normal Indent" w:locked="0" w:semiHidden="1" w:unhideWhenUsed="1"/>
    <w:lsdException w:name="footnote text" w:locked="0" w:semiHidden="1" w:uiPriority="99" w:unhideWhenUsed="1"/>
    <w:lsdException w:name="annotation text" w:locked="0" w:semiHidden="1" w:unhideWhenUsed="1"/>
    <w:lsdException w:name="header" w:locked="0" w:semiHidden="1" w:uiPriority="99" w:unhideWhenUsed="1"/>
    <w:lsdException w:name="footer" w:locked="0" w:semiHidden="1" w:uiPriority="99" w:unhideWhenUsed="1"/>
    <w:lsdException w:name="index heading" w:locked="0"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99" w:unhideWhenUsed="1" w:qFormat="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iPriority="99" w:unhideWhenUsed="1" w:qFormat="1"/>
    <w:lsdException w:name="List Bullet 3" w:semiHidden="1" w:uiPriority="99" w:unhideWhenUsed="1" w:qFormat="1"/>
    <w:lsdException w:name="List Bullet 4" w:semiHidden="1" w:uiPriority="99" w:unhideWhenUsed="1"/>
    <w:lsdException w:name="List Bullet 5" w:semiHidden="1" w:uiPriority="99"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qFormat="1"/>
    <w:lsdException w:name="Closing" w:locked="0" w:semiHidden="1" w:unhideWhenUsed="1"/>
    <w:lsdException w:name="Signature" w:locked="0" w:semiHidden="1" w:unhideWhenUsed="1"/>
    <w:lsdException w:name="Default Paragraph Font" w:locked="0"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qFormat="1"/>
    <w:lsdException w:name="Salutation" w:locked="0" w:semiHidden="1" w:unhideWhenUsed="1"/>
    <w:lsdException w:name="Date" w:locked="0"/>
    <w:lsdException w:name="Body Text First Indent" w:semiHidden="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qFormat="1"/>
    <w:lsdException w:name="Hyperlink" w:locked="0" w:semiHidden="1" w:uiPriority="99" w:unhideWhenUsed="1"/>
    <w:lsdException w:name="FollowedHyperlink" w:locked="0" w:semiHidden="1" w:unhideWhenUsed="1"/>
    <w:lsdException w:name="Strong" w:locked="0" w:uiPriority="22" w:qFormat="1"/>
    <w:lsdException w:name="Emphasis"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locked="0" w:semiHidden="1" w:unhideWhenUsed="1"/>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next w:val="PwCNormal"/>
    <w:qFormat/>
    <w:rsid w:val="00245C02"/>
    <w:pPr>
      <w:kinsoku w:val="0"/>
      <w:overflowPunct w:val="0"/>
      <w:autoSpaceDE w:val="0"/>
      <w:autoSpaceDN w:val="0"/>
      <w:adjustRightInd w:val="0"/>
      <w:snapToGrid w:val="0"/>
    </w:pPr>
    <w:rPr>
      <w:rFonts w:cs="Arial"/>
      <w:snapToGrid w:val="0"/>
      <w:lang w:eastAsia="en-US"/>
    </w:rPr>
  </w:style>
  <w:style w:type="paragraph" w:styleId="Heading1">
    <w:name w:val="heading 1"/>
    <w:aliases w:val="Chapter Heading (Long)"/>
    <w:basedOn w:val="Normal"/>
    <w:next w:val="PwCNormal"/>
    <w:qFormat/>
    <w:rsid w:val="00BC0A43"/>
    <w:pPr>
      <w:spacing w:line="720" w:lineRule="atLeast"/>
      <w:outlineLvl w:val="0"/>
    </w:pPr>
    <w:rPr>
      <w:rFonts w:asciiTheme="majorHAnsi" w:hAnsiTheme="majorHAnsi"/>
      <w:b/>
      <w:bCs/>
      <w:i/>
      <w:sz w:val="56"/>
      <w:szCs w:val="72"/>
    </w:rPr>
  </w:style>
  <w:style w:type="paragraph" w:styleId="Heading2">
    <w:name w:val="heading 2"/>
    <w:aliases w:val="Chapter Heading (Short)"/>
    <w:basedOn w:val="Normal"/>
    <w:next w:val="PwCNormal"/>
    <w:qFormat/>
    <w:rsid w:val="00930AB8"/>
    <w:pPr>
      <w:keepNext/>
      <w:keepLines/>
      <w:pageBreakBefore/>
      <w:numPr>
        <w:ilvl w:val="1"/>
        <w:numId w:val="27"/>
      </w:numPr>
      <w:spacing w:after="480" w:line="600" w:lineRule="atLeast"/>
      <w:outlineLvl w:val="1"/>
    </w:pPr>
    <w:rPr>
      <w:rFonts w:asciiTheme="majorHAnsi" w:hAnsiTheme="majorHAnsi"/>
      <w:b/>
      <w:bCs/>
      <w:i/>
      <w:iCs/>
      <w:color w:val="000000" w:themeColor="text1"/>
      <w:sz w:val="56"/>
      <w:szCs w:val="36"/>
    </w:rPr>
  </w:style>
  <w:style w:type="paragraph" w:styleId="Heading3">
    <w:name w:val="heading 3"/>
    <w:aliases w:val="Appendix Heading (Long)"/>
    <w:basedOn w:val="Heading1"/>
    <w:next w:val="PwCNormal"/>
    <w:qFormat/>
    <w:rsid w:val="008D4477"/>
    <w:pPr>
      <w:outlineLvl w:val="2"/>
    </w:pPr>
    <w:rPr>
      <w:bCs w:val="0"/>
    </w:rPr>
  </w:style>
  <w:style w:type="paragraph" w:styleId="Heading4">
    <w:name w:val="heading 4"/>
    <w:aliases w:val="Appendix Heading (Short)"/>
    <w:basedOn w:val="Heading2"/>
    <w:next w:val="PwCNormal"/>
    <w:qFormat/>
    <w:rsid w:val="00AE506B"/>
    <w:pPr>
      <w:pageBreakBefore w:val="0"/>
      <w:numPr>
        <w:ilvl w:val="4"/>
      </w:numPr>
      <w:outlineLvl w:val="3"/>
    </w:pPr>
    <w:rPr>
      <w:bCs w:val="0"/>
    </w:rPr>
  </w:style>
  <w:style w:type="paragraph" w:styleId="Heading5">
    <w:name w:val="heading 5"/>
    <w:basedOn w:val="Heading2"/>
    <w:next w:val="PwCNormal"/>
    <w:qFormat/>
    <w:rsid w:val="00317710"/>
    <w:pPr>
      <w:pageBreakBefore w:val="0"/>
      <w:numPr>
        <w:ilvl w:val="0"/>
        <w:numId w:val="0"/>
      </w:numPr>
      <w:spacing w:before="360" w:line="380" w:lineRule="atLeast"/>
      <w:outlineLvl w:val="4"/>
    </w:pPr>
    <w:rPr>
      <w:bCs w:val="0"/>
      <w:iCs w:val="0"/>
      <w:sz w:val="32"/>
      <w:szCs w:val="32"/>
    </w:rPr>
  </w:style>
  <w:style w:type="paragraph" w:styleId="Heading6">
    <w:name w:val="heading 6"/>
    <w:basedOn w:val="Heading2"/>
    <w:next w:val="PwCNormal"/>
    <w:link w:val="Heading6Char"/>
    <w:qFormat/>
    <w:rsid w:val="00BC0A43"/>
    <w:pPr>
      <w:pageBreakBefore w:val="0"/>
      <w:numPr>
        <w:ilvl w:val="2"/>
      </w:numPr>
      <w:spacing w:after="40" w:line="240" w:lineRule="auto"/>
      <w:outlineLvl w:val="5"/>
    </w:pPr>
    <w:rPr>
      <w:bCs w:val="0"/>
      <w:color w:val="A32020" w:themeColor="text2"/>
      <w:sz w:val="32"/>
    </w:rPr>
  </w:style>
  <w:style w:type="paragraph" w:styleId="Heading7">
    <w:name w:val="heading 7"/>
    <w:basedOn w:val="Heading6"/>
    <w:next w:val="PwCNormal"/>
    <w:link w:val="Heading7Char"/>
    <w:qFormat/>
    <w:rsid w:val="005C6E53"/>
    <w:pPr>
      <w:numPr>
        <w:ilvl w:val="3"/>
      </w:numPr>
      <w:outlineLvl w:val="6"/>
    </w:pPr>
    <w:rPr>
      <w:b w:val="0"/>
      <w:sz w:val="28"/>
      <w:szCs w:val="28"/>
    </w:rPr>
  </w:style>
  <w:style w:type="paragraph" w:styleId="Heading8">
    <w:name w:val="heading 8"/>
    <w:basedOn w:val="Majorheading"/>
    <w:next w:val="PwCNormal"/>
    <w:qFormat/>
    <w:rsid w:val="00930AB8"/>
    <w:pPr>
      <w:numPr>
        <w:ilvl w:val="6"/>
        <w:numId w:val="27"/>
      </w:numPr>
      <w:outlineLvl w:val="7"/>
    </w:pPr>
    <w:rPr>
      <w:sz w:val="32"/>
      <w:szCs w:val="21"/>
    </w:rPr>
  </w:style>
  <w:style w:type="paragraph" w:styleId="Heading9">
    <w:name w:val="heading 9"/>
    <w:basedOn w:val="Heading8"/>
    <w:next w:val="PwCNormal"/>
    <w:qFormat/>
    <w:rsid w:val="005C6E53"/>
    <w:pPr>
      <w:numPr>
        <w:ilvl w:val="0"/>
        <w:numId w:val="0"/>
      </w:numPr>
      <w:outlineLvl w:val="8"/>
    </w:pPr>
    <w:rPr>
      <w:b w:val="0"/>
      <w:i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60B4"/>
    <w:pPr>
      <w:tabs>
        <w:tab w:val="right" w:pos="7710"/>
      </w:tabs>
    </w:pPr>
    <w:rPr>
      <w:rFonts w:ascii="Arial" w:hAnsi="Arial"/>
      <w:color w:val="000000" w:themeColor="text1"/>
      <w:sz w:val="19"/>
      <w:szCs w:val="18"/>
    </w:rPr>
  </w:style>
  <w:style w:type="paragraph" w:styleId="Footer">
    <w:name w:val="footer"/>
    <w:basedOn w:val="Normal"/>
    <w:link w:val="FooterChar"/>
    <w:uiPriority w:val="99"/>
    <w:rsid w:val="007560B4"/>
    <w:pPr>
      <w:tabs>
        <w:tab w:val="right" w:pos="7710"/>
      </w:tabs>
      <w:spacing w:line="0" w:lineRule="atLeast"/>
    </w:pPr>
    <w:rPr>
      <w:rFonts w:ascii="Arial" w:hAnsi="Arial"/>
      <w:color w:val="000000" w:themeColor="text1"/>
      <w:sz w:val="19"/>
      <w:szCs w:val="18"/>
    </w:rPr>
  </w:style>
  <w:style w:type="paragraph" w:customStyle="1" w:styleId="TOCtitle">
    <w:name w:val="TOC title"/>
    <w:basedOn w:val="Heading2"/>
    <w:next w:val="PwCNormal"/>
    <w:unhideWhenUsed/>
    <w:rsid w:val="005E2460"/>
    <w:pPr>
      <w:numPr>
        <w:ilvl w:val="0"/>
        <w:numId w:val="0"/>
      </w:numPr>
      <w:spacing w:after="600"/>
    </w:pPr>
    <w:rPr>
      <w:color w:val="auto"/>
    </w:rPr>
  </w:style>
  <w:style w:type="paragraph" w:customStyle="1" w:styleId="Coverframetitle">
    <w:name w:val="Cover frame title"/>
    <w:basedOn w:val="Normal"/>
    <w:rsid w:val="00F26F10"/>
    <w:pPr>
      <w:framePr w:w="2154" w:h="227" w:wrap="notBeside" w:vAnchor="page" w:hAnchor="page" w:x="908" w:y="8414" w:anchorLock="1"/>
      <w:spacing w:before="200" w:after="160"/>
      <w:ind w:left="113"/>
    </w:pPr>
    <w:rPr>
      <w:rFonts w:asciiTheme="majorHAnsi" w:hAnsiTheme="majorHAnsi"/>
      <w:i/>
      <w:color w:val="000000"/>
    </w:rPr>
  </w:style>
  <w:style w:type="paragraph" w:customStyle="1" w:styleId="Coversubtitle">
    <w:name w:val="Cover subtitle"/>
    <w:basedOn w:val="Covertitle"/>
    <w:rsid w:val="00F26F10"/>
    <w:pPr>
      <w:framePr w:wrap="notBeside"/>
      <w:spacing w:before="180"/>
    </w:pPr>
    <w:rPr>
      <w:bCs/>
      <w:szCs w:val="64"/>
    </w:rPr>
  </w:style>
  <w:style w:type="paragraph" w:customStyle="1" w:styleId="AppendixNumberLong">
    <w:name w:val="Appendix Number (Long)"/>
    <w:basedOn w:val="Heading3"/>
    <w:next w:val="Heading3"/>
    <w:rsid w:val="00930AB8"/>
    <w:pPr>
      <w:keepNext/>
      <w:keepLines/>
      <w:pageBreakBefore/>
      <w:numPr>
        <w:ilvl w:val="5"/>
        <w:numId w:val="27"/>
      </w:numPr>
    </w:pPr>
    <w:rPr>
      <w:color w:val="000000" w:themeColor="text1"/>
    </w:rPr>
  </w:style>
  <w:style w:type="paragraph" w:customStyle="1" w:styleId="ChapterNumberLong">
    <w:name w:val="Chapter Number (Long)"/>
    <w:basedOn w:val="Heading1"/>
    <w:next w:val="Heading1"/>
    <w:rsid w:val="00930AB8"/>
    <w:pPr>
      <w:pageBreakBefore/>
      <w:numPr>
        <w:numId w:val="27"/>
      </w:numPr>
    </w:pPr>
  </w:style>
  <w:style w:type="paragraph" w:customStyle="1" w:styleId="Footer-Even">
    <w:name w:val="Footer - Even"/>
    <w:basedOn w:val="Footer"/>
    <w:rsid w:val="00B51CCB"/>
  </w:style>
  <w:style w:type="paragraph" w:customStyle="1" w:styleId="URL">
    <w:name w:val="URL"/>
    <w:basedOn w:val="PwCNormal"/>
    <w:next w:val="PwCNormal"/>
    <w:rsid w:val="0006127D"/>
    <w:pPr>
      <w:framePr w:w="4516" w:wrap="around" w:vAnchor="page" w:hAnchor="page" w:x="1022" w:y="826"/>
      <w:numPr>
        <w:numId w:val="0"/>
      </w:numPr>
      <w:spacing w:after="0"/>
    </w:pPr>
    <w:rPr>
      <w:rFonts w:eastAsia="+mn-ea"/>
      <w:noProof/>
      <w:snapToGrid/>
      <w:color w:val="FFFFFF"/>
      <w:sz w:val="36"/>
      <w:lang w:eastAsia="en-AU"/>
    </w:rPr>
  </w:style>
  <w:style w:type="paragraph" w:customStyle="1" w:styleId="Indent1">
    <w:name w:val="Indent 1"/>
    <w:basedOn w:val="Normal"/>
    <w:qFormat/>
    <w:rsid w:val="006C1EC2"/>
    <w:pPr>
      <w:numPr>
        <w:ilvl w:val="1"/>
        <w:numId w:val="28"/>
      </w:numPr>
      <w:spacing w:before="100" w:after="100"/>
    </w:pPr>
    <w:rPr>
      <w:rFonts w:cs="Times New Roman"/>
    </w:rPr>
  </w:style>
  <w:style w:type="paragraph" w:customStyle="1" w:styleId="Indent2">
    <w:name w:val="Indent 2"/>
    <w:basedOn w:val="Indent1"/>
    <w:rsid w:val="00931F8A"/>
    <w:pPr>
      <w:numPr>
        <w:ilvl w:val="2"/>
      </w:numPr>
    </w:pPr>
  </w:style>
  <w:style w:type="paragraph" w:customStyle="1" w:styleId="Indent3">
    <w:name w:val="Indent 3"/>
    <w:basedOn w:val="Indent2"/>
    <w:rsid w:val="00931F8A"/>
    <w:pPr>
      <w:numPr>
        <w:ilvl w:val="3"/>
      </w:numPr>
    </w:pPr>
  </w:style>
  <w:style w:type="paragraph" w:customStyle="1" w:styleId="Indent5">
    <w:name w:val="Indent 5"/>
    <w:basedOn w:val="Indent4"/>
    <w:rsid w:val="00931F8A"/>
    <w:pPr>
      <w:numPr>
        <w:ilvl w:val="5"/>
      </w:numPr>
    </w:pPr>
  </w:style>
  <w:style w:type="paragraph" w:customStyle="1" w:styleId="Indent6">
    <w:name w:val="Indent 6"/>
    <w:basedOn w:val="Indent5"/>
    <w:rsid w:val="00931F8A"/>
    <w:pPr>
      <w:numPr>
        <w:ilvl w:val="6"/>
      </w:numPr>
    </w:pPr>
  </w:style>
  <w:style w:type="paragraph" w:customStyle="1" w:styleId="Indent7">
    <w:name w:val="Indent 7"/>
    <w:basedOn w:val="Indent6"/>
    <w:rsid w:val="00931F8A"/>
    <w:pPr>
      <w:numPr>
        <w:ilvl w:val="7"/>
      </w:numPr>
    </w:pPr>
  </w:style>
  <w:style w:type="numbering" w:customStyle="1" w:styleId="Indents">
    <w:name w:val="Indents"/>
    <w:rsid w:val="00931F8A"/>
    <w:pPr>
      <w:numPr>
        <w:numId w:val="2"/>
      </w:numPr>
    </w:pPr>
  </w:style>
  <w:style w:type="paragraph" w:customStyle="1" w:styleId="Copyright">
    <w:name w:val="Copyright"/>
    <w:basedOn w:val="Normal"/>
    <w:rsid w:val="003A009A"/>
    <w:pPr>
      <w:framePr w:w="8836" w:wrap="around" w:vAnchor="page" w:hAnchor="page" w:x="1022" w:y="14721"/>
      <w:spacing w:before="150" w:after="150" w:line="150" w:lineRule="atLeast"/>
      <w:ind w:right="816"/>
    </w:pPr>
    <w:rPr>
      <w:rFonts w:ascii="Arial" w:hAnsi="Arial"/>
      <w:color w:val="FFFFFF"/>
      <w:sz w:val="16"/>
    </w:rPr>
  </w:style>
  <w:style w:type="paragraph" w:customStyle="1" w:styleId="Header-Even">
    <w:name w:val="Header - Even"/>
    <w:basedOn w:val="Header"/>
    <w:rsid w:val="00B51CCB"/>
  </w:style>
  <w:style w:type="paragraph" w:customStyle="1" w:styleId="PleaseNote">
    <w:name w:val="Please Note"/>
    <w:basedOn w:val="PrefaceTitle"/>
    <w:next w:val="PwCNormal"/>
    <w:rsid w:val="008D4477"/>
    <w:rPr>
      <w:iCs w:val="0"/>
    </w:rPr>
  </w:style>
  <w:style w:type="paragraph" w:customStyle="1" w:styleId="Indent4">
    <w:name w:val="Indent 4"/>
    <w:basedOn w:val="Indent3"/>
    <w:rsid w:val="00931F8A"/>
    <w:pPr>
      <w:numPr>
        <w:ilvl w:val="4"/>
      </w:numPr>
    </w:pPr>
  </w:style>
  <w:style w:type="paragraph" w:styleId="TOC2">
    <w:name w:val="toc 2"/>
    <w:basedOn w:val="TOC1"/>
    <w:next w:val="PwCNormal"/>
    <w:uiPriority w:val="39"/>
    <w:rsid w:val="00CB0402"/>
    <w:pPr>
      <w:numPr>
        <w:numId w:val="0"/>
      </w:numPr>
      <w:tabs>
        <w:tab w:val="clear" w:pos="8504"/>
        <w:tab w:val="left" w:pos="567"/>
        <w:tab w:val="right" w:pos="8505"/>
      </w:tabs>
      <w:ind w:left="567" w:hanging="567"/>
    </w:pPr>
  </w:style>
  <w:style w:type="paragraph" w:styleId="TOC4">
    <w:name w:val="toc 4"/>
    <w:basedOn w:val="TOC2"/>
    <w:next w:val="PwCNormal"/>
    <w:uiPriority w:val="39"/>
    <w:rsid w:val="00A14944"/>
    <w:pPr>
      <w:tabs>
        <w:tab w:val="clear" w:pos="567"/>
        <w:tab w:val="left" w:pos="1134"/>
      </w:tabs>
      <w:ind w:left="1134" w:hanging="1134"/>
    </w:pPr>
  </w:style>
  <w:style w:type="paragraph" w:styleId="TOC7">
    <w:name w:val="toc 7"/>
    <w:basedOn w:val="TOC6"/>
    <w:next w:val="PwCNormal"/>
    <w:uiPriority w:val="39"/>
    <w:rsid w:val="008D4477"/>
    <w:pPr>
      <w:tabs>
        <w:tab w:val="clear" w:pos="1134"/>
        <w:tab w:val="left" w:pos="1985"/>
      </w:tabs>
      <w:ind w:left="1985" w:hanging="851"/>
    </w:pPr>
  </w:style>
  <w:style w:type="paragraph" w:customStyle="1" w:styleId="KeySentenceInside">
    <w:name w:val="Key Sentence Inside"/>
    <w:basedOn w:val="KeySentence"/>
    <w:rsid w:val="006650EF"/>
    <w:pPr>
      <w:framePr w:w="2296" w:wrap="notBeside" w:vAnchor="text" w:hAnchor="margin" w:x="-2521" w:y="1" w:anchorLock="1"/>
    </w:pPr>
  </w:style>
  <w:style w:type="paragraph" w:customStyle="1" w:styleId="ChapterNumberedList1">
    <w:name w:val="Chapter Numbered List 1"/>
    <w:basedOn w:val="PwCNormal"/>
    <w:rsid w:val="00930AB8"/>
    <w:pPr>
      <w:numPr>
        <w:ilvl w:val="7"/>
        <w:numId w:val="27"/>
      </w:numPr>
    </w:pPr>
  </w:style>
  <w:style w:type="paragraph" w:customStyle="1" w:styleId="ChapterNumberedList2">
    <w:name w:val="Chapter Numbered List 2"/>
    <w:basedOn w:val="ChapterNumberedList1"/>
    <w:rsid w:val="00F614AA"/>
    <w:pPr>
      <w:numPr>
        <w:ilvl w:val="8"/>
      </w:numPr>
    </w:pPr>
  </w:style>
  <w:style w:type="paragraph" w:styleId="TOC6">
    <w:name w:val="toc 6"/>
    <w:basedOn w:val="TOC2"/>
    <w:next w:val="PwCNormal"/>
    <w:uiPriority w:val="39"/>
    <w:rsid w:val="008D4477"/>
    <w:pPr>
      <w:tabs>
        <w:tab w:val="clear" w:pos="567"/>
        <w:tab w:val="left" w:pos="1134"/>
      </w:tabs>
      <w:ind w:left="1134"/>
    </w:pPr>
  </w:style>
  <w:style w:type="paragraph" w:customStyle="1" w:styleId="PwCNormal">
    <w:name w:val="PwC Normal"/>
    <w:aliases w:val="n,majNormal,note(text),cv teC Normal,note(text) + +Headings (Georgia),9 pt,Before:  3 pt,After:  3...,rmal"/>
    <w:basedOn w:val="Normal"/>
    <w:link w:val="PwCNormalChar"/>
    <w:qFormat/>
    <w:rsid w:val="00126AFF"/>
    <w:pPr>
      <w:numPr>
        <w:numId w:val="28"/>
      </w:numPr>
      <w:spacing w:after="240"/>
    </w:pPr>
  </w:style>
  <w:style w:type="paragraph" w:customStyle="1" w:styleId="CoverDate">
    <w:name w:val="Cover Date"/>
    <w:basedOn w:val="Coversubtitle"/>
    <w:rsid w:val="00F26F10"/>
    <w:pPr>
      <w:framePr w:wrap="notBeside"/>
    </w:pPr>
  </w:style>
  <w:style w:type="paragraph" w:customStyle="1" w:styleId="KeySentenceOutside">
    <w:name w:val="Key Sentence Outside"/>
    <w:basedOn w:val="KeySentence"/>
    <w:rsid w:val="002627A5"/>
    <w:pPr>
      <w:framePr w:w="2410" w:wrap="around" w:vAnchor="text" w:hAnchor="margin" w:x="7909" w:y="1" w:anchorLock="1"/>
    </w:pPr>
  </w:style>
  <w:style w:type="character" w:customStyle="1" w:styleId="PwCNormalChar">
    <w:name w:val="PwC Normal Char"/>
    <w:aliases w:val="n Char Char,n Char,majNormal Char,note(text) Char,cv teC Normal Char,note(text) + +Headings (Georgia) Char,9 pt Char,Before:  3 pt Char,After:  3... Char"/>
    <w:basedOn w:val="DefaultParagraphFont"/>
    <w:link w:val="PwCNormal"/>
    <w:rsid w:val="00126AFF"/>
    <w:rPr>
      <w:rFonts w:cs="Arial"/>
      <w:snapToGrid w:val="0"/>
      <w:lang w:eastAsia="en-US"/>
    </w:rPr>
  </w:style>
  <w:style w:type="paragraph" w:styleId="TOC1">
    <w:name w:val="toc 1"/>
    <w:basedOn w:val="Normal"/>
    <w:next w:val="PwCNormal"/>
    <w:rsid w:val="001D29AE"/>
    <w:pPr>
      <w:numPr>
        <w:numId w:val="24"/>
      </w:numPr>
      <w:tabs>
        <w:tab w:val="left" w:pos="567"/>
        <w:tab w:val="right" w:pos="8504"/>
      </w:tabs>
      <w:spacing w:before="240" w:after="240" w:line="240" w:lineRule="atLeast"/>
      <w:ind w:right="851"/>
    </w:pPr>
  </w:style>
  <w:style w:type="paragraph" w:customStyle="1" w:styleId="CREATISID">
    <w:name w:val="CREATISID"/>
    <w:basedOn w:val="PwCNormal"/>
    <w:unhideWhenUsed/>
    <w:rsid w:val="008D4477"/>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21094E"/>
    <w:pPr>
      <w:numPr>
        <w:numId w:val="1"/>
      </w:numPr>
    </w:pPr>
  </w:style>
  <w:style w:type="paragraph" w:customStyle="1" w:styleId="Footer-Landscape">
    <w:name w:val="Footer - Landscape"/>
    <w:basedOn w:val="Footer"/>
    <w:rsid w:val="008D4477"/>
    <w:pPr>
      <w:tabs>
        <w:tab w:val="clear" w:pos="7710"/>
        <w:tab w:val="right" w:pos="13465"/>
      </w:tabs>
    </w:pPr>
  </w:style>
  <w:style w:type="paragraph" w:customStyle="1" w:styleId="TableBullet1Normal">
    <w:name w:val="Table Bullet 1 Normal"/>
    <w:basedOn w:val="TableTextNormal"/>
    <w:rsid w:val="00317710"/>
    <w:pPr>
      <w:numPr>
        <w:numId w:val="6"/>
      </w:numPr>
      <w:spacing w:before="40" w:after="40"/>
    </w:pPr>
  </w:style>
  <w:style w:type="paragraph" w:customStyle="1" w:styleId="TableTextNormal">
    <w:name w:val="Table Text Normal"/>
    <w:basedOn w:val="Normal"/>
    <w:rsid w:val="00053B82"/>
    <w:pPr>
      <w:spacing w:before="80" w:after="80"/>
    </w:pPr>
  </w:style>
  <w:style w:type="paragraph" w:customStyle="1" w:styleId="TableBullet1Small">
    <w:name w:val="Table Bullet 1 Small"/>
    <w:basedOn w:val="TableTextSmall"/>
    <w:rsid w:val="00317710"/>
    <w:pPr>
      <w:numPr>
        <w:numId w:val="7"/>
      </w:numPr>
      <w:spacing w:before="20" w:after="20"/>
    </w:pPr>
  </w:style>
  <w:style w:type="paragraph" w:customStyle="1" w:styleId="TableTextSmall">
    <w:name w:val="Table Text Small"/>
    <w:basedOn w:val="Normal"/>
    <w:rsid w:val="00020F7F"/>
    <w:pPr>
      <w:spacing w:before="40" w:after="40"/>
    </w:pPr>
    <w:rPr>
      <w:rFonts w:ascii="Arial" w:hAnsi="Arial"/>
      <w:sz w:val="16"/>
      <w:szCs w:val="18"/>
    </w:rPr>
  </w:style>
  <w:style w:type="paragraph" w:customStyle="1" w:styleId="TableBullet3Normal">
    <w:name w:val="Table Bullet 3 Normal"/>
    <w:basedOn w:val="TableBullet2Normal"/>
    <w:rsid w:val="008D4477"/>
    <w:pPr>
      <w:numPr>
        <w:ilvl w:val="2"/>
      </w:numPr>
    </w:pPr>
  </w:style>
  <w:style w:type="paragraph" w:customStyle="1" w:styleId="TableBullet3Small">
    <w:name w:val="Table Bullet 3 Small"/>
    <w:basedOn w:val="TableBullet2Small"/>
    <w:rsid w:val="008D4477"/>
    <w:pPr>
      <w:numPr>
        <w:ilvl w:val="2"/>
      </w:numPr>
    </w:pPr>
    <w:rPr>
      <w:szCs w:val="16"/>
    </w:rPr>
  </w:style>
  <w:style w:type="paragraph" w:customStyle="1" w:styleId="BlockText2">
    <w:name w:val="Block Text 2"/>
    <w:basedOn w:val="Normal"/>
    <w:qFormat/>
    <w:rsid w:val="0071186F"/>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kinsoku/>
      <w:overflowPunct/>
      <w:autoSpaceDE/>
      <w:autoSpaceDN/>
      <w:adjustRightInd/>
      <w:snapToGrid/>
      <w:spacing w:after="240"/>
      <w:ind w:left="227" w:right="227"/>
    </w:pPr>
    <w:rPr>
      <w:rFonts w:eastAsiaTheme="minorHAnsi" w:cstheme="minorBidi"/>
      <w:i/>
      <w:snapToGrid/>
      <w:color w:val="FFFFFF" w:themeColor="background2"/>
      <w:sz w:val="48"/>
      <w:szCs w:val="48"/>
      <w:lang w:val="en-GB"/>
    </w:rPr>
  </w:style>
  <w:style w:type="paragraph" w:customStyle="1" w:styleId="Appendix">
    <w:name w:val="Appendix"/>
    <w:basedOn w:val="Heading1"/>
    <w:next w:val="Normal"/>
    <w:uiPriority w:val="99"/>
    <w:qFormat/>
    <w:rsid w:val="0071186F"/>
    <w:pPr>
      <w:keepNext/>
      <w:keepLines/>
      <w:numPr>
        <w:numId w:val="12"/>
      </w:numPr>
      <w:kinsoku/>
      <w:overflowPunct/>
      <w:autoSpaceDE/>
      <w:autoSpaceDN/>
      <w:adjustRightInd/>
      <w:snapToGrid/>
      <w:spacing w:after="480" w:line="600" w:lineRule="atLeast"/>
    </w:pPr>
    <w:rPr>
      <w:rFonts w:eastAsiaTheme="majorEastAsia" w:cstheme="majorBidi"/>
      <w:snapToGrid/>
      <w:szCs w:val="28"/>
      <w:lang w:val="en-GB"/>
    </w:rPr>
  </w:style>
  <w:style w:type="numbering" w:customStyle="1" w:styleId="PwCAppendixList1">
    <w:name w:val="PwC Appendix List 1"/>
    <w:uiPriority w:val="99"/>
    <w:rsid w:val="0071186F"/>
    <w:pPr>
      <w:numPr>
        <w:numId w:val="11"/>
      </w:numPr>
    </w:pPr>
  </w:style>
  <w:style w:type="paragraph" w:styleId="Caption">
    <w:name w:val="caption"/>
    <w:aliases w:val="Text Caption"/>
    <w:basedOn w:val="Normal"/>
    <w:next w:val="Normal"/>
    <w:unhideWhenUsed/>
    <w:qFormat/>
    <w:rsid w:val="004C7A29"/>
    <w:pPr>
      <w:keepNext/>
      <w:keepLines/>
      <w:tabs>
        <w:tab w:val="left" w:pos="992"/>
      </w:tabs>
      <w:spacing w:before="240" w:after="120"/>
      <w:ind w:left="992" w:hanging="992"/>
    </w:pPr>
    <w:rPr>
      <w:rFonts w:asciiTheme="majorHAnsi" w:hAnsiTheme="majorHAnsi"/>
      <w:b/>
      <w:bCs/>
      <w:color w:val="A32020" w:themeColor="text2"/>
      <w:szCs w:val="18"/>
    </w:rPr>
  </w:style>
  <w:style w:type="paragraph" w:customStyle="1" w:styleId="Majorheading">
    <w:name w:val="Major heading"/>
    <w:basedOn w:val="Normal"/>
    <w:next w:val="PwCNormal"/>
    <w:rsid w:val="0095290F"/>
    <w:pPr>
      <w:keepNext/>
      <w:keepLines/>
      <w:spacing w:before="240" w:after="40"/>
    </w:pPr>
    <w:rPr>
      <w:rFonts w:asciiTheme="majorHAnsi" w:hAnsiTheme="majorHAnsi"/>
      <w:b/>
      <w:i/>
      <w:color w:val="A32020" w:themeColor="text2"/>
      <w:sz w:val="28"/>
      <w:szCs w:val="24"/>
    </w:rPr>
  </w:style>
  <w:style w:type="numbering" w:customStyle="1" w:styleId="TableBulletNormalList">
    <w:name w:val="Table Bullet Normal List"/>
    <w:rsid w:val="0021094E"/>
  </w:style>
  <w:style w:type="paragraph" w:customStyle="1" w:styleId="Disclaimer">
    <w:name w:val="Disclaimer"/>
    <w:basedOn w:val="Normal"/>
    <w:unhideWhenUsed/>
    <w:rsid w:val="00F03ACC"/>
    <w:pPr>
      <w:spacing w:after="140"/>
    </w:pPr>
    <w:rPr>
      <w:rFonts w:ascii="Arial" w:hAnsi="Arial"/>
      <w:sz w:val="15"/>
    </w:rPr>
  </w:style>
  <w:style w:type="paragraph" w:customStyle="1" w:styleId="Footer-LandscapeEven">
    <w:name w:val="Footer - Landscape Even"/>
    <w:basedOn w:val="Footer-Landscape"/>
    <w:rsid w:val="008D4477"/>
  </w:style>
  <w:style w:type="paragraph" w:customStyle="1" w:styleId="PwCNormal-Single">
    <w:name w:val="PwC Normal - Single"/>
    <w:basedOn w:val="PwCNormal"/>
    <w:rsid w:val="00126AFF"/>
    <w:pPr>
      <w:numPr>
        <w:numId w:val="0"/>
      </w:numPr>
      <w:spacing w:after="0"/>
    </w:pPr>
  </w:style>
  <w:style w:type="numbering" w:customStyle="1" w:styleId="TableNumberdListNormal">
    <w:name w:val="Table Numberd List Normal"/>
    <w:uiPriority w:val="99"/>
    <w:rsid w:val="00EA47AB"/>
    <w:pPr>
      <w:numPr>
        <w:numId w:val="14"/>
      </w:numPr>
    </w:pPr>
  </w:style>
  <w:style w:type="numbering" w:customStyle="1" w:styleId="TableNumberedListSmall">
    <w:name w:val="Table Numbered List Small"/>
    <w:uiPriority w:val="99"/>
    <w:rsid w:val="00EA47AB"/>
    <w:pPr>
      <w:numPr>
        <w:numId w:val="16"/>
      </w:numPr>
    </w:pPr>
  </w:style>
  <w:style w:type="paragraph" w:customStyle="1" w:styleId="TableIndent2Normal">
    <w:name w:val="Table Indent 2 Normal"/>
    <w:basedOn w:val="TableIndent1Normal"/>
    <w:rsid w:val="008D4477"/>
    <w:pPr>
      <w:ind w:left="567"/>
    </w:pPr>
  </w:style>
  <w:style w:type="paragraph" w:customStyle="1" w:styleId="TableIndent2Small">
    <w:name w:val="Table Indent 2 Small"/>
    <w:basedOn w:val="TableIndent1Small"/>
    <w:rsid w:val="00461AF8"/>
    <w:pPr>
      <w:ind w:left="567"/>
    </w:pPr>
    <w:rPr>
      <w:szCs w:val="16"/>
    </w:rPr>
  </w:style>
  <w:style w:type="paragraph" w:customStyle="1" w:styleId="KeySentence">
    <w:name w:val="Key Sentence"/>
    <w:basedOn w:val="Normal"/>
    <w:rsid w:val="00A86844"/>
    <w:pPr>
      <w:spacing w:after="160" w:line="260" w:lineRule="atLeast"/>
    </w:pPr>
    <w:rPr>
      <w:i/>
      <w:color w:val="A32020" w:themeColor="text2"/>
      <w:sz w:val="16"/>
      <w:szCs w:val="18"/>
    </w:rPr>
  </w:style>
  <w:style w:type="numbering" w:customStyle="1" w:styleId="TableNumberedListS">
    <w:name w:val="Table Numbered List S"/>
    <w:rsid w:val="008D4477"/>
  </w:style>
  <w:style w:type="paragraph" w:customStyle="1" w:styleId="PrefaceTitle">
    <w:name w:val="Preface Title"/>
    <w:basedOn w:val="Heading2"/>
    <w:next w:val="PwCNormal"/>
    <w:rsid w:val="00C75673"/>
    <w:pPr>
      <w:numPr>
        <w:ilvl w:val="0"/>
        <w:numId w:val="0"/>
      </w:numPr>
    </w:pPr>
  </w:style>
  <w:style w:type="paragraph" w:customStyle="1" w:styleId="Sources">
    <w:name w:val="Sources"/>
    <w:basedOn w:val="Normal"/>
    <w:next w:val="PwCNormal"/>
    <w:rsid w:val="006742E0"/>
    <w:pPr>
      <w:spacing w:before="80" w:after="240" w:line="180" w:lineRule="atLeast"/>
    </w:pPr>
    <w:rPr>
      <w:color w:val="A32020" w:themeColor="text2"/>
      <w:sz w:val="16"/>
    </w:rPr>
  </w:style>
  <w:style w:type="paragraph" w:customStyle="1" w:styleId="Minorheading">
    <w:name w:val="Minor heading"/>
    <w:basedOn w:val="Majorheading"/>
    <w:next w:val="PwCNormal"/>
    <w:rsid w:val="003C52DC"/>
    <w:pPr>
      <w:spacing w:line="180" w:lineRule="atLeast"/>
    </w:pPr>
    <w:rPr>
      <w:b w:val="0"/>
      <w:sz w:val="26"/>
    </w:rPr>
  </w:style>
  <w:style w:type="paragraph" w:customStyle="1" w:styleId="Minorheading2">
    <w:name w:val="Minor heading 2"/>
    <w:basedOn w:val="Minorheading"/>
    <w:next w:val="PwCNormal"/>
    <w:rsid w:val="00D657FC"/>
    <w:pPr>
      <w:spacing w:line="240" w:lineRule="atLeast"/>
    </w:pPr>
    <w:rPr>
      <w:b/>
      <w:i w:val="0"/>
      <w:sz w:val="20"/>
    </w:rPr>
  </w:style>
  <w:style w:type="numbering" w:customStyle="1" w:styleId="PwCListNumbers1">
    <w:name w:val="PwC List Numbers 1"/>
    <w:uiPriority w:val="99"/>
    <w:rsid w:val="0071186F"/>
    <w:pPr>
      <w:numPr>
        <w:numId w:val="13"/>
      </w:numPr>
    </w:pPr>
  </w:style>
  <w:style w:type="paragraph" w:customStyle="1" w:styleId="BlockText3">
    <w:name w:val="Block Text 3"/>
    <w:basedOn w:val="BlockText"/>
    <w:qFormat/>
    <w:rsid w:val="0071186F"/>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kinsoku/>
      <w:overflowPunct/>
      <w:autoSpaceDE/>
      <w:autoSpaceDN/>
      <w:adjustRightInd/>
      <w:snapToGrid/>
      <w:ind w:left="227" w:right="227"/>
    </w:pPr>
    <w:rPr>
      <w:snapToGrid/>
      <w:sz w:val="96"/>
      <w:lang w:val="en-GB"/>
    </w:rPr>
  </w:style>
  <w:style w:type="paragraph" w:customStyle="1" w:styleId="TableBullet2Normal">
    <w:name w:val="Table Bullet 2 Normal"/>
    <w:basedOn w:val="TableBullet1Normal"/>
    <w:rsid w:val="008D4477"/>
    <w:pPr>
      <w:numPr>
        <w:ilvl w:val="1"/>
      </w:numPr>
    </w:pPr>
  </w:style>
  <w:style w:type="paragraph" w:customStyle="1" w:styleId="TableBullet2Small">
    <w:name w:val="Table Bullet 2 Small"/>
    <w:basedOn w:val="TableBullet1Small"/>
    <w:rsid w:val="008D4477"/>
    <w:pPr>
      <w:numPr>
        <w:ilvl w:val="1"/>
      </w:numPr>
    </w:pPr>
  </w:style>
  <w:style w:type="paragraph" w:customStyle="1" w:styleId="TableIndent1Normal">
    <w:name w:val="Table Indent 1 Normal"/>
    <w:basedOn w:val="TableBullet1Normal"/>
    <w:rsid w:val="008D4477"/>
    <w:pPr>
      <w:numPr>
        <w:numId w:val="0"/>
      </w:numPr>
      <w:ind w:left="284"/>
    </w:pPr>
  </w:style>
  <w:style w:type="paragraph" w:customStyle="1" w:styleId="TableIndent1Small">
    <w:name w:val="Table Indent 1 Small"/>
    <w:basedOn w:val="TableBullet1Small"/>
    <w:rsid w:val="00461AF8"/>
    <w:pPr>
      <w:numPr>
        <w:numId w:val="0"/>
      </w:numPr>
      <w:ind w:left="284"/>
    </w:pPr>
  </w:style>
  <w:style w:type="paragraph" w:customStyle="1" w:styleId="SubHeading">
    <w:name w:val="Sub Heading"/>
    <w:basedOn w:val="PwCNormal"/>
    <w:rsid w:val="00930AB8"/>
    <w:pPr>
      <w:spacing w:after="480" w:line="600" w:lineRule="atLeast"/>
    </w:pPr>
    <w:rPr>
      <w:sz w:val="56"/>
    </w:rPr>
  </w:style>
  <w:style w:type="paragraph" w:styleId="FootnoteText">
    <w:name w:val="footnote text"/>
    <w:basedOn w:val="Normal"/>
    <w:link w:val="FootnoteTextChar"/>
    <w:uiPriority w:val="99"/>
    <w:rsid w:val="005F07CE"/>
    <w:pPr>
      <w:tabs>
        <w:tab w:val="left" w:pos="284"/>
      </w:tabs>
      <w:spacing w:before="80" w:after="80"/>
      <w:ind w:left="227" w:hanging="227"/>
    </w:pPr>
    <w:rPr>
      <w:sz w:val="14"/>
    </w:rPr>
  </w:style>
  <w:style w:type="character" w:styleId="FootnoteReference">
    <w:name w:val="footnote reference"/>
    <w:basedOn w:val="DefaultParagraphFont"/>
    <w:uiPriority w:val="99"/>
    <w:rsid w:val="00317710"/>
    <w:rPr>
      <w:rFonts w:cs="Arial"/>
      <w:sz w:val="21"/>
      <w:vertAlign w:val="superscript"/>
    </w:rPr>
  </w:style>
  <w:style w:type="character" w:styleId="EndnoteReference">
    <w:name w:val="endnote reference"/>
    <w:basedOn w:val="DefaultParagraphFont"/>
    <w:semiHidden/>
    <w:unhideWhenUsed/>
    <w:rsid w:val="008D4477"/>
    <w:rPr>
      <w:rFonts w:ascii="Arial" w:hAnsi="Arial" w:cs="Arial"/>
      <w:sz w:val="21"/>
      <w:vertAlign w:val="superscript"/>
    </w:rPr>
  </w:style>
  <w:style w:type="paragraph" w:styleId="EndnoteText">
    <w:name w:val="endnote text"/>
    <w:basedOn w:val="FootnoteText"/>
    <w:semiHidden/>
    <w:unhideWhenUsed/>
    <w:rsid w:val="008D4477"/>
  </w:style>
  <w:style w:type="paragraph" w:customStyle="1" w:styleId="Address">
    <w:name w:val="Address"/>
    <w:basedOn w:val="Normal"/>
    <w:qFormat/>
    <w:rsid w:val="009231BC"/>
    <w:pPr>
      <w:kinsoku/>
      <w:overflowPunct/>
      <w:autoSpaceDE/>
      <w:autoSpaceDN/>
      <w:adjustRightInd/>
      <w:snapToGrid/>
      <w:spacing w:line="200" w:lineRule="atLeast"/>
    </w:pPr>
    <w:rPr>
      <w:rFonts w:eastAsiaTheme="minorHAnsi" w:cstheme="minorBidi"/>
      <w:i/>
      <w:noProof/>
      <w:snapToGrid/>
      <w:sz w:val="18"/>
      <w:szCs w:val="22"/>
      <w:lang w:val="en-GB" w:eastAsia="en-GB"/>
    </w:rPr>
  </w:style>
  <w:style w:type="table" w:styleId="TableGrid">
    <w:name w:val="Table Grid"/>
    <w:basedOn w:val="TableNormal"/>
    <w:locked/>
    <w:rsid w:val="008D4477"/>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PwCNormal"/>
    <w:rsid w:val="008D4477"/>
    <w:pPr>
      <w:numPr>
        <w:ilvl w:val="2"/>
      </w:numPr>
    </w:pPr>
  </w:style>
  <w:style w:type="paragraph" w:styleId="TOC5">
    <w:name w:val="toc 5"/>
    <w:basedOn w:val="TOC2"/>
    <w:next w:val="PwCNormal"/>
    <w:rsid w:val="008D4477"/>
  </w:style>
  <w:style w:type="paragraph" w:styleId="TOC8">
    <w:name w:val="toc 8"/>
    <w:basedOn w:val="TOC7"/>
    <w:next w:val="PwCNormal"/>
    <w:rsid w:val="008D4477"/>
    <w:pPr>
      <w:tabs>
        <w:tab w:val="clear" w:pos="1985"/>
        <w:tab w:val="left" w:pos="3402"/>
      </w:tabs>
      <w:ind w:left="3403"/>
    </w:pPr>
  </w:style>
  <w:style w:type="paragraph" w:styleId="TOC9">
    <w:name w:val="toc 9"/>
    <w:basedOn w:val="TOC8"/>
    <w:next w:val="PwCNormal"/>
    <w:uiPriority w:val="39"/>
    <w:rsid w:val="008D4477"/>
    <w:pPr>
      <w:tabs>
        <w:tab w:val="clear" w:pos="3402"/>
        <w:tab w:val="left" w:pos="4253"/>
      </w:tabs>
      <w:ind w:left="4253"/>
    </w:pPr>
  </w:style>
  <w:style w:type="paragraph" w:customStyle="1" w:styleId="Separator">
    <w:name w:val="Separator"/>
    <w:basedOn w:val="Normal"/>
    <w:semiHidden/>
    <w:rsid w:val="008D4477"/>
    <w:pPr>
      <w:spacing w:before="240" w:after="120"/>
    </w:pPr>
    <w:rPr>
      <w:sz w:val="16"/>
    </w:rPr>
  </w:style>
  <w:style w:type="numbering" w:customStyle="1" w:styleId="TableNumberedListN">
    <w:name w:val="Table Numbered List N"/>
    <w:rsid w:val="008D4477"/>
  </w:style>
  <w:style w:type="paragraph" w:customStyle="1" w:styleId="TableColumnHeadingNormal">
    <w:name w:val="Table Column Heading Normal"/>
    <w:basedOn w:val="TableTextNormal"/>
    <w:rsid w:val="000B319E"/>
    <w:pPr>
      <w:keepNext/>
      <w:keepLines/>
    </w:pPr>
    <w:rPr>
      <w:b/>
      <w:color w:val="A32020" w:themeColor="text2"/>
    </w:rPr>
  </w:style>
  <w:style w:type="paragraph" w:customStyle="1" w:styleId="TableColumnHeadingSmall">
    <w:name w:val="Table Column Heading Small"/>
    <w:basedOn w:val="TableTextSmall"/>
    <w:next w:val="TableTextSmall"/>
    <w:rsid w:val="00053B82"/>
    <w:pPr>
      <w:keepNext/>
      <w:keepLines/>
    </w:pPr>
    <w:rPr>
      <w:b/>
      <w:color w:val="A32020" w:themeColor="text2"/>
      <w:szCs w:val="16"/>
    </w:rPr>
  </w:style>
  <w:style w:type="numbering" w:customStyle="1" w:styleId="TableBulletSmallList">
    <w:name w:val="Table Bullet Small List"/>
    <w:rsid w:val="0021094E"/>
    <w:pPr>
      <w:numPr>
        <w:numId w:val="3"/>
      </w:numPr>
    </w:pPr>
  </w:style>
  <w:style w:type="paragraph" w:customStyle="1" w:styleId="Header-Landscape">
    <w:name w:val="Header - Landscape"/>
    <w:basedOn w:val="Header"/>
    <w:rsid w:val="008D4477"/>
    <w:pPr>
      <w:tabs>
        <w:tab w:val="clear" w:pos="7710"/>
        <w:tab w:val="right" w:pos="13465"/>
      </w:tabs>
    </w:pPr>
  </w:style>
  <w:style w:type="character" w:styleId="PageNumber">
    <w:name w:val="page number"/>
    <w:semiHidden/>
    <w:unhideWhenUsed/>
    <w:rsid w:val="008D4477"/>
  </w:style>
  <w:style w:type="paragraph" w:styleId="Date">
    <w:name w:val="Date"/>
    <w:basedOn w:val="Normal"/>
    <w:next w:val="PwCNormal"/>
    <w:semiHidden/>
    <w:rsid w:val="008D4477"/>
  </w:style>
  <w:style w:type="paragraph" w:customStyle="1" w:styleId="Indent8">
    <w:name w:val="Indent 8"/>
    <w:basedOn w:val="Indent7"/>
    <w:rsid w:val="00931F8A"/>
    <w:pPr>
      <w:numPr>
        <w:ilvl w:val="8"/>
      </w:numPr>
    </w:pPr>
  </w:style>
  <w:style w:type="paragraph" w:customStyle="1" w:styleId="Header-LandscapeEven">
    <w:name w:val="Header - Landscape Even"/>
    <w:basedOn w:val="Header-Landscape"/>
    <w:rsid w:val="008D4477"/>
    <w:pPr>
      <w:tabs>
        <w:tab w:val="right" w:pos="14661"/>
      </w:tabs>
    </w:pPr>
  </w:style>
  <w:style w:type="paragraph" w:customStyle="1" w:styleId="Footer-ToC">
    <w:name w:val="Footer - ToC"/>
    <w:basedOn w:val="Footer"/>
    <w:rsid w:val="0064358E"/>
  </w:style>
  <w:style w:type="paragraph" w:customStyle="1" w:styleId="Footer-ToCEven">
    <w:name w:val="Footer - ToC Even"/>
    <w:basedOn w:val="Footer-ToC"/>
    <w:rsid w:val="00BB4286"/>
  </w:style>
  <w:style w:type="table" w:customStyle="1" w:styleId="Tables-APBase">
    <w:name w:val="Tables - AP Base"/>
    <w:basedOn w:val="TableNormal"/>
    <w:rsid w:val="00A87947"/>
    <w:tblPr>
      <w:tblStyleRowBandSize w:val="1"/>
      <w:tblStyleColBandSize w:val="1"/>
      <w:tblBorders>
        <w:top w:val="single" w:sz="4" w:space="0" w:color="FFFFFF"/>
        <w:left w:val="single" w:sz="4" w:space="0" w:color="FFFFFF"/>
        <w:bottom w:val="single" w:sz="6" w:space="0" w:color="A32020" w:themeColor="text2"/>
        <w:right w:val="single" w:sz="4" w:space="0" w:color="FFFFFF"/>
        <w:insideH w:val="dotted" w:sz="8" w:space="0" w:color="A32020"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A32020" w:themeColor="text2"/>
          <w:bottom w:val="single" w:sz="4" w:space="0" w:color="A32020" w:themeColor="text2"/>
        </w:tcBorders>
      </w:tcPr>
    </w:tblStylePr>
    <w:tblStylePr w:type="lastRow">
      <w:rPr>
        <w:color w:val="auto"/>
      </w:rPr>
      <w:tblPr/>
      <w:tcPr>
        <w:tcBorders>
          <w:top w:val="single" w:sz="4" w:space="0" w:color="A32020"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CVText"/>
    <w:rsid w:val="00C70AB2"/>
    <w:pPr>
      <w:pBdr>
        <w:bottom w:val="none" w:sz="0" w:space="0" w:color="00457C"/>
      </w:pBdr>
    </w:pPr>
    <w:rPr>
      <w:i/>
      <w:color w:val="A32020" w:themeColor="text2"/>
      <w:sz w:val="24"/>
      <w:szCs w:val="24"/>
    </w:rPr>
  </w:style>
  <w:style w:type="paragraph" w:customStyle="1" w:styleId="ListBullet1">
    <w:name w:val="List Bullet 1"/>
    <w:basedOn w:val="Normal"/>
    <w:semiHidden/>
    <w:locked/>
    <w:rsid w:val="006C1EC2"/>
    <w:pPr>
      <w:tabs>
        <w:tab w:val="num" w:pos="720"/>
      </w:tabs>
      <w:spacing w:before="100" w:after="100"/>
      <w:ind w:left="720" w:hanging="720"/>
    </w:pPr>
  </w:style>
  <w:style w:type="paragraph" w:styleId="ListBullet2">
    <w:name w:val="List Bullet 2"/>
    <w:basedOn w:val="ListBullet1"/>
    <w:uiPriority w:val="99"/>
    <w:qFormat/>
    <w:locked/>
    <w:rsid w:val="00CC25DA"/>
    <w:pPr>
      <w:numPr>
        <w:ilvl w:val="1"/>
        <w:numId w:val="5"/>
      </w:numPr>
      <w:spacing w:before="0" w:after="240"/>
    </w:pPr>
  </w:style>
  <w:style w:type="paragraph" w:styleId="ListBullet4">
    <w:name w:val="List Bullet 4"/>
    <w:basedOn w:val="ListBullet3"/>
    <w:uiPriority w:val="99"/>
    <w:unhideWhenUsed/>
    <w:locked/>
    <w:rsid w:val="00F614AA"/>
    <w:pPr>
      <w:numPr>
        <w:ilvl w:val="3"/>
      </w:numPr>
    </w:pPr>
  </w:style>
  <w:style w:type="paragraph" w:customStyle="1" w:styleId="CVBullet1">
    <w:name w:val="CV Bullet 1"/>
    <w:basedOn w:val="CVText"/>
    <w:rsid w:val="00C72147"/>
    <w:pPr>
      <w:numPr>
        <w:numId w:val="10"/>
      </w:numPr>
      <w:spacing w:before="40" w:after="40"/>
    </w:pPr>
  </w:style>
  <w:style w:type="paragraph" w:customStyle="1" w:styleId="CVDetails">
    <w:name w:val="CV Details"/>
    <w:basedOn w:val="CVRoleTitle"/>
    <w:rsid w:val="001226BE"/>
    <w:pPr>
      <w:spacing w:before="120" w:after="40"/>
    </w:pPr>
    <w:rPr>
      <w:sz w:val="14"/>
    </w:rPr>
  </w:style>
  <w:style w:type="paragraph" w:customStyle="1" w:styleId="CVHeading2">
    <w:name w:val="CV Heading 2"/>
    <w:basedOn w:val="CVHeading1"/>
    <w:next w:val="CVText"/>
    <w:rsid w:val="00EF71C9"/>
    <w:pPr>
      <w:pBdr>
        <w:bottom w:val="none" w:sz="0" w:space="0" w:color="00457C"/>
      </w:pBdr>
    </w:pPr>
    <w:rPr>
      <w:b w:val="0"/>
      <w:sz w:val="18"/>
      <w:szCs w:val="24"/>
    </w:rPr>
  </w:style>
  <w:style w:type="paragraph" w:styleId="ListBullet3">
    <w:name w:val="List Bullet 3"/>
    <w:basedOn w:val="ListBullet2"/>
    <w:uiPriority w:val="99"/>
    <w:qFormat/>
    <w:locked/>
    <w:rsid w:val="00CC25DA"/>
    <w:pPr>
      <w:numPr>
        <w:ilvl w:val="2"/>
      </w:numPr>
    </w:pPr>
  </w:style>
  <w:style w:type="paragraph" w:customStyle="1" w:styleId="CVHeading1">
    <w:name w:val="CV Heading 1"/>
    <w:basedOn w:val="CVText"/>
    <w:next w:val="CVText"/>
    <w:rsid w:val="00C70AB2"/>
    <w:pPr>
      <w:keepNext/>
      <w:keepLines/>
      <w:spacing w:before="120"/>
    </w:pPr>
    <w:rPr>
      <w:b/>
      <w:i/>
      <w:color w:val="A32020" w:themeColor="text2"/>
    </w:rPr>
  </w:style>
  <w:style w:type="paragraph" w:customStyle="1" w:styleId="CVPhoto">
    <w:name w:val="CV Photo"/>
    <w:basedOn w:val="CVHeading2"/>
    <w:rsid w:val="00C70AB2"/>
    <w:rPr>
      <w:sz w:val="21"/>
    </w:rPr>
  </w:style>
  <w:style w:type="paragraph" w:customStyle="1" w:styleId="CVText">
    <w:name w:val="CV Text"/>
    <w:basedOn w:val="PwCNormal"/>
    <w:rsid w:val="00C72147"/>
    <w:pPr>
      <w:numPr>
        <w:numId w:val="0"/>
      </w:numPr>
      <w:spacing w:before="80" w:after="80"/>
    </w:pPr>
  </w:style>
  <w:style w:type="paragraph" w:customStyle="1" w:styleId="CVNamelarge">
    <w:name w:val="CV Name large"/>
    <w:basedOn w:val="CVText"/>
    <w:next w:val="CVRoleTitle"/>
    <w:rsid w:val="00C70AB2"/>
    <w:pPr>
      <w:spacing w:before="0"/>
    </w:pPr>
    <w:rPr>
      <w:b/>
      <w:i/>
      <w:color w:val="A32020" w:themeColor="text2"/>
      <w:sz w:val="36"/>
      <w:szCs w:val="24"/>
    </w:rPr>
  </w:style>
  <w:style w:type="paragraph" w:customStyle="1" w:styleId="CVBullet2">
    <w:name w:val="CV Bullet 2"/>
    <w:basedOn w:val="CVBullet1"/>
    <w:rsid w:val="008D4477"/>
    <w:pPr>
      <w:numPr>
        <w:ilvl w:val="1"/>
      </w:numPr>
    </w:pPr>
  </w:style>
  <w:style w:type="paragraph" w:styleId="Title">
    <w:name w:val="Title"/>
    <w:basedOn w:val="Normal"/>
    <w:semiHidden/>
    <w:qFormat/>
    <w:rsid w:val="008D4477"/>
    <w:pPr>
      <w:spacing w:before="240" w:after="60"/>
      <w:jc w:val="center"/>
      <w:outlineLvl w:val="0"/>
    </w:pPr>
    <w:rPr>
      <w:b/>
      <w:bCs/>
      <w:color w:val="A32020" w:themeColor="text2"/>
      <w:kern w:val="28"/>
      <w:sz w:val="32"/>
      <w:szCs w:val="32"/>
    </w:rPr>
  </w:style>
  <w:style w:type="paragraph" w:styleId="BalloonText">
    <w:name w:val="Balloon Text"/>
    <w:basedOn w:val="Normal"/>
    <w:semiHidden/>
    <w:locked/>
    <w:rsid w:val="008D4477"/>
    <w:rPr>
      <w:rFonts w:ascii="Tahoma" w:hAnsi="Tahoma"/>
      <w:sz w:val="16"/>
      <w:szCs w:val="16"/>
    </w:rPr>
  </w:style>
  <w:style w:type="numbering" w:customStyle="1" w:styleId="Style1">
    <w:name w:val="Style1"/>
    <w:uiPriority w:val="99"/>
    <w:rsid w:val="00D424C7"/>
    <w:pPr>
      <w:numPr>
        <w:numId w:val="24"/>
      </w:numPr>
    </w:pPr>
  </w:style>
  <w:style w:type="numbering" w:customStyle="1" w:styleId="IndentList">
    <w:name w:val="IndentList"/>
    <w:basedOn w:val="NoList"/>
    <w:rsid w:val="008D4477"/>
  </w:style>
  <w:style w:type="paragraph" w:customStyle="1" w:styleId="VersionControl">
    <w:name w:val="Version Control"/>
    <w:basedOn w:val="TOCtitle"/>
    <w:unhideWhenUsed/>
    <w:rsid w:val="007D1C0E"/>
    <w:pPr>
      <w:pageBreakBefore w:val="0"/>
      <w:framePr w:w="9923" w:wrap="around" w:vAnchor="text" w:hAnchor="page" w:x="1498" w:y="1"/>
      <w:spacing w:before="360" w:after="240"/>
    </w:pPr>
    <w:rPr>
      <w:sz w:val="28"/>
    </w:rPr>
  </w:style>
  <w:style w:type="paragraph" w:customStyle="1" w:styleId="VersionTableHeading">
    <w:name w:val="Version Table Heading"/>
    <w:basedOn w:val="VersionTableText"/>
    <w:unhideWhenUsed/>
    <w:rsid w:val="003779E0"/>
    <w:pPr>
      <w:framePr w:wrap="around"/>
    </w:pPr>
  </w:style>
  <w:style w:type="paragraph" w:customStyle="1" w:styleId="VersionTableText">
    <w:name w:val="Version Table Text"/>
    <w:basedOn w:val="VersionControl"/>
    <w:unhideWhenUsed/>
    <w:rsid w:val="003779E0"/>
    <w:pPr>
      <w:framePr w:wrap="around"/>
      <w:spacing w:before="80" w:after="80" w:line="240" w:lineRule="auto"/>
      <w:outlineLvl w:val="9"/>
    </w:pPr>
    <w:rPr>
      <w:rFonts w:ascii="Georgia" w:hAnsi="Georgia"/>
      <w:sz w:val="21"/>
      <w:szCs w:val="20"/>
    </w:rPr>
  </w:style>
  <w:style w:type="table" w:customStyle="1" w:styleId="Tables-APBase2">
    <w:name w:val="Tables - AP Base 2"/>
    <w:basedOn w:val="Tables-APBase"/>
    <w:uiPriority w:val="99"/>
    <w:qFormat/>
    <w:rsid w:val="003779E0"/>
    <w:tblPr/>
    <w:tcPr>
      <w:shd w:val="clear" w:color="auto" w:fill="auto"/>
    </w:tcPr>
    <w:tblStylePr w:type="firstRow">
      <w:pPr>
        <w:jc w:val="center"/>
      </w:pPr>
      <w:rPr>
        <w:rFonts w:asciiTheme="minorHAnsi" w:hAnsiTheme="minorHAnsi"/>
        <w:b/>
        <w:color w:val="FFFFFF" w:themeColor="background2"/>
      </w:rPr>
      <w:tblPr/>
      <w:trPr>
        <w:tblHeader/>
      </w:trPr>
      <w:tcPr>
        <w:tcBorders>
          <w:top w:val="single" w:sz="4" w:space="0" w:color="A32020" w:themeColor="text2"/>
          <w:bottom w:val="single" w:sz="4" w:space="0" w:color="A32020" w:themeColor="text2"/>
        </w:tcBorders>
        <w:shd w:val="clear" w:color="auto" w:fill="A32020" w:themeFill="text2"/>
        <w:vAlign w:val="bottom"/>
      </w:tcPr>
    </w:tblStylePr>
    <w:tblStylePr w:type="lastRow">
      <w:rPr>
        <w:color w:val="FFFFFF" w:themeColor="background1"/>
      </w:rPr>
      <w:tblPr/>
      <w:tcPr>
        <w:tcBorders>
          <w:top w:val="single" w:sz="4" w:space="0" w:color="A32020" w:themeColor="text2"/>
        </w:tcBorders>
        <w:shd w:val="clear" w:color="auto" w:fill="A32020" w:themeFill="text2"/>
      </w:tcPr>
    </w:tblStylePr>
    <w:tblStylePr w:type="firstCol">
      <w:tblPr/>
      <w:tcPr>
        <w:shd w:val="clear" w:color="auto" w:fill="FFFFFF" w:themeFill="background2"/>
      </w:tcPr>
    </w:tblStylePr>
    <w:tblStylePr w:type="lastCol">
      <w:tblPr/>
      <w:tcPr>
        <w:shd w:val="clear" w:color="auto" w:fill="FFFFFF" w:themeFill="background2"/>
      </w:tcPr>
    </w:tblStylePr>
    <w:tblStylePr w:type="band2Vert">
      <w:tblPr/>
      <w:tcPr>
        <w:shd w:val="clear" w:color="auto" w:fill="F4CACA" w:themeFill="text2" w:themeFillTint="33"/>
      </w:tcPr>
    </w:tblStylePr>
    <w:tblStylePr w:type="band2Horz">
      <w:tblPr/>
      <w:tcPr>
        <w:shd w:val="clear" w:color="auto" w:fill="F4CACA" w:themeFill="text2" w:themeFillTint="33"/>
      </w:tcPr>
    </w:tblStylePr>
    <w:tblStylePr w:type="nwCell">
      <w:pPr>
        <w:jc w:val="left"/>
      </w:pPr>
      <w:tblPr/>
      <w:tcPr>
        <w:shd w:val="clear" w:color="auto" w:fill="FFFFFF" w:themeFill="background1"/>
        <w:vAlign w:val="bottom"/>
      </w:tcPr>
    </w:tblStylePr>
  </w:style>
  <w:style w:type="character" w:customStyle="1" w:styleId="HeaderChar">
    <w:name w:val="Header Char"/>
    <w:basedOn w:val="DefaultParagraphFont"/>
    <w:link w:val="Header"/>
    <w:uiPriority w:val="99"/>
    <w:locked/>
    <w:rsid w:val="007560B4"/>
    <w:rPr>
      <w:rFonts w:ascii="Arial" w:hAnsi="Arial" w:cs="Arial"/>
      <w:snapToGrid w:val="0"/>
      <w:color w:val="000000" w:themeColor="text1"/>
      <w:sz w:val="19"/>
      <w:szCs w:val="18"/>
      <w:lang w:eastAsia="en-US"/>
    </w:rPr>
  </w:style>
  <w:style w:type="character" w:customStyle="1" w:styleId="FooterChar">
    <w:name w:val="Footer Char"/>
    <w:basedOn w:val="DefaultParagraphFont"/>
    <w:link w:val="Footer"/>
    <w:uiPriority w:val="99"/>
    <w:locked/>
    <w:rsid w:val="007560B4"/>
    <w:rPr>
      <w:rFonts w:ascii="Arial" w:hAnsi="Arial" w:cs="Arial"/>
      <w:snapToGrid w:val="0"/>
      <w:color w:val="000000" w:themeColor="text1"/>
      <w:sz w:val="19"/>
      <w:szCs w:val="18"/>
      <w:lang w:eastAsia="en-US"/>
    </w:rPr>
  </w:style>
  <w:style w:type="paragraph" w:customStyle="1" w:styleId="Header-FirstPage">
    <w:name w:val="Header - First Page"/>
    <w:basedOn w:val="Header"/>
    <w:rsid w:val="008D4477"/>
  </w:style>
  <w:style w:type="paragraph" w:customStyle="1" w:styleId="Appendicestitle">
    <w:name w:val="Appendices title"/>
    <w:basedOn w:val="TOCtitle"/>
    <w:qFormat/>
    <w:rsid w:val="00D424C7"/>
    <w:pPr>
      <w:pageBreakBefore w:val="0"/>
      <w:numPr>
        <w:ilvl w:val="1"/>
        <w:numId w:val="24"/>
      </w:numPr>
    </w:pPr>
  </w:style>
  <w:style w:type="numbering" w:customStyle="1" w:styleId="CVBullets">
    <w:name w:val="CV Bullets"/>
    <w:uiPriority w:val="99"/>
    <w:rsid w:val="0021094E"/>
    <w:pPr>
      <w:numPr>
        <w:numId w:val="8"/>
      </w:numPr>
    </w:pPr>
  </w:style>
  <w:style w:type="paragraph" w:styleId="DocumentMap">
    <w:name w:val="Document Map"/>
    <w:basedOn w:val="Normal"/>
    <w:link w:val="DocumentMapChar"/>
    <w:semiHidden/>
    <w:rsid w:val="00235653"/>
    <w:rPr>
      <w:rFonts w:ascii="Tahoma" w:hAnsi="Tahoma" w:cs="Tahoma"/>
      <w:sz w:val="16"/>
      <w:szCs w:val="16"/>
    </w:rPr>
  </w:style>
  <w:style w:type="character" w:customStyle="1" w:styleId="DocumentMapChar">
    <w:name w:val="Document Map Char"/>
    <w:basedOn w:val="DefaultParagraphFont"/>
    <w:link w:val="DocumentMap"/>
    <w:semiHidden/>
    <w:rsid w:val="00235653"/>
    <w:rPr>
      <w:rFonts w:ascii="Tahoma" w:hAnsi="Tahoma" w:cs="Tahoma"/>
      <w:snapToGrid w:val="0"/>
      <w:sz w:val="16"/>
      <w:szCs w:val="16"/>
      <w:lang w:eastAsia="en-US"/>
    </w:rPr>
  </w:style>
  <w:style w:type="table" w:styleId="TableGrid1">
    <w:name w:val="Table Grid 1"/>
    <w:basedOn w:val="TableNormal"/>
    <w:semiHidden/>
    <w:locked/>
    <w:rsid w:val="00CC1D52"/>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CC1D52"/>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CC1D52"/>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CC1D52"/>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CC1D52"/>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CC1D52"/>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CC1D52"/>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020F7F"/>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CC1D52"/>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nhideWhenUsed/>
    <w:locked/>
    <w:rsid w:val="001E6A5E"/>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rsid w:val="001E6A5E"/>
    <w:rPr>
      <w:rFonts w:ascii="Consolas" w:hAnsi="Consolas" w:cs="Arial"/>
      <w:snapToGrid w:val="0"/>
      <w:sz w:val="20"/>
      <w:szCs w:val="20"/>
      <w:lang w:eastAsia="en-US"/>
    </w:rPr>
  </w:style>
  <w:style w:type="paragraph" w:styleId="Bibliography">
    <w:name w:val="Bibliography"/>
    <w:basedOn w:val="Normal"/>
    <w:next w:val="Normal"/>
    <w:uiPriority w:val="37"/>
    <w:semiHidden/>
    <w:locked/>
    <w:rsid w:val="007D1C0E"/>
  </w:style>
  <w:style w:type="paragraph" w:styleId="BlockText">
    <w:name w:val="Block Text"/>
    <w:basedOn w:val="Normal"/>
    <w:qFormat/>
    <w:rsid w:val="0071186F"/>
    <w:pPr>
      <w:spacing w:after="240"/>
    </w:pPr>
    <w:rPr>
      <w:rFonts w:eastAsiaTheme="minorEastAsia" w:cstheme="minorBidi"/>
      <w:b/>
      <w:i/>
      <w:iCs/>
      <w:color w:val="A32020" w:themeColor="accent1"/>
      <w:sz w:val="48"/>
    </w:rPr>
  </w:style>
  <w:style w:type="paragraph" w:styleId="BodyText">
    <w:name w:val="Body Text"/>
    <w:basedOn w:val="Normal"/>
    <w:link w:val="BodyTextChar"/>
    <w:qFormat/>
    <w:locked/>
    <w:rsid w:val="007D1C0E"/>
    <w:pPr>
      <w:spacing w:after="120"/>
    </w:pPr>
  </w:style>
  <w:style w:type="character" w:customStyle="1" w:styleId="BodyTextChar">
    <w:name w:val="Body Text Char"/>
    <w:basedOn w:val="DefaultParagraphFont"/>
    <w:link w:val="BodyText"/>
    <w:rsid w:val="007D1C0E"/>
    <w:rPr>
      <w:rFonts w:ascii="Georgia" w:hAnsi="Georgia" w:cs="Arial"/>
      <w:snapToGrid w:val="0"/>
      <w:sz w:val="20"/>
      <w:lang w:eastAsia="en-US"/>
    </w:rPr>
  </w:style>
  <w:style w:type="paragraph" w:styleId="BodyText2">
    <w:name w:val="Body Text 2"/>
    <w:basedOn w:val="Normal"/>
    <w:link w:val="BodyText2Char"/>
    <w:semiHidden/>
    <w:locked/>
    <w:rsid w:val="007D1C0E"/>
    <w:pPr>
      <w:spacing w:after="120" w:line="480" w:lineRule="auto"/>
    </w:pPr>
  </w:style>
  <w:style w:type="character" w:customStyle="1" w:styleId="BodyText2Char">
    <w:name w:val="Body Text 2 Char"/>
    <w:basedOn w:val="DefaultParagraphFont"/>
    <w:link w:val="BodyText2"/>
    <w:semiHidden/>
    <w:rsid w:val="007D1C0E"/>
    <w:rPr>
      <w:rFonts w:ascii="Georgia" w:hAnsi="Georgia" w:cs="Arial"/>
      <w:snapToGrid w:val="0"/>
      <w:sz w:val="20"/>
      <w:lang w:eastAsia="en-US"/>
    </w:rPr>
  </w:style>
  <w:style w:type="paragraph" w:styleId="BodyText3">
    <w:name w:val="Body Text 3"/>
    <w:basedOn w:val="Normal"/>
    <w:link w:val="BodyText3Char"/>
    <w:semiHidden/>
    <w:locked/>
    <w:rsid w:val="007D1C0E"/>
    <w:pPr>
      <w:spacing w:after="120"/>
    </w:pPr>
    <w:rPr>
      <w:sz w:val="16"/>
      <w:szCs w:val="16"/>
    </w:rPr>
  </w:style>
  <w:style w:type="character" w:customStyle="1" w:styleId="BodyText3Char">
    <w:name w:val="Body Text 3 Char"/>
    <w:basedOn w:val="DefaultParagraphFont"/>
    <w:link w:val="BodyText3"/>
    <w:semiHidden/>
    <w:rsid w:val="007D1C0E"/>
    <w:rPr>
      <w:rFonts w:ascii="Georgia" w:hAnsi="Georgia" w:cs="Arial"/>
      <w:snapToGrid w:val="0"/>
      <w:sz w:val="16"/>
      <w:szCs w:val="16"/>
      <w:lang w:eastAsia="en-US"/>
    </w:rPr>
  </w:style>
  <w:style w:type="paragraph" w:styleId="BodyTextFirstIndent">
    <w:name w:val="Body Text First Indent"/>
    <w:basedOn w:val="BodyText"/>
    <w:link w:val="BodyTextFirstIndentChar"/>
    <w:semiHidden/>
    <w:locked/>
    <w:rsid w:val="007D1C0E"/>
    <w:pPr>
      <w:spacing w:after="0"/>
      <w:ind w:firstLine="360"/>
    </w:pPr>
  </w:style>
  <w:style w:type="character" w:customStyle="1" w:styleId="BodyTextFirstIndentChar">
    <w:name w:val="Body Text First Indent Char"/>
    <w:basedOn w:val="BodyTextChar"/>
    <w:link w:val="BodyTextFirstIndent"/>
    <w:semiHidden/>
    <w:rsid w:val="007D1C0E"/>
    <w:rPr>
      <w:rFonts w:ascii="Georgia" w:hAnsi="Georgia" w:cs="Arial"/>
      <w:snapToGrid w:val="0"/>
      <w:sz w:val="20"/>
      <w:lang w:eastAsia="en-US"/>
    </w:rPr>
  </w:style>
  <w:style w:type="paragraph" w:styleId="BodyTextIndent">
    <w:name w:val="Body Text Indent"/>
    <w:basedOn w:val="Normal"/>
    <w:link w:val="BodyTextIndentChar"/>
    <w:semiHidden/>
    <w:locked/>
    <w:rsid w:val="007D1C0E"/>
    <w:pPr>
      <w:spacing w:after="120"/>
      <w:ind w:left="283"/>
    </w:pPr>
  </w:style>
  <w:style w:type="character" w:customStyle="1" w:styleId="BodyTextIndentChar">
    <w:name w:val="Body Text Indent Char"/>
    <w:basedOn w:val="DefaultParagraphFont"/>
    <w:link w:val="BodyTextIndent"/>
    <w:semiHidden/>
    <w:rsid w:val="007D1C0E"/>
    <w:rPr>
      <w:rFonts w:ascii="Georgia" w:hAnsi="Georgia" w:cs="Arial"/>
      <w:snapToGrid w:val="0"/>
      <w:sz w:val="20"/>
      <w:lang w:eastAsia="en-US"/>
    </w:rPr>
  </w:style>
  <w:style w:type="paragraph" w:styleId="BodyTextFirstIndent2">
    <w:name w:val="Body Text First Indent 2"/>
    <w:basedOn w:val="BodyTextIndent"/>
    <w:link w:val="BodyTextFirstIndent2Char"/>
    <w:semiHidden/>
    <w:locked/>
    <w:rsid w:val="007D1C0E"/>
    <w:pPr>
      <w:spacing w:after="0"/>
      <w:ind w:left="360" w:firstLine="360"/>
    </w:pPr>
  </w:style>
  <w:style w:type="character" w:customStyle="1" w:styleId="BodyTextFirstIndent2Char">
    <w:name w:val="Body Text First Indent 2 Char"/>
    <w:basedOn w:val="BodyTextIndentChar"/>
    <w:link w:val="BodyTextFirstIndent2"/>
    <w:semiHidden/>
    <w:rsid w:val="007D1C0E"/>
    <w:rPr>
      <w:rFonts w:ascii="Georgia" w:hAnsi="Georgia" w:cs="Arial"/>
      <w:snapToGrid w:val="0"/>
      <w:sz w:val="20"/>
      <w:lang w:eastAsia="en-US"/>
    </w:rPr>
  </w:style>
  <w:style w:type="paragraph" w:styleId="BodyTextIndent2">
    <w:name w:val="Body Text Indent 2"/>
    <w:basedOn w:val="Normal"/>
    <w:link w:val="BodyTextIndent2Char"/>
    <w:semiHidden/>
    <w:locked/>
    <w:rsid w:val="007D1C0E"/>
    <w:pPr>
      <w:spacing w:after="120" w:line="480" w:lineRule="auto"/>
      <w:ind w:left="283"/>
    </w:pPr>
  </w:style>
  <w:style w:type="character" w:customStyle="1" w:styleId="BodyTextIndent2Char">
    <w:name w:val="Body Text Indent 2 Char"/>
    <w:basedOn w:val="DefaultParagraphFont"/>
    <w:link w:val="BodyTextIndent2"/>
    <w:semiHidden/>
    <w:rsid w:val="007D1C0E"/>
    <w:rPr>
      <w:rFonts w:ascii="Georgia" w:hAnsi="Georgia" w:cs="Arial"/>
      <w:snapToGrid w:val="0"/>
      <w:sz w:val="20"/>
      <w:lang w:eastAsia="en-US"/>
    </w:rPr>
  </w:style>
  <w:style w:type="paragraph" w:styleId="BodyTextIndent3">
    <w:name w:val="Body Text Indent 3"/>
    <w:basedOn w:val="Normal"/>
    <w:link w:val="BodyTextIndent3Char"/>
    <w:semiHidden/>
    <w:locked/>
    <w:rsid w:val="007D1C0E"/>
    <w:pPr>
      <w:spacing w:after="120"/>
      <w:ind w:left="283"/>
    </w:pPr>
    <w:rPr>
      <w:sz w:val="16"/>
      <w:szCs w:val="16"/>
    </w:rPr>
  </w:style>
  <w:style w:type="character" w:customStyle="1" w:styleId="BodyTextIndent3Char">
    <w:name w:val="Body Text Indent 3 Char"/>
    <w:basedOn w:val="DefaultParagraphFont"/>
    <w:link w:val="BodyTextIndent3"/>
    <w:semiHidden/>
    <w:rsid w:val="007D1C0E"/>
    <w:rPr>
      <w:rFonts w:ascii="Georgia" w:hAnsi="Georgia" w:cs="Arial"/>
      <w:snapToGrid w:val="0"/>
      <w:sz w:val="16"/>
      <w:szCs w:val="16"/>
      <w:lang w:eastAsia="en-US"/>
    </w:rPr>
  </w:style>
  <w:style w:type="character" w:styleId="BookTitle">
    <w:name w:val="Book Title"/>
    <w:basedOn w:val="DefaultParagraphFont"/>
    <w:uiPriority w:val="33"/>
    <w:semiHidden/>
    <w:qFormat/>
    <w:locked/>
    <w:rsid w:val="007D1C0E"/>
    <w:rPr>
      <w:rFonts w:ascii="Georgia" w:hAnsi="Georgia"/>
      <w:b/>
      <w:bCs/>
      <w:smallCaps/>
      <w:spacing w:val="5"/>
    </w:rPr>
  </w:style>
  <w:style w:type="paragraph" w:styleId="Closing">
    <w:name w:val="Closing"/>
    <w:basedOn w:val="Normal"/>
    <w:link w:val="ClosingChar"/>
    <w:semiHidden/>
    <w:unhideWhenUsed/>
    <w:rsid w:val="007D1C0E"/>
    <w:pPr>
      <w:ind w:left="4252"/>
    </w:pPr>
  </w:style>
  <w:style w:type="character" w:customStyle="1" w:styleId="ClosingChar">
    <w:name w:val="Closing Char"/>
    <w:basedOn w:val="DefaultParagraphFont"/>
    <w:link w:val="Closing"/>
    <w:semiHidden/>
    <w:rsid w:val="007D1C0E"/>
    <w:rPr>
      <w:rFonts w:ascii="Georgia" w:hAnsi="Georgia" w:cs="Arial"/>
      <w:snapToGrid w:val="0"/>
      <w:sz w:val="20"/>
      <w:lang w:eastAsia="en-US"/>
    </w:rPr>
  </w:style>
  <w:style w:type="character" w:styleId="CommentReference">
    <w:name w:val="annotation reference"/>
    <w:basedOn w:val="DefaultParagraphFont"/>
    <w:semiHidden/>
    <w:rsid w:val="007D1C0E"/>
    <w:rPr>
      <w:rFonts w:ascii="Georgia" w:hAnsi="Georgia"/>
      <w:sz w:val="16"/>
      <w:szCs w:val="16"/>
    </w:rPr>
  </w:style>
  <w:style w:type="paragraph" w:styleId="CommentText">
    <w:name w:val="annotation text"/>
    <w:basedOn w:val="Normal"/>
    <w:link w:val="CommentTextChar"/>
    <w:semiHidden/>
    <w:rsid w:val="007D1C0E"/>
  </w:style>
  <w:style w:type="character" w:customStyle="1" w:styleId="CommentTextChar">
    <w:name w:val="Comment Text Char"/>
    <w:basedOn w:val="DefaultParagraphFont"/>
    <w:link w:val="CommentText"/>
    <w:semiHidden/>
    <w:rsid w:val="007D1C0E"/>
    <w:rPr>
      <w:rFonts w:ascii="Georgia" w:hAnsi="Georgia" w:cs="Arial"/>
      <w:snapToGrid w:val="0"/>
      <w:sz w:val="20"/>
      <w:szCs w:val="20"/>
      <w:lang w:eastAsia="en-US"/>
    </w:rPr>
  </w:style>
  <w:style w:type="paragraph" w:styleId="CommentSubject">
    <w:name w:val="annotation subject"/>
    <w:basedOn w:val="CommentText"/>
    <w:next w:val="CommentText"/>
    <w:link w:val="CommentSubjectChar"/>
    <w:semiHidden/>
    <w:rsid w:val="007D1C0E"/>
    <w:rPr>
      <w:b/>
      <w:bCs/>
    </w:rPr>
  </w:style>
  <w:style w:type="character" w:customStyle="1" w:styleId="CommentSubjectChar">
    <w:name w:val="Comment Subject Char"/>
    <w:basedOn w:val="CommentTextChar"/>
    <w:link w:val="CommentSubject"/>
    <w:semiHidden/>
    <w:rsid w:val="007D1C0E"/>
    <w:rPr>
      <w:rFonts w:ascii="Georgia" w:hAnsi="Georgia" w:cs="Arial"/>
      <w:b/>
      <w:bCs/>
      <w:snapToGrid w:val="0"/>
      <w:sz w:val="20"/>
      <w:szCs w:val="20"/>
      <w:lang w:eastAsia="en-US"/>
    </w:rPr>
  </w:style>
  <w:style w:type="paragraph" w:styleId="EnvelopeAddress">
    <w:name w:val="envelope address"/>
    <w:basedOn w:val="Normal"/>
    <w:semiHidden/>
    <w:unhideWhenUsed/>
    <w:locked/>
    <w:rsid w:val="007D1C0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7D1C0E"/>
    <w:rPr>
      <w:rFonts w:asciiTheme="majorHAnsi" w:eastAsiaTheme="majorEastAsia" w:hAnsiTheme="majorHAnsi" w:cstheme="majorBidi"/>
    </w:rPr>
  </w:style>
  <w:style w:type="character" w:styleId="FollowedHyperlink">
    <w:name w:val="FollowedHyperlink"/>
    <w:basedOn w:val="DefaultParagraphFont"/>
    <w:semiHidden/>
    <w:rsid w:val="007D1C0E"/>
    <w:rPr>
      <w:color w:val="A32020" w:themeColor="followedHyperlink"/>
      <w:u w:val="single"/>
    </w:rPr>
  </w:style>
  <w:style w:type="character" w:styleId="Hyperlink">
    <w:name w:val="Hyperlink"/>
    <w:basedOn w:val="DefaultParagraphFont"/>
    <w:uiPriority w:val="99"/>
    <w:rsid w:val="00185720"/>
    <w:rPr>
      <w:color w:val="A32020" w:themeColor="text2"/>
      <w:u w:val="single"/>
    </w:rPr>
  </w:style>
  <w:style w:type="paragraph" w:styleId="IndexHeading">
    <w:name w:val="index heading"/>
    <w:basedOn w:val="Normal"/>
    <w:next w:val="Normal"/>
    <w:semiHidden/>
    <w:rsid w:val="007D1C0E"/>
    <w:rPr>
      <w:rFonts w:asciiTheme="majorHAnsi" w:eastAsiaTheme="majorEastAsia" w:hAnsiTheme="majorHAnsi" w:cstheme="majorBidi"/>
      <w:b/>
      <w:bCs/>
    </w:rPr>
  </w:style>
  <w:style w:type="paragraph" w:customStyle="1" w:styleId="BlockTextClient">
    <w:name w:val="Block Text Client"/>
    <w:basedOn w:val="BlockText"/>
    <w:rsid w:val="004138E6"/>
    <w:pPr>
      <w:spacing w:after="0"/>
    </w:pPr>
    <w:rPr>
      <w:b w:val="0"/>
      <w:sz w:val="20"/>
    </w:rPr>
  </w:style>
  <w:style w:type="paragraph" w:customStyle="1" w:styleId="BlockTextPosition">
    <w:name w:val="Block Text Position"/>
    <w:basedOn w:val="BlockText"/>
    <w:rsid w:val="004138E6"/>
    <w:rPr>
      <w:b w:val="0"/>
      <w:i w:val="0"/>
      <w:sz w:val="20"/>
    </w:rPr>
  </w:style>
  <w:style w:type="paragraph" w:customStyle="1" w:styleId="BlockText2Client">
    <w:name w:val="Block Text 2 Client"/>
    <w:basedOn w:val="BlockText2"/>
    <w:rsid w:val="004138E6"/>
    <w:pPr>
      <w:spacing w:after="0"/>
    </w:pPr>
    <w:rPr>
      <w:sz w:val="20"/>
      <w:szCs w:val="20"/>
    </w:rPr>
  </w:style>
  <w:style w:type="paragraph" w:customStyle="1" w:styleId="BlockText2Position">
    <w:name w:val="Block Text 2 Position"/>
    <w:basedOn w:val="BlockText2"/>
    <w:rsid w:val="004138E6"/>
    <w:rPr>
      <w:i w:val="0"/>
      <w:sz w:val="20"/>
      <w:szCs w:val="20"/>
    </w:rPr>
  </w:style>
  <w:style w:type="character" w:styleId="LineNumber">
    <w:name w:val="line number"/>
    <w:basedOn w:val="DefaultParagraphFont"/>
    <w:semiHidden/>
    <w:rsid w:val="007D1C0E"/>
  </w:style>
  <w:style w:type="paragraph" w:styleId="ListBullet">
    <w:name w:val="List Bullet"/>
    <w:aliases w:val="l,list no space after,(NECG) List Bullet,*List Bullet,lb"/>
    <w:basedOn w:val="Normal"/>
    <w:uiPriority w:val="99"/>
    <w:qFormat/>
    <w:locked/>
    <w:rsid w:val="00CC25DA"/>
    <w:pPr>
      <w:numPr>
        <w:numId w:val="5"/>
      </w:numPr>
      <w:spacing w:after="240"/>
    </w:pPr>
  </w:style>
  <w:style w:type="paragraph" w:styleId="ListBullet5">
    <w:name w:val="List Bullet 5"/>
    <w:basedOn w:val="ListBullet4"/>
    <w:uiPriority w:val="99"/>
    <w:unhideWhenUsed/>
    <w:locked/>
    <w:rsid w:val="00CC25DA"/>
    <w:pPr>
      <w:numPr>
        <w:ilvl w:val="4"/>
      </w:numPr>
      <w:contextualSpacing/>
    </w:pPr>
  </w:style>
  <w:style w:type="paragraph" w:styleId="ListNumber">
    <w:name w:val="List Number"/>
    <w:basedOn w:val="Normal"/>
    <w:uiPriority w:val="13"/>
    <w:unhideWhenUsed/>
    <w:qFormat/>
    <w:locked/>
    <w:rsid w:val="009E54C5"/>
    <w:pPr>
      <w:numPr>
        <w:numId w:val="19"/>
      </w:numPr>
      <w:contextualSpacing/>
    </w:pPr>
  </w:style>
  <w:style w:type="paragraph" w:styleId="ListNumber2">
    <w:name w:val="List Number 2"/>
    <w:basedOn w:val="ListNumber"/>
    <w:uiPriority w:val="13"/>
    <w:unhideWhenUsed/>
    <w:qFormat/>
    <w:locked/>
    <w:rsid w:val="009E54C5"/>
    <w:pPr>
      <w:numPr>
        <w:ilvl w:val="1"/>
      </w:numPr>
    </w:pPr>
  </w:style>
  <w:style w:type="paragraph" w:styleId="ListNumber3">
    <w:name w:val="List Number 3"/>
    <w:basedOn w:val="ListNumber2"/>
    <w:uiPriority w:val="13"/>
    <w:unhideWhenUsed/>
    <w:qFormat/>
    <w:locked/>
    <w:rsid w:val="009E54C5"/>
    <w:pPr>
      <w:numPr>
        <w:ilvl w:val="2"/>
      </w:numPr>
    </w:pPr>
  </w:style>
  <w:style w:type="paragraph" w:styleId="ListNumber4">
    <w:name w:val="List Number 4"/>
    <w:basedOn w:val="ListNumber3"/>
    <w:uiPriority w:val="13"/>
    <w:unhideWhenUsed/>
    <w:locked/>
    <w:rsid w:val="009E54C5"/>
    <w:pPr>
      <w:numPr>
        <w:ilvl w:val="3"/>
      </w:numPr>
    </w:pPr>
  </w:style>
  <w:style w:type="paragraph" w:styleId="ListNumber5">
    <w:name w:val="List Number 5"/>
    <w:basedOn w:val="ListNumber4"/>
    <w:uiPriority w:val="13"/>
    <w:unhideWhenUsed/>
    <w:locked/>
    <w:rsid w:val="009E54C5"/>
    <w:pPr>
      <w:numPr>
        <w:ilvl w:val="4"/>
      </w:numPr>
    </w:pPr>
  </w:style>
  <w:style w:type="paragraph" w:styleId="ListParagraph">
    <w:name w:val="List Paragraph"/>
    <w:basedOn w:val="Normal"/>
    <w:link w:val="ListParagraphChar"/>
    <w:uiPriority w:val="34"/>
    <w:qFormat/>
    <w:locked/>
    <w:rsid w:val="007D1C0E"/>
    <w:pPr>
      <w:ind w:left="720"/>
      <w:contextualSpacing/>
    </w:pPr>
  </w:style>
  <w:style w:type="paragraph" w:styleId="MessageHeader">
    <w:name w:val="Message Header"/>
    <w:basedOn w:val="Normal"/>
    <w:link w:val="MessageHeaderChar"/>
    <w:semiHidden/>
    <w:rsid w:val="007D1C0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D1C0E"/>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qFormat/>
    <w:rsid w:val="007D1C0E"/>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semiHidden/>
    <w:rsid w:val="007D1C0E"/>
    <w:pPr>
      <w:ind w:left="720"/>
    </w:pPr>
  </w:style>
  <w:style w:type="paragraph" w:styleId="NoteHeading">
    <w:name w:val="Note Heading"/>
    <w:basedOn w:val="Normal"/>
    <w:next w:val="Normal"/>
    <w:link w:val="NoteHeadingChar"/>
    <w:semiHidden/>
    <w:unhideWhenUsed/>
    <w:rsid w:val="007D1C0E"/>
  </w:style>
  <w:style w:type="character" w:customStyle="1" w:styleId="NoteHeadingChar">
    <w:name w:val="Note Heading Char"/>
    <w:basedOn w:val="DefaultParagraphFont"/>
    <w:link w:val="NoteHeading"/>
    <w:semiHidden/>
    <w:rsid w:val="007D1C0E"/>
    <w:rPr>
      <w:rFonts w:cs="Arial"/>
      <w:snapToGrid w:val="0"/>
      <w:lang w:eastAsia="en-US"/>
    </w:rPr>
  </w:style>
  <w:style w:type="character" w:styleId="PlaceholderText">
    <w:name w:val="Placeholder Text"/>
    <w:basedOn w:val="DefaultParagraphFont"/>
    <w:uiPriority w:val="99"/>
    <w:semiHidden/>
    <w:rsid w:val="007D1C0E"/>
    <w:rPr>
      <w:color w:val="808080"/>
    </w:rPr>
  </w:style>
  <w:style w:type="paragraph" w:styleId="PlainText">
    <w:name w:val="Plain Text"/>
    <w:basedOn w:val="Normal"/>
    <w:link w:val="PlainTextChar"/>
    <w:semiHidden/>
    <w:rsid w:val="007D1C0E"/>
    <w:rPr>
      <w:rFonts w:ascii="Consolas" w:hAnsi="Consolas"/>
    </w:rPr>
  </w:style>
  <w:style w:type="character" w:customStyle="1" w:styleId="PlainTextChar">
    <w:name w:val="Plain Text Char"/>
    <w:basedOn w:val="DefaultParagraphFont"/>
    <w:link w:val="PlainText"/>
    <w:semiHidden/>
    <w:rsid w:val="007D1C0E"/>
    <w:rPr>
      <w:rFonts w:ascii="Consolas" w:hAnsi="Consolas" w:cs="Arial"/>
      <w:snapToGrid w:val="0"/>
      <w:lang w:eastAsia="en-US"/>
    </w:rPr>
  </w:style>
  <w:style w:type="paragraph" w:styleId="Quote">
    <w:name w:val="Quote"/>
    <w:basedOn w:val="Normal"/>
    <w:next w:val="Normal"/>
    <w:link w:val="QuoteChar"/>
    <w:uiPriority w:val="29"/>
    <w:semiHidden/>
    <w:qFormat/>
    <w:rsid w:val="007D1C0E"/>
    <w:rPr>
      <w:i/>
      <w:iCs/>
      <w:color w:val="000000" w:themeColor="text1"/>
    </w:rPr>
  </w:style>
  <w:style w:type="character" w:customStyle="1" w:styleId="QuoteChar">
    <w:name w:val="Quote Char"/>
    <w:basedOn w:val="DefaultParagraphFont"/>
    <w:link w:val="Quote"/>
    <w:uiPriority w:val="29"/>
    <w:semiHidden/>
    <w:rsid w:val="007D1C0E"/>
    <w:rPr>
      <w:rFonts w:cs="Arial"/>
      <w:i/>
      <w:iCs/>
      <w:snapToGrid w:val="0"/>
      <w:color w:val="000000" w:themeColor="text1"/>
      <w:lang w:eastAsia="en-US"/>
    </w:rPr>
  </w:style>
  <w:style w:type="paragraph" w:styleId="Salutation">
    <w:name w:val="Salutation"/>
    <w:basedOn w:val="Normal"/>
    <w:next w:val="Normal"/>
    <w:link w:val="SalutationChar"/>
    <w:semiHidden/>
    <w:unhideWhenUsed/>
    <w:rsid w:val="007D1C0E"/>
  </w:style>
  <w:style w:type="character" w:customStyle="1" w:styleId="SalutationChar">
    <w:name w:val="Salutation Char"/>
    <w:basedOn w:val="DefaultParagraphFont"/>
    <w:link w:val="Salutation"/>
    <w:semiHidden/>
    <w:rsid w:val="007D1C0E"/>
    <w:rPr>
      <w:rFonts w:cs="Arial"/>
      <w:snapToGrid w:val="0"/>
      <w:lang w:eastAsia="en-US"/>
    </w:rPr>
  </w:style>
  <w:style w:type="paragraph" w:styleId="Signature">
    <w:name w:val="Signature"/>
    <w:basedOn w:val="Normal"/>
    <w:link w:val="SignatureChar"/>
    <w:semiHidden/>
    <w:rsid w:val="007D1C0E"/>
    <w:pPr>
      <w:ind w:left="4252"/>
    </w:pPr>
  </w:style>
  <w:style w:type="character" w:customStyle="1" w:styleId="SignatureChar">
    <w:name w:val="Signature Char"/>
    <w:basedOn w:val="DefaultParagraphFont"/>
    <w:link w:val="Signature"/>
    <w:semiHidden/>
    <w:rsid w:val="007D1C0E"/>
    <w:rPr>
      <w:rFonts w:cs="Arial"/>
      <w:snapToGrid w:val="0"/>
      <w:lang w:eastAsia="en-US"/>
    </w:rPr>
  </w:style>
  <w:style w:type="paragraph" w:styleId="TableofAuthorities">
    <w:name w:val="table of authorities"/>
    <w:basedOn w:val="Normal"/>
    <w:next w:val="Normal"/>
    <w:semiHidden/>
    <w:unhideWhenUsed/>
    <w:rsid w:val="007D1C0E"/>
    <w:pPr>
      <w:ind w:left="210" w:hanging="210"/>
    </w:pPr>
  </w:style>
  <w:style w:type="paragraph" w:styleId="TableofFigures">
    <w:name w:val="table of figures"/>
    <w:basedOn w:val="Normal"/>
    <w:next w:val="Normal"/>
    <w:semiHidden/>
    <w:unhideWhenUsed/>
    <w:rsid w:val="007D1C0E"/>
  </w:style>
  <w:style w:type="paragraph" w:styleId="TOAHeading">
    <w:name w:val="toa heading"/>
    <w:basedOn w:val="Normal"/>
    <w:next w:val="Normal"/>
    <w:semiHidden/>
    <w:unhideWhenUsed/>
    <w:rsid w:val="007D1C0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D1C0E"/>
    <w:pPr>
      <w:keepNext/>
      <w:keepLines/>
      <w:spacing w:before="480" w:line="240" w:lineRule="auto"/>
      <w:outlineLvl w:val="9"/>
    </w:pPr>
    <w:rPr>
      <w:rFonts w:eastAsiaTheme="majorEastAsia" w:cstheme="majorBidi"/>
      <w:color w:val="7A1818" w:themeColor="accent1" w:themeShade="BF"/>
      <w:sz w:val="28"/>
      <w:szCs w:val="28"/>
    </w:rPr>
  </w:style>
  <w:style w:type="paragraph" w:customStyle="1" w:styleId="CoverPanelFrame">
    <w:name w:val="Cover Panel Frame"/>
    <w:basedOn w:val="Coverpulloutframe"/>
    <w:rsid w:val="00F26F10"/>
    <w:pPr>
      <w:framePr w:w="7441" w:wrap="notBeside" w:vAnchor="margin" w:hAnchor="text" w:x="-112" w:y="1"/>
      <w:pBdr>
        <w:top w:val="single" w:sz="4" w:space="1" w:color="auto"/>
        <w:left w:val="single" w:sz="4" w:space="4" w:color="auto"/>
      </w:pBdr>
    </w:pPr>
    <w:rPr>
      <w:rFonts w:eastAsia="+mn-ea"/>
    </w:rPr>
  </w:style>
  <w:style w:type="paragraph" w:customStyle="1" w:styleId="LogoActivated">
    <w:name w:val="Logo Activated"/>
    <w:basedOn w:val="Normal"/>
    <w:rsid w:val="00993DBB"/>
    <w:pPr>
      <w:framePr w:w="3119" w:h="1412" w:hRule="exact" w:wrap="around" w:vAnchor="page" w:hAnchor="page" w:x="1543" w:y="15299"/>
      <w:tabs>
        <w:tab w:val="center" w:pos="2551"/>
        <w:tab w:val="right" w:pos="7682"/>
      </w:tabs>
      <w:spacing w:line="0" w:lineRule="atLeast"/>
    </w:pPr>
    <w:rPr>
      <w:rFonts w:asciiTheme="majorHAnsi" w:hAnsiTheme="majorHAnsi"/>
      <w:noProof/>
      <w:snapToGrid/>
      <w:sz w:val="18"/>
      <w:szCs w:val="32"/>
      <w:lang w:eastAsia="en-AU"/>
    </w:rPr>
  </w:style>
  <w:style w:type="paragraph" w:customStyle="1" w:styleId="FirstPagePanelFrame">
    <w:name w:val="First Page Panel Frame"/>
    <w:basedOn w:val="CoverPanelFrame"/>
    <w:rsid w:val="003A009A"/>
    <w:pPr>
      <w:framePr w:w="8731" w:h="227" w:hRule="exact" w:wrap="notBeside" w:y="-169"/>
      <w:pBdr>
        <w:top w:val="single" w:sz="6" w:space="1" w:color="A32020" w:themeColor="text2"/>
        <w:left w:val="single" w:sz="6" w:space="4" w:color="A32020" w:themeColor="text2"/>
      </w:pBdr>
    </w:pPr>
  </w:style>
  <w:style w:type="paragraph" w:customStyle="1" w:styleId="URLCover">
    <w:name w:val="URL Cover"/>
    <w:basedOn w:val="Normal"/>
    <w:rsid w:val="00D9529B"/>
  </w:style>
  <w:style w:type="paragraph" w:customStyle="1" w:styleId="Coverpulloutframe">
    <w:name w:val="Cover pull out frame"/>
    <w:basedOn w:val="KeySentenceInside"/>
    <w:rsid w:val="00F26F10"/>
    <w:pPr>
      <w:framePr w:w="2189" w:h="227" w:wrap="notBeside" w:vAnchor="page" w:hAnchor="page" w:x="908" w:y="8415"/>
      <w:pBdr>
        <w:top w:val="dotted" w:sz="8" w:space="1" w:color="A32020" w:themeColor="text2"/>
        <w:left w:val="dotted" w:sz="8" w:space="4" w:color="A32020" w:themeColor="text2"/>
      </w:pBdr>
      <w:spacing w:after="0" w:line="0" w:lineRule="atLeast"/>
    </w:pPr>
    <w:rPr>
      <w:color w:val="auto"/>
      <w:sz w:val="8"/>
      <w:lang w:val="en-GB"/>
    </w:rPr>
  </w:style>
  <w:style w:type="paragraph" w:customStyle="1" w:styleId="Covertitle">
    <w:name w:val="Cover title"/>
    <w:basedOn w:val="KeySentenceInside"/>
    <w:next w:val="Coversubtitle"/>
    <w:rsid w:val="00F26F10"/>
    <w:pPr>
      <w:framePr w:w="2154" w:wrap="notBeside" w:vAnchor="page" w:hAnchor="page" w:x="928" w:y="8427"/>
      <w:spacing w:before="200"/>
      <w:ind w:left="113"/>
    </w:pPr>
    <w:rPr>
      <w:rFonts w:asciiTheme="majorHAnsi" w:hAnsiTheme="majorHAnsi"/>
      <w:color w:val="auto"/>
      <w:sz w:val="19"/>
      <w:lang w:val="en-GB"/>
    </w:rPr>
  </w:style>
  <w:style w:type="paragraph" w:customStyle="1" w:styleId="CoverOutcomeSubtitle">
    <w:name w:val="Cover Outcome Subtitle"/>
    <w:basedOn w:val="CoverOutcomeHeadline"/>
    <w:rsid w:val="00F26F10"/>
    <w:rPr>
      <w:b w:val="0"/>
      <w:i w:val="0"/>
    </w:rPr>
  </w:style>
  <w:style w:type="paragraph" w:customStyle="1" w:styleId="LogoFixed">
    <w:name w:val="Logo Fixed"/>
    <w:basedOn w:val="LogoActivated"/>
    <w:rsid w:val="003D28AE"/>
    <w:pPr>
      <w:framePr w:h="2733" w:hRule="exact" w:wrap="around" w:x="1322" w:y="14125"/>
    </w:pPr>
  </w:style>
  <w:style w:type="paragraph" w:customStyle="1" w:styleId="NumericCaption">
    <w:name w:val="Numeric Caption"/>
    <w:basedOn w:val="Caption"/>
    <w:rsid w:val="00053B82"/>
    <w:rPr>
      <w:rFonts w:ascii="Arial" w:hAnsi="Arial"/>
    </w:rPr>
  </w:style>
  <w:style w:type="paragraph" w:customStyle="1" w:styleId="NumericTableColumnHeadingNormal">
    <w:name w:val="Numeric Table Column Heading Normal"/>
    <w:basedOn w:val="TableColumnHeadingNormal"/>
    <w:rsid w:val="00053B82"/>
    <w:rPr>
      <w:rFonts w:ascii="Arial" w:hAnsi="Arial"/>
    </w:rPr>
  </w:style>
  <w:style w:type="paragraph" w:customStyle="1" w:styleId="NumericTableTextNormal">
    <w:name w:val="Numeric Table Text Normal"/>
    <w:basedOn w:val="TableTextNormal"/>
    <w:rsid w:val="00053B82"/>
    <w:rPr>
      <w:rFonts w:ascii="Arial" w:hAnsi="Arial"/>
    </w:rPr>
  </w:style>
  <w:style w:type="paragraph" w:customStyle="1" w:styleId="NumericSources">
    <w:name w:val="Numeric Sources"/>
    <w:basedOn w:val="Sources"/>
    <w:rsid w:val="00053B82"/>
    <w:rPr>
      <w:rFonts w:ascii="Arial" w:hAnsi="Arial"/>
    </w:rPr>
  </w:style>
  <w:style w:type="paragraph" w:customStyle="1" w:styleId="NumericTableColumnHeadingSmall">
    <w:name w:val="Numeric Table Column Heading Small"/>
    <w:basedOn w:val="NumericTableColumnHeadingNormal"/>
    <w:rsid w:val="0052509C"/>
    <w:rPr>
      <w:sz w:val="16"/>
      <w:szCs w:val="16"/>
    </w:rPr>
  </w:style>
  <w:style w:type="paragraph" w:customStyle="1" w:styleId="NumericTableTextSmall">
    <w:name w:val="Numeric Table Text Small"/>
    <w:basedOn w:val="NumericTableTextNormal"/>
    <w:rsid w:val="0052509C"/>
    <w:rPr>
      <w:sz w:val="16"/>
      <w:szCs w:val="16"/>
    </w:rPr>
  </w:style>
  <w:style w:type="paragraph" w:customStyle="1" w:styleId="NumericTableTextDecimalNormal">
    <w:name w:val="Numeric Table Text Decimal Normal"/>
    <w:basedOn w:val="NumericTableTextNormal"/>
    <w:rsid w:val="006304C7"/>
    <w:pPr>
      <w:tabs>
        <w:tab w:val="decimal" w:pos="1004"/>
      </w:tabs>
    </w:pPr>
  </w:style>
  <w:style w:type="paragraph" w:customStyle="1" w:styleId="NumericTableTextDecimalSmall">
    <w:name w:val="Numeric Table Text Decimal Small"/>
    <w:basedOn w:val="NumericTableTextDecimalNormal"/>
    <w:rsid w:val="006304C7"/>
    <w:rPr>
      <w:sz w:val="16"/>
      <w:szCs w:val="16"/>
    </w:rPr>
  </w:style>
  <w:style w:type="paragraph" w:customStyle="1" w:styleId="Heading2Nospacing">
    <w:name w:val="Heading 2 No spacing"/>
    <w:basedOn w:val="Heading2"/>
    <w:rsid w:val="00F8314A"/>
    <w:pPr>
      <w:spacing w:after="0" w:line="0" w:lineRule="atLeast"/>
      <w:ind w:left="851" w:hanging="851"/>
    </w:pPr>
  </w:style>
  <w:style w:type="paragraph" w:customStyle="1" w:styleId="TableNumberedList1">
    <w:name w:val="Table Numbered List 1"/>
    <w:basedOn w:val="TableTextNormal"/>
    <w:rsid w:val="00EA47AB"/>
    <w:pPr>
      <w:numPr>
        <w:numId w:val="15"/>
      </w:numPr>
    </w:pPr>
  </w:style>
  <w:style w:type="paragraph" w:customStyle="1" w:styleId="TableNumberedList2">
    <w:name w:val="Table Numbered List 2"/>
    <w:basedOn w:val="TableNumberedList1"/>
    <w:rsid w:val="00EA47AB"/>
    <w:pPr>
      <w:numPr>
        <w:ilvl w:val="1"/>
      </w:numPr>
      <w:spacing w:before="40" w:after="40"/>
    </w:pPr>
  </w:style>
  <w:style w:type="paragraph" w:customStyle="1" w:styleId="TableNumberedList3">
    <w:name w:val="Table Numbered List 3"/>
    <w:basedOn w:val="TableNumberedList2"/>
    <w:rsid w:val="00EA47AB"/>
    <w:pPr>
      <w:numPr>
        <w:ilvl w:val="2"/>
      </w:numPr>
    </w:pPr>
  </w:style>
  <w:style w:type="paragraph" w:customStyle="1" w:styleId="TableNumberedListSmall1">
    <w:name w:val="Table Numbered List Small 1"/>
    <w:basedOn w:val="TableTextSmall"/>
    <w:rsid w:val="00EA47AB"/>
    <w:pPr>
      <w:numPr>
        <w:numId w:val="17"/>
      </w:numPr>
    </w:pPr>
  </w:style>
  <w:style w:type="paragraph" w:customStyle="1" w:styleId="TableNumberedListSmall2">
    <w:name w:val="Table Numbered List Small 2"/>
    <w:basedOn w:val="TableNumberedListSmall1"/>
    <w:rsid w:val="00EA47AB"/>
    <w:pPr>
      <w:numPr>
        <w:ilvl w:val="1"/>
      </w:numPr>
    </w:pPr>
    <w:rPr>
      <w:szCs w:val="21"/>
    </w:rPr>
  </w:style>
  <w:style w:type="paragraph" w:customStyle="1" w:styleId="TableNumberedListSmall3">
    <w:name w:val="Table Numbered List Small 3"/>
    <w:basedOn w:val="TableNumberedListSmall2"/>
    <w:rsid w:val="00EA47AB"/>
    <w:pPr>
      <w:numPr>
        <w:ilvl w:val="2"/>
      </w:numPr>
    </w:pPr>
  </w:style>
  <w:style w:type="numbering" w:customStyle="1" w:styleId="ListNumberList">
    <w:name w:val="List Number List"/>
    <w:uiPriority w:val="99"/>
    <w:rsid w:val="009E54C5"/>
    <w:pPr>
      <w:numPr>
        <w:numId w:val="18"/>
      </w:numPr>
    </w:pPr>
  </w:style>
  <w:style w:type="numbering" w:styleId="111111">
    <w:name w:val="Outline List 2"/>
    <w:basedOn w:val="NoList"/>
    <w:rsid w:val="00070164"/>
    <w:pPr>
      <w:numPr>
        <w:numId w:val="20"/>
      </w:numPr>
    </w:pPr>
  </w:style>
  <w:style w:type="numbering" w:styleId="1ai">
    <w:name w:val="Outline List 1"/>
    <w:basedOn w:val="NoList"/>
    <w:rsid w:val="00070164"/>
    <w:pPr>
      <w:numPr>
        <w:numId w:val="21"/>
      </w:numPr>
    </w:pPr>
  </w:style>
  <w:style w:type="numbering" w:styleId="ArticleSection">
    <w:name w:val="Outline List 3"/>
    <w:basedOn w:val="NoList"/>
    <w:rsid w:val="00070164"/>
    <w:pPr>
      <w:numPr>
        <w:numId w:val="22"/>
      </w:numPr>
    </w:pPr>
  </w:style>
  <w:style w:type="paragraph" w:customStyle="1" w:styleId="Minorheading3">
    <w:name w:val="Minor heading 3"/>
    <w:basedOn w:val="Minorheading2"/>
    <w:rsid w:val="00D657FC"/>
    <w:rPr>
      <w:b w:val="0"/>
      <w:i/>
    </w:rPr>
  </w:style>
  <w:style w:type="table" w:customStyle="1" w:styleId="Tables-APLines">
    <w:name w:val="Tables - AP Lines"/>
    <w:basedOn w:val="TableNormal"/>
    <w:rsid w:val="00127829"/>
    <w:tblPr>
      <w:tblStyleRowBandSize w:val="1"/>
      <w:tblStyleColBandSize w:val="1"/>
      <w:tblBorders>
        <w:insideH w:val="single" w:sz="4" w:space="0" w:color="A32020" w:themeColor="text2"/>
        <w:insideV w:val="single" w:sz="4" w:space="0" w:color="A32020" w:themeColor="text2"/>
      </w:tblBorders>
    </w:tblPr>
    <w:tcPr>
      <w:shd w:val="clear" w:color="auto" w:fill="auto"/>
    </w:tcPr>
    <w:tblStylePr w:type="firstRow">
      <w:pPr>
        <w:jc w:val="center"/>
      </w:pPr>
      <w:rPr>
        <w:rFonts w:asciiTheme="minorHAnsi" w:hAnsiTheme="minorHAnsi"/>
        <w:color w:val="auto"/>
      </w:rPr>
      <w:tblPr/>
      <w:tcPr>
        <w:vAlign w:val="bottom"/>
      </w:tcPr>
    </w:tblStylePr>
    <w:tblStylePr w:type="lastRow">
      <w:rPr>
        <w:color w:val="FFFFFF" w:themeColor="background1"/>
      </w:rPr>
    </w:tblStylePr>
    <w:tblStylePr w:type="nwCell">
      <w:pPr>
        <w:jc w:val="left"/>
      </w:pPr>
      <w:tblPr/>
      <w:tcPr>
        <w:vAlign w:val="bottom"/>
      </w:tcPr>
    </w:tblStylePr>
  </w:style>
  <w:style w:type="table" w:customStyle="1" w:styleId="PwCPanelframe">
    <w:name w:val="PwC Panel frame"/>
    <w:basedOn w:val="TableNormal"/>
    <w:uiPriority w:val="99"/>
    <w:qFormat/>
    <w:rsid w:val="004B1E27"/>
    <w:pPr>
      <w:spacing w:line="227" w:lineRule="exact"/>
    </w:pPr>
    <w:rPr>
      <w:sz w:val="8"/>
    </w:rPr>
    <w:tblPr>
      <w:tblBorders>
        <w:top w:val="single" w:sz="8" w:space="0" w:color="A32020" w:themeColor="text2"/>
        <w:left w:val="single" w:sz="8" w:space="0" w:color="A32020" w:themeColor="text2"/>
      </w:tblBorders>
      <w:tblCellMar>
        <w:left w:w="227" w:type="dxa"/>
        <w:right w:w="0" w:type="dxa"/>
      </w:tblCellMar>
    </w:tblPr>
    <w:tcPr>
      <w:shd w:val="clear" w:color="auto" w:fill="auto"/>
    </w:tcPr>
  </w:style>
  <w:style w:type="table" w:customStyle="1" w:styleId="PwCpull-outframe">
    <w:name w:val="PwC pull-out frame"/>
    <w:basedOn w:val="PwCPanelframe"/>
    <w:uiPriority w:val="99"/>
    <w:rsid w:val="007167DF"/>
    <w:tblPr>
      <w:tblBorders>
        <w:top w:val="dotted" w:sz="8" w:space="0" w:color="A32020" w:themeColor="text2"/>
        <w:left w:val="dotted" w:sz="8" w:space="0" w:color="A32020" w:themeColor="text2"/>
      </w:tblBorders>
    </w:tblPr>
    <w:tcPr>
      <w:shd w:val="clear" w:color="auto" w:fill="auto"/>
    </w:tcPr>
  </w:style>
  <w:style w:type="paragraph" w:customStyle="1" w:styleId="Bullet1">
    <w:name w:val="Bullet 1"/>
    <w:basedOn w:val="PwCNormal"/>
    <w:rsid w:val="003522D8"/>
    <w:pPr>
      <w:numPr>
        <w:numId w:val="23"/>
      </w:numPr>
      <w:spacing w:after="80"/>
    </w:pPr>
  </w:style>
  <w:style w:type="paragraph" w:customStyle="1" w:styleId="Bullet2">
    <w:name w:val="Bullet 2"/>
    <w:basedOn w:val="Bullet1"/>
    <w:rsid w:val="003522D8"/>
    <w:pPr>
      <w:numPr>
        <w:ilvl w:val="1"/>
      </w:numPr>
    </w:pPr>
  </w:style>
  <w:style w:type="paragraph" w:customStyle="1" w:styleId="Bullet3">
    <w:name w:val="Bullet 3"/>
    <w:basedOn w:val="Bullet2"/>
    <w:rsid w:val="003522D8"/>
    <w:pPr>
      <w:numPr>
        <w:ilvl w:val="2"/>
      </w:numPr>
    </w:pPr>
  </w:style>
  <w:style w:type="paragraph" w:customStyle="1" w:styleId="Bullet4">
    <w:name w:val="Bullet 4"/>
    <w:basedOn w:val="Bullet3"/>
    <w:rsid w:val="003522D8"/>
    <w:pPr>
      <w:numPr>
        <w:ilvl w:val="3"/>
      </w:numPr>
    </w:pPr>
  </w:style>
  <w:style w:type="numbering" w:customStyle="1" w:styleId="Bullets">
    <w:name w:val="Bullets"/>
    <w:uiPriority w:val="99"/>
    <w:rsid w:val="003522D8"/>
    <w:pPr>
      <w:numPr>
        <w:numId w:val="23"/>
      </w:numPr>
    </w:pPr>
  </w:style>
  <w:style w:type="paragraph" w:customStyle="1" w:styleId="FirstPagePanelFrame-Contents">
    <w:name w:val="First Page Panel Frame - Contents"/>
    <w:basedOn w:val="FirstPagePanelFrame"/>
    <w:rsid w:val="003A009A"/>
    <w:pPr>
      <w:framePr w:wrap="notBeside"/>
    </w:pPr>
  </w:style>
  <w:style w:type="numbering" w:customStyle="1" w:styleId="ChapterNumberingList">
    <w:name w:val="Chapter Numbering List"/>
    <w:uiPriority w:val="99"/>
    <w:rsid w:val="00930AB8"/>
    <w:pPr>
      <w:numPr>
        <w:numId w:val="25"/>
      </w:numPr>
    </w:pPr>
  </w:style>
  <w:style w:type="numbering" w:customStyle="1" w:styleId="LongTOC">
    <w:name w:val="LongTOC"/>
    <w:uiPriority w:val="99"/>
    <w:rsid w:val="00F06C19"/>
    <w:pPr>
      <w:numPr>
        <w:numId w:val="26"/>
      </w:numPr>
    </w:pPr>
  </w:style>
  <w:style w:type="paragraph" w:customStyle="1" w:styleId="CoverOutcomeHeadline">
    <w:name w:val="Cover Outcome Headline"/>
    <w:basedOn w:val="PwCNormal"/>
    <w:rsid w:val="00093754"/>
    <w:pPr>
      <w:numPr>
        <w:numId w:val="0"/>
      </w:numPr>
      <w:spacing w:after="0"/>
      <w:ind w:right="1701"/>
    </w:pPr>
    <w:rPr>
      <w:b/>
      <w:i/>
      <w:color w:val="FFFFFF" w:themeColor="background1"/>
      <w:sz w:val="48"/>
      <w:szCs w:val="88"/>
      <w:lang w:val="en-GB"/>
    </w:rPr>
  </w:style>
  <w:style w:type="paragraph" w:styleId="NormalWeb">
    <w:name w:val="Normal (Web)"/>
    <w:basedOn w:val="Normal"/>
    <w:uiPriority w:val="99"/>
    <w:unhideWhenUsed/>
    <w:rsid w:val="00FF5EAC"/>
    <w:pPr>
      <w:kinsoku/>
      <w:overflowPunct/>
      <w:autoSpaceDE/>
      <w:autoSpaceDN/>
      <w:adjustRightInd/>
      <w:snapToGrid/>
      <w:spacing w:before="100" w:beforeAutospacing="1" w:after="100" w:afterAutospacing="1"/>
    </w:pPr>
    <w:rPr>
      <w:rFonts w:ascii="Times New Roman" w:hAnsi="Times New Roman" w:cs="Times New Roman"/>
      <w:snapToGrid/>
      <w:sz w:val="24"/>
      <w:szCs w:val="24"/>
      <w:lang w:eastAsia="en-AU"/>
    </w:rPr>
  </w:style>
  <w:style w:type="paragraph" w:customStyle="1" w:styleId="FirstPagePanelFrameLandscape">
    <w:name w:val="First Page Panel Frame Landscape"/>
    <w:basedOn w:val="FirstPagePanelFrame"/>
    <w:qFormat/>
    <w:rsid w:val="00B23771"/>
    <w:pPr>
      <w:framePr w:w="13606" w:wrap="notBeside"/>
    </w:pPr>
  </w:style>
  <w:style w:type="paragraph" w:customStyle="1" w:styleId="Copyright2">
    <w:name w:val="Copyright2"/>
    <w:basedOn w:val="Copyright"/>
    <w:qFormat/>
    <w:rsid w:val="00314A1B"/>
    <w:pPr>
      <w:framePr w:w="8834" w:wrap="around" w:y="11999"/>
    </w:pPr>
    <w:rPr>
      <w:color w:val="A32020" w:themeColor="text2"/>
      <w:lang w:val="en-GB"/>
    </w:rPr>
  </w:style>
  <w:style w:type="table" w:customStyle="1" w:styleId="ListTable3-Accent11">
    <w:name w:val="List Table 3 - Accent 11"/>
    <w:basedOn w:val="TableNormal"/>
    <w:uiPriority w:val="48"/>
    <w:rsid w:val="002D69E9"/>
    <w:tblPr>
      <w:tblStyleRowBandSize w:val="1"/>
      <w:tblStyleColBandSize w:val="1"/>
      <w:tblBorders>
        <w:top w:val="single" w:sz="4" w:space="0" w:color="A32020" w:themeColor="accent1"/>
        <w:left w:val="single" w:sz="4" w:space="0" w:color="A32020" w:themeColor="accent1"/>
        <w:bottom w:val="single" w:sz="4" w:space="0" w:color="A32020" w:themeColor="accent1"/>
        <w:right w:val="single" w:sz="4" w:space="0" w:color="A32020" w:themeColor="accent1"/>
      </w:tblBorders>
    </w:tblPr>
    <w:tblStylePr w:type="firstRow">
      <w:rPr>
        <w:b/>
        <w:bCs/>
        <w:color w:val="FFFFFF" w:themeColor="background1"/>
      </w:rPr>
      <w:tblPr/>
      <w:tcPr>
        <w:shd w:val="clear" w:color="auto" w:fill="A32020" w:themeFill="accent1"/>
      </w:tcPr>
    </w:tblStylePr>
    <w:tblStylePr w:type="lastRow">
      <w:rPr>
        <w:b/>
        <w:bCs/>
      </w:rPr>
      <w:tblPr/>
      <w:tcPr>
        <w:tcBorders>
          <w:top w:val="double" w:sz="4" w:space="0" w:color="A3202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2020" w:themeColor="accent1"/>
          <w:right w:val="single" w:sz="4" w:space="0" w:color="A32020" w:themeColor="accent1"/>
        </w:tcBorders>
      </w:tcPr>
    </w:tblStylePr>
    <w:tblStylePr w:type="band1Horz">
      <w:tblPr/>
      <w:tcPr>
        <w:tcBorders>
          <w:top w:val="single" w:sz="4" w:space="0" w:color="A32020" w:themeColor="accent1"/>
          <w:bottom w:val="single" w:sz="4" w:space="0" w:color="A3202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2020" w:themeColor="accent1"/>
          <w:left w:val="nil"/>
        </w:tcBorders>
      </w:tcPr>
    </w:tblStylePr>
    <w:tblStylePr w:type="swCell">
      <w:tblPr/>
      <w:tcPr>
        <w:tcBorders>
          <w:top w:val="double" w:sz="4" w:space="0" w:color="A32020" w:themeColor="accent1"/>
          <w:right w:val="nil"/>
        </w:tcBorders>
      </w:tcPr>
    </w:tblStylePr>
  </w:style>
  <w:style w:type="character" w:customStyle="1" w:styleId="FootnoteTextChar">
    <w:name w:val="Footnote Text Char"/>
    <w:basedOn w:val="DefaultParagraphFont"/>
    <w:link w:val="FootnoteText"/>
    <w:uiPriority w:val="99"/>
    <w:rsid w:val="002D69E9"/>
    <w:rPr>
      <w:rFonts w:cs="Arial"/>
      <w:snapToGrid w:val="0"/>
      <w:sz w:val="14"/>
      <w:lang w:eastAsia="en-US"/>
    </w:rPr>
  </w:style>
  <w:style w:type="character" w:customStyle="1" w:styleId="Heading6Char">
    <w:name w:val="Heading 6 Char"/>
    <w:basedOn w:val="DefaultParagraphFont"/>
    <w:link w:val="Heading6"/>
    <w:rsid w:val="002D69E9"/>
    <w:rPr>
      <w:rFonts w:asciiTheme="majorHAnsi" w:hAnsiTheme="majorHAnsi" w:cs="Arial"/>
      <w:b/>
      <w:i/>
      <w:iCs/>
      <w:snapToGrid w:val="0"/>
      <w:color w:val="A32020" w:themeColor="text2"/>
      <w:sz w:val="32"/>
      <w:szCs w:val="36"/>
      <w:lang w:eastAsia="en-US"/>
    </w:rPr>
  </w:style>
  <w:style w:type="character" w:customStyle="1" w:styleId="ListParagraphChar">
    <w:name w:val="List Paragraph Char"/>
    <w:basedOn w:val="DefaultParagraphFont"/>
    <w:link w:val="ListParagraph"/>
    <w:uiPriority w:val="34"/>
    <w:locked/>
    <w:rsid w:val="002D69E9"/>
    <w:rPr>
      <w:rFonts w:cs="Arial"/>
      <w:snapToGrid w:val="0"/>
      <w:lang w:eastAsia="en-US"/>
    </w:rPr>
  </w:style>
  <w:style w:type="character" w:customStyle="1" w:styleId="Heading7Char">
    <w:name w:val="Heading 7 Char"/>
    <w:basedOn w:val="DefaultParagraphFont"/>
    <w:link w:val="Heading7"/>
    <w:rsid w:val="002D69E9"/>
    <w:rPr>
      <w:rFonts w:asciiTheme="majorHAnsi" w:hAnsiTheme="majorHAnsi" w:cs="Arial"/>
      <w:i/>
      <w:iCs/>
      <w:snapToGrid w:val="0"/>
      <w:color w:val="A32020" w:themeColor="text2"/>
      <w:sz w:val="28"/>
      <w:szCs w:val="28"/>
      <w:lang w:eastAsia="en-US"/>
    </w:rPr>
  </w:style>
  <w:style w:type="character" w:customStyle="1" w:styleId="Hyperlink1">
    <w:name w:val="Hyperlink1"/>
    <w:basedOn w:val="DefaultParagraphFont"/>
    <w:uiPriority w:val="99"/>
    <w:semiHidden/>
    <w:rsid w:val="00DE6C74"/>
    <w:rPr>
      <w:color w:val="A32020"/>
      <w:u w:val="single"/>
    </w:rPr>
  </w:style>
  <w:style w:type="paragraph" w:customStyle="1" w:styleId="Chapter2">
    <w:name w:val="Chapter 2"/>
    <w:basedOn w:val="PwCNormal"/>
    <w:rsid w:val="006937E8"/>
    <w:pPr>
      <w:numPr>
        <w:numId w:val="0"/>
      </w:numPr>
    </w:pPr>
    <w:rPr>
      <w:lang w:val="en-GB"/>
    </w:rPr>
  </w:style>
  <w:style w:type="character" w:styleId="Strong">
    <w:name w:val="Strong"/>
    <w:basedOn w:val="DefaultParagraphFont"/>
    <w:uiPriority w:val="22"/>
    <w:qFormat/>
    <w:rsid w:val="006937E8"/>
    <w:rPr>
      <w:b/>
      <w:bCs/>
    </w:rPr>
  </w:style>
  <w:style w:type="table" w:customStyle="1" w:styleId="ListTable3-Accent12">
    <w:name w:val="List Table 3 - Accent 12"/>
    <w:basedOn w:val="TableNormal"/>
    <w:next w:val="ListTable3-Accent11"/>
    <w:uiPriority w:val="48"/>
    <w:rsid w:val="006937E8"/>
    <w:tblPr>
      <w:tblStyleRowBandSize w:val="1"/>
      <w:tblStyleColBandSize w:val="1"/>
      <w:tblBorders>
        <w:top w:val="single" w:sz="4" w:space="0" w:color="A32020" w:themeColor="accent1"/>
        <w:left w:val="single" w:sz="4" w:space="0" w:color="A32020" w:themeColor="accent1"/>
        <w:bottom w:val="single" w:sz="4" w:space="0" w:color="A32020" w:themeColor="accent1"/>
        <w:right w:val="single" w:sz="4" w:space="0" w:color="A32020" w:themeColor="accent1"/>
      </w:tblBorders>
    </w:tblPr>
    <w:tblStylePr w:type="firstRow">
      <w:rPr>
        <w:b/>
        <w:bCs/>
        <w:color w:val="FFFFFF" w:themeColor="background1"/>
      </w:rPr>
      <w:tblPr/>
      <w:tcPr>
        <w:shd w:val="clear" w:color="auto" w:fill="A32020" w:themeFill="accent1"/>
      </w:tcPr>
    </w:tblStylePr>
    <w:tblStylePr w:type="lastRow">
      <w:rPr>
        <w:b/>
        <w:bCs/>
      </w:rPr>
      <w:tblPr/>
      <w:tcPr>
        <w:tcBorders>
          <w:top w:val="double" w:sz="4" w:space="0" w:color="A3202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2020" w:themeColor="accent1"/>
          <w:right w:val="single" w:sz="4" w:space="0" w:color="A32020" w:themeColor="accent1"/>
        </w:tcBorders>
      </w:tcPr>
    </w:tblStylePr>
    <w:tblStylePr w:type="band1Horz">
      <w:tblPr/>
      <w:tcPr>
        <w:tcBorders>
          <w:top w:val="single" w:sz="4" w:space="0" w:color="A32020" w:themeColor="accent1"/>
          <w:bottom w:val="single" w:sz="4" w:space="0" w:color="A3202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2020" w:themeColor="accent1"/>
          <w:left w:val="nil"/>
        </w:tcBorders>
      </w:tcPr>
    </w:tblStylePr>
    <w:tblStylePr w:type="swCell">
      <w:tblPr/>
      <w:tcPr>
        <w:tcBorders>
          <w:top w:val="double" w:sz="4" w:space="0" w:color="A32020" w:themeColor="accent1"/>
          <w:right w:val="nil"/>
        </w:tcBorders>
      </w:tcPr>
    </w:tblStylePr>
  </w:style>
  <w:style w:type="table" w:customStyle="1" w:styleId="ListTable3-Accent13">
    <w:name w:val="List Table 3 - Accent 13"/>
    <w:basedOn w:val="TableNormal"/>
    <w:next w:val="ListTable3-Accent11"/>
    <w:uiPriority w:val="48"/>
    <w:rsid w:val="006937E8"/>
    <w:tblPr>
      <w:tblStyleRowBandSize w:val="1"/>
      <w:tblStyleColBandSize w:val="1"/>
      <w:tblBorders>
        <w:top w:val="single" w:sz="4" w:space="0" w:color="A32020" w:themeColor="accent1"/>
        <w:left w:val="single" w:sz="4" w:space="0" w:color="A32020" w:themeColor="accent1"/>
        <w:bottom w:val="single" w:sz="4" w:space="0" w:color="A32020" w:themeColor="accent1"/>
        <w:right w:val="single" w:sz="4" w:space="0" w:color="A32020" w:themeColor="accent1"/>
      </w:tblBorders>
    </w:tblPr>
    <w:tblStylePr w:type="firstRow">
      <w:rPr>
        <w:b/>
        <w:bCs/>
        <w:color w:val="FFFFFF" w:themeColor="background1"/>
      </w:rPr>
      <w:tblPr/>
      <w:tcPr>
        <w:shd w:val="clear" w:color="auto" w:fill="A32020" w:themeFill="accent1"/>
      </w:tcPr>
    </w:tblStylePr>
    <w:tblStylePr w:type="lastRow">
      <w:rPr>
        <w:b/>
        <w:bCs/>
      </w:rPr>
      <w:tblPr/>
      <w:tcPr>
        <w:tcBorders>
          <w:top w:val="double" w:sz="4" w:space="0" w:color="A3202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2020" w:themeColor="accent1"/>
          <w:right w:val="single" w:sz="4" w:space="0" w:color="A32020" w:themeColor="accent1"/>
        </w:tcBorders>
      </w:tcPr>
    </w:tblStylePr>
    <w:tblStylePr w:type="band1Horz">
      <w:tblPr/>
      <w:tcPr>
        <w:tcBorders>
          <w:top w:val="single" w:sz="4" w:space="0" w:color="A32020" w:themeColor="accent1"/>
          <w:bottom w:val="single" w:sz="4" w:space="0" w:color="A3202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2020" w:themeColor="accent1"/>
          <w:left w:val="nil"/>
        </w:tcBorders>
      </w:tcPr>
    </w:tblStylePr>
    <w:tblStylePr w:type="swCell">
      <w:tblPr/>
      <w:tcPr>
        <w:tcBorders>
          <w:top w:val="double" w:sz="4" w:space="0" w:color="A32020" w:themeColor="accent1"/>
          <w:right w:val="nil"/>
        </w:tcBorders>
      </w:tcPr>
    </w:tblStylePr>
  </w:style>
  <w:style w:type="paragraph" w:styleId="Revision">
    <w:name w:val="Revision"/>
    <w:hidden/>
    <w:uiPriority w:val="99"/>
    <w:semiHidden/>
    <w:rsid w:val="006937E8"/>
    <w:rPr>
      <w:rFonts w:cs="Arial"/>
      <w:snapToGrid w:val="0"/>
      <w:lang w:eastAsia="en-US"/>
    </w:rPr>
  </w:style>
  <w:style w:type="paragraph" w:customStyle="1" w:styleId="m3222568362424831909gmail-msolistparagraph">
    <w:name w:val="m_3222568362424831909gmail-msolistparagraph"/>
    <w:basedOn w:val="Normal"/>
    <w:rsid w:val="006937E8"/>
    <w:pPr>
      <w:kinsoku/>
      <w:overflowPunct/>
      <w:autoSpaceDE/>
      <w:autoSpaceDN/>
      <w:adjustRightInd/>
      <w:snapToGrid/>
      <w:spacing w:before="100" w:beforeAutospacing="1" w:after="100" w:afterAutospacing="1"/>
    </w:pPr>
    <w:rPr>
      <w:rFonts w:ascii="Times New Roman" w:hAnsi="Times New Roman" w:cs="Times New Roman"/>
      <w:snapToGrid/>
      <w:sz w:val="24"/>
      <w:szCs w:val="24"/>
      <w:lang w:eastAsia="en-AU"/>
    </w:rPr>
  </w:style>
  <w:style w:type="character" w:customStyle="1" w:styleId="apple-converted-space">
    <w:name w:val="apple-converted-space"/>
    <w:basedOn w:val="DefaultParagraphFont"/>
    <w:rsid w:val="006937E8"/>
  </w:style>
  <w:style w:type="paragraph" w:customStyle="1" w:styleId="ChapterHeadingShort1">
    <w:name w:val="Chapter Heading (Short)1"/>
    <w:basedOn w:val="Normal"/>
    <w:next w:val="Normal"/>
    <w:qFormat/>
    <w:rsid w:val="006937E8"/>
    <w:pPr>
      <w:keepNext/>
      <w:keepLines/>
      <w:pageBreakBefore/>
      <w:tabs>
        <w:tab w:val="num" w:pos="360"/>
      </w:tabs>
      <w:spacing w:after="480" w:line="600" w:lineRule="atLeast"/>
      <w:outlineLvl w:val="1"/>
    </w:pPr>
    <w:rPr>
      <w:b/>
      <w:bCs/>
      <w:i/>
      <w:iCs/>
      <w:color w:val="000000"/>
      <w:sz w:val="56"/>
      <w:szCs w:val="36"/>
    </w:rPr>
  </w:style>
  <w:style w:type="paragraph" w:customStyle="1" w:styleId="Heading61">
    <w:name w:val="Heading 61"/>
    <w:basedOn w:val="Heading2"/>
    <w:next w:val="Normal"/>
    <w:qFormat/>
    <w:rsid w:val="006937E8"/>
    <w:pPr>
      <w:pageBreakBefore w:val="0"/>
      <w:numPr>
        <w:ilvl w:val="0"/>
        <w:numId w:val="0"/>
      </w:numPr>
      <w:tabs>
        <w:tab w:val="num" w:pos="360"/>
      </w:tabs>
      <w:spacing w:after="40" w:line="240" w:lineRule="auto"/>
      <w:outlineLvl w:val="5"/>
    </w:pPr>
    <w:rPr>
      <w:bCs w:val="0"/>
      <w:color w:val="A32020"/>
      <w:sz w:val="32"/>
    </w:rPr>
  </w:style>
  <w:style w:type="table" w:customStyle="1" w:styleId="ListTable3-Accent14">
    <w:name w:val="List Table 3 - Accent 14"/>
    <w:basedOn w:val="TableNormal"/>
    <w:uiPriority w:val="48"/>
    <w:rsid w:val="006937E8"/>
    <w:rPr>
      <w:rFonts w:eastAsiaTheme="minorHAnsi" w:cstheme="minorBidi"/>
      <w:szCs w:val="22"/>
      <w:lang w:val="en-US" w:eastAsia="en-US"/>
    </w:rPr>
    <w:tblPr>
      <w:tblStyleRowBandSize w:val="1"/>
      <w:tblStyleColBandSize w:val="1"/>
      <w:tblBorders>
        <w:top w:val="single" w:sz="4" w:space="0" w:color="A32020" w:themeColor="accent1"/>
        <w:left w:val="single" w:sz="4" w:space="0" w:color="A32020" w:themeColor="accent1"/>
        <w:bottom w:val="single" w:sz="4" w:space="0" w:color="A32020" w:themeColor="accent1"/>
        <w:right w:val="single" w:sz="4" w:space="0" w:color="A32020" w:themeColor="accent1"/>
      </w:tblBorders>
    </w:tblPr>
    <w:tblStylePr w:type="firstRow">
      <w:rPr>
        <w:b/>
        <w:bCs/>
        <w:color w:val="FFFFFF" w:themeColor="background1"/>
      </w:rPr>
      <w:tblPr/>
      <w:tcPr>
        <w:shd w:val="clear" w:color="auto" w:fill="A32020" w:themeFill="accent1"/>
      </w:tcPr>
    </w:tblStylePr>
    <w:tblStylePr w:type="lastRow">
      <w:rPr>
        <w:b/>
        <w:bCs/>
      </w:rPr>
      <w:tblPr/>
      <w:tcPr>
        <w:tcBorders>
          <w:top w:val="double" w:sz="4" w:space="0" w:color="A3202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2020" w:themeColor="accent1"/>
          <w:right w:val="single" w:sz="4" w:space="0" w:color="A32020" w:themeColor="accent1"/>
        </w:tcBorders>
      </w:tcPr>
    </w:tblStylePr>
    <w:tblStylePr w:type="band1Horz">
      <w:tblPr/>
      <w:tcPr>
        <w:tcBorders>
          <w:top w:val="single" w:sz="4" w:space="0" w:color="A32020" w:themeColor="accent1"/>
          <w:bottom w:val="single" w:sz="4" w:space="0" w:color="A3202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2020" w:themeColor="accent1"/>
          <w:left w:val="nil"/>
        </w:tcBorders>
      </w:tcPr>
    </w:tblStylePr>
    <w:tblStylePr w:type="swCell">
      <w:tblPr/>
      <w:tcPr>
        <w:tcBorders>
          <w:top w:val="double" w:sz="4" w:space="0" w:color="A32020" w:themeColor="accent1"/>
          <w:right w:val="nil"/>
        </w:tcBorders>
      </w:tcPr>
    </w:tblStylePr>
  </w:style>
  <w:style w:type="numbering" w:customStyle="1" w:styleId="Indents1">
    <w:name w:val="Indents1"/>
    <w:rsid w:val="006937E8"/>
    <w:pPr>
      <w:numPr>
        <w:numId w:val="4"/>
      </w:numPr>
    </w:pPr>
  </w:style>
  <w:style w:type="table" w:customStyle="1" w:styleId="ListTable3-Accent51">
    <w:name w:val="List Table 3 - Accent 51"/>
    <w:basedOn w:val="TableNormal"/>
    <w:next w:val="ListTable3-Accent52"/>
    <w:uiPriority w:val="48"/>
    <w:rsid w:val="006937E8"/>
    <w:rPr>
      <w:rFonts w:eastAsia="Arial"/>
      <w:szCs w:val="22"/>
      <w:lang w:val="en-US" w:eastAsia="en-US"/>
    </w:rPr>
    <w:tblPr>
      <w:tblStyleRowBandSize w:val="1"/>
      <w:tblStyleColBandSize w:val="1"/>
      <w:tblBorders>
        <w:top w:val="single" w:sz="4" w:space="0" w:color="A32020"/>
        <w:left w:val="single" w:sz="4" w:space="0" w:color="A32020"/>
        <w:bottom w:val="single" w:sz="4" w:space="0" w:color="A32020"/>
        <w:right w:val="single" w:sz="4" w:space="0" w:color="A32020"/>
      </w:tblBorders>
    </w:tblPr>
    <w:tblStylePr w:type="firstRow">
      <w:rPr>
        <w:b/>
        <w:bCs/>
        <w:color w:val="FFFFFF"/>
      </w:rPr>
      <w:tblPr/>
      <w:tcPr>
        <w:shd w:val="clear" w:color="auto" w:fill="A32020"/>
      </w:tcPr>
    </w:tblStylePr>
    <w:tblStylePr w:type="lastRow">
      <w:rPr>
        <w:b/>
        <w:bCs/>
      </w:rPr>
      <w:tblPr/>
      <w:tcPr>
        <w:tcBorders>
          <w:top w:val="double" w:sz="4" w:space="0" w:color="A3202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32020"/>
          <w:right w:val="single" w:sz="4" w:space="0" w:color="A32020"/>
        </w:tcBorders>
      </w:tcPr>
    </w:tblStylePr>
    <w:tblStylePr w:type="band1Horz">
      <w:tblPr/>
      <w:tcPr>
        <w:tcBorders>
          <w:top w:val="single" w:sz="4" w:space="0" w:color="A32020"/>
          <w:bottom w:val="single" w:sz="4" w:space="0" w:color="A3202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2020"/>
          <w:left w:val="nil"/>
        </w:tcBorders>
      </w:tcPr>
    </w:tblStylePr>
    <w:tblStylePr w:type="swCell">
      <w:tblPr/>
      <w:tcPr>
        <w:tcBorders>
          <w:top w:val="double" w:sz="4" w:space="0" w:color="A32020"/>
          <w:right w:val="nil"/>
        </w:tcBorders>
      </w:tcPr>
    </w:tblStylePr>
  </w:style>
  <w:style w:type="table" w:customStyle="1" w:styleId="ListTable3-Accent52">
    <w:name w:val="List Table 3 - Accent 52"/>
    <w:basedOn w:val="TableNormal"/>
    <w:uiPriority w:val="48"/>
    <w:rsid w:val="006937E8"/>
    <w:tblPr>
      <w:tblStyleRowBandSize w:val="1"/>
      <w:tblStyleColBandSize w:val="1"/>
      <w:tblBorders>
        <w:top w:val="single" w:sz="4" w:space="0" w:color="DC6900" w:themeColor="accent5"/>
        <w:left w:val="single" w:sz="4" w:space="0" w:color="DC6900" w:themeColor="accent5"/>
        <w:bottom w:val="single" w:sz="4" w:space="0" w:color="DC6900" w:themeColor="accent5"/>
        <w:right w:val="single" w:sz="4" w:space="0" w:color="DC6900" w:themeColor="accent5"/>
      </w:tblBorders>
    </w:tblPr>
    <w:tblStylePr w:type="firstRow">
      <w:rPr>
        <w:b/>
        <w:bCs/>
        <w:color w:val="FFFFFF" w:themeColor="background1"/>
      </w:rPr>
      <w:tblPr/>
      <w:tcPr>
        <w:shd w:val="clear" w:color="auto" w:fill="DC6900" w:themeFill="accent5"/>
      </w:tcPr>
    </w:tblStylePr>
    <w:tblStylePr w:type="lastRow">
      <w:rPr>
        <w:b/>
        <w:bCs/>
      </w:rPr>
      <w:tblPr/>
      <w:tcPr>
        <w:tcBorders>
          <w:top w:val="double" w:sz="4" w:space="0" w:color="DC69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C6900" w:themeColor="accent5"/>
          <w:right w:val="single" w:sz="4" w:space="0" w:color="DC6900" w:themeColor="accent5"/>
        </w:tcBorders>
      </w:tcPr>
    </w:tblStylePr>
    <w:tblStylePr w:type="band1Horz">
      <w:tblPr/>
      <w:tcPr>
        <w:tcBorders>
          <w:top w:val="single" w:sz="4" w:space="0" w:color="DC6900" w:themeColor="accent5"/>
          <w:bottom w:val="single" w:sz="4" w:space="0" w:color="DC69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6900" w:themeColor="accent5"/>
          <w:left w:val="nil"/>
        </w:tcBorders>
      </w:tcPr>
    </w:tblStylePr>
    <w:tblStylePr w:type="swCell">
      <w:tblPr/>
      <w:tcPr>
        <w:tcBorders>
          <w:top w:val="double" w:sz="4" w:space="0" w:color="DC6900" w:themeColor="accent5"/>
          <w:right w:val="nil"/>
        </w:tcBorders>
      </w:tcPr>
    </w:tblStylePr>
  </w:style>
  <w:style w:type="paragraph" w:customStyle="1" w:styleId="AppendixHeadingShort1">
    <w:name w:val="Appendix Heading (Short)1"/>
    <w:basedOn w:val="Heading2"/>
    <w:next w:val="Normal"/>
    <w:qFormat/>
    <w:rsid w:val="006937E8"/>
    <w:pPr>
      <w:pageBreakBefore w:val="0"/>
      <w:numPr>
        <w:ilvl w:val="0"/>
        <w:numId w:val="0"/>
      </w:numPr>
      <w:tabs>
        <w:tab w:val="num" w:pos="360"/>
      </w:tabs>
      <w:outlineLvl w:val="3"/>
    </w:pPr>
    <w:rPr>
      <w:bCs w:val="0"/>
      <w:snapToGrid/>
      <w:color w:val="000000"/>
    </w:rPr>
  </w:style>
  <w:style w:type="paragraph" w:customStyle="1" w:styleId="Heading71">
    <w:name w:val="Heading 71"/>
    <w:basedOn w:val="Heading6"/>
    <w:next w:val="Normal"/>
    <w:qFormat/>
    <w:rsid w:val="006937E8"/>
    <w:pPr>
      <w:numPr>
        <w:ilvl w:val="0"/>
        <w:numId w:val="0"/>
      </w:numPr>
      <w:tabs>
        <w:tab w:val="num" w:pos="360"/>
      </w:tabs>
      <w:outlineLvl w:val="6"/>
    </w:pPr>
    <w:rPr>
      <w:b w:val="0"/>
      <w:snapToGrid/>
      <w:color w:val="A32020"/>
      <w:sz w:val="28"/>
      <w:szCs w:val="28"/>
    </w:rPr>
  </w:style>
  <w:style w:type="paragraph" w:customStyle="1" w:styleId="Heading81">
    <w:name w:val="Heading 81"/>
    <w:basedOn w:val="Normal"/>
    <w:next w:val="Normal"/>
    <w:qFormat/>
    <w:rsid w:val="006937E8"/>
    <w:pPr>
      <w:keepNext/>
      <w:keepLines/>
      <w:tabs>
        <w:tab w:val="num" w:pos="360"/>
        <w:tab w:val="num" w:pos="567"/>
      </w:tabs>
      <w:spacing w:before="240" w:after="40"/>
      <w:outlineLvl w:val="7"/>
    </w:pPr>
    <w:rPr>
      <w:b/>
      <w:i/>
      <w:snapToGrid/>
      <w:color w:val="A32020"/>
      <w:sz w:val="32"/>
      <w:szCs w:val="21"/>
    </w:rPr>
  </w:style>
  <w:style w:type="paragraph" w:customStyle="1" w:styleId="TableTextQuotes">
    <w:name w:val="Table Text Quotes"/>
    <w:basedOn w:val="TableTextNormal"/>
    <w:qFormat/>
    <w:rsid w:val="006937E8"/>
    <w:pPr>
      <w:spacing w:before="120" w:after="6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02975">
      <w:bodyDiv w:val="1"/>
      <w:marLeft w:val="0"/>
      <w:marRight w:val="0"/>
      <w:marTop w:val="0"/>
      <w:marBottom w:val="0"/>
      <w:divBdr>
        <w:top w:val="none" w:sz="0" w:space="0" w:color="auto"/>
        <w:left w:val="none" w:sz="0" w:space="0" w:color="auto"/>
        <w:bottom w:val="none" w:sz="0" w:space="0" w:color="auto"/>
        <w:right w:val="none" w:sz="0" w:space="0" w:color="auto"/>
      </w:divBdr>
      <w:divsChild>
        <w:div w:id="506554302">
          <w:marLeft w:val="0"/>
          <w:marRight w:val="0"/>
          <w:marTop w:val="0"/>
          <w:marBottom w:val="0"/>
          <w:divBdr>
            <w:top w:val="none" w:sz="0" w:space="0" w:color="auto"/>
            <w:left w:val="none" w:sz="0" w:space="0" w:color="auto"/>
            <w:bottom w:val="none" w:sz="0" w:space="0" w:color="auto"/>
            <w:right w:val="none" w:sz="0" w:space="0" w:color="auto"/>
          </w:divBdr>
          <w:divsChild>
            <w:div w:id="15845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5319">
      <w:bodyDiv w:val="1"/>
      <w:marLeft w:val="0"/>
      <w:marRight w:val="0"/>
      <w:marTop w:val="0"/>
      <w:marBottom w:val="0"/>
      <w:divBdr>
        <w:top w:val="none" w:sz="0" w:space="0" w:color="auto"/>
        <w:left w:val="none" w:sz="0" w:space="0" w:color="auto"/>
        <w:bottom w:val="none" w:sz="0" w:space="0" w:color="auto"/>
        <w:right w:val="none" w:sz="0" w:space="0" w:color="auto"/>
      </w:divBdr>
    </w:div>
    <w:div w:id="195504937">
      <w:bodyDiv w:val="1"/>
      <w:marLeft w:val="0"/>
      <w:marRight w:val="0"/>
      <w:marTop w:val="0"/>
      <w:marBottom w:val="0"/>
      <w:divBdr>
        <w:top w:val="none" w:sz="0" w:space="0" w:color="auto"/>
        <w:left w:val="none" w:sz="0" w:space="0" w:color="auto"/>
        <w:bottom w:val="none" w:sz="0" w:space="0" w:color="auto"/>
        <w:right w:val="none" w:sz="0" w:space="0" w:color="auto"/>
      </w:divBdr>
      <w:divsChild>
        <w:div w:id="461579500">
          <w:marLeft w:val="0"/>
          <w:marRight w:val="0"/>
          <w:marTop w:val="0"/>
          <w:marBottom w:val="0"/>
          <w:divBdr>
            <w:top w:val="none" w:sz="0" w:space="0" w:color="auto"/>
            <w:left w:val="none" w:sz="0" w:space="0" w:color="auto"/>
            <w:bottom w:val="none" w:sz="0" w:space="0" w:color="auto"/>
            <w:right w:val="none" w:sz="0" w:space="0" w:color="auto"/>
          </w:divBdr>
          <w:divsChild>
            <w:div w:id="17596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3778">
      <w:bodyDiv w:val="1"/>
      <w:marLeft w:val="0"/>
      <w:marRight w:val="0"/>
      <w:marTop w:val="0"/>
      <w:marBottom w:val="0"/>
      <w:divBdr>
        <w:top w:val="none" w:sz="0" w:space="0" w:color="auto"/>
        <w:left w:val="none" w:sz="0" w:space="0" w:color="auto"/>
        <w:bottom w:val="none" w:sz="0" w:space="0" w:color="auto"/>
        <w:right w:val="none" w:sz="0" w:space="0" w:color="auto"/>
      </w:divBdr>
      <w:divsChild>
        <w:div w:id="1878200425">
          <w:marLeft w:val="0"/>
          <w:marRight w:val="0"/>
          <w:marTop w:val="0"/>
          <w:marBottom w:val="0"/>
          <w:divBdr>
            <w:top w:val="none" w:sz="0" w:space="0" w:color="auto"/>
            <w:left w:val="none" w:sz="0" w:space="0" w:color="auto"/>
            <w:bottom w:val="none" w:sz="0" w:space="0" w:color="auto"/>
            <w:right w:val="none" w:sz="0" w:space="0" w:color="auto"/>
          </w:divBdr>
          <w:divsChild>
            <w:div w:id="19360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440">
      <w:bodyDiv w:val="1"/>
      <w:marLeft w:val="0"/>
      <w:marRight w:val="0"/>
      <w:marTop w:val="0"/>
      <w:marBottom w:val="0"/>
      <w:divBdr>
        <w:top w:val="none" w:sz="0" w:space="0" w:color="auto"/>
        <w:left w:val="none" w:sz="0" w:space="0" w:color="auto"/>
        <w:bottom w:val="none" w:sz="0" w:space="0" w:color="auto"/>
        <w:right w:val="none" w:sz="0" w:space="0" w:color="auto"/>
      </w:divBdr>
    </w:div>
    <w:div w:id="600533514">
      <w:bodyDiv w:val="1"/>
      <w:marLeft w:val="0"/>
      <w:marRight w:val="0"/>
      <w:marTop w:val="0"/>
      <w:marBottom w:val="0"/>
      <w:divBdr>
        <w:top w:val="none" w:sz="0" w:space="0" w:color="auto"/>
        <w:left w:val="none" w:sz="0" w:space="0" w:color="auto"/>
        <w:bottom w:val="none" w:sz="0" w:space="0" w:color="auto"/>
        <w:right w:val="none" w:sz="0" w:space="0" w:color="auto"/>
      </w:divBdr>
    </w:div>
    <w:div w:id="856499732">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1101682984">
      <w:bodyDiv w:val="1"/>
      <w:marLeft w:val="0"/>
      <w:marRight w:val="0"/>
      <w:marTop w:val="0"/>
      <w:marBottom w:val="0"/>
      <w:divBdr>
        <w:top w:val="none" w:sz="0" w:space="0" w:color="auto"/>
        <w:left w:val="none" w:sz="0" w:space="0" w:color="auto"/>
        <w:bottom w:val="none" w:sz="0" w:space="0" w:color="auto"/>
        <w:right w:val="none" w:sz="0" w:space="0" w:color="auto"/>
      </w:divBdr>
    </w:div>
    <w:div w:id="1239825683">
      <w:bodyDiv w:val="1"/>
      <w:marLeft w:val="0"/>
      <w:marRight w:val="0"/>
      <w:marTop w:val="0"/>
      <w:marBottom w:val="0"/>
      <w:divBdr>
        <w:top w:val="none" w:sz="0" w:space="0" w:color="auto"/>
        <w:left w:val="none" w:sz="0" w:space="0" w:color="auto"/>
        <w:bottom w:val="none" w:sz="0" w:space="0" w:color="auto"/>
        <w:right w:val="none" w:sz="0" w:space="0" w:color="auto"/>
      </w:divBdr>
    </w:div>
    <w:div w:id="1453594373">
      <w:bodyDiv w:val="1"/>
      <w:marLeft w:val="0"/>
      <w:marRight w:val="0"/>
      <w:marTop w:val="0"/>
      <w:marBottom w:val="0"/>
      <w:divBdr>
        <w:top w:val="none" w:sz="0" w:space="0" w:color="auto"/>
        <w:left w:val="none" w:sz="0" w:space="0" w:color="auto"/>
        <w:bottom w:val="none" w:sz="0" w:space="0" w:color="auto"/>
        <w:right w:val="none" w:sz="0" w:space="0" w:color="auto"/>
      </w:divBdr>
    </w:div>
    <w:div w:id="1974940068">
      <w:bodyDiv w:val="1"/>
      <w:marLeft w:val="0"/>
      <w:marRight w:val="0"/>
      <w:marTop w:val="0"/>
      <w:marBottom w:val="0"/>
      <w:divBdr>
        <w:top w:val="none" w:sz="0" w:space="0" w:color="auto"/>
        <w:left w:val="none" w:sz="0" w:space="0" w:color="auto"/>
        <w:bottom w:val="none" w:sz="0" w:space="0" w:color="auto"/>
        <w:right w:val="none" w:sz="0" w:space="0" w:color="auto"/>
      </w:divBdr>
    </w:div>
    <w:div w:id="207018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44.xml"/><Relationship Id="rId21" Type="http://schemas.openxmlformats.org/officeDocument/2006/relationships/footer" Target="footer3.xml"/><Relationship Id="rId42" Type="http://schemas.openxmlformats.org/officeDocument/2006/relationships/footer" Target="footer12.xml"/><Relationship Id="rId47" Type="http://schemas.openxmlformats.org/officeDocument/2006/relationships/image" Target="media/image12.emf"/><Relationship Id="rId63" Type="http://schemas.openxmlformats.org/officeDocument/2006/relationships/header" Target="header23.xml"/><Relationship Id="rId68" Type="http://schemas.openxmlformats.org/officeDocument/2006/relationships/header" Target="header25.xml"/><Relationship Id="rId84" Type="http://schemas.openxmlformats.org/officeDocument/2006/relationships/header" Target="header32.xml"/><Relationship Id="rId89" Type="http://schemas.openxmlformats.org/officeDocument/2006/relationships/image" Target="media/image18.emf"/><Relationship Id="rId112" Type="http://schemas.openxmlformats.org/officeDocument/2006/relationships/footer" Target="footer41.xml"/><Relationship Id="rId16" Type="http://schemas.openxmlformats.org/officeDocument/2006/relationships/image" Target="media/image4.emf"/><Relationship Id="rId107" Type="http://schemas.openxmlformats.org/officeDocument/2006/relationships/footer" Target="footer38.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9.emf"/><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footer" Target="footer14.xml"/><Relationship Id="rId53" Type="http://schemas.openxmlformats.org/officeDocument/2006/relationships/footer" Target="footer17.xml"/><Relationship Id="rId58" Type="http://schemas.openxmlformats.org/officeDocument/2006/relationships/footer" Target="footer19.xml"/><Relationship Id="rId66" Type="http://schemas.openxmlformats.org/officeDocument/2006/relationships/header" Target="header24.xml"/><Relationship Id="rId74" Type="http://schemas.openxmlformats.org/officeDocument/2006/relationships/image" Target="media/image15.emf"/><Relationship Id="rId79" Type="http://schemas.openxmlformats.org/officeDocument/2006/relationships/footer" Target="footer28.xml"/><Relationship Id="rId87" Type="http://schemas.openxmlformats.org/officeDocument/2006/relationships/header" Target="header33.xml"/><Relationship Id="rId102" Type="http://schemas.openxmlformats.org/officeDocument/2006/relationships/header" Target="header37.xml"/><Relationship Id="rId110" Type="http://schemas.openxmlformats.org/officeDocument/2006/relationships/footer" Target="footer40.xml"/><Relationship Id="rId115" Type="http://schemas.openxmlformats.org/officeDocument/2006/relationships/footer" Target="footer42.xml"/><Relationship Id="rId5" Type="http://schemas.openxmlformats.org/officeDocument/2006/relationships/webSettings" Target="webSettings.xml"/><Relationship Id="rId61" Type="http://schemas.openxmlformats.org/officeDocument/2006/relationships/image" Target="media/image14.emf"/><Relationship Id="rId82" Type="http://schemas.openxmlformats.org/officeDocument/2006/relationships/image" Target="media/image17.emf"/><Relationship Id="rId90" Type="http://schemas.openxmlformats.org/officeDocument/2006/relationships/chart" Target="charts/chart2.xml"/><Relationship Id="rId95" Type="http://schemas.openxmlformats.org/officeDocument/2006/relationships/footer" Target="footer33.xml"/><Relationship Id="rId19" Type="http://schemas.openxmlformats.org/officeDocument/2006/relationships/header" Target="header4.xml"/><Relationship Id="rId14" Type="http://schemas.openxmlformats.org/officeDocument/2006/relationships/chart" Target="charts/chart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eader" Target="header16.xml"/><Relationship Id="rId56" Type="http://schemas.openxmlformats.org/officeDocument/2006/relationships/header" Target="header20.xml"/><Relationship Id="rId64" Type="http://schemas.openxmlformats.org/officeDocument/2006/relationships/footer" Target="footer21.xml"/><Relationship Id="rId69" Type="http://schemas.openxmlformats.org/officeDocument/2006/relationships/header" Target="header26.xml"/><Relationship Id="rId77" Type="http://schemas.openxmlformats.org/officeDocument/2006/relationships/header" Target="header29.xml"/><Relationship Id="rId100" Type="http://schemas.openxmlformats.org/officeDocument/2006/relationships/image" Target="media/image20.emf"/><Relationship Id="rId105" Type="http://schemas.openxmlformats.org/officeDocument/2006/relationships/footer" Target="footer37.xml"/><Relationship Id="rId113" Type="http://schemas.openxmlformats.org/officeDocument/2006/relationships/header" Target="header42.xml"/><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header" Target="header27.xml"/><Relationship Id="rId80" Type="http://schemas.openxmlformats.org/officeDocument/2006/relationships/header" Target="header30.xml"/><Relationship Id="rId85" Type="http://schemas.openxmlformats.org/officeDocument/2006/relationships/footer" Target="footer30.xml"/><Relationship Id="rId93" Type="http://schemas.openxmlformats.org/officeDocument/2006/relationships/header" Target="header34.xml"/><Relationship Id="rId98" Type="http://schemas.openxmlformats.org/officeDocument/2006/relationships/footer" Target="footer3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image" Target="media/image11.emf"/><Relationship Id="rId59" Type="http://schemas.openxmlformats.org/officeDocument/2006/relationships/header" Target="header21.xml"/><Relationship Id="rId67" Type="http://schemas.openxmlformats.org/officeDocument/2006/relationships/footer" Target="footer23.xml"/><Relationship Id="rId103" Type="http://schemas.openxmlformats.org/officeDocument/2006/relationships/header" Target="header38.xml"/><Relationship Id="rId108" Type="http://schemas.openxmlformats.org/officeDocument/2006/relationships/header" Target="header40.xml"/><Relationship Id="rId116" Type="http://schemas.openxmlformats.org/officeDocument/2006/relationships/footer" Target="footer43.xml"/><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image" Target="media/image13.emf"/><Relationship Id="rId62" Type="http://schemas.openxmlformats.org/officeDocument/2006/relationships/header" Target="header22.xml"/><Relationship Id="rId70" Type="http://schemas.openxmlformats.org/officeDocument/2006/relationships/footer" Target="footer24.xml"/><Relationship Id="rId75" Type="http://schemas.openxmlformats.org/officeDocument/2006/relationships/image" Target="media/image16.emf"/><Relationship Id="rId83" Type="http://schemas.openxmlformats.org/officeDocument/2006/relationships/header" Target="header31.xml"/><Relationship Id="rId88" Type="http://schemas.openxmlformats.org/officeDocument/2006/relationships/footer" Target="footer32.xml"/><Relationship Id="rId91" Type="http://schemas.openxmlformats.org/officeDocument/2006/relationships/chart" Target="charts/chart3.xml"/><Relationship Id="rId96" Type="http://schemas.openxmlformats.org/officeDocument/2006/relationships/footer" Target="footer34.xml"/><Relationship Id="rId111"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header" Target="header17.xml"/><Relationship Id="rId57" Type="http://schemas.openxmlformats.org/officeDocument/2006/relationships/footer" Target="footer18.xml"/><Relationship Id="rId106" Type="http://schemas.openxmlformats.org/officeDocument/2006/relationships/header" Target="header39.xml"/><Relationship Id="rId114" Type="http://schemas.openxmlformats.org/officeDocument/2006/relationships/header" Target="header43.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header" Target="header15.xml"/><Relationship Id="rId52" Type="http://schemas.openxmlformats.org/officeDocument/2006/relationships/header" Target="header18.xml"/><Relationship Id="rId60" Type="http://schemas.openxmlformats.org/officeDocument/2006/relationships/footer" Target="footer20.xm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footer" Target="footer27.xml"/><Relationship Id="rId81" Type="http://schemas.openxmlformats.org/officeDocument/2006/relationships/footer" Target="footer29.xml"/><Relationship Id="rId86" Type="http://schemas.openxmlformats.org/officeDocument/2006/relationships/footer" Target="footer31.xml"/><Relationship Id="rId94" Type="http://schemas.openxmlformats.org/officeDocument/2006/relationships/header" Target="header35.xml"/><Relationship Id="rId99" Type="http://schemas.openxmlformats.org/officeDocument/2006/relationships/image" Target="media/image19.emf"/><Relationship Id="rId10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image" Target="media/image6.emf"/><Relationship Id="rId39" Type="http://schemas.openxmlformats.org/officeDocument/2006/relationships/image" Target="media/image10.emf"/><Relationship Id="rId109" Type="http://schemas.openxmlformats.org/officeDocument/2006/relationships/footer" Target="footer39.xml"/><Relationship Id="rId34" Type="http://schemas.openxmlformats.org/officeDocument/2006/relationships/header" Target="header11.xml"/><Relationship Id="rId50" Type="http://schemas.openxmlformats.org/officeDocument/2006/relationships/footer" Target="footer15.xml"/><Relationship Id="rId55" Type="http://schemas.openxmlformats.org/officeDocument/2006/relationships/header" Target="header19.xml"/><Relationship Id="rId76" Type="http://schemas.openxmlformats.org/officeDocument/2006/relationships/header" Target="header28.xml"/><Relationship Id="rId97" Type="http://schemas.openxmlformats.org/officeDocument/2006/relationships/header" Target="header36.xml"/><Relationship Id="rId104" Type="http://schemas.openxmlformats.org/officeDocument/2006/relationships/footer" Target="footer36.xml"/><Relationship Id="rId7" Type="http://schemas.openxmlformats.org/officeDocument/2006/relationships/endnotes" Target="endnotes.xml"/><Relationship Id="rId71" Type="http://schemas.openxmlformats.org/officeDocument/2006/relationships/footer" Target="footer25.xml"/><Relationship Id="rId92" Type="http://schemas.openxmlformats.org/officeDocument/2006/relationships/chart" Target="charts/chart4.xml"/><Relationship Id="rId2" Type="http://schemas.openxmlformats.org/officeDocument/2006/relationships/numbering" Target="numbering.xml"/><Relationship Id="rId29"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ies.ed.gov/ncee/" TargetMode="External"/><Relationship Id="rId2" Type="http://schemas.openxmlformats.org/officeDocument/2006/relationships/hyperlink" Target="http://www.oecd.org/edu/education-at-a-glance-19991487.htm" TargetMode="External"/><Relationship Id="rId1" Type="http://schemas.openxmlformats.org/officeDocument/2006/relationships/hyperlink" Target="http://www.abs.gov.au/AUSSTATS/abs@.nsf/lookup/4704.0Chapter365Oct+2010" TargetMode="External"/><Relationship Id="rId4" Type="http://schemas.openxmlformats.org/officeDocument/2006/relationships/hyperlink" Target="http://apo.org.au/files/Resource/working_paper_5.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7.png"/></Relationships>
</file>

<file path=word/_rels/header22.xml.rels><?xml version="1.0" encoding="UTF-8" standalone="yes"?>
<Relationships xmlns="http://schemas.openxmlformats.org/package/2006/relationships"><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1" Type="http://schemas.openxmlformats.org/officeDocument/2006/relationships/image" Target="media/image7.png"/></Relationships>
</file>

<file path=word/_rels/header24.xml.rels><?xml version="1.0" encoding="UTF-8" standalone="yes"?>
<Relationships xmlns="http://schemas.openxmlformats.org/package/2006/relationships"><Relationship Id="rId1" Type="http://schemas.openxmlformats.org/officeDocument/2006/relationships/image" Target="media/image7.png"/></Relationships>
</file>

<file path=word/_rels/header25.xml.rels><?xml version="1.0" encoding="UTF-8" standalone="yes"?>
<Relationships xmlns="http://schemas.openxmlformats.org/package/2006/relationships"><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1" Type="http://schemas.openxmlformats.org/officeDocument/2006/relationships/image" Target="media/image7.png"/></Relationships>
</file>

<file path=word/_rels/header27.xml.rels><?xml version="1.0" encoding="UTF-8" standalone="yes"?>
<Relationships xmlns="http://schemas.openxmlformats.org/package/2006/relationships"><Relationship Id="rId1" Type="http://schemas.openxmlformats.org/officeDocument/2006/relationships/image" Target="media/image7.png"/></Relationships>
</file>

<file path=word/_rels/header28.xml.rels><?xml version="1.0" encoding="UTF-8" standalone="yes"?>
<Relationships xmlns="http://schemas.openxmlformats.org/package/2006/relationships"><Relationship Id="rId1" Type="http://schemas.openxmlformats.org/officeDocument/2006/relationships/image" Target="media/image7.png"/></Relationships>
</file>

<file path=word/_rels/header29.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30.xml.rels><?xml version="1.0" encoding="UTF-8" standalone="yes"?>
<Relationships xmlns="http://schemas.openxmlformats.org/package/2006/relationships"><Relationship Id="rId1" Type="http://schemas.openxmlformats.org/officeDocument/2006/relationships/image" Target="media/image7.png"/></Relationships>
</file>

<file path=word/_rels/header31.xml.rels><?xml version="1.0" encoding="UTF-8" standalone="yes"?>
<Relationships xmlns="http://schemas.openxmlformats.org/package/2006/relationships"><Relationship Id="rId1" Type="http://schemas.openxmlformats.org/officeDocument/2006/relationships/image" Target="media/image7.png"/></Relationships>
</file>

<file path=word/_rels/header32.xml.rels><?xml version="1.0" encoding="UTF-8" standalone="yes"?>
<Relationships xmlns="http://schemas.openxmlformats.org/package/2006/relationships"><Relationship Id="rId1" Type="http://schemas.openxmlformats.org/officeDocument/2006/relationships/image" Target="media/image7.png"/></Relationships>
</file>

<file path=word/_rels/header33.xml.rels><?xml version="1.0" encoding="UTF-8" standalone="yes"?>
<Relationships xmlns="http://schemas.openxmlformats.org/package/2006/relationships"><Relationship Id="rId1" Type="http://schemas.openxmlformats.org/officeDocument/2006/relationships/image" Target="media/image7.png"/></Relationships>
</file>

<file path=word/_rels/header34.xml.rels><?xml version="1.0" encoding="UTF-8" standalone="yes"?>
<Relationships xmlns="http://schemas.openxmlformats.org/package/2006/relationships"><Relationship Id="rId1" Type="http://schemas.openxmlformats.org/officeDocument/2006/relationships/image" Target="media/image7.png"/></Relationships>
</file>

<file path=word/_rels/header35.xml.rels><?xml version="1.0" encoding="UTF-8" standalone="yes"?>
<Relationships xmlns="http://schemas.openxmlformats.org/package/2006/relationships"><Relationship Id="rId1" Type="http://schemas.openxmlformats.org/officeDocument/2006/relationships/image" Target="media/image7.png"/></Relationships>
</file>

<file path=word/_rels/header36.xml.rels><?xml version="1.0" encoding="UTF-8" standalone="yes"?>
<Relationships xmlns="http://schemas.openxmlformats.org/package/2006/relationships"><Relationship Id="rId1" Type="http://schemas.openxmlformats.org/officeDocument/2006/relationships/image" Target="media/image7.png"/></Relationships>
</file>

<file path=word/_rels/header37.xml.rels><?xml version="1.0" encoding="UTF-8" standalone="yes"?>
<Relationships xmlns="http://schemas.openxmlformats.org/package/2006/relationships"><Relationship Id="rId1" Type="http://schemas.openxmlformats.org/officeDocument/2006/relationships/image" Target="media/image7.png"/></Relationships>
</file>

<file path=word/_rels/header38.xml.rels><?xml version="1.0" encoding="UTF-8" standalone="yes"?>
<Relationships xmlns="http://schemas.openxmlformats.org/package/2006/relationships"><Relationship Id="rId1" Type="http://schemas.openxmlformats.org/officeDocument/2006/relationships/image" Target="media/image7.png"/></Relationships>
</file>

<file path=word/_rels/header39.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40.xml.rels><?xml version="1.0" encoding="UTF-8" standalone="yes"?>
<Relationships xmlns="http://schemas.openxmlformats.org/package/2006/relationships"><Relationship Id="rId1" Type="http://schemas.openxmlformats.org/officeDocument/2006/relationships/image" Target="media/image7.png"/></Relationships>
</file>

<file path=word/_rels/header4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vaan%20bardolia\AppData\Roaming\Microsoft\Templates\PwC_PIC%20Report%20-%20Burgundy.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Sheet1!$B$17</c:f>
              <c:strCache>
                <c:ptCount val="1"/>
                <c:pt idx="0">
                  <c:v>2008</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Sheet1!$A$18:$A$26</c:f>
              <c:strCache>
                <c:ptCount val="9"/>
                <c:pt idx="0">
                  <c:v>NSW</c:v>
                </c:pt>
                <c:pt idx="1">
                  <c:v>VIC</c:v>
                </c:pt>
                <c:pt idx="2">
                  <c:v>QLD</c:v>
                </c:pt>
                <c:pt idx="3">
                  <c:v>SA</c:v>
                </c:pt>
                <c:pt idx="4">
                  <c:v>WA</c:v>
                </c:pt>
                <c:pt idx="5">
                  <c:v>TAS</c:v>
                </c:pt>
                <c:pt idx="6">
                  <c:v>NT</c:v>
                </c:pt>
                <c:pt idx="7">
                  <c:v>ACT</c:v>
                </c:pt>
                <c:pt idx="8">
                  <c:v>Australia</c:v>
                </c:pt>
              </c:strCache>
            </c:strRef>
          </c:cat>
          <c:val>
            <c:numRef>
              <c:f>Sheet1!$B$18:$B$26</c:f>
              <c:numCache>
                <c:formatCode>0.0</c:formatCode>
                <c:ptCount val="9"/>
                <c:pt idx="0">
                  <c:v>43.1</c:v>
                </c:pt>
                <c:pt idx="1">
                  <c:v>57.6</c:v>
                </c:pt>
                <c:pt idx="2">
                  <c:v>52.9</c:v>
                </c:pt>
                <c:pt idx="3">
                  <c:v>53.6</c:v>
                </c:pt>
                <c:pt idx="4">
                  <c:v>43</c:v>
                </c:pt>
                <c:pt idx="5">
                  <c:v>55.6</c:v>
                </c:pt>
                <c:pt idx="6">
                  <c:v>23.6</c:v>
                </c:pt>
                <c:pt idx="7">
                  <c:v>56.6</c:v>
                </c:pt>
                <c:pt idx="8">
                  <c:v>45.4</c:v>
                </c:pt>
              </c:numCache>
            </c:numRef>
          </c:val>
          <c:extLst>
            <c:ext xmlns:c16="http://schemas.microsoft.com/office/drawing/2014/chart" uri="{C3380CC4-5D6E-409C-BE32-E72D297353CC}">
              <c16:uniqueId val="{00000000-B912-4108-94C3-A0AA26A13730}"/>
            </c:ext>
          </c:extLst>
        </c:ser>
        <c:ser>
          <c:idx val="1"/>
          <c:order val="1"/>
          <c:tx>
            <c:strRef>
              <c:f>Sheet1!$C$17</c:f>
              <c:strCache>
                <c:ptCount val="1"/>
                <c:pt idx="0">
                  <c:v>2014-15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Sheet1!$A$18:$A$26</c:f>
              <c:strCache>
                <c:ptCount val="9"/>
                <c:pt idx="0">
                  <c:v>NSW</c:v>
                </c:pt>
                <c:pt idx="1">
                  <c:v>VIC</c:v>
                </c:pt>
                <c:pt idx="2">
                  <c:v>QLD</c:v>
                </c:pt>
                <c:pt idx="3">
                  <c:v>SA</c:v>
                </c:pt>
                <c:pt idx="4">
                  <c:v>WA</c:v>
                </c:pt>
                <c:pt idx="5">
                  <c:v>TAS</c:v>
                </c:pt>
                <c:pt idx="6">
                  <c:v>NT</c:v>
                </c:pt>
                <c:pt idx="7">
                  <c:v>ACT</c:v>
                </c:pt>
                <c:pt idx="8">
                  <c:v>Australia</c:v>
                </c:pt>
              </c:strCache>
            </c:strRef>
          </c:cat>
          <c:val>
            <c:numRef>
              <c:f>Sheet1!$C$18:$C$26</c:f>
              <c:numCache>
                <c:formatCode>0.0</c:formatCode>
                <c:ptCount val="9"/>
                <c:pt idx="0">
                  <c:v>62.7</c:v>
                </c:pt>
                <c:pt idx="1">
                  <c:v>68.5</c:v>
                </c:pt>
                <c:pt idx="2">
                  <c:v>67.5</c:v>
                </c:pt>
                <c:pt idx="3">
                  <c:v>81</c:v>
                </c:pt>
                <c:pt idx="4">
                  <c:v>58.4</c:v>
                </c:pt>
                <c:pt idx="5">
                  <c:v>76.400000000000006</c:v>
                </c:pt>
                <c:pt idx="6">
                  <c:v>29.7</c:v>
                </c:pt>
                <c:pt idx="7">
                  <c:v>82.7</c:v>
                </c:pt>
                <c:pt idx="8">
                  <c:v>61.5</c:v>
                </c:pt>
              </c:numCache>
            </c:numRef>
          </c:val>
          <c:extLst>
            <c:ext xmlns:c16="http://schemas.microsoft.com/office/drawing/2014/chart" uri="{C3380CC4-5D6E-409C-BE32-E72D297353CC}">
              <c16:uniqueId val="{00000001-B912-4108-94C3-A0AA26A13730}"/>
            </c:ext>
          </c:extLst>
        </c:ser>
        <c:dLbls>
          <c:showLegendKey val="0"/>
          <c:showVal val="0"/>
          <c:showCatName val="0"/>
          <c:showSerName val="0"/>
          <c:showPercent val="0"/>
          <c:showBubbleSize val="0"/>
        </c:dLbls>
        <c:gapWidth val="219"/>
        <c:overlap val="-27"/>
        <c:axId val="498750168"/>
        <c:axId val="498751344"/>
      </c:barChart>
      <c:catAx>
        <c:axId val="49875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98751344"/>
        <c:crosses val="autoZero"/>
        <c:auto val="1"/>
        <c:lblAlgn val="ctr"/>
        <c:lblOffset val="100"/>
        <c:noMultiLvlLbl val="0"/>
      </c:catAx>
      <c:valAx>
        <c:axId val="49875134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a:t>
                </a:r>
              </a:p>
            </c:rich>
          </c:tx>
          <c:layout>
            <c:manualLayout>
              <c:xMode val="edge"/>
              <c:yMode val="edge"/>
              <c:x val="3.1161473087818695E-2"/>
              <c:y val="0.537845894263217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low"/>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987501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Sheet1!$A$12</c:f>
              <c:strCache>
                <c:ptCount val="1"/>
                <c:pt idx="0">
                  <c:v>Male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Sheet1!$B$11:$D$11</c:f>
              <c:numCache>
                <c:formatCode>General</c:formatCode>
                <c:ptCount val="3"/>
                <c:pt idx="0">
                  <c:v>2015</c:v>
                </c:pt>
                <c:pt idx="1">
                  <c:v>2016</c:v>
                </c:pt>
                <c:pt idx="2">
                  <c:v>2017</c:v>
                </c:pt>
              </c:numCache>
            </c:numRef>
          </c:cat>
          <c:val>
            <c:numRef>
              <c:f>Sheet1!$B$12:$D$12</c:f>
              <c:numCache>
                <c:formatCode>0%</c:formatCode>
                <c:ptCount val="3"/>
                <c:pt idx="0">
                  <c:v>0.44827586206896552</c:v>
                </c:pt>
                <c:pt idx="1">
                  <c:v>0.47876447876447875</c:v>
                </c:pt>
                <c:pt idx="2">
                  <c:v>0.41007194244604317</c:v>
                </c:pt>
              </c:numCache>
            </c:numRef>
          </c:val>
          <c:extLst>
            <c:ext xmlns:c16="http://schemas.microsoft.com/office/drawing/2014/chart" uri="{C3380CC4-5D6E-409C-BE32-E72D297353CC}">
              <c16:uniqueId val="{00000000-CC2E-4CF3-91EE-40D4BAB94FEB}"/>
            </c:ext>
          </c:extLst>
        </c:ser>
        <c:ser>
          <c:idx val="1"/>
          <c:order val="1"/>
          <c:tx>
            <c:strRef>
              <c:f>Sheet1!$A$13</c:f>
              <c:strCache>
                <c:ptCount val="1"/>
                <c:pt idx="0">
                  <c:v>Female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Sheet1!$B$11:$D$11</c:f>
              <c:numCache>
                <c:formatCode>General</c:formatCode>
                <c:ptCount val="3"/>
                <c:pt idx="0">
                  <c:v>2015</c:v>
                </c:pt>
                <c:pt idx="1">
                  <c:v>2016</c:v>
                </c:pt>
                <c:pt idx="2">
                  <c:v>2017</c:v>
                </c:pt>
              </c:numCache>
            </c:numRef>
          </c:cat>
          <c:val>
            <c:numRef>
              <c:f>Sheet1!$B$13:$D$13</c:f>
              <c:numCache>
                <c:formatCode>0%</c:formatCode>
                <c:ptCount val="3"/>
                <c:pt idx="0">
                  <c:v>0.55172413793103448</c:v>
                </c:pt>
                <c:pt idx="1">
                  <c:v>0.52123552123552119</c:v>
                </c:pt>
                <c:pt idx="2">
                  <c:v>0.58992805755395683</c:v>
                </c:pt>
              </c:numCache>
            </c:numRef>
          </c:val>
          <c:extLst>
            <c:ext xmlns:c16="http://schemas.microsoft.com/office/drawing/2014/chart" uri="{C3380CC4-5D6E-409C-BE32-E72D297353CC}">
              <c16:uniqueId val="{00000001-CC2E-4CF3-91EE-40D4BAB94FEB}"/>
            </c:ext>
          </c:extLst>
        </c:ser>
        <c:dLbls>
          <c:showLegendKey val="0"/>
          <c:showVal val="0"/>
          <c:showCatName val="0"/>
          <c:showSerName val="0"/>
          <c:showPercent val="0"/>
          <c:showBubbleSize val="0"/>
        </c:dLbls>
        <c:gapWidth val="219"/>
        <c:overlap val="-27"/>
        <c:axId val="498752128"/>
        <c:axId val="498752520"/>
      </c:barChart>
      <c:catAx>
        <c:axId val="49875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98752520"/>
        <c:crosses val="autoZero"/>
        <c:auto val="1"/>
        <c:lblAlgn val="ctr"/>
        <c:lblOffset val="100"/>
        <c:noMultiLvlLbl val="0"/>
      </c:catAx>
      <c:valAx>
        <c:axId val="498752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9875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Sheet1!$B$26</c:f>
              <c:strCache>
                <c:ptCount val="1"/>
                <c:pt idx="0">
                  <c:v>2015</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Sheet1!$A$27:$A$30</c:f>
              <c:strCache>
                <c:ptCount val="4"/>
                <c:pt idx="0">
                  <c:v>Successful</c:v>
                </c:pt>
                <c:pt idx="1">
                  <c:v>Unsuccessful</c:v>
                </c:pt>
                <c:pt idx="2">
                  <c:v>Withdrawn</c:v>
                </c:pt>
                <c:pt idx="3">
                  <c:v>Ineligible/incomplete</c:v>
                </c:pt>
              </c:strCache>
            </c:strRef>
          </c:cat>
          <c:val>
            <c:numRef>
              <c:f>Sheet1!$B$27:$B$30</c:f>
              <c:numCache>
                <c:formatCode>0%</c:formatCode>
                <c:ptCount val="4"/>
                <c:pt idx="0">
                  <c:v>0.5589887640449438</c:v>
                </c:pt>
                <c:pt idx="1">
                  <c:v>0.3904494382022472</c:v>
                </c:pt>
                <c:pt idx="2">
                  <c:v>4.2134831460674156E-2</c:v>
                </c:pt>
                <c:pt idx="3">
                  <c:v>8.4269662921348312E-3</c:v>
                </c:pt>
              </c:numCache>
            </c:numRef>
          </c:val>
          <c:extLst>
            <c:ext xmlns:c16="http://schemas.microsoft.com/office/drawing/2014/chart" uri="{C3380CC4-5D6E-409C-BE32-E72D297353CC}">
              <c16:uniqueId val="{00000000-CF14-4272-A7CB-3C070C213B2D}"/>
            </c:ext>
          </c:extLst>
        </c:ser>
        <c:ser>
          <c:idx val="1"/>
          <c:order val="1"/>
          <c:tx>
            <c:strRef>
              <c:f>Sheet1!$C$26</c:f>
              <c:strCache>
                <c:ptCount val="1"/>
                <c:pt idx="0">
                  <c:v>2016</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Sheet1!$A$27:$A$30</c:f>
              <c:strCache>
                <c:ptCount val="4"/>
                <c:pt idx="0">
                  <c:v>Successful</c:v>
                </c:pt>
                <c:pt idx="1">
                  <c:v>Unsuccessful</c:v>
                </c:pt>
                <c:pt idx="2">
                  <c:v>Withdrawn</c:v>
                </c:pt>
                <c:pt idx="3">
                  <c:v>Ineligible/incomplete</c:v>
                </c:pt>
              </c:strCache>
            </c:strRef>
          </c:cat>
          <c:val>
            <c:numRef>
              <c:f>Sheet1!$C$27:$C$30</c:f>
              <c:numCache>
                <c:formatCode>0%</c:formatCode>
                <c:ptCount val="4"/>
                <c:pt idx="0">
                  <c:v>0.6418338108882522</c:v>
                </c:pt>
                <c:pt idx="1">
                  <c:v>0.30945558739255014</c:v>
                </c:pt>
                <c:pt idx="2">
                  <c:v>4.2979942693409739E-2</c:v>
                </c:pt>
                <c:pt idx="3">
                  <c:v>5.7306590257879654E-3</c:v>
                </c:pt>
              </c:numCache>
            </c:numRef>
          </c:val>
          <c:extLst>
            <c:ext xmlns:c16="http://schemas.microsoft.com/office/drawing/2014/chart" uri="{C3380CC4-5D6E-409C-BE32-E72D297353CC}">
              <c16:uniqueId val="{00000001-CF14-4272-A7CB-3C070C213B2D}"/>
            </c:ext>
          </c:extLst>
        </c:ser>
        <c:ser>
          <c:idx val="2"/>
          <c:order val="2"/>
          <c:tx>
            <c:strRef>
              <c:f>Sheet1!$D$26</c:f>
              <c:strCache>
                <c:ptCount val="1"/>
                <c:pt idx="0">
                  <c:v>2017</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Sheet1!$A$27:$A$30</c:f>
              <c:strCache>
                <c:ptCount val="4"/>
                <c:pt idx="0">
                  <c:v>Successful</c:v>
                </c:pt>
                <c:pt idx="1">
                  <c:v>Unsuccessful</c:v>
                </c:pt>
                <c:pt idx="2">
                  <c:v>Withdrawn</c:v>
                </c:pt>
                <c:pt idx="3">
                  <c:v>Ineligible/incomplete</c:v>
                </c:pt>
              </c:strCache>
            </c:strRef>
          </c:cat>
          <c:val>
            <c:numRef>
              <c:f>Sheet1!$D$27:$D$30</c:f>
              <c:numCache>
                <c:formatCode>0%</c:formatCode>
                <c:ptCount val="4"/>
                <c:pt idx="0">
                  <c:v>0.44137931034482758</c:v>
                </c:pt>
                <c:pt idx="1">
                  <c:v>0.48620689655172411</c:v>
                </c:pt>
                <c:pt idx="2">
                  <c:v>6.8965517241379309E-2</c:v>
                </c:pt>
                <c:pt idx="3">
                  <c:v>3.4482758620689655E-3</c:v>
                </c:pt>
              </c:numCache>
            </c:numRef>
          </c:val>
          <c:extLst>
            <c:ext xmlns:c16="http://schemas.microsoft.com/office/drawing/2014/chart" uri="{C3380CC4-5D6E-409C-BE32-E72D297353CC}">
              <c16:uniqueId val="{00000002-CF14-4272-A7CB-3C070C213B2D}"/>
            </c:ext>
          </c:extLst>
        </c:ser>
        <c:dLbls>
          <c:showLegendKey val="0"/>
          <c:showVal val="0"/>
          <c:showCatName val="0"/>
          <c:showSerName val="0"/>
          <c:showPercent val="0"/>
          <c:showBubbleSize val="0"/>
        </c:dLbls>
        <c:gapWidth val="219"/>
        <c:overlap val="-27"/>
        <c:axId val="498754480"/>
        <c:axId val="529163032"/>
      </c:barChart>
      <c:catAx>
        <c:axId val="4987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29163032"/>
        <c:crosses val="autoZero"/>
        <c:auto val="1"/>
        <c:lblAlgn val="ctr"/>
        <c:lblOffset val="100"/>
        <c:noMultiLvlLbl val="0"/>
      </c:catAx>
      <c:valAx>
        <c:axId val="529163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9875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Sheet1!$Y$170</c:f>
              <c:strCache>
                <c:ptCount val="1"/>
                <c:pt idx="0">
                  <c:v>2017</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Sheet1!$X$171:$X$177</c:f>
              <c:strCache>
                <c:ptCount val="7"/>
                <c:pt idx="0">
                  <c:v>Year 6</c:v>
                </c:pt>
                <c:pt idx="1">
                  <c:v>Year 7</c:v>
                </c:pt>
                <c:pt idx="2">
                  <c:v>Year 8</c:v>
                </c:pt>
                <c:pt idx="3">
                  <c:v>Year 9</c:v>
                </c:pt>
                <c:pt idx="4">
                  <c:v>Year 10</c:v>
                </c:pt>
                <c:pt idx="5">
                  <c:v>Year 11</c:v>
                </c:pt>
                <c:pt idx="6">
                  <c:v>unknown/not stated </c:v>
                </c:pt>
              </c:strCache>
            </c:strRef>
          </c:cat>
          <c:val>
            <c:numRef>
              <c:f>Sheet1!$Y$171:$Y$177</c:f>
              <c:numCache>
                <c:formatCode>0%</c:formatCode>
                <c:ptCount val="7"/>
                <c:pt idx="0">
                  <c:v>0.32600732600732601</c:v>
                </c:pt>
                <c:pt idx="1">
                  <c:v>0.11355311355311355</c:v>
                </c:pt>
                <c:pt idx="2">
                  <c:v>9.8901098901098897E-2</c:v>
                </c:pt>
                <c:pt idx="3">
                  <c:v>0.14652014652014653</c:v>
                </c:pt>
                <c:pt idx="4">
                  <c:v>9.5238095238095233E-2</c:v>
                </c:pt>
                <c:pt idx="5">
                  <c:v>2.9304029304029304E-2</c:v>
                </c:pt>
                <c:pt idx="6">
                  <c:v>0.19047619047619047</c:v>
                </c:pt>
              </c:numCache>
            </c:numRef>
          </c:val>
          <c:extLst>
            <c:ext xmlns:c16="http://schemas.microsoft.com/office/drawing/2014/chart" uri="{C3380CC4-5D6E-409C-BE32-E72D297353CC}">
              <c16:uniqueId val="{00000000-0B6A-4BE6-9001-F93BECA4E442}"/>
            </c:ext>
          </c:extLst>
        </c:ser>
        <c:ser>
          <c:idx val="1"/>
          <c:order val="1"/>
          <c:tx>
            <c:strRef>
              <c:f>Sheet1!$Z$170</c:f>
              <c:strCache>
                <c:ptCount val="1"/>
                <c:pt idx="0">
                  <c:v>2016</c:v>
                </c:pt>
              </c:strCache>
            </c:strRef>
          </c:tx>
          <c:spPr>
            <a:solidFill>
              <a:schemeClr val="accent2"/>
            </a:solidFill>
            <a:ln>
              <a:noFill/>
            </a:ln>
            <a:effectLst/>
          </c:spPr>
          <c:invertIfNegative val="0"/>
          <c:dLbls>
            <c:dLbl>
              <c:idx val="2"/>
              <c:layout>
                <c:manualLayout>
                  <c:x val="2.2893772893772892E-2"/>
                  <c:y val="-6.1110405158495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6A-4BE6-9001-F93BECA4E442}"/>
                </c:ext>
              </c:extLst>
            </c:dLbl>
            <c:dLbl>
              <c:idx val="5"/>
              <c:layout>
                <c:manualLayout>
                  <c:x val="2.2893772893772726E-2"/>
                  <c:y val="-1.222208103169919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6A-4BE6-9001-F93BECA4E442}"/>
                </c:ext>
              </c:extLst>
            </c:dLbl>
            <c:dLbl>
              <c:idx val="6"/>
              <c:layout>
                <c:manualLayout>
                  <c:x val="2.7472527472527472E-2"/>
                  <c:y val="-3.33333333333333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6A-4BE6-9001-F93BECA4E44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Sheet1!$X$171:$X$177</c:f>
              <c:strCache>
                <c:ptCount val="7"/>
                <c:pt idx="0">
                  <c:v>Year 6</c:v>
                </c:pt>
                <c:pt idx="1">
                  <c:v>Year 7</c:v>
                </c:pt>
                <c:pt idx="2">
                  <c:v>Year 8</c:v>
                </c:pt>
                <c:pt idx="3">
                  <c:v>Year 9</c:v>
                </c:pt>
                <c:pt idx="4">
                  <c:v>Year 10</c:v>
                </c:pt>
                <c:pt idx="5">
                  <c:v>Year 11</c:v>
                </c:pt>
                <c:pt idx="6">
                  <c:v>unknown/not stated </c:v>
                </c:pt>
              </c:strCache>
            </c:strRef>
          </c:cat>
          <c:val>
            <c:numRef>
              <c:f>Sheet1!$Z$171:$Z$177</c:f>
              <c:numCache>
                <c:formatCode>0%</c:formatCode>
                <c:ptCount val="7"/>
                <c:pt idx="0">
                  <c:v>0.44477611940298506</c:v>
                </c:pt>
                <c:pt idx="1">
                  <c:v>7.4626865671641784E-2</c:v>
                </c:pt>
                <c:pt idx="2">
                  <c:v>9.5522388059701493E-2</c:v>
                </c:pt>
                <c:pt idx="3">
                  <c:v>9.2537313432835819E-2</c:v>
                </c:pt>
                <c:pt idx="4">
                  <c:v>7.4626865671641784E-2</c:v>
                </c:pt>
                <c:pt idx="5">
                  <c:v>3.2835820895522387E-2</c:v>
                </c:pt>
                <c:pt idx="6">
                  <c:v>0.18507462686567164</c:v>
                </c:pt>
              </c:numCache>
            </c:numRef>
          </c:val>
          <c:extLst>
            <c:ext xmlns:c16="http://schemas.microsoft.com/office/drawing/2014/chart" uri="{C3380CC4-5D6E-409C-BE32-E72D297353CC}">
              <c16:uniqueId val="{00000004-0B6A-4BE6-9001-F93BECA4E442}"/>
            </c:ext>
          </c:extLst>
        </c:ser>
        <c:dLbls>
          <c:showLegendKey val="0"/>
          <c:showVal val="0"/>
          <c:showCatName val="0"/>
          <c:showSerName val="0"/>
          <c:showPercent val="0"/>
          <c:showBubbleSize val="0"/>
        </c:dLbls>
        <c:gapWidth val="219"/>
        <c:overlap val="-27"/>
        <c:axId val="529156760"/>
        <c:axId val="529160288"/>
      </c:barChart>
      <c:catAx>
        <c:axId val="52915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529160288"/>
        <c:crosses val="autoZero"/>
        <c:auto val="1"/>
        <c:lblAlgn val="ctr"/>
        <c:lblOffset val="100"/>
        <c:noMultiLvlLbl val="0"/>
      </c:catAx>
      <c:valAx>
        <c:axId val="529160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529156760"/>
        <c:crosses val="autoZero"/>
        <c:crossBetween val="between"/>
      </c:valAx>
      <c:spPr>
        <a:noFill/>
        <a:ln>
          <a:noFill/>
        </a:ln>
        <a:effectLst/>
      </c:spPr>
    </c:plotArea>
    <c:legend>
      <c:legendPos val="b"/>
      <c:layout>
        <c:manualLayout>
          <c:xMode val="edge"/>
          <c:yMode val="edge"/>
          <c:x val="0.41960716448905427"/>
          <c:y val="0.83290787401574806"/>
          <c:w val="0.15620673617720862"/>
          <c:h val="5.37587926509186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eorgia" panose="020405020504050203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wC">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theme>
</file>

<file path=word/theme/themeOverride1.xml><?xml version="1.0" encoding="utf-8"?>
<a:themeOverride xmlns:a="http://schemas.openxmlformats.org/drawingml/2006/main">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49088-39B7-4A11-BF8B-5F80261A9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PwC_PIC Report - Burgundy</Template>
  <TotalTime>2</TotalTime>
  <Pages>66</Pages>
  <Words>18798</Words>
  <Characters>107151</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Review of the IAS funded secondary school scholarships for Aboriginal and Torres Strait Islander Students - Part 1</vt:lpstr>
    </vt:vector>
  </TitlesOfParts>
  <Company/>
  <LinksUpToDate>false</LinksUpToDate>
  <CharactersWithSpaces>125698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IAS funded secondary school scholarships for Aboriginal and Torres Strait Islander Students - Part 1</dc:title>
  <dc:creator>PricewaterhouseCoopers;Department of the Prime Minister and Cabinet</dc:creator>
  <cp:lastModifiedBy>O'Toole, Aidan</cp:lastModifiedBy>
  <cp:revision>4</cp:revision>
  <cp:lastPrinted>2017-06-30T00:51:00Z</cp:lastPrinted>
  <dcterms:created xsi:type="dcterms:W3CDTF">2018-04-16T23:37:00Z</dcterms:created>
  <dcterms:modified xsi:type="dcterms:W3CDTF">2018-04-26T03:51:00Z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ace included">
    <vt:bool>false</vt:bool>
  </property>
  <property fmtid="{D5CDD505-2E9C-101B-9397-08002B2CF9AE}" pid="3" name="ToC levels">
    <vt:i4>1</vt:i4>
  </property>
  <property fmtid="{D5CDD505-2E9C-101B-9397-08002B2CF9AE}" pid="4" name="Document format">
    <vt:lpwstr>SHORT</vt:lpwstr>
  </property>
  <property fmtid="{D5CDD505-2E9C-101B-9397-08002B2CF9AE}" pid="5" name="Chapter number">
    <vt:i4>5</vt:i4>
  </property>
  <property fmtid="{D5CDD505-2E9C-101B-9397-08002B2CF9AE}" pid="6" name="Appendix format">
    <vt:lpwstr>SHORT</vt:lpwstr>
  </property>
  <property fmtid="{D5CDD505-2E9C-101B-9397-08002B2CF9AE}" pid="7" name="Appendix number">
    <vt:i4>3</vt:i4>
  </property>
  <property fmtid="{D5CDD505-2E9C-101B-9397-08002B2CF9AE}" pid="8" name="Letterhead included">
    <vt:bool>false</vt:bool>
  </property>
  <property fmtid="{D5CDD505-2E9C-101B-9397-08002B2CF9AE}" pid="9" name="Color">
    <vt:lpwstr>sBurgundy</vt:lpwstr>
  </property>
  <property fmtid="{D5CDD505-2E9C-101B-9397-08002B2CF9AE}" pid="10" name="Numbering Style">
    <vt:bool>true</vt:bool>
  </property>
  <property fmtid="{D5CDD505-2E9C-101B-9397-08002B2CF9AE}" pid="11" name="TOC Color">
    <vt:bool>true</vt:bool>
  </property>
  <property fmtid="{D5CDD505-2E9C-101B-9397-08002B2CF9AE}" pid="12" name="Point Size">
    <vt:lpwstr>10</vt:lpwstr>
  </property>
  <property fmtid="{D5CDD505-2E9C-101B-9397-08002B2CF9AE}" pid="13" name="Font">
    <vt:lpwstr>Georgia</vt:lpwstr>
  </property>
  <property fmtid="{D5CDD505-2E9C-101B-9397-08002B2CF9AE}" pid="14" name="Portrait Document">
    <vt:bool>true</vt:bool>
  </property>
  <property fmtid="{D5CDD505-2E9C-101B-9397-08002B2CF9AE}" pid="15" name="Key Sentences">
    <vt:bool>false</vt:bool>
  </property>
  <property fmtid="{D5CDD505-2E9C-101B-9397-08002B2CF9AE}" pid="16" name="KeySentenceFormat">
    <vt:lpwstr>N1A</vt:lpwstr>
  </property>
  <property fmtid="{D5CDD505-2E9C-101B-9397-08002B2CF9AE}" pid="17" name="New Report">
    <vt:bool>false</vt:bool>
  </property>
  <property fmtid="{D5CDD505-2E9C-101B-9397-08002B2CF9AE}" pid="18" name="Mirror Margins">
    <vt:bool>false</vt:bool>
  </property>
  <property fmtid="{D5CDD505-2E9C-101B-9397-08002B2CF9AE}" pid="19" name="Number of Columns">
    <vt:i4>1</vt:i4>
  </property>
  <property fmtid="{D5CDD505-2E9C-101B-9397-08002B2CF9AE}" pid="20" name="Double">
    <vt:bool>true</vt:bool>
  </property>
  <property fmtid="{D5CDD505-2E9C-101B-9397-08002B2CF9AE}" pid="21" name="Version">
    <vt:lpwstr>30Jun2016</vt:lpwstr>
  </property>
  <property fmtid="{D5CDD505-2E9C-101B-9397-08002B2CF9AE}" pid="22" name="AP report or proposal">
    <vt:bool>true</vt:bool>
  </property>
  <property fmtid="{D5CDD505-2E9C-101B-9397-08002B2CF9AE}" pid="23" name="VersionNo">
    <vt:lpwstr>8.7</vt:lpwstr>
  </property>
  <property fmtid="{D5CDD505-2E9C-101B-9397-08002B2CF9AE}" pid="24" name="TopBinding">
    <vt:bool>false</vt:bool>
  </property>
  <property fmtid="{D5CDD505-2E9C-101B-9397-08002B2CF9AE}" pid="25" name="TableProperties">
    <vt:lpwstr>B1|R0.2|R0.4|R1|R1|</vt:lpwstr>
  </property>
  <property fmtid="{D5CDD505-2E9C-101B-9397-08002B2CF9AE}" pid="26" name="NotPrinted">
    <vt:bool>false</vt:bool>
  </property>
  <property fmtid="{D5CDD505-2E9C-101B-9397-08002B2CF9AE}" pid="27" name="Grid">
    <vt:bool>false</vt:bool>
  </property>
  <property fmtid="{D5CDD505-2E9C-101B-9397-08002B2CF9AE}" pid="28" name="_DocHome">
    <vt:i4>-1895342993</vt:i4>
  </property>
  <property fmtid="{D5CDD505-2E9C-101B-9397-08002B2CF9AE}" pid="29" name="chkDisclaimer">
    <vt:bool>false</vt:bool>
  </property>
  <property fmtid="{D5CDD505-2E9C-101B-9397-08002B2CF9AE}" pid="30" name="chkClientName">
    <vt:lpwstr>[CLIENT NAME]</vt:lpwstr>
  </property>
  <property fmtid="{D5CDD505-2E9C-101B-9397-08002B2CF9AE}" pid="31" name="txtEngagementDate">
    <vt:lpwstr>[d Month yyyy]</vt:lpwstr>
  </property>
</Properties>
</file>